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Cs/>
          <w:color w:val="0A0A0A"/>
          <w:sz w:val="28"/>
          <w:szCs w:val="28"/>
        </w:rPr>
      </w:pPr>
      <w:r>
        <w:rPr>
          <w:rFonts w:ascii="Times New Roman" w:hAnsi="Times New Roman"/>
          <w:b/>
          <w:bCs/>
          <w:color w:val="0A0A0A"/>
          <w:sz w:val="28"/>
          <w:szCs w:val="28"/>
        </w:rPr>
        <w:t>Application of Vision Transformer (ViT) for Wheat Yield Prediction</w:t>
      </w:r>
    </w:p>
    <w:p>
      <w:pPr>
        <w:pStyle w:val="Normal"/>
        <w:jc w:val="center"/>
        <w:rPr/>
      </w:pPr>
      <w:r>
        <w:rPr>
          <w:rFonts w:ascii="Times New Roman" w:hAnsi="Times New Roman"/>
          <w:color w:val="0A0A0A"/>
        </w:rPr>
        <w:t>B.K. Singh</w:t>
      </w:r>
      <w:r>
        <w:rPr>
          <w:rFonts w:ascii="Times New Roman" w:hAnsi="Times New Roman"/>
          <w:color w:val="0A0A0A"/>
          <w:vertAlign w:val="superscript"/>
        </w:rPr>
        <w:t>1</w:t>
      </w:r>
      <w:r>
        <w:rPr>
          <w:rFonts w:ascii="Times New Roman" w:hAnsi="Times New Roman"/>
          <w:color w:val="0A0A0A"/>
        </w:rPr>
        <w:t xml:space="preserve">, </w:t>
      </w:r>
      <w:r>
        <w:rPr>
          <w:rFonts w:ascii="Times New Roman" w:hAnsi="Times New Roman"/>
          <w:color w:val="0A0A0A"/>
          <w:vertAlign w:val="superscript"/>
        </w:rPr>
        <w:t>*</w:t>
      </w:r>
      <w:r>
        <w:rPr>
          <w:rFonts w:ascii="Times New Roman" w:hAnsi="Times New Roman"/>
          <w:color w:val="1F1F1F"/>
        </w:rPr>
        <w:t>Dulal Chakrabarti</w:t>
      </w:r>
      <w:r>
        <w:rPr>
          <w:rFonts w:ascii="Times New Roman" w:hAnsi="Times New Roman"/>
          <w:color w:val="1F1F1F"/>
          <w:vertAlign w:val="superscript"/>
        </w:rPr>
        <w:t>2</w:t>
      </w:r>
      <w:r>
        <w:rPr>
          <w:rFonts w:ascii="Times New Roman" w:hAnsi="Times New Roman"/>
          <w:color w:val="0A0A0A"/>
        </w:rPr>
        <w:t>, Jaya Singh</w:t>
      </w:r>
      <w:r>
        <w:rPr>
          <w:rFonts w:ascii="Times New Roman" w:hAnsi="Times New Roman"/>
          <w:color w:val="0A0A0A"/>
          <w:vertAlign w:val="superscript"/>
        </w:rPr>
        <w:t>1</w:t>
      </w:r>
      <w:r>
        <w:rPr>
          <w:rFonts w:ascii="Times New Roman" w:hAnsi="Times New Roman"/>
          <w:color w:val="0A0A0A"/>
        </w:rPr>
        <w:t>, Akul Kumar</w:t>
      </w:r>
      <w:r>
        <w:rPr>
          <w:rFonts w:ascii="Times New Roman" w:hAnsi="Times New Roman"/>
          <w:color w:val="0A0A0A"/>
          <w:vertAlign w:val="superscript"/>
        </w:rPr>
        <w:t>1</w:t>
      </w:r>
    </w:p>
    <w:p>
      <w:pPr>
        <w:pStyle w:val="Normal"/>
        <w:jc w:val="center"/>
        <w:rPr>
          <w:rFonts w:ascii="times new roman" w:hAnsi="times new roman"/>
          <w:color w:val="0A0A0A"/>
        </w:rPr>
      </w:pPr>
      <w:r>
        <w:rPr>
          <w:rFonts w:ascii="times new roman" w:hAnsi="times new roman"/>
          <w:b w:val="false"/>
          <w:i w:val="false"/>
          <w:caps w:val="false"/>
          <w:smallCaps w:val="false"/>
          <w:color w:val="222222"/>
          <w:spacing w:val="0"/>
          <w:sz w:val="24"/>
          <w:vertAlign w:val="superscript"/>
        </w:rPr>
        <w:t>1</w:t>
      </w:r>
      <w:r>
        <w:rPr>
          <w:rFonts w:ascii="times new roman" w:hAnsi="times new roman"/>
          <w:b w:val="false"/>
          <w:i w:val="false"/>
          <w:caps w:val="false"/>
          <w:smallCaps w:val="false"/>
          <w:color w:val="222222"/>
          <w:spacing w:val="0"/>
          <w:sz w:val="24"/>
        </w:rPr>
        <w:t>BKC WeatherSys Pvt. Ltd., H-135, Sector 63, Noida 201307, India</w:t>
      </w:r>
    </w:p>
    <w:p>
      <w:pPr>
        <w:pStyle w:val="Normal"/>
        <w:spacing w:before="0" w:after="0"/>
        <w:contextualSpacing/>
        <w:jc w:val="center"/>
        <w:rPr/>
      </w:pPr>
      <w:r>
        <w:rPr>
          <w:rFonts w:ascii="Times New Roman" w:hAnsi="Times New Roman"/>
          <w:color w:val="1F1F1F"/>
          <w:vertAlign w:val="superscript"/>
        </w:rPr>
        <w:t>2</w:t>
      </w:r>
      <w:r>
        <w:rPr>
          <w:rFonts w:ascii="Times New Roman" w:hAnsi="Times New Roman"/>
          <w:color w:val="1F1F1F"/>
        </w:rPr>
        <w:t>India Meteorological Department (Retired), New Delhi - 110 003, India</w:t>
        <w:br/>
      </w:r>
      <w:r>
        <w:rPr>
          <w:rFonts w:ascii="times new roman" w:hAnsi="times new roman"/>
          <w:color w:val="1F1F1F"/>
          <w:sz w:val="22"/>
          <w:szCs w:val="22"/>
          <w:vertAlign w:val="superscript"/>
        </w:rPr>
        <w:t>*</w:t>
      </w:r>
      <w:r>
        <w:rPr>
          <w:rFonts w:ascii="times new roman" w:hAnsi="times new roman"/>
          <w:sz w:val="22"/>
          <w:szCs w:val="22"/>
        </w:rPr>
        <w:t>Corresponding Author’s email</w:t>
      </w:r>
      <w:r>
        <w:rPr>
          <w:rFonts w:ascii="times new roman" w:hAnsi="times new roman"/>
          <w:color w:val="1F1F1F"/>
          <w:sz w:val="22"/>
          <w:szCs w:val="22"/>
        </w:rPr>
        <w:t xml:space="preserve">: </w:t>
      </w:r>
      <w:hyperlink r:id="rId2">
        <w:r>
          <w:rPr>
            <w:rStyle w:val="Hyperlink"/>
            <w:rFonts w:ascii="times new roman" w:hAnsi="times new roman"/>
            <w:color w:val="1F1F1F"/>
            <w:sz w:val="22"/>
            <w:szCs w:val="22"/>
          </w:rPr>
          <w:t>dulalchakrabarti@gmail.com</w:t>
        </w:r>
      </w:hyperlink>
    </w:p>
    <w:p>
      <w:pPr>
        <w:pStyle w:val="Normal"/>
        <w:jc w:val="both"/>
        <w:rPr/>
      </w:pPr>
      <w:r>
        <w:rPr>
          <w:rFonts w:ascii="Times New Roman" w:hAnsi="Times New Roman"/>
          <w:color w:val="1B1C1D"/>
        </w:rPr>
        <w:t xml:space="preserve">Machine Learning (ML) models have emerged as a transformational technology in agriculture. International Food Policy Reasearch Institute (IFPRI) commissioned BKC WeatherSys Pvt. Ltd. to study the use of smart phone pictures for wheat yield prediction in 2017. From the detailed report [Singh et al (2018)]  it may be seen that  Convolution Neural Network (CNN) Model provided encouraging results of accuracy above 50%.  </w:t>
      </w:r>
      <w:r>
        <w:rPr>
          <w:rFonts w:ascii="Times New Roman" w:hAnsi="Times New Roman"/>
          <w:color w:val="1F2328"/>
        </w:rPr>
        <w:t xml:space="preserve">Vision Transformer (ViT) model  was introduced in 2021 [Dosovitskiy et al. in (2021)] and a pre-trained version </w:t>
      </w:r>
      <w:r>
        <w:rPr>
          <w:rFonts w:ascii="Times New Roman" w:hAnsi="Times New Roman"/>
          <w:color w:val="1F2328"/>
        </w:rPr>
        <w:t>named</w:t>
      </w:r>
      <w:r>
        <w:rPr>
          <w:rFonts w:ascii="Times New Roman" w:hAnsi="Times New Roman"/>
          <w:color w:val="1F2328"/>
        </w:rPr>
        <w:t xml:space="preserve"> ImageNet-21k provided  orders of magnitude improvement. </w:t>
      </w:r>
      <w:r>
        <w:rPr>
          <w:rFonts w:ascii="Times New Roman" w:hAnsi="Times New Roman"/>
          <w:color w:val="1B1C1D"/>
        </w:rPr>
        <w:t>I</w:t>
      </w:r>
      <w:r>
        <w:rPr>
          <w:rFonts w:ascii="Times New Roman" w:hAnsi="Times New Roman"/>
          <w:color w:val="0A0A0A"/>
        </w:rPr>
        <w:t xml:space="preserve">ndia has </w:t>
      </w:r>
      <w:r>
        <w:rPr>
          <w:rFonts w:ascii="Times New Roman" w:hAnsi="Times New Roman"/>
          <w:color w:val="0A0A0A"/>
        </w:rPr>
        <w:t xml:space="preserve">a </w:t>
      </w:r>
      <w:r>
        <w:rPr>
          <w:rFonts w:ascii="Times New Roman" w:hAnsi="Times New Roman"/>
          <w:color w:val="0A0A0A"/>
        </w:rPr>
        <w:t xml:space="preserve">widespread mobile network infrastructure (PIB 2025). </w:t>
      </w:r>
      <w:r>
        <w:rPr>
          <w:rFonts w:ascii="Times New Roman" w:hAnsi="Times New Roman"/>
          <w:color w:val="1F2328"/>
        </w:rPr>
        <w:t xml:space="preserve">In this paper we </w:t>
      </w:r>
      <w:r>
        <w:rPr>
          <w:rFonts w:ascii="Times New Roman" w:hAnsi="Times New Roman"/>
          <w:color w:val="1F2328"/>
        </w:rPr>
        <w:t>explore</w:t>
      </w:r>
      <w:r>
        <w:rPr>
          <w:rFonts w:ascii="Times New Roman" w:hAnsi="Times New Roman"/>
          <w:color w:val="1F2328"/>
        </w:rPr>
        <w:t xml:space="preserve"> the application of a pre-trained Vision Transformer (ViT) to the same IFPRI image dataset to achieve accuracy of over 80%. </w:t>
      </w:r>
    </w:p>
    <w:p>
      <w:pPr>
        <w:pStyle w:val="Normal"/>
        <w:jc w:val="both"/>
        <w:rPr>
          <w:b/>
          <w:bCs/>
        </w:rPr>
      </w:pPr>
      <w:r>
        <w:rPr>
          <w:rFonts w:ascii="Times New Roman" w:hAnsi="Times New Roman"/>
          <w:b/>
          <w:bCs/>
          <w:color w:val="1F2328"/>
        </w:rPr>
        <w:t>Introduction</w:t>
      </w:r>
    </w:p>
    <w:p>
      <w:pPr>
        <w:pStyle w:val="Normal"/>
        <w:jc w:val="both"/>
        <w:rPr>
          <w:rFonts w:ascii="times new roman" w:hAnsi="times new roman"/>
        </w:rPr>
      </w:pPr>
      <w:r>
        <w:rPr>
          <w:rFonts w:ascii="times new roman" w:hAnsi="times new roman"/>
          <w:color w:val="1F2328"/>
        </w:rPr>
        <w:t>A detailed review of ViT is avail</w:t>
      </w:r>
      <w:r>
        <w:rPr>
          <w:rFonts w:ascii="times new roman" w:hAnsi="times new roman"/>
          <w:color w:val="1F2328"/>
        </w:rPr>
        <w:t>a</w:t>
      </w:r>
      <w:r>
        <w:rPr>
          <w:rFonts w:ascii="times new roman" w:hAnsi="times new roman"/>
          <w:color w:val="1F2328"/>
        </w:rPr>
        <w:t xml:space="preserve">ble </w:t>
      </w:r>
      <w:r>
        <w:rPr>
          <w:rFonts w:ascii="times new roman" w:hAnsi="times new roman"/>
          <w:color w:val="1F2328"/>
        </w:rPr>
        <w:t xml:space="preserve">in the literature </w:t>
      </w:r>
      <w:r>
        <w:rPr>
          <w:rFonts w:ascii="times new roman" w:hAnsi="times new roman"/>
          <w:color w:val="1F2328"/>
        </w:rPr>
        <w:t xml:space="preserve">[Dosovitskiy et al. (2021)]. </w:t>
      </w:r>
      <w:r>
        <w:rPr>
          <w:rFonts w:ascii="times new roman" w:hAnsi="times new roman"/>
          <w:color w:val="333333"/>
          <w:lang w:val="en-IN"/>
        </w:rPr>
        <w:t xml:space="preserve">The core equation for the scaled dot-product attention in a single head is </w:t>
      </w:r>
      <w:r>
        <w:rPr>
          <w:rFonts w:ascii="times new roman" w:hAnsi="times new roman"/>
          <w:color w:val="333333"/>
          <w:lang w:val="en-IN"/>
        </w:rPr>
        <w:t>expressed as ( Equation 1)</w:t>
      </w:r>
      <w:r>
        <w:rPr>
          <w:rFonts w:ascii="times new roman" w:hAnsi="times new roman"/>
          <w:color w:val="333333"/>
          <w:lang w:val="en-IN"/>
        </w:rPr>
        <w:t>:</w:t>
      </w:r>
    </w:p>
    <w:p>
      <w:pPr>
        <w:pStyle w:val="Normal"/>
        <w:jc w:val="center"/>
        <w:rPr>
          <w:rFonts w:ascii="times new roman" w:hAnsi="times new roman"/>
        </w:rPr>
      </w:pPr>
      <w:r>
        <w:rPr>
          <w:rFonts w:ascii="times new roman" w:hAnsi="times new roman"/>
          <w:color w:val="333333"/>
          <w:lang w:val="en-IN"/>
        </w:rPr>
        <w:t>Attention(Q,K,V) = Softmax(QK</w:t>
      </w:r>
      <w:r>
        <w:rPr>
          <w:rFonts w:ascii="times new roman" w:hAnsi="times new roman"/>
          <w:color w:val="333333"/>
          <w:vertAlign w:val="superscript"/>
          <w:lang w:val="en-IN"/>
        </w:rPr>
        <w:t>T</w:t>
      </w:r>
      <w:r>
        <w:rPr>
          <w:rFonts w:ascii="times new roman" w:hAnsi="times new roman"/>
          <w:color w:val="333333"/>
          <w:lang w:val="en-IN"/>
        </w:rPr>
        <w:t>/sqrt(d</w:t>
      </w:r>
      <w:r>
        <w:rPr>
          <w:rFonts w:ascii="times new roman" w:hAnsi="times new roman"/>
          <w:color w:val="333333"/>
          <w:vertAlign w:val="subscript"/>
          <w:lang w:val="en-IN"/>
        </w:rPr>
        <w:t>k</w:t>
      </w:r>
      <w:r>
        <w:rPr>
          <w:rFonts w:ascii="times new roman" w:hAnsi="times new roman"/>
          <w:color w:val="333333"/>
          <w:lang w:val="en-IN"/>
        </w:rPr>
        <w:t>)) dot V........</w:t>
      </w:r>
      <w:r>
        <w:rPr>
          <w:rFonts w:ascii="times new roman" w:hAnsi="times new roman"/>
          <w:color w:val="333333"/>
          <w:lang w:val="en-IN"/>
        </w:rPr>
        <w:t>Equation 1.</w:t>
      </w:r>
    </w:p>
    <w:p>
      <w:pPr>
        <w:pStyle w:val="Normal"/>
        <w:spacing w:lineRule="auto" w:line="240"/>
        <w:jc w:val="both"/>
        <w:rPr/>
      </w:pPr>
      <w:r>
        <w:rPr>
          <w:rFonts w:ascii="times new roman" w:hAnsi="times new roman"/>
        </w:rPr>
        <w:t>T</w:t>
      </w:r>
      <w:r>
        <w:rPr>
          <w:rFonts w:ascii="times new roman" w:hAnsi="times new roman"/>
        </w:rPr>
        <w:t xml:space="preserve">he crop field image is first split into non-overlapping patches (e.g., 16 x 16 pixels), which are then linearly embedded into vectors (tokens). These tokens, along with a special </w:t>
      </w:r>
      <w:r>
        <w:rPr>
          <w:rFonts w:ascii="times new roman" w:hAnsi="times new roman"/>
        </w:rPr>
        <w:t>(</w:t>
      </w:r>
      <w:r>
        <w:rPr>
          <w:rStyle w:val="Strong"/>
          <w:rFonts w:ascii="times new roman" w:hAnsi="times new roman"/>
          <w:b w:val="false"/>
          <w:bCs w:val="false"/>
          <w:strike w:val="false"/>
          <w:dstrike w:val="false"/>
          <w:sz w:val="24"/>
          <w:u w:val="none"/>
          <w:effect w:val="none"/>
        </w:rPr>
        <w:t xml:space="preserve">CLS - Classification) </w:t>
      </w:r>
      <w:r>
        <w:rPr>
          <w:rFonts w:ascii="times new roman" w:hAnsi="times new roman"/>
        </w:rPr>
        <w:t xml:space="preserve">token for classification, form the input sequence. </w:t>
      </w:r>
      <w:r>
        <w:rPr>
          <w:rFonts w:ascii="times new roman" w:hAnsi="times new roman"/>
        </w:rPr>
        <w:t xml:space="preserve">Query (Q) </w:t>
      </w:r>
      <w:r>
        <w:rPr>
          <w:rFonts w:ascii="times new roman" w:hAnsi="times new roman"/>
        </w:rPr>
        <w:t>calculates</w:t>
      </w:r>
      <w:r>
        <w:rPr>
          <w:rFonts w:ascii="times new roman" w:hAnsi="times new roman"/>
        </w:rPr>
        <w:t xml:space="preserve"> </w:t>
      </w:r>
      <w:r>
        <w:rPr>
          <w:rFonts w:ascii="Times New Roman" w:hAnsi="Times New Roman"/>
          <w:color w:val="1F2328"/>
        </w:rPr>
        <w:t xml:space="preserve">the context-aware representation </w:t>
      </w:r>
      <w:r>
        <w:rPr>
          <w:rFonts w:ascii="Times New Roman" w:hAnsi="Times New Roman"/>
          <w:color w:val="1F2328"/>
        </w:rPr>
        <w:t xml:space="preserve">of the </w:t>
      </w:r>
      <w:r>
        <w:rPr>
          <w:rFonts w:ascii="Times New Roman" w:hAnsi="Times New Roman"/>
          <w:color w:val="1F2328"/>
        </w:rPr>
        <w:t xml:space="preserve">current patch </w:t>
      </w:r>
      <w:r>
        <w:rPr>
          <w:rFonts w:ascii="Times New Roman" w:hAnsi="Times New Roman"/>
          <w:color w:val="1F2328"/>
        </w:rPr>
        <w:t>by asking -</w:t>
      </w:r>
      <w:r>
        <w:rPr>
          <w:rFonts w:ascii="Times New Roman" w:hAnsi="Times New Roman"/>
          <w:color w:val="1F2328"/>
        </w:rPr>
        <w:t xml:space="preserve"> "What information am I looking for?" The key (K) represents all other patches (including itself) </w:t>
      </w:r>
      <w:r>
        <w:rPr>
          <w:rFonts w:ascii="Times New Roman" w:hAnsi="Times New Roman"/>
          <w:color w:val="1F2328"/>
        </w:rPr>
        <w:t>answers</w:t>
      </w:r>
      <w:r>
        <w:rPr>
          <w:rFonts w:ascii="Times New Roman" w:hAnsi="Times New Roman"/>
          <w:color w:val="1F2328"/>
        </w:rPr>
        <w:t xml:space="preserve"> "This is the information I contain" and the value (V) represents the actual content or feature information of all other patches that </w:t>
      </w:r>
      <w:r>
        <w:rPr>
          <w:rFonts w:ascii="Times New Roman" w:hAnsi="Times New Roman"/>
          <w:color w:val="1F2328"/>
        </w:rPr>
        <w:t>is</w:t>
      </w:r>
      <w:r>
        <w:rPr>
          <w:rFonts w:ascii="Times New Roman" w:hAnsi="Times New Roman"/>
          <w:color w:val="1F2328"/>
        </w:rPr>
        <w:t xml:space="preserve"> aggregated. The ‘attention weights”</w:t>
      </w:r>
      <w:r>
        <w:rPr>
          <w:rFonts w:ascii="Times New Roman" w:hAnsi="Times New Roman"/>
          <w:b/>
          <w:bCs/>
          <w:color w:val="1F2328"/>
          <w:sz w:val="24"/>
          <w:szCs w:val="24"/>
        </w:rPr>
        <w:t xml:space="preserve"> </w:t>
      </w:r>
      <w:r>
        <w:rPr>
          <w:rFonts w:ascii="Times New Roman" w:hAnsi="Times New Roman"/>
          <w:b w:val="false"/>
          <w:bCs w:val="false"/>
          <w:color w:val="1F2328"/>
          <w:sz w:val="24"/>
          <w:szCs w:val="24"/>
        </w:rPr>
        <w:t>are</w:t>
      </w:r>
      <w:r>
        <w:rPr>
          <w:rFonts w:ascii="Times New Roman" w:hAnsi="Times New Roman"/>
          <w:color w:val="1F2328"/>
        </w:rPr>
        <w:t xml:space="preserve"> what the heat maps show </w:t>
      </w:r>
      <w:r>
        <w:rPr>
          <w:rFonts w:ascii="Times New Roman" w:hAnsi="Times New Roman"/>
          <w:color w:val="1F2328"/>
        </w:rPr>
        <w:t xml:space="preserve">and </w:t>
      </w:r>
      <w:r>
        <w:rPr>
          <w:rFonts w:ascii="Times New Roman" w:hAnsi="Times New Roman"/>
          <w:color w:val="1F2328"/>
        </w:rPr>
        <w:t xml:space="preserve">determine </w:t>
      </w:r>
      <w:r>
        <w:rPr>
          <w:rFonts w:ascii="Times New Roman" w:hAnsi="Times New Roman"/>
          <w:i w:val="false"/>
          <w:iCs w:val="false"/>
          <w:color w:val="1F2328"/>
        </w:rPr>
        <w:t>how much</w:t>
      </w:r>
      <w:r>
        <w:rPr>
          <w:rFonts w:ascii="Times New Roman" w:hAnsi="Times New Roman"/>
          <w:color w:val="1F2328"/>
        </w:rPr>
        <w:t xml:space="preserve"> focus the querying patch (Q) places on every other patch (K) in the image. The dot product between Q (the current patch) and all K's (all patches) computes the similarity or relevance score between them. A high score means the two patches contain relevant information to one another. The scores are divided by the square root of the dimension of the key vectors. This stabilizes the gradients during training, preventing the dot products from becoming too large when the dimension d</w:t>
      </w:r>
      <w:r>
        <w:rPr>
          <w:rFonts w:ascii="Times New Roman" w:hAnsi="Times New Roman"/>
          <w:color w:val="1F2328"/>
          <w:vertAlign w:val="subscript"/>
        </w:rPr>
        <w:t>k</w:t>
      </w:r>
      <w:r>
        <w:rPr>
          <w:rFonts w:ascii="Times New Roman" w:hAnsi="Times New Roman"/>
          <w:color w:val="1F2328"/>
        </w:rPr>
        <w:t xml:space="preserve"> is high. The scaled scores are normalized using the softmax function. This turns the scores into a set of attention weights (probabilities) that sum to 1. The resulting heatmap visually represents these weights: Bright/</w:t>
      </w:r>
      <w:r>
        <w:rPr>
          <w:rFonts w:ascii="Times New Roman" w:hAnsi="Times New Roman"/>
          <w:color w:val="1F2328"/>
        </w:rPr>
        <w:t>h</w:t>
      </w:r>
      <w:r>
        <w:rPr>
          <w:rFonts w:ascii="Times New Roman" w:hAnsi="Times New Roman"/>
          <w:color w:val="1F2328"/>
        </w:rPr>
        <w:t xml:space="preserve">ot areas </w:t>
      </w:r>
      <w:r>
        <w:rPr>
          <w:rFonts w:ascii="Times New Roman" w:hAnsi="Times New Roman"/>
          <w:color w:val="1F2328"/>
        </w:rPr>
        <w:t>mean h</w:t>
      </w:r>
      <w:r>
        <w:rPr>
          <w:rFonts w:ascii="Times New Roman" w:hAnsi="Times New Roman"/>
          <w:color w:val="1F2328"/>
        </w:rPr>
        <w:t xml:space="preserve">igh </w:t>
      </w:r>
      <w:r>
        <w:rPr>
          <w:rFonts w:ascii="Times New Roman" w:hAnsi="Times New Roman"/>
          <w:color w:val="1F2328"/>
        </w:rPr>
        <w:t>w</w:t>
      </w:r>
      <w:r>
        <w:rPr>
          <w:rFonts w:ascii="Times New Roman" w:hAnsi="Times New Roman"/>
          <w:color w:val="1F2328"/>
        </w:rPr>
        <w:t xml:space="preserve">eight </w:t>
      </w:r>
      <w:r>
        <w:rPr>
          <w:rFonts w:ascii="Times New Roman" w:hAnsi="Times New Roman"/>
          <w:color w:val="1F2328"/>
        </w:rPr>
        <w:t xml:space="preserve">or strong attention and </w:t>
      </w:r>
      <w:r>
        <w:rPr>
          <w:rFonts w:ascii="Times New Roman" w:hAnsi="Times New Roman"/>
          <w:color w:val="1F2328"/>
        </w:rPr>
        <w:t>Dark/</w:t>
      </w:r>
      <w:r>
        <w:rPr>
          <w:rFonts w:ascii="Times New Roman" w:hAnsi="Times New Roman"/>
          <w:color w:val="1F2328"/>
        </w:rPr>
        <w:t>c</w:t>
      </w:r>
      <w:r>
        <w:rPr>
          <w:rFonts w:ascii="Times New Roman" w:hAnsi="Times New Roman"/>
          <w:color w:val="1F2328"/>
        </w:rPr>
        <w:t xml:space="preserve">ool areas </w:t>
      </w:r>
      <w:r>
        <w:rPr>
          <w:rFonts w:ascii="Times New Roman" w:hAnsi="Times New Roman"/>
          <w:color w:val="1F2328"/>
        </w:rPr>
        <w:t>mean l</w:t>
      </w:r>
      <w:r>
        <w:rPr>
          <w:rFonts w:ascii="Times New Roman" w:hAnsi="Times New Roman"/>
          <w:color w:val="1F2328"/>
        </w:rPr>
        <w:t xml:space="preserve">ow </w:t>
      </w:r>
      <w:r>
        <w:rPr>
          <w:rFonts w:ascii="Times New Roman" w:hAnsi="Times New Roman"/>
          <w:color w:val="1F2328"/>
        </w:rPr>
        <w:t>w</w:t>
      </w:r>
      <w:r>
        <w:rPr>
          <w:rFonts w:ascii="Times New Roman" w:hAnsi="Times New Roman"/>
          <w:color w:val="1F2328"/>
        </w:rPr>
        <w:t xml:space="preserve">eight </w:t>
      </w:r>
      <w:r>
        <w:rPr>
          <w:rFonts w:ascii="Times New Roman" w:hAnsi="Times New Roman"/>
          <w:color w:val="1F2328"/>
        </w:rPr>
        <w:t xml:space="preserve">or weak attention. The attention weights are multiplied by the corresponding Value vectors (V) to create a </w:t>
      </w:r>
      <w:r>
        <w:rPr>
          <w:rFonts w:ascii="Times New Roman" w:hAnsi="Times New Roman"/>
          <w:color w:val="1F2328"/>
        </w:rPr>
        <w:t xml:space="preserve"> new, contextualized vector for the querying patch. This vector now incorporates information from the entire image, weighted by relevance, which is the core strength of the Transformer. The Multi-Head part means, this process is run independently in parallel across a number of "heads" (12 in the base model). Each head learns different Q, K, V linear projections, allowing it to focus on different types of patterns. The outputs of all heads are then concatenated and linearly combined </w:t>
      </w:r>
      <w:r>
        <w:rPr>
          <w:rFonts w:ascii="Times New Roman" w:hAnsi="Times New Roman"/>
          <w:color w:val="1F2328"/>
        </w:rPr>
        <w:t xml:space="preserve">to learn </w:t>
      </w:r>
      <w:r>
        <w:rPr>
          <w:rFonts w:ascii="Times New Roman" w:hAnsi="Times New Roman"/>
          <w:color w:val="1F2328"/>
        </w:rPr>
        <w:t>visual patterns by making the attention weights meaningful for the final classification task (wheat yield).</w:t>
      </w:r>
    </w:p>
    <w:p>
      <w:pPr>
        <w:pStyle w:val="BodyText"/>
        <w:spacing w:lineRule="auto" w:line="240"/>
        <w:jc w:val="both"/>
        <w:rPr>
          <w:rFonts w:ascii="Times New Roman" w:hAnsi="Times New Roman"/>
          <w:b/>
          <w:bCs/>
          <w:color w:val="1F2328"/>
          <w:sz w:val="24"/>
          <w:szCs w:val="24"/>
        </w:rPr>
      </w:pPr>
      <w:r>
        <w:rPr>
          <w:rFonts w:ascii="Times New Roman" w:hAnsi="Times New Roman"/>
          <w:b/>
          <w:bCs/>
          <w:color w:val="1F2328"/>
          <w:sz w:val="24"/>
          <w:szCs w:val="24"/>
        </w:rPr>
        <w:t>Global Context and Long Range Dependencies</w:t>
      </w:r>
    </w:p>
    <w:p>
      <w:pPr>
        <w:pStyle w:val="BodyText"/>
        <w:spacing w:lineRule="auto" w:line="240"/>
        <w:jc w:val="both"/>
        <w:rPr/>
      </w:pPr>
      <w:r>
        <w:rPr>
          <w:rFonts w:ascii="Times New Roman" w:hAnsi="Times New Roman"/>
          <w:color w:val="1F2328"/>
        </w:rPr>
        <w:t xml:space="preserve">Unlike Convolutional Neural Networks (CNNs), which use local receptive fields to build up context hierarchically, the self-attention mechanism in ViT inherently models global context from the first layer. By attending to every other patch, the model learns long-range dependencies which is crucial for tasks like yield prediction, where field-wide consistency is a key pattern. </w:t>
      </w:r>
      <w:r>
        <w:rPr>
          <w:rFonts w:ascii="Times New Roman" w:hAnsi="Times New Roman"/>
          <w:color w:val="1F2328"/>
        </w:rPr>
        <w:t>In our heat maps, a single patch might be querying (itself) attending strongly to a specific textural area  while ignoring a sparse or barren area. This highlights the learned pattern of a relevant feature.</w:t>
      </w:r>
      <w:r>
        <w:rPr>
          <w:rFonts w:ascii="Times New Roman" w:hAnsi="Times New Roman"/>
          <w:b/>
          <w:bCs/>
          <w:color w:val="1F2328"/>
          <w:sz w:val="24"/>
          <w:szCs w:val="24"/>
        </w:rPr>
        <w:t xml:space="preserve"> </w:t>
      </w:r>
      <w:r>
        <w:rPr>
          <w:rFonts w:ascii="Times New Roman" w:hAnsi="Times New Roman"/>
          <w:color w:val="1F2328"/>
        </w:rPr>
        <w:t xml:space="preserve">Each attention head develops a specialized function over the multiple Transformer layers </w:t>
      </w:r>
      <w:r>
        <w:rPr>
          <w:rFonts w:ascii="Times New Roman" w:hAnsi="Times New Roman"/>
          <w:color w:val="1F2328"/>
        </w:rPr>
        <w:t>( Table 1)</w:t>
      </w:r>
      <w:r>
        <w:rPr>
          <w:rFonts w:ascii="Times New Roman" w:hAnsi="Times New Roman"/>
          <w:color w:val="1F2328"/>
        </w:rPr>
        <w:t>:</w:t>
      </w:r>
    </w:p>
    <w:p>
      <w:pPr>
        <w:pStyle w:val="BodyText"/>
        <w:spacing w:lineRule="auto" w:line="240"/>
        <w:jc w:val="both"/>
        <w:rPr>
          <w:rFonts w:ascii="Times New Roman" w:hAnsi="Times New Roman"/>
          <w:color w:val="1F2328"/>
        </w:rPr>
      </w:pPr>
      <w:r>
        <w:rPr>
          <w:rFonts w:ascii="Times New Roman" w:hAnsi="Times New Roman"/>
          <w:color w:val="1F2328"/>
        </w:rPr>
      </w:r>
    </w:p>
    <w:tbl>
      <w:tblPr>
        <w:tblW w:w="9638" w:type="dxa"/>
        <w:jc w:val="left"/>
        <w:tblInd w:w="60" w:type="dxa"/>
        <w:tblLayout w:type="fixed"/>
        <w:tblCellMar>
          <w:top w:w="28" w:type="dxa"/>
          <w:left w:w="28" w:type="dxa"/>
          <w:bottom w:w="28" w:type="dxa"/>
          <w:right w:w="28" w:type="dxa"/>
        </w:tblCellMar>
        <w:tblLook w:noHBand="0" w:noVBand="1" w:firstColumn="1" w:lastRow="0" w:lastColumn="0" w:firstRow="1" w:val="04a0"/>
      </w:tblPr>
      <w:tblGrid>
        <w:gridCol w:w="2460"/>
        <w:gridCol w:w="3120"/>
        <w:gridCol w:w="4058"/>
      </w:tblGrid>
      <w:tr>
        <w:trPr>
          <w:tblHeader w:val="true"/>
        </w:trPr>
        <w:tc>
          <w:tcPr>
            <w:tcW w:w="246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jc w:val="center"/>
              <w:rPr/>
            </w:pPr>
            <w:r>
              <w:rPr>
                <w:rStyle w:val="Strong"/>
                <w:rFonts w:ascii="Times New Roman" w:hAnsi="Times New Roman"/>
                <w:b w:val="false"/>
                <w:bCs w:val="false"/>
              </w:rPr>
              <w:t>Attention Head Function</w:t>
            </w:r>
          </w:p>
        </w:tc>
        <w:tc>
          <w:tcPr>
            <w:tcW w:w="31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jc w:val="center"/>
              <w:rPr/>
            </w:pPr>
            <w:r>
              <w:rPr>
                <w:rStyle w:val="Strong"/>
                <w:rFonts w:ascii="Times New Roman" w:hAnsi="Times New Roman"/>
                <w:b w:val="false"/>
                <w:bCs w:val="false"/>
              </w:rPr>
              <w:t>Learned Pattern</w:t>
            </w:r>
          </w:p>
        </w:tc>
        <w:tc>
          <w:tcPr>
            <w:tcW w:w="40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jc w:val="center"/>
              <w:rPr/>
            </w:pPr>
            <w:r>
              <w:rPr>
                <w:rStyle w:val="Strong"/>
                <w:rFonts w:ascii="Times New Roman" w:hAnsi="Times New Roman"/>
                <w:b w:val="false"/>
                <w:bCs w:val="false"/>
              </w:rPr>
              <w:t>Relevance to Crop Image</w:t>
            </w:r>
          </w:p>
        </w:tc>
      </w:tr>
      <w:tr>
        <w:trPr/>
        <w:tc>
          <w:tcPr>
            <w:tcW w:w="246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Early Layers (Low-Level)</w:t>
            </w:r>
          </w:p>
        </w:tc>
        <w:tc>
          <w:tcPr>
            <w:tcW w:w="31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Geometric/Local features (edges, corners, lines)</w:t>
            </w:r>
          </w:p>
        </w:tc>
        <w:tc>
          <w:tcPr>
            <w:tcW w:w="40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Attending to boundaries between fields or plants.</w:t>
            </w:r>
          </w:p>
        </w:tc>
      </w:tr>
      <w:tr>
        <w:trPr/>
        <w:tc>
          <w:tcPr>
            <w:tcW w:w="246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Middle Layers (Mid-Level)</w:t>
            </w:r>
          </w:p>
        </w:tc>
        <w:tc>
          <w:tcPr>
            <w:tcW w:w="31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Texture and Object Parts (e.g., specific leaf shapes)</w:t>
            </w:r>
          </w:p>
        </w:tc>
        <w:tc>
          <w:tcPr>
            <w:tcW w:w="40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Attending to textural uniformity or patterns of disease/damage on a crop.</w:t>
            </w:r>
          </w:p>
        </w:tc>
      </w:tr>
      <w:tr>
        <w:trPr/>
        <w:tc>
          <w:tcPr>
            <w:tcW w:w="246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Late Layers (High-Level)</w:t>
            </w:r>
          </w:p>
        </w:tc>
        <w:tc>
          <w:tcPr>
            <w:tcW w:w="31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Semantic Information and Global Features</w:t>
            </w:r>
          </w:p>
        </w:tc>
        <w:tc>
          <w:tcPr>
            <w:tcW w:w="40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left"/>
              <w:rPr/>
            </w:pPr>
            <w:r>
              <w:rPr>
                <w:rFonts w:ascii="Times New Roman" w:hAnsi="Times New Roman"/>
              </w:rPr>
              <w:t>Attending to all patches that constitute the entire "wheat crop" object in the image, or features highly correlated with the final yield label.</w:t>
            </w:r>
          </w:p>
        </w:tc>
      </w:tr>
    </w:tbl>
    <w:p>
      <w:pPr>
        <w:pStyle w:val="Normal"/>
        <w:spacing w:lineRule="auto" w:line="274" w:before="0" w:after="140"/>
        <w:jc w:val="center"/>
        <w:rPr>
          <w:rFonts w:ascii="Times New Roman" w:hAnsi="Times New Roman"/>
          <w:b w:val="false"/>
          <w:bCs w:val="false"/>
          <w:color w:val="1F2328"/>
          <w:sz w:val="24"/>
          <w:szCs w:val="24"/>
        </w:rPr>
      </w:pPr>
      <w:r>
        <w:rPr>
          <w:rFonts w:ascii="Times New Roman" w:hAnsi="Times New Roman"/>
          <w:b w:val="false"/>
          <w:bCs w:val="false"/>
          <w:color w:val="1F2328"/>
          <w:sz w:val="24"/>
          <w:szCs w:val="24"/>
        </w:rPr>
        <w:t>Table 1: Crop image multihead attention layers</w:t>
      </w:r>
    </w:p>
    <w:p>
      <w:pPr>
        <w:pStyle w:val="Heading3"/>
        <w:spacing w:lineRule="auto" w:line="274" w:before="0" w:after="140"/>
        <w:jc w:val="both"/>
        <w:rPr>
          <w:b/>
          <w:bCs/>
        </w:rPr>
      </w:pPr>
      <w:r>
        <w:rPr>
          <w:rFonts w:ascii="Times New Roman" w:hAnsi="Times New Roman"/>
          <w:b/>
          <w:bCs/>
          <w:color w:val="1F2328"/>
          <w:sz w:val="24"/>
          <w:szCs w:val="24"/>
        </w:rPr>
        <w:t>The Role of Pre-training (ImageNet-21k)</w:t>
      </w:r>
    </w:p>
    <w:p>
      <w:pPr>
        <w:pStyle w:val="BodyText"/>
        <w:spacing w:lineRule="auto" w:line="274"/>
        <w:jc w:val="both"/>
        <w:rPr/>
      </w:pPr>
      <w:r>
        <w:rPr>
          <w:rFonts w:ascii="Times New Roman" w:hAnsi="Times New Roman"/>
          <w:color w:val="1F2328"/>
        </w:rPr>
        <w:t>This pre-training allows the ViT to learn a highly general set of visual features—edges, textures, object parts, and compositions—from a vast array of natural images. When we fine-tune this model for wheat yield classification, the attention heads are adjusted to leverage those general patterns and focus on the specific agricultural features that are most predictive of the target (e.g., density, color uniformity, presence of disease, or water stress signatures). The heat maps show that a specific patch's feature is being compared to, and aggregated with, the features of other highly relevant patches, forming a spatially weighted "mental image" that is passed on to the next layer for a more accurate classification.</w:t>
      </w:r>
    </w:p>
    <w:p>
      <w:pPr>
        <w:pStyle w:val="Normal"/>
        <w:jc w:val="both"/>
        <w:rPr>
          <w:rFonts w:ascii="Times New Roman" w:hAnsi="Times New Roman"/>
        </w:rPr>
      </w:pPr>
      <w:r>
        <w:rPr>
          <w:rFonts w:ascii="Times New Roman" w:hAnsi="Times New Roman"/>
        </w:rPr>
        <w:drawing>
          <wp:anchor distT="0" distB="0" distL="0" distR="0" simplePos="0" relativeHeight="2" behindDoc="0" locked="0" layoutInCell="0" allowOverlap="1">
            <wp:simplePos x="0" y="0"/>
            <wp:positionH relativeFrom="column">
              <wp:align>center</wp:align>
            </wp:positionH>
            <wp:positionV relativeFrom="paragraph">
              <wp:posOffset>259080</wp:posOffset>
            </wp:positionV>
            <wp:extent cx="4148455" cy="2349500"/>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3"/>
                    <a:stretch>
                      <a:fillRect/>
                    </a:stretch>
                  </pic:blipFill>
                  <pic:spPr bwMode="auto">
                    <a:xfrm>
                      <a:off x="0" y="0"/>
                      <a:ext cx="4148455" cy="2349500"/>
                    </a:xfrm>
                    <a:prstGeom prst="rect">
                      <a:avLst/>
                    </a:prstGeom>
                    <a:noFill/>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center"/>
        <w:rPr/>
      </w:pPr>
      <w:r>
        <w:rPr>
          <w:rFonts w:ascii="Times New Roman" w:hAnsi="Times New Roman"/>
          <w:color w:val="333333"/>
          <w:lang w:val="en-IN"/>
        </w:rPr>
        <w:t>Figure 1. Visualization of wheat crop image attention</w:t>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b/>
          <w:bCs/>
        </w:rPr>
      </w:pPr>
      <w:r>
        <w:rPr>
          <w:rFonts w:ascii="Times New Roman" w:hAnsi="Times New Roman"/>
          <w:b/>
          <w:bCs/>
          <w:color w:val="333333"/>
          <w:lang w:val="en-IN"/>
        </w:rPr>
        <w:t>Image Data and Methodology of Pre-processing and Processing</w:t>
      </w:r>
    </w:p>
    <w:p>
      <w:pPr>
        <w:pStyle w:val="Normal"/>
        <w:jc w:val="both"/>
        <w:rPr/>
      </w:pPr>
      <w:r>
        <w:rPr>
          <w:rFonts w:ascii="Times New Roman" w:hAnsi="Times New Roman"/>
          <w:color w:val="333333"/>
          <w:lang w:val="en-IN"/>
        </w:rPr>
        <w:t>We examined a total of 5818 smart phone pictures reported by 637 farmers from November 2016 to April 2017. The farmers were identified by a unique 6-digit census village code and plot numbers. However, out of 637 farmers, only the yields from the plots of 437 farmers were verified by crop cutting; hence only the pictures reported by these 437 farmers were used for training and evaluation of the ViT model. The picture database was organized in the following hierarchy (Figure 2).</w:t>
      </w:r>
    </w:p>
    <w:p>
      <w:pPr>
        <w:pStyle w:val="Normal"/>
        <w:jc w:val="left"/>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drawing>
          <wp:anchor distT="0" distB="0" distL="0" distR="0" simplePos="0" relativeHeight="9" behindDoc="0" locked="0" layoutInCell="0" allowOverlap="1">
            <wp:simplePos x="0" y="0"/>
            <wp:positionH relativeFrom="column">
              <wp:posOffset>1237615</wp:posOffset>
            </wp:positionH>
            <wp:positionV relativeFrom="paragraph">
              <wp:posOffset>-370205</wp:posOffset>
            </wp:positionV>
            <wp:extent cx="3645535" cy="13938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3645535" cy="1393825"/>
                    </a:xfrm>
                    <a:prstGeom prst="rect">
                      <a:avLst/>
                    </a:prstGeom>
                    <a:noFill/>
                  </pic:spPr>
                </pic:pic>
              </a:graphicData>
            </a:graphic>
          </wp:anchor>
        </w:drawing>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t>Figure 2. Hierarchy of picture database</w:t>
      </w:r>
    </w:p>
    <w:p>
      <w:pPr>
        <w:pStyle w:val="Normal"/>
        <w:jc w:val="both"/>
        <w:rPr>
          <w:rFonts w:ascii="Times New Roman" w:hAnsi="Times New Roman"/>
          <w:color w:val="333333"/>
          <w:lang w:val="en-IN"/>
        </w:rPr>
      </w:pPr>
      <w:r>
        <w:rPr>
          <w:rFonts w:ascii="Times New Roman" w:hAnsi="Times New Roman"/>
          <w:color w:val="333333"/>
          <w:lang w:val="en-IN"/>
        </w:rPr>
        <w:t>The farmers in the field used a mobile app named “Wheatcam” to upload their pictures to the</w:t>
      </w:r>
    </w:p>
    <w:p>
      <w:pPr>
        <w:pStyle w:val="Normal"/>
        <w:jc w:val="both"/>
        <w:rPr/>
      </w:pPr>
      <w:r>
        <w:rPr>
          <w:rFonts w:ascii="Times New Roman" w:hAnsi="Times New Roman"/>
          <w:color w:val="333333"/>
          <w:lang w:val="en-IN"/>
        </w:rPr>
        <w:t>IFPRI server, which then stored the files in the hierarchy shown in Figure 2 and added an entry</w:t>
      </w:r>
    </w:p>
    <w:p>
      <w:pPr>
        <w:pStyle w:val="Normal"/>
        <w:jc w:val="both"/>
        <w:rPr/>
      </w:pPr>
      <w:r>
        <w:rPr>
          <w:rFonts w:ascii="Times New Roman" w:hAnsi="Times New Roman"/>
          <w:color w:val="333333"/>
          <w:lang w:val="en-IN"/>
        </w:rPr>
        <w:t>into an index file used for accessing data from the database. with a standard file naming convention (as shown below).</w:t>
      </w:r>
    </w:p>
    <w:p>
      <w:pPr>
        <w:pStyle w:val="Normal"/>
        <w:jc w:val="center"/>
        <w:rPr/>
      </w:pPr>
      <w:r>
        <w:rPr>
          <w:rFonts w:ascii="Times New Roman" w:hAnsi="Times New Roman"/>
          <w:color w:val="333333"/>
          <w:lang w:val="en-IN"/>
        </w:rPr>
        <w:t>dddddd_n_sssssssssssss</w:t>
      </w:r>
    </w:p>
    <w:p>
      <w:pPr>
        <w:pStyle w:val="Normal"/>
        <w:jc w:val="both"/>
        <w:rPr/>
      </w:pPr>
      <w:r>
        <w:rPr>
          <w:rFonts w:ascii="Times New Roman" w:hAnsi="Times New Roman"/>
          <w:color w:val="333333"/>
          <w:lang w:val="en-IN"/>
        </w:rPr>
        <w:t>where dddddd is the 6-digit unique id, n is the single-digit site id, and sssssssssssss is the 13-</w:t>
      </w:r>
    </w:p>
    <w:p>
      <w:pPr>
        <w:pStyle w:val="Normal"/>
        <w:jc w:val="both"/>
        <w:rPr>
          <w:rFonts w:ascii="Times New Roman" w:hAnsi="Times New Roman"/>
          <w:color w:val="333333"/>
          <w:lang w:val="en-IN"/>
        </w:rPr>
      </w:pPr>
      <w:r>
        <w:rPr>
          <w:rFonts w:ascii="Times New Roman" w:hAnsi="Times New Roman"/>
          <w:color w:val="333333"/>
          <w:lang w:val="en-IN"/>
        </w:rPr>
        <w:t>digit time stamp in milliseconds. Every picture passed 5 processing stages  : 1) reading data, 2) pre-processing data, 3) t</w:t>
      </w:r>
      <w:r>
        <w:rPr>
          <w:rFonts w:ascii="Times New Roman" w:hAnsi="Times New Roman"/>
          <w:color w:val="333333"/>
          <w:lang w:val="en-IN"/>
        </w:rPr>
        <w:t xml:space="preserve">rain </w:t>
      </w:r>
      <w:r>
        <w:rPr>
          <w:rFonts w:ascii="Times New Roman" w:hAnsi="Times New Roman"/>
          <w:color w:val="333333"/>
          <w:lang w:val="en-IN"/>
        </w:rPr>
        <w:t>the pre-trained ViT model, 4) fine tune to avoid overfitting of model parameters, and 5) validate model prediction. These steps are illustrated in the following schematic diagram (Figure 3).</w:t>
      </w:r>
    </w:p>
    <w:p>
      <w:pPr>
        <w:pStyle w:val="Normal"/>
        <w:jc w:val="both"/>
        <w:rPr>
          <w:rFonts w:ascii="Times New Roman" w:hAnsi="Times New Roman"/>
          <w:color w:val="333333"/>
          <w:lang w:val="en-IN"/>
        </w:rPr>
      </w:pPr>
      <w:r>
        <w:rPr>
          <w:rFonts w:ascii="Times New Roman" w:hAnsi="Times New Roman"/>
          <w:color w:val="333333"/>
          <w:lang w:val="en-IN"/>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991735" cy="22313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991735" cy="2231390"/>
                    </a:xfrm>
                    <a:prstGeom prst="rect">
                      <a:avLst/>
                    </a:prstGeom>
                    <a:noFill/>
                  </pic:spPr>
                </pic:pic>
              </a:graphicData>
            </a:graphic>
          </wp:anchor>
        </w:drawing>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r>
    </w:p>
    <w:p>
      <w:pPr>
        <w:pStyle w:val="Normal"/>
        <w:jc w:val="center"/>
        <w:rPr>
          <w:rFonts w:ascii="Times New Roman" w:hAnsi="Times New Roman"/>
          <w:color w:val="333333"/>
          <w:lang w:val="en-IN"/>
        </w:rPr>
      </w:pPr>
      <w:r>
        <w:rPr>
          <w:rFonts w:ascii="Times New Roman" w:hAnsi="Times New Roman"/>
          <w:color w:val="333333"/>
          <w:lang w:val="en-IN"/>
        </w:rPr>
        <w:t>Figure 3. ViT Process Schematic</w:t>
      </w:r>
    </w:p>
    <w:p>
      <w:pPr>
        <w:pStyle w:val="Normal"/>
        <w:jc w:val="both"/>
        <w:rPr/>
      </w:pPr>
      <w:r>
        <w:rPr>
          <w:rFonts w:ascii="Times New Roman" w:hAnsi="Times New Roman"/>
        </w:rPr>
        <w:t xml:space="preserve">The raw input images  are uploaded  and extracted into the </w:t>
      </w:r>
      <w:r>
        <w:rPr>
          <w:rStyle w:val="SourceText"/>
          <w:rFonts w:ascii="Times New Roman" w:hAnsi="Times New Roman"/>
        </w:rPr>
        <w:t>working</w:t>
      </w:r>
      <w:r>
        <w:rPr>
          <w:rFonts w:ascii="Times New Roman" w:hAnsi="Times New Roman"/>
        </w:rPr>
        <w:t xml:space="preserve"> directory. </w:t>
      </w:r>
      <w:r>
        <w:rPr/>
        <w:t>The images and their associated labels inferred from folder structure are loaded into a Hugging Face Dataset object.  The full dataset is partitioned into t</w:t>
      </w:r>
      <w:r>
        <w:rPr/>
        <w:t>wo</w:t>
      </w:r>
      <w:r>
        <w:rPr/>
        <w:t xml:space="preserve"> distinct sets: Training (for model updates) and Validation for performance evaluation during training and for final unbiased evaluation.</w:t>
      </w:r>
      <w:r>
        <w:rPr>
          <w:rFonts w:ascii="Times New Roman" w:hAnsi="Times New Roman"/>
        </w:rPr>
        <w:t xml:space="preserve"> The ViT-specific pre-processing configuration (for </w:t>
      </w:r>
      <w:r>
        <w:rPr>
          <w:rStyle w:val="SourceText"/>
          <w:rFonts w:ascii="Times New Roman" w:hAnsi="Times New Roman"/>
        </w:rPr>
        <w:t>google/vit-base-patch16-224-in21k</w:t>
      </w:r>
      <w:r>
        <w:rPr>
          <w:rFonts w:ascii="Times New Roman" w:hAnsi="Times New Roman"/>
        </w:rPr>
        <w:t xml:space="preserve">) is loaded, including parameters for resizing, scaling, and normalization. </w:t>
      </w:r>
      <w:r>
        <w:rPr>
          <w:rFonts w:ascii="Times New Roman" w:hAnsi="Times New Roman"/>
        </w:rPr>
        <w:t>T</w:t>
      </w:r>
      <w:r>
        <w:rPr>
          <w:rFonts w:ascii="Times New Roman" w:hAnsi="Times New Roman"/>
        </w:rPr>
        <w:t>he core pre-processing ensures all input images are in the required RGB format. It applies the pre-trained ViT transformations including resizing the image to 224x224 pixels, normalizing the pixel values, and converting the processed image into a PyTorch tensor format (</w:t>
      </w:r>
      <w:r>
        <w:rPr>
          <w:rStyle w:val="SourceText"/>
          <w:rFonts w:ascii="Times New Roman" w:hAnsi="Times New Roman"/>
        </w:rPr>
        <w:t>pixel_values</w:t>
      </w:r>
      <w:r>
        <w:rPr>
          <w:rFonts w:ascii="Times New Roman" w:hAnsi="Times New Roman"/>
        </w:rPr>
        <w:t>).The datasets are now ready, containing processed tensors (</w:t>
      </w:r>
      <w:r>
        <w:rPr>
          <w:rStyle w:val="SourceText"/>
          <w:rFonts w:ascii="Times New Roman" w:hAnsi="Times New Roman"/>
        </w:rPr>
        <w:t>pixel_values</w:t>
      </w:r>
      <w:r>
        <w:rPr>
          <w:rFonts w:ascii="Times New Roman" w:hAnsi="Times New Roman"/>
        </w:rPr>
        <w:t>) and corresponding class labels (Figure 4).</w:t>
      </w:r>
    </w:p>
    <w:p>
      <w:pPr>
        <w:pStyle w:val="Normal"/>
        <w:jc w:val="both"/>
        <w:rPr>
          <w:rFonts w:ascii="Times New Roman" w:hAnsi="Times New Roman"/>
          <w:color w:val="1F1F1F"/>
          <w:sz w:val="21"/>
        </w:rPr>
      </w:pPr>
      <w:r>
        <w:rPr>
          <w:rFonts w:ascii="Times New Roman" w:hAnsi="Times New Roman"/>
          <w:color w:val="1F1F1F"/>
          <w:sz w:val="21"/>
        </w:rPr>
        <w:drawing>
          <wp:anchor distT="0" distB="0" distL="0" distR="0" simplePos="0" relativeHeight="3" behindDoc="0" locked="0" layoutInCell="0" allowOverlap="1">
            <wp:simplePos x="0" y="0"/>
            <wp:positionH relativeFrom="column">
              <wp:align>center</wp:align>
            </wp:positionH>
            <wp:positionV relativeFrom="paragraph">
              <wp:posOffset>106045</wp:posOffset>
            </wp:positionV>
            <wp:extent cx="2204720" cy="14427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2204720" cy="1442720"/>
                    </a:xfrm>
                    <a:prstGeom prst="rect">
                      <a:avLst/>
                    </a:prstGeom>
                    <a:noFill/>
                  </pic:spPr>
                </pic:pic>
              </a:graphicData>
            </a:graphic>
          </wp:anchor>
        </w:drawing>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center"/>
        <w:rPr/>
      </w:pPr>
      <w:r>
        <w:rPr>
          <w:rFonts w:ascii="Times New Roman" w:hAnsi="Times New Roman"/>
          <w:color w:val="333333"/>
          <w:lang w:val="en-IN"/>
        </w:rPr>
        <w:t>Figure 4. Image Dataset</w:t>
      </w:r>
    </w:p>
    <w:p>
      <w:pPr>
        <w:pStyle w:val="Normal"/>
        <w:jc w:val="both"/>
        <w:rPr/>
      </w:pPr>
      <w:r>
        <w:rPr>
          <w:rFonts w:ascii="Times New Roman" w:hAnsi="Times New Roman"/>
        </w:rPr>
        <w:t xml:space="preserve">The pre-trained weights from ViT's base model (trained on a massive dataset like ImageNet-21k) are loaded. The classification head is customized for the new task by setting </w:t>
      </w:r>
      <w:r>
        <w:rPr>
          <w:rStyle w:val="SourceText"/>
          <w:rFonts w:ascii="Times New Roman" w:hAnsi="Times New Roman"/>
        </w:rPr>
        <w:t>5 classes</w:t>
      </w:r>
      <w:r>
        <w:rPr>
          <w:rFonts w:ascii="Times New Roman" w:hAnsi="Times New Roman"/>
        </w:rPr>
        <w:t>. Wheat yields were classified as - less than 10, 10 to 15 ,15 to 20, 20 to 25, more than 25 quintals per hectare.</w:t>
      </w:r>
    </w:p>
    <w:p>
      <w:pPr>
        <w:pStyle w:val="Normal"/>
        <w:jc w:val="both"/>
        <w:rPr>
          <w:rFonts w:ascii="Times New Roman" w:hAnsi="Times New Roman"/>
        </w:rPr>
      </w:pPr>
      <w:r>
        <w:rPr>
          <w:rFonts w:ascii="Times New Roman" w:hAnsi="Times New Roman"/>
        </w:rPr>
      </w:r>
    </w:p>
    <w:tbl>
      <w:tblPr>
        <w:tblW w:w="5000" w:type="pct"/>
        <w:jc w:val="left"/>
        <w:tblInd w:w="14" w:type="dxa"/>
        <w:tblLayout w:type="fixed"/>
        <w:tblCellMar>
          <w:top w:w="0" w:type="dxa"/>
          <w:left w:w="7" w:type="dxa"/>
          <w:bottom w:w="0" w:type="dxa"/>
          <w:right w:w="0" w:type="dxa"/>
        </w:tblCellMar>
        <w:tblLook w:noHBand="0" w:noVBand="1" w:firstColumn="1" w:lastRow="0" w:lastColumn="0" w:firstRow="1" w:val="04a0"/>
      </w:tblPr>
      <w:tblGrid>
        <w:gridCol w:w="1919"/>
        <w:gridCol w:w="1935"/>
        <w:gridCol w:w="1922"/>
        <w:gridCol w:w="1933"/>
        <w:gridCol w:w="1929"/>
      </w:tblGrid>
      <w:tr>
        <w:trPr/>
        <w:tc>
          <w:tcPr>
            <w:tcW w:w="1919" w:type="dxa"/>
            <w:tcBorders>
              <w:top w:val="single" w:sz="6" w:space="0" w:color="009353"/>
              <w:left w:val="single" w:sz="6" w:space="0" w:color="009353"/>
            </w:tcBorders>
            <w:shd w:color="auto" w:fill="009353" w:val="clear"/>
          </w:tcPr>
          <w:p>
            <w:pPr>
              <w:pStyle w:val="TableContents"/>
              <w:jc w:val="both"/>
              <w:rPr/>
            </w:pPr>
            <w:r>
              <w:rPr>
                <w:rFonts w:ascii="Liberation Sans" w:hAnsi="Liberation Sans"/>
                <w:b/>
                <w:bCs/>
                <w:color w:val="FFFFFF"/>
              </w:rPr>
              <w:t>Less than 10</w:t>
            </w:r>
          </w:p>
        </w:tc>
        <w:tc>
          <w:tcPr>
            <w:tcW w:w="1935" w:type="dxa"/>
            <w:tcBorders>
              <w:top w:val="single" w:sz="6" w:space="0" w:color="009353"/>
            </w:tcBorders>
            <w:shd w:color="auto" w:fill="009353" w:val="clear"/>
          </w:tcPr>
          <w:p>
            <w:pPr>
              <w:pStyle w:val="TableContents"/>
              <w:jc w:val="both"/>
              <w:rPr/>
            </w:pPr>
            <w:r>
              <w:rPr>
                <w:rFonts w:ascii="Liberation Sans" w:hAnsi="Liberation Sans"/>
                <w:b/>
                <w:bCs/>
                <w:color w:val="FFFFFF"/>
              </w:rPr>
              <w:t>10-15</w:t>
            </w:r>
          </w:p>
        </w:tc>
        <w:tc>
          <w:tcPr>
            <w:tcW w:w="1922" w:type="dxa"/>
            <w:tcBorders>
              <w:top w:val="single" w:sz="6" w:space="0" w:color="009353"/>
            </w:tcBorders>
            <w:shd w:color="auto" w:fill="009353" w:val="clear"/>
          </w:tcPr>
          <w:p>
            <w:pPr>
              <w:pStyle w:val="TableContents"/>
              <w:jc w:val="both"/>
              <w:rPr/>
            </w:pPr>
            <w:r>
              <w:rPr>
                <w:rFonts w:ascii="Liberation Sans" w:hAnsi="Liberation Sans"/>
                <w:b/>
                <w:bCs/>
                <w:color w:val="FFFFFF"/>
              </w:rPr>
              <w:t>15-20</w:t>
            </w:r>
          </w:p>
        </w:tc>
        <w:tc>
          <w:tcPr>
            <w:tcW w:w="1933" w:type="dxa"/>
            <w:tcBorders>
              <w:top w:val="single" w:sz="6" w:space="0" w:color="009353"/>
            </w:tcBorders>
            <w:shd w:color="auto" w:fill="009353" w:val="clear"/>
          </w:tcPr>
          <w:p>
            <w:pPr>
              <w:pStyle w:val="TableContents"/>
              <w:jc w:val="both"/>
              <w:rPr/>
            </w:pPr>
            <w:r>
              <w:rPr>
                <w:rFonts w:ascii="Liberation Sans" w:hAnsi="Liberation Sans"/>
                <w:b/>
                <w:bCs/>
                <w:color w:val="FFFFFF"/>
              </w:rPr>
              <w:t>20-25</w:t>
            </w:r>
          </w:p>
        </w:tc>
        <w:tc>
          <w:tcPr>
            <w:tcW w:w="1929" w:type="dxa"/>
            <w:tcBorders>
              <w:top w:val="single" w:sz="6" w:space="0" w:color="009353"/>
              <w:right w:val="single" w:sz="6" w:space="0" w:color="009353"/>
            </w:tcBorders>
            <w:shd w:color="auto" w:fill="009353" w:val="clear"/>
          </w:tcPr>
          <w:p>
            <w:pPr>
              <w:pStyle w:val="TableContents"/>
              <w:jc w:val="both"/>
              <w:rPr/>
            </w:pPr>
            <w:r>
              <w:rPr>
                <w:rFonts w:ascii="Liberation Sans" w:hAnsi="Liberation Sans"/>
                <w:b/>
                <w:bCs/>
                <w:color w:val="FFFFFF"/>
              </w:rPr>
              <w:t>More than 25</w:t>
            </w:r>
          </w:p>
        </w:tc>
      </w:tr>
      <w:tr>
        <w:trPr/>
        <w:tc>
          <w:tcPr>
            <w:tcW w:w="1919" w:type="dxa"/>
            <w:tcBorders>
              <w:left w:val="single" w:sz="6" w:space="0" w:color="009353"/>
              <w:bottom w:val="single" w:sz="6" w:space="0" w:color="009353"/>
            </w:tcBorders>
            <w:shd w:color="auto" w:fill="BEE3D3" w:val="clear"/>
          </w:tcPr>
          <w:p>
            <w:pPr>
              <w:pStyle w:val="TableContents"/>
              <w:jc w:val="both"/>
              <w:rPr/>
            </w:pPr>
            <w:r>
              <w:rPr>
                <w:rFonts w:ascii="Liberation Sans" w:hAnsi="Liberation Sans"/>
                <w:b/>
                <w:bCs/>
                <w:color w:val="000000"/>
              </w:rPr>
              <w:t>1</w:t>
            </w:r>
          </w:p>
        </w:tc>
        <w:tc>
          <w:tcPr>
            <w:tcW w:w="1935" w:type="dxa"/>
            <w:tcBorders>
              <w:bottom w:val="single" w:sz="6" w:space="0" w:color="009353"/>
            </w:tcBorders>
            <w:shd w:color="auto" w:fill="BEE3D3" w:val="clear"/>
          </w:tcPr>
          <w:p>
            <w:pPr>
              <w:pStyle w:val="TableContents"/>
              <w:jc w:val="both"/>
              <w:rPr/>
            </w:pPr>
            <w:r>
              <w:rPr>
                <w:rFonts w:ascii="Liberation Sans" w:hAnsi="Liberation Sans"/>
                <w:b/>
                <w:bCs/>
                <w:color w:val="000000"/>
              </w:rPr>
              <w:t>2</w:t>
            </w:r>
          </w:p>
        </w:tc>
        <w:tc>
          <w:tcPr>
            <w:tcW w:w="1922" w:type="dxa"/>
            <w:tcBorders>
              <w:bottom w:val="single" w:sz="6" w:space="0" w:color="009353"/>
            </w:tcBorders>
            <w:shd w:color="auto" w:fill="BEE3D3" w:val="clear"/>
          </w:tcPr>
          <w:p>
            <w:pPr>
              <w:pStyle w:val="TableContents"/>
              <w:jc w:val="both"/>
              <w:rPr/>
            </w:pPr>
            <w:r>
              <w:rPr>
                <w:rFonts w:ascii="Liberation Sans" w:hAnsi="Liberation Sans"/>
                <w:b/>
                <w:bCs/>
                <w:color w:val="000000"/>
              </w:rPr>
              <w:t>3</w:t>
            </w:r>
          </w:p>
        </w:tc>
        <w:tc>
          <w:tcPr>
            <w:tcW w:w="1933" w:type="dxa"/>
            <w:tcBorders>
              <w:bottom w:val="single" w:sz="6" w:space="0" w:color="009353"/>
            </w:tcBorders>
            <w:shd w:color="auto" w:fill="BEE3D3" w:val="clear"/>
          </w:tcPr>
          <w:p>
            <w:pPr>
              <w:pStyle w:val="TableContents"/>
              <w:jc w:val="both"/>
              <w:rPr/>
            </w:pPr>
            <w:r>
              <w:rPr>
                <w:rFonts w:ascii="Liberation Sans" w:hAnsi="Liberation Sans"/>
                <w:b/>
                <w:bCs/>
                <w:color w:val="000000"/>
              </w:rPr>
              <w:t>4</w:t>
            </w:r>
          </w:p>
        </w:tc>
        <w:tc>
          <w:tcPr>
            <w:tcW w:w="1929" w:type="dxa"/>
            <w:tcBorders>
              <w:bottom w:val="single" w:sz="6" w:space="0" w:color="009353"/>
              <w:right w:val="single" w:sz="6" w:space="0" w:color="009353"/>
            </w:tcBorders>
            <w:shd w:color="auto" w:fill="BEE3D3" w:val="clear"/>
          </w:tcPr>
          <w:p>
            <w:pPr>
              <w:pStyle w:val="TableContents"/>
              <w:jc w:val="both"/>
              <w:rPr/>
            </w:pPr>
            <w:r>
              <w:rPr>
                <w:rFonts w:ascii="Liberation Sans" w:hAnsi="Liberation Sans"/>
                <w:b/>
                <w:bCs/>
                <w:color w:val="000000"/>
              </w:rPr>
              <w:t>5</w:t>
            </w:r>
          </w:p>
        </w:tc>
      </w:tr>
    </w:tbl>
    <w:p>
      <w:pPr>
        <w:pStyle w:val="Normal"/>
        <w:jc w:val="center"/>
        <w:rPr/>
      </w:pPr>
      <w:r>
        <w:rPr>
          <w:rFonts w:ascii="Times New Roman" w:hAnsi="Times New Roman"/>
        </w:rPr>
        <w:t xml:space="preserve">Table </w:t>
      </w:r>
      <w:r>
        <w:rPr>
          <w:rFonts w:ascii="Times New Roman" w:hAnsi="Times New Roman"/>
        </w:rPr>
        <w:t>2</w:t>
      </w:r>
      <w:r>
        <w:rPr>
          <w:rFonts w:ascii="Times New Roman" w:hAnsi="Times New Roman"/>
        </w:rPr>
        <w:t>. Wheat Yield Classes in Quintals and Labels</w:t>
      </w:r>
    </w:p>
    <w:p>
      <w:pPr>
        <w:pStyle w:val="Normal"/>
        <w:jc w:val="both"/>
        <w:rPr>
          <w:rFonts w:ascii="Times New Roman" w:hAnsi="Times New Roman"/>
        </w:rPr>
      </w:pPr>
      <w:r>
        <w:rPr>
          <w:rFonts w:ascii="Times New Roman" w:hAnsi="Times New Roman"/>
        </w:rPr>
      </w:r>
    </w:p>
    <w:p>
      <w:pPr>
        <w:pStyle w:val="Normal"/>
        <w:jc w:val="both"/>
        <w:rPr/>
      </w:pPr>
      <w:r>
        <w:rPr>
          <w:rFonts w:ascii="Times New Roman" w:hAnsi="Times New Roman"/>
        </w:rPr>
        <w:t>H</w:t>
      </w:r>
      <w:r>
        <w:rPr>
          <w:rFonts w:ascii="Times New Roman" w:hAnsi="Times New Roman"/>
        </w:rPr>
        <w:t xml:space="preserve">yperparameters (e.g., </w:t>
      </w:r>
      <w:r>
        <w:rPr>
          <w:rStyle w:val="SourceText"/>
          <w:rFonts w:ascii="Times New Roman" w:hAnsi="Times New Roman"/>
        </w:rPr>
        <w:t>per device train batch size=8</w:t>
      </w:r>
      <w:r>
        <w:rPr>
          <w:rFonts w:ascii="Times New Roman" w:hAnsi="Times New Roman"/>
        </w:rPr>
        <w:t xml:space="preserve">, </w:t>
      </w:r>
      <w:r>
        <w:rPr>
          <w:rStyle w:val="SourceText"/>
          <w:rFonts w:ascii="Times New Roman" w:hAnsi="Times New Roman"/>
        </w:rPr>
        <w:t>train epochs=2</w:t>
      </w:r>
      <w:r>
        <w:rPr>
          <w:rFonts w:ascii="Times New Roman" w:hAnsi="Times New Roman"/>
        </w:rPr>
        <w:t>) initialize the Hugging Face Trainer object - linking the model, arguments, and the prepared Training and Validation datasets.</w:t>
      </w:r>
    </w:p>
    <w:p>
      <w:pPr>
        <w:pStyle w:val="Normal"/>
        <w:jc w:val="both"/>
        <w:rPr/>
      </w:pPr>
      <w:r>
        <w:rPr>
          <w:rFonts w:ascii="Times New Roman" w:hAnsi="Times New Roman"/>
        </w:rPr>
        <w:t xml:space="preserve">The pre-trained ViT weights are fine-tuned to recognize the new, specific classes (wheat characteristics) by minimizing the loss function on the Training Set. The </w:t>
      </w:r>
      <w:r>
        <w:rPr>
          <w:rStyle w:val="SourceText"/>
          <w:rFonts w:ascii="Times New Roman" w:hAnsi="Times New Roman"/>
        </w:rPr>
        <w:t xml:space="preserve">evaluation strategy </w:t>
      </w:r>
      <w:r>
        <w:rPr>
          <w:rFonts w:ascii="Times New Roman" w:hAnsi="Times New Roman"/>
        </w:rPr>
        <w:t>helps avoid over-fitting by periodically checking performance on the Validation Set.</w:t>
      </w:r>
    </w:p>
    <w:p>
      <w:pPr>
        <w:pStyle w:val="Normal"/>
        <w:jc w:val="both"/>
        <w:rPr>
          <w:rFonts w:ascii="Times New Roman" w:hAnsi="Times New Roman"/>
          <w:color w:val="1F1F1F"/>
        </w:rPr>
      </w:pPr>
      <w:r>
        <w:rPr>
          <w:rFonts w:ascii="Times New Roman" w:hAnsi="Times New Roman"/>
          <w:color w:val="1F1F1F"/>
        </w:rPr>
      </w:r>
    </w:p>
    <w:tbl>
      <w:tblPr>
        <w:tblW w:w="8632" w:type="dxa"/>
        <w:jc w:val="center"/>
        <w:tblInd w:w="0" w:type="dxa"/>
        <w:tblLayout w:type="fixed"/>
        <w:tblCellMar>
          <w:top w:w="0" w:type="dxa"/>
          <w:left w:w="30" w:type="dxa"/>
          <w:bottom w:w="0" w:type="dxa"/>
          <w:right w:w="30" w:type="dxa"/>
        </w:tblCellMar>
        <w:tblLook w:noHBand="0" w:noVBand="1" w:firstColumn="1" w:lastRow="0" w:lastColumn="0" w:firstRow="1" w:val="04a0"/>
      </w:tblPr>
      <w:tblGrid>
        <w:gridCol w:w="1975"/>
        <w:gridCol w:w="906"/>
        <w:gridCol w:w="5751"/>
      </w:tblGrid>
      <w:tr>
        <w:trPr>
          <w:trHeight w:val="256" w:hRule="atLeast"/>
        </w:trPr>
        <w:tc>
          <w:tcPr>
            <w:tcW w:w="1975" w:type="dxa"/>
            <w:tcBorders/>
            <w:vAlign w:val="bottom"/>
          </w:tcPr>
          <w:p>
            <w:pPr>
              <w:pStyle w:val="Normal"/>
              <w:jc w:val="both"/>
              <w:rPr/>
            </w:pPr>
            <w:r>
              <w:rPr>
                <w:rFonts w:ascii="Times New Roman" w:hAnsi="Times New Roman"/>
              </w:rPr>
              <w:t>Metric</w:t>
            </w:r>
          </w:p>
        </w:tc>
        <w:tc>
          <w:tcPr>
            <w:tcW w:w="906" w:type="dxa"/>
            <w:tcBorders/>
            <w:vAlign w:val="bottom"/>
          </w:tcPr>
          <w:p>
            <w:pPr>
              <w:pStyle w:val="Normal"/>
              <w:jc w:val="both"/>
              <w:rPr/>
            </w:pPr>
            <w:r>
              <w:rPr>
                <w:rFonts w:ascii="Times New Roman" w:hAnsi="Times New Roman"/>
              </w:rPr>
              <w:t>Value</w:t>
            </w:r>
          </w:p>
        </w:tc>
        <w:tc>
          <w:tcPr>
            <w:tcW w:w="5751" w:type="dxa"/>
            <w:tcBorders/>
            <w:vAlign w:val="bottom"/>
          </w:tcPr>
          <w:p>
            <w:pPr>
              <w:pStyle w:val="Normal"/>
              <w:jc w:val="both"/>
              <w:rPr/>
            </w:pPr>
            <w:r>
              <w:rPr>
                <w:rFonts w:ascii="Times New Roman" w:hAnsi="Times New Roman"/>
              </w:rPr>
              <w:t>Notes</w:t>
            </w:r>
          </w:p>
        </w:tc>
      </w:tr>
      <w:tr>
        <w:trPr>
          <w:trHeight w:val="439" w:hRule="atLeast"/>
        </w:trPr>
        <w:tc>
          <w:tcPr>
            <w:tcW w:w="1975" w:type="dxa"/>
            <w:tcBorders/>
            <w:vAlign w:val="bottom"/>
          </w:tcPr>
          <w:p>
            <w:pPr>
              <w:pStyle w:val="Normal"/>
              <w:jc w:val="both"/>
              <w:rPr/>
            </w:pPr>
            <w:r>
              <w:rPr>
                <w:rFonts w:ascii="Times New Roman" w:hAnsi="Times New Roman"/>
              </w:rPr>
              <w:t>Global Step</w:t>
            </w:r>
          </w:p>
        </w:tc>
        <w:tc>
          <w:tcPr>
            <w:tcW w:w="906" w:type="dxa"/>
            <w:tcBorders/>
            <w:vAlign w:val="bottom"/>
          </w:tcPr>
          <w:p>
            <w:pPr>
              <w:pStyle w:val="Normal"/>
              <w:jc w:val="both"/>
              <w:rPr/>
            </w:pPr>
            <w:r>
              <w:rPr>
                <w:rFonts w:ascii="Times New Roman" w:hAnsi="Times New Roman"/>
              </w:rPr>
              <w:t>1746</w:t>
            </w:r>
          </w:p>
        </w:tc>
        <w:tc>
          <w:tcPr>
            <w:tcW w:w="5751" w:type="dxa"/>
            <w:tcBorders/>
            <w:vAlign w:val="bottom"/>
          </w:tcPr>
          <w:p>
            <w:pPr>
              <w:pStyle w:val="Normal"/>
              <w:jc w:val="both"/>
              <w:rPr/>
            </w:pPr>
            <w:r>
              <w:rPr>
                <w:rFonts w:ascii="Times New Roman" w:hAnsi="Times New Roman"/>
              </w:rPr>
              <w:t>Total batches processed.</w:t>
            </w:r>
          </w:p>
        </w:tc>
      </w:tr>
      <w:tr>
        <w:trPr>
          <w:trHeight w:val="687" w:hRule="atLeast"/>
        </w:trPr>
        <w:tc>
          <w:tcPr>
            <w:tcW w:w="1975" w:type="dxa"/>
            <w:tcBorders/>
            <w:vAlign w:val="bottom"/>
          </w:tcPr>
          <w:p>
            <w:pPr>
              <w:pStyle w:val="Normal"/>
              <w:jc w:val="both"/>
              <w:rPr/>
            </w:pPr>
            <w:r>
              <w:rPr>
                <w:rFonts w:ascii="Times New Roman" w:hAnsi="Times New Roman"/>
              </w:rPr>
              <w:t>Epoch</w:t>
            </w:r>
          </w:p>
        </w:tc>
        <w:tc>
          <w:tcPr>
            <w:tcW w:w="906" w:type="dxa"/>
            <w:tcBorders/>
            <w:vAlign w:val="bottom"/>
          </w:tcPr>
          <w:p>
            <w:pPr>
              <w:pStyle w:val="Normal"/>
              <w:jc w:val="both"/>
              <w:rPr/>
            </w:pPr>
            <w:r>
              <w:rPr>
                <w:rFonts w:ascii="Times New Roman" w:hAnsi="Times New Roman"/>
              </w:rPr>
              <w:t>3</w:t>
            </w:r>
          </w:p>
        </w:tc>
        <w:tc>
          <w:tcPr>
            <w:tcW w:w="5751" w:type="dxa"/>
            <w:tcBorders/>
            <w:vAlign w:val="bottom"/>
          </w:tcPr>
          <w:p>
            <w:pPr>
              <w:pStyle w:val="Normal"/>
              <w:jc w:val="both"/>
              <w:rPr/>
            </w:pPr>
            <w:r>
              <w:rPr>
                <w:rFonts w:ascii="Times New Roman" w:hAnsi="Times New Roman"/>
              </w:rPr>
              <w:t>Two full passes through the training data have been completed.</w:t>
            </w:r>
          </w:p>
        </w:tc>
      </w:tr>
      <w:tr>
        <w:trPr>
          <w:trHeight w:val="485" w:hRule="atLeast"/>
        </w:trPr>
        <w:tc>
          <w:tcPr>
            <w:tcW w:w="1975" w:type="dxa"/>
            <w:tcBorders/>
            <w:vAlign w:val="bottom"/>
          </w:tcPr>
          <w:p>
            <w:pPr>
              <w:pStyle w:val="Normal"/>
              <w:jc w:val="both"/>
              <w:rPr/>
            </w:pPr>
            <w:r>
              <w:rPr>
                <w:rFonts w:ascii="Times New Roman" w:hAnsi="Times New Roman"/>
              </w:rPr>
              <w:t>Training Loss</w:t>
            </w:r>
          </w:p>
        </w:tc>
        <w:tc>
          <w:tcPr>
            <w:tcW w:w="906" w:type="dxa"/>
            <w:tcBorders/>
            <w:vAlign w:val="bottom"/>
          </w:tcPr>
          <w:p>
            <w:pPr>
              <w:pStyle w:val="Normal"/>
              <w:jc w:val="both"/>
              <w:rPr/>
            </w:pPr>
            <w:r>
              <w:rPr>
                <w:rFonts w:ascii="Times New Roman" w:hAnsi="Times New Roman"/>
                <w:color w:val="1F1F1F"/>
                <w:sz w:val="21"/>
              </w:rPr>
              <w:t>0.2923</w:t>
            </w:r>
          </w:p>
        </w:tc>
        <w:tc>
          <w:tcPr>
            <w:tcW w:w="5751" w:type="dxa"/>
            <w:tcBorders/>
            <w:vAlign w:val="bottom"/>
          </w:tcPr>
          <w:p>
            <w:pPr>
              <w:pStyle w:val="Normal"/>
              <w:jc w:val="both"/>
              <w:rPr/>
            </w:pPr>
            <w:r>
              <w:rPr>
                <w:rFonts w:ascii="Times New Roman" w:hAnsi="Times New Roman"/>
              </w:rPr>
              <w:t>The low loss value indicates the model is fitting the training data very well.</w:t>
            </w:r>
          </w:p>
        </w:tc>
      </w:tr>
    </w:tbl>
    <w:p>
      <w:pPr>
        <w:pStyle w:val="Normal"/>
        <w:jc w:val="both"/>
        <w:rPr>
          <w:rFonts w:ascii="Times New Roman" w:hAnsi="Times New Roman"/>
        </w:rPr>
      </w:pPr>
      <w:r>
        <w:rPr>
          <w:rFonts w:ascii="Times New Roman" w:hAnsi="Times New Roman"/>
        </w:rPr>
      </w:r>
    </w:p>
    <w:p>
      <w:pPr>
        <w:pStyle w:val="Normal"/>
        <w:jc w:val="center"/>
        <w:rPr/>
      </w:pPr>
      <w:r>
        <w:rPr>
          <w:rFonts w:ascii="Times New Roman" w:hAnsi="Times New Roman"/>
        </w:rPr>
        <w:t xml:space="preserve">Table </w:t>
      </w:r>
      <w:r>
        <w:rPr>
          <w:rFonts w:ascii="Times New Roman" w:hAnsi="Times New Roman"/>
        </w:rPr>
        <w:t>3</w:t>
      </w:r>
      <w:r>
        <w:rPr>
          <w:rFonts w:ascii="Times New Roman" w:hAnsi="Times New Roman"/>
        </w:rPr>
        <w:t>. Training Progress and Performance</w:t>
      </w:r>
    </w:p>
    <w:p>
      <w:pPr>
        <w:pStyle w:val="Normal"/>
        <w:jc w:val="both"/>
        <w:rPr>
          <w:rFonts w:ascii="Times New Roman" w:hAnsi="Times New Roman"/>
        </w:rPr>
      </w:pPr>
      <w:r>
        <w:rPr>
          <w:rFonts w:ascii="Times New Roman" w:hAnsi="Times New Roman"/>
        </w:rPr>
      </w:r>
    </w:p>
    <w:tbl>
      <w:tblPr>
        <w:tblW w:w="8021" w:type="dxa"/>
        <w:jc w:val="center"/>
        <w:tblInd w:w="0" w:type="dxa"/>
        <w:tblLayout w:type="fixed"/>
        <w:tblCellMar>
          <w:top w:w="28" w:type="dxa"/>
          <w:left w:w="28" w:type="dxa"/>
          <w:bottom w:w="28" w:type="dxa"/>
          <w:right w:w="28" w:type="dxa"/>
        </w:tblCellMar>
        <w:tblLook w:noHBand="0" w:noVBand="1" w:firstColumn="1" w:lastRow="0" w:lastColumn="0" w:firstRow="1" w:val="04a0"/>
      </w:tblPr>
      <w:tblGrid>
        <w:gridCol w:w="2500"/>
        <w:gridCol w:w="2558"/>
        <w:gridCol w:w="2963"/>
      </w:tblGrid>
      <w:tr>
        <w:trPr>
          <w:tblHeader w:val="true"/>
        </w:trPr>
        <w:tc>
          <w:tcPr>
            <w:tcW w:w="250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jc w:val="both"/>
              <w:rPr/>
            </w:pPr>
            <w:r>
              <w:rPr>
                <w:rStyle w:val="Strong"/>
                <w:rFonts w:ascii="Times New Roman" w:hAnsi="Times New Roman"/>
                <w:b w:val="false"/>
                <w:bCs w:val="false"/>
              </w:rPr>
              <w:t>Metric</w:t>
            </w:r>
          </w:p>
        </w:tc>
        <w:tc>
          <w:tcPr>
            <w:tcW w:w="25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jc w:val="both"/>
              <w:rPr/>
            </w:pPr>
            <w:r>
              <w:rPr>
                <w:rStyle w:val="Strong"/>
                <w:rFonts w:ascii="Times New Roman" w:hAnsi="Times New Roman"/>
                <w:b w:val="false"/>
                <w:bCs w:val="false"/>
              </w:rPr>
              <w:t>Value</w:t>
            </w:r>
          </w:p>
        </w:tc>
        <w:tc>
          <w:tcPr>
            <w:tcW w:w="296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jc w:val="both"/>
              <w:rPr/>
            </w:pPr>
            <w:r>
              <w:rPr>
                <w:rStyle w:val="Strong"/>
                <w:rFonts w:ascii="Times New Roman" w:hAnsi="Times New Roman"/>
                <w:b w:val="false"/>
                <w:bCs w:val="false"/>
              </w:rPr>
              <w:t>Unit</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Training Runtime</w:t>
            </w:r>
          </w:p>
        </w:tc>
        <w:tc>
          <w:tcPr>
            <w:tcW w:w="25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color w:val="1F1F1F"/>
                <w:sz w:val="21"/>
              </w:rPr>
              <w:t>281.3681</w:t>
            </w:r>
          </w:p>
        </w:tc>
        <w:tc>
          <w:tcPr>
            <w:tcW w:w="296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seconds</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Samples per Second</w:t>
            </w:r>
          </w:p>
        </w:tc>
        <w:tc>
          <w:tcPr>
            <w:tcW w:w="25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color w:val="1F1F1F"/>
                <w:sz w:val="21"/>
              </w:rPr>
              <w:t>49.622</w:t>
            </w:r>
          </w:p>
        </w:tc>
        <w:tc>
          <w:tcPr>
            <w:tcW w:w="296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samples/sec</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Steps per Second</w:t>
            </w:r>
          </w:p>
        </w:tc>
        <w:tc>
          <w:tcPr>
            <w:tcW w:w="25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color w:val="1F1F1F"/>
                <w:sz w:val="21"/>
              </w:rPr>
              <w:t>6.205</w:t>
            </w:r>
          </w:p>
        </w:tc>
        <w:tc>
          <w:tcPr>
            <w:tcW w:w="296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steps/sec</w:t>
            </w:r>
          </w:p>
        </w:tc>
      </w:tr>
      <w:tr>
        <w:trPr/>
        <w:tc>
          <w:tcPr>
            <w:tcW w:w="250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Total FLOPs</w:t>
            </w:r>
          </w:p>
        </w:tc>
        <w:tc>
          <w:tcPr>
            <w:tcW w:w="25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color w:val="1F1F1F"/>
                <w:sz w:val="21"/>
              </w:rPr>
              <w:t>1.081*10</w:t>
            </w:r>
            <w:r>
              <w:rPr>
                <w:rFonts w:ascii="Times New Roman" w:hAnsi="Times New Roman"/>
                <w:color w:val="1F1F1F"/>
                <w:sz w:val="21"/>
                <w:vertAlign w:val="superscript"/>
              </w:rPr>
              <w:t>18</w:t>
            </w:r>
          </w:p>
        </w:tc>
        <w:tc>
          <w:tcPr>
            <w:tcW w:w="296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jc w:val="both"/>
              <w:rPr/>
            </w:pPr>
            <w:r>
              <w:rPr>
                <w:rFonts w:ascii="Times New Roman" w:hAnsi="Times New Roman"/>
              </w:rPr>
              <w:t>floating-point operations</w:t>
            </w:r>
          </w:p>
        </w:tc>
      </w:tr>
    </w:tbl>
    <w:p>
      <w:pPr>
        <w:pStyle w:val="Normal"/>
        <w:jc w:val="both"/>
        <w:rPr>
          <w:rFonts w:ascii="Times New Roman" w:hAnsi="Times New Roman"/>
        </w:rPr>
      </w:pPr>
      <w:r>
        <w:rPr>
          <w:rFonts w:ascii="Times New Roman" w:hAnsi="Times New Roman"/>
        </w:rPr>
      </w:r>
    </w:p>
    <w:p>
      <w:pPr>
        <w:pStyle w:val="Normal"/>
        <w:jc w:val="center"/>
        <w:rPr/>
      </w:pPr>
      <w:r>
        <w:rPr>
          <w:rFonts w:ascii="Times New Roman" w:hAnsi="Times New Roman"/>
        </w:rPr>
        <w:t xml:space="preserve">Table </w:t>
      </w:r>
      <w:r>
        <w:rPr>
          <w:rFonts w:ascii="Times New Roman" w:hAnsi="Times New Roman"/>
        </w:rPr>
        <w:t>4</w:t>
      </w:r>
      <w:r>
        <w:rPr>
          <w:rFonts w:ascii="Times New Roman" w:hAnsi="Times New Roman"/>
        </w:rPr>
        <w:t>. Resource Usage and Speed Metrics</w:t>
      </w:r>
    </w:p>
    <w:p>
      <w:pPr>
        <w:pStyle w:val="Normal"/>
        <w:jc w:val="both"/>
        <w:rPr>
          <w:rFonts w:ascii="Times New Roman" w:hAnsi="Times New Roman"/>
        </w:rPr>
      </w:pPr>
      <w:r>
        <w:rPr>
          <w:rFonts w:ascii="Times New Roman" w:hAnsi="Times New Roman"/>
        </w:rPr>
      </w:r>
    </w:p>
    <w:p>
      <w:pPr>
        <w:pStyle w:val="Normal"/>
        <w:jc w:val="both"/>
        <w:rPr/>
      </w:pPr>
      <w:r>
        <w:rPr>
          <w:rFonts w:ascii="Times New Roman" w:hAnsi="Times New Roman"/>
        </w:rPr>
        <w:t xml:space="preserve">The trained model generates class-specific logits (raw, unnormalized predictions) for every image in the </w:t>
      </w:r>
      <w:r>
        <w:rPr>
          <w:rFonts w:ascii="Times New Roman" w:hAnsi="Times New Roman"/>
        </w:rPr>
        <w:t>v</w:t>
      </w:r>
      <w:r>
        <w:rPr>
          <w:rFonts w:ascii="Times New Roman" w:hAnsi="Times New Roman"/>
        </w:rPr>
        <w:t xml:space="preserve">alidation </w:t>
      </w:r>
      <w:r>
        <w:rPr>
          <w:rFonts w:ascii="Times New Roman" w:hAnsi="Times New Roman"/>
        </w:rPr>
        <w:t>s</w:t>
      </w:r>
      <w:r>
        <w:rPr>
          <w:rFonts w:ascii="Times New Roman" w:hAnsi="Times New Roman"/>
        </w:rPr>
        <w:t xml:space="preserve">et. The true labels and the final predicted class indices are extracted, overall model performance </w:t>
      </w:r>
      <w:r>
        <w:rPr>
          <w:rFonts w:ascii="Times New Roman" w:hAnsi="Times New Roman"/>
        </w:rPr>
        <w:t xml:space="preserve">is measured </w:t>
      </w:r>
      <w:r>
        <w:rPr>
          <w:rFonts w:ascii="Times New Roman" w:hAnsi="Times New Roman"/>
        </w:rPr>
        <w:t xml:space="preserve">using metrics like Precision, Recall, and F1-Score for each of the 5 image classes as shown under Table </w:t>
      </w:r>
      <w:r>
        <w:rPr>
          <w:rFonts w:ascii="Times New Roman" w:hAnsi="Times New Roman"/>
        </w:rPr>
        <w:t>5</w:t>
      </w:r>
      <w:r>
        <w:rPr>
          <w:rFonts w:ascii="Times New Roman" w:hAnsi="Times New Roman"/>
        </w:rPr>
        <w:t xml:space="preserve"> .</w:t>
      </w:r>
    </w:p>
    <w:tbl>
      <w:tblPr>
        <w:tblW w:w="6438" w:type="dxa"/>
        <w:jc w:val="center"/>
        <w:tblInd w:w="0" w:type="dxa"/>
        <w:tblLayout w:type="fixed"/>
        <w:tblCellMar>
          <w:top w:w="0" w:type="dxa"/>
          <w:left w:w="0" w:type="dxa"/>
          <w:bottom w:w="0" w:type="dxa"/>
          <w:right w:w="0" w:type="dxa"/>
        </w:tblCellMar>
        <w:tblLook w:noHBand="0" w:noVBand="1" w:firstColumn="1" w:lastRow="0" w:lastColumn="0" w:firstRow="1" w:val="04a0"/>
      </w:tblPr>
      <w:tblGrid>
        <w:gridCol w:w="1619"/>
        <w:gridCol w:w="972"/>
        <w:gridCol w:w="1282"/>
        <w:gridCol w:w="1281"/>
        <w:gridCol w:w="1284"/>
      </w:tblGrid>
      <w:tr>
        <w:trPr>
          <w:trHeight w:val="256" w:hRule="atLeast"/>
        </w:trPr>
        <w:tc>
          <w:tcPr>
            <w:tcW w:w="1619" w:type="dxa"/>
            <w:tcBorders>
              <w:bottom w:val="single" w:sz="6" w:space="0" w:color="00599D"/>
            </w:tcBorders>
            <w:shd w:color="auto" w:fill="00599D" w:val="clear"/>
            <w:vAlign w:val="bottom"/>
          </w:tcPr>
          <w:p>
            <w:pPr>
              <w:pStyle w:val="Normal"/>
              <w:jc w:val="both"/>
              <w:rPr/>
            </w:pPr>
            <w:r>
              <w:rPr>
                <w:rFonts w:ascii="Times New Roman" w:hAnsi="Times New Roman"/>
                <w:b/>
                <w:bCs/>
                <w:color w:val="FFFFFF"/>
              </w:rPr>
              <w:t>Class</w:t>
            </w:r>
          </w:p>
        </w:tc>
        <w:tc>
          <w:tcPr>
            <w:tcW w:w="972" w:type="dxa"/>
            <w:tcBorders>
              <w:bottom w:val="single" w:sz="6" w:space="0" w:color="00599D"/>
            </w:tcBorders>
            <w:shd w:color="auto" w:fill="00599D" w:val="clear"/>
            <w:vAlign w:val="bottom"/>
          </w:tcPr>
          <w:p>
            <w:pPr>
              <w:pStyle w:val="Normal"/>
              <w:jc w:val="both"/>
              <w:rPr/>
            </w:pPr>
            <w:r>
              <w:rPr>
                <w:rFonts w:ascii="Times New Roman" w:hAnsi="Times New Roman"/>
                <w:b/>
                <w:bCs/>
                <w:color w:val="FFFFFF"/>
              </w:rPr>
              <w:t>Precision</w:t>
            </w:r>
          </w:p>
        </w:tc>
        <w:tc>
          <w:tcPr>
            <w:tcW w:w="1282" w:type="dxa"/>
            <w:tcBorders>
              <w:bottom w:val="single" w:sz="6" w:space="0" w:color="00599D"/>
            </w:tcBorders>
            <w:shd w:color="auto" w:fill="00599D" w:val="clear"/>
            <w:vAlign w:val="bottom"/>
          </w:tcPr>
          <w:p>
            <w:pPr>
              <w:pStyle w:val="Normal"/>
              <w:jc w:val="both"/>
              <w:rPr/>
            </w:pPr>
            <w:r>
              <w:rPr>
                <w:rFonts w:ascii="Times New Roman" w:hAnsi="Times New Roman"/>
                <w:b/>
                <w:bCs/>
                <w:color w:val="FFFFFF"/>
              </w:rPr>
              <w:t>Recall</w:t>
            </w:r>
          </w:p>
        </w:tc>
        <w:tc>
          <w:tcPr>
            <w:tcW w:w="1281" w:type="dxa"/>
            <w:tcBorders>
              <w:bottom w:val="single" w:sz="6" w:space="0" w:color="00599D"/>
            </w:tcBorders>
            <w:shd w:color="auto" w:fill="00599D" w:val="clear"/>
            <w:vAlign w:val="bottom"/>
          </w:tcPr>
          <w:p>
            <w:pPr>
              <w:pStyle w:val="Normal"/>
              <w:jc w:val="both"/>
              <w:rPr/>
            </w:pPr>
            <w:r>
              <w:rPr>
                <w:rFonts w:ascii="Times New Roman" w:hAnsi="Times New Roman"/>
                <w:b/>
                <w:bCs/>
                <w:color w:val="FFFFFF"/>
              </w:rPr>
              <w:t>F1-Score</w:t>
            </w:r>
          </w:p>
        </w:tc>
        <w:tc>
          <w:tcPr>
            <w:tcW w:w="1284" w:type="dxa"/>
            <w:tcBorders>
              <w:bottom w:val="single" w:sz="6" w:space="0" w:color="00599D"/>
            </w:tcBorders>
            <w:shd w:color="auto" w:fill="00599D" w:val="clear"/>
            <w:vAlign w:val="bottom"/>
          </w:tcPr>
          <w:p>
            <w:pPr>
              <w:pStyle w:val="Normal"/>
              <w:jc w:val="both"/>
              <w:rPr/>
            </w:pPr>
            <w:r>
              <w:rPr>
                <w:rFonts w:ascii="Times New Roman" w:hAnsi="Times New Roman"/>
                <w:b/>
                <w:bCs/>
                <w:color w:val="FFFFFF"/>
              </w:rPr>
              <w:t>Support</w:t>
            </w:r>
          </w:p>
        </w:tc>
      </w:tr>
      <w:tr>
        <w:trPr>
          <w:trHeight w:val="256" w:hRule="atLeast"/>
        </w:trPr>
        <w:tc>
          <w:tcPr>
            <w:tcW w:w="1619" w:type="dxa"/>
            <w:tcBorders>
              <w:left w:val="single" w:sz="6" w:space="0" w:color="00599D"/>
            </w:tcBorders>
            <w:vAlign w:val="bottom"/>
          </w:tcPr>
          <w:p>
            <w:pPr>
              <w:pStyle w:val="Normal"/>
              <w:jc w:val="both"/>
              <w:rPr/>
            </w:pPr>
            <w:r>
              <w:rPr>
                <w:rFonts w:ascii="Times New Roman" w:hAnsi="Times New Roman"/>
                <w:color w:val="000000"/>
              </w:rPr>
              <w:t>10</w:t>
            </w:r>
          </w:p>
        </w:tc>
        <w:tc>
          <w:tcPr>
            <w:tcW w:w="972" w:type="dxa"/>
            <w:tcBorders/>
            <w:vAlign w:val="bottom"/>
          </w:tcPr>
          <w:p>
            <w:pPr>
              <w:pStyle w:val="Normal"/>
              <w:jc w:val="both"/>
              <w:rPr/>
            </w:pPr>
            <w:r>
              <w:rPr>
                <w:rFonts w:ascii="Times New Roman" w:hAnsi="Times New Roman"/>
                <w:color w:val="000000"/>
              </w:rPr>
              <w:t>0.87</w:t>
            </w:r>
          </w:p>
        </w:tc>
        <w:tc>
          <w:tcPr>
            <w:tcW w:w="1282" w:type="dxa"/>
            <w:tcBorders/>
            <w:vAlign w:val="bottom"/>
          </w:tcPr>
          <w:p>
            <w:pPr>
              <w:pStyle w:val="Normal"/>
              <w:jc w:val="both"/>
              <w:rPr/>
            </w:pPr>
            <w:r>
              <w:rPr>
                <w:rFonts w:ascii="Times New Roman" w:hAnsi="Times New Roman"/>
                <w:color w:val="000000"/>
              </w:rPr>
              <w:t>0.79</w:t>
            </w:r>
          </w:p>
        </w:tc>
        <w:tc>
          <w:tcPr>
            <w:tcW w:w="1281" w:type="dxa"/>
            <w:tcBorders/>
            <w:vAlign w:val="bottom"/>
          </w:tcPr>
          <w:p>
            <w:pPr>
              <w:pStyle w:val="Normal"/>
              <w:jc w:val="both"/>
              <w:rPr/>
            </w:pPr>
            <w:r>
              <w:rPr>
                <w:rFonts w:ascii="Times New Roman" w:hAnsi="Times New Roman"/>
                <w:color w:val="000000"/>
              </w:rPr>
              <w:t>0.83</w:t>
            </w:r>
          </w:p>
        </w:tc>
        <w:tc>
          <w:tcPr>
            <w:tcW w:w="1284" w:type="dxa"/>
            <w:tcBorders>
              <w:right w:val="single" w:sz="6" w:space="0" w:color="00599D"/>
            </w:tcBorders>
            <w:vAlign w:val="bottom"/>
          </w:tcPr>
          <w:p>
            <w:pPr>
              <w:pStyle w:val="Normal"/>
              <w:jc w:val="both"/>
              <w:rPr/>
            </w:pPr>
            <w:r>
              <w:rPr>
                <w:rFonts w:ascii="Times New Roman" w:hAnsi="Times New Roman"/>
                <w:color w:val="000000"/>
              </w:rPr>
              <w:t>75</w:t>
            </w:r>
          </w:p>
        </w:tc>
      </w:tr>
      <w:tr>
        <w:trPr>
          <w:trHeight w:val="256" w:hRule="atLeast"/>
        </w:trPr>
        <w:tc>
          <w:tcPr>
            <w:tcW w:w="1619" w:type="dxa"/>
            <w:tcBorders>
              <w:left w:val="single" w:sz="6" w:space="0" w:color="00599D"/>
            </w:tcBorders>
            <w:shd w:color="auto" w:fill="DDDDDD" w:val="clear"/>
            <w:vAlign w:val="bottom"/>
          </w:tcPr>
          <w:p>
            <w:pPr>
              <w:pStyle w:val="Normal"/>
              <w:jc w:val="both"/>
              <w:rPr/>
            </w:pPr>
            <w:r>
              <w:rPr>
                <w:rFonts w:ascii="Times New Roman" w:hAnsi="Times New Roman"/>
                <w:color w:val="000000"/>
              </w:rPr>
              <w:t>15</w:t>
            </w:r>
          </w:p>
        </w:tc>
        <w:tc>
          <w:tcPr>
            <w:tcW w:w="972" w:type="dxa"/>
            <w:tcBorders/>
            <w:shd w:color="auto" w:fill="DDDDDD" w:val="clear"/>
            <w:vAlign w:val="bottom"/>
          </w:tcPr>
          <w:p>
            <w:pPr>
              <w:pStyle w:val="Normal"/>
              <w:jc w:val="both"/>
              <w:rPr/>
            </w:pPr>
            <w:r>
              <w:rPr>
                <w:rFonts w:ascii="Times New Roman" w:hAnsi="Times New Roman"/>
                <w:color w:val="000000"/>
              </w:rPr>
              <w:t>0.81</w:t>
            </w:r>
          </w:p>
        </w:tc>
        <w:tc>
          <w:tcPr>
            <w:tcW w:w="1282" w:type="dxa"/>
            <w:tcBorders/>
            <w:shd w:color="auto" w:fill="DDDDDD" w:val="clear"/>
            <w:vAlign w:val="bottom"/>
          </w:tcPr>
          <w:p>
            <w:pPr>
              <w:pStyle w:val="Normal"/>
              <w:jc w:val="both"/>
              <w:rPr/>
            </w:pPr>
            <w:r>
              <w:rPr>
                <w:rFonts w:ascii="Times New Roman" w:hAnsi="Times New Roman"/>
                <w:color w:val="000000"/>
              </w:rPr>
              <w:t>0.74</w:t>
            </w:r>
          </w:p>
        </w:tc>
        <w:tc>
          <w:tcPr>
            <w:tcW w:w="1281" w:type="dxa"/>
            <w:tcBorders/>
            <w:shd w:color="auto" w:fill="DDDDDD" w:val="clear"/>
            <w:vAlign w:val="bottom"/>
          </w:tcPr>
          <w:p>
            <w:pPr>
              <w:pStyle w:val="Normal"/>
              <w:jc w:val="both"/>
              <w:rPr/>
            </w:pPr>
            <w:r>
              <w:rPr>
                <w:rFonts w:ascii="Times New Roman" w:hAnsi="Times New Roman"/>
                <w:color w:val="000000"/>
              </w:rPr>
              <w:t>0.77</w:t>
            </w:r>
          </w:p>
        </w:tc>
        <w:tc>
          <w:tcPr>
            <w:tcW w:w="1284" w:type="dxa"/>
            <w:tcBorders>
              <w:right w:val="single" w:sz="6" w:space="0" w:color="00599D"/>
            </w:tcBorders>
            <w:shd w:color="auto" w:fill="DDDDDD" w:val="clear"/>
            <w:vAlign w:val="bottom"/>
          </w:tcPr>
          <w:p>
            <w:pPr>
              <w:pStyle w:val="Normal"/>
              <w:jc w:val="both"/>
              <w:rPr/>
            </w:pPr>
            <w:r>
              <w:rPr>
                <w:rFonts w:ascii="Times New Roman" w:hAnsi="Times New Roman"/>
                <w:color w:val="000000"/>
              </w:rPr>
              <w:t>193</w:t>
            </w:r>
          </w:p>
        </w:tc>
      </w:tr>
      <w:tr>
        <w:trPr>
          <w:trHeight w:val="256" w:hRule="atLeast"/>
        </w:trPr>
        <w:tc>
          <w:tcPr>
            <w:tcW w:w="1619" w:type="dxa"/>
            <w:tcBorders>
              <w:left w:val="single" w:sz="6" w:space="0" w:color="00599D"/>
            </w:tcBorders>
            <w:vAlign w:val="bottom"/>
          </w:tcPr>
          <w:p>
            <w:pPr>
              <w:pStyle w:val="Normal"/>
              <w:jc w:val="both"/>
              <w:rPr/>
            </w:pPr>
            <w:r>
              <w:rPr>
                <w:rFonts w:ascii="Times New Roman" w:hAnsi="Times New Roman"/>
                <w:color w:val="000000"/>
              </w:rPr>
              <w:t>20</w:t>
            </w:r>
          </w:p>
        </w:tc>
        <w:tc>
          <w:tcPr>
            <w:tcW w:w="972" w:type="dxa"/>
            <w:tcBorders/>
            <w:vAlign w:val="bottom"/>
          </w:tcPr>
          <w:p>
            <w:pPr>
              <w:pStyle w:val="Normal"/>
              <w:jc w:val="both"/>
              <w:rPr/>
            </w:pPr>
            <w:r>
              <w:rPr>
                <w:rFonts w:ascii="Times New Roman" w:hAnsi="Times New Roman"/>
                <w:color w:val="000000"/>
              </w:rPr>
              <w:t>0.78</w:t>
            </w:r>
          </w:p>
        </w:tc>
        <w:tc>
          <w:tcPr>
            <w:tcW w:w="1282" w:type="dxa"/>
            <w:tcBorders/>
            <w:vAlign w:val="bottom"/>
          </w:tcPr>
          <w:p>
            <w:pPr>
              <w:pStyle w:val="Normal"/>
              <w:jc w:val="both"/>
              <w:rPr/>
            </w:pPr>
            <w:r>
              <w:rPr>
                <w:rFonts w:ascii="Times New Roman" w:hAnsi="Times New Roman"/>
                <w:color w:val="000000"/>
              </w:rPr>
              <w:t>0.88</w:t>
            </w:r>
          </w:p>
        </w:tc>
        <w:tc>
          <w:tcPr>
            <w:tcW w:w="1281" w:type="dxa"/>
            <w:tcBorders/>
            <w:vAlign w:val="bottom"/>
          </w:tcPr>
          <w:p>
            <w:pPr>
              <w:pStyle w:val="Normal"/>
              <w:jc w:val="both"/>
              <w:rPr/>
            </w:pPr>
            <w:r>
              <w:rPr>
                <w:rFonts w:ascii="Times New Roman" w:hAnsi="Times New Roman"/>
                <w:color w:val="000000"/>
              </w:rPr>
              <w:t>0.83</w:t>
            </w:r>
          </w:p>
        </w:tc>
        <w:tc>
          <w:tcPr>
            <w:tcW w:w="1284" w:type="dxa"/>
            <w:tcBorders>
              <w:right w:val="single" w:sz="6" w:space="0" w:color="00599D"/>
            </w:tcBorders>
            <w:vAlign w:val="bottom"/>
          </w:tcPr>
          <w:p>
            <w:pPr>
              <w:pStyle w:val="Normal"/>
              <w:jc w:val="both"/>
              <w:rPr/>
            </w:pPr>
            <w:r>
              <w:rPr>
                <w:rFonts w:ascii="Times New Roman" w:hAnsi="Times New Roman"/>
                <w:color w:val="000000"/>
              </w:rPr>
              <w:t>366</w:t>
            </w:r>
          </w:p>
        </w:tc>
      </w:tr>
      <w:tr>
        <w:trPr>
          <w:trHeight w:val="256" w:hRule="atLeast"/>
        </w:trPr>
        <w:tc>
          <w:tcPr>
            <w:tcW w:w="1619" w:type="dxa"/>
            <w:tcBorders>
              <w:left w:val="single" w:sz="6" w:space="0" w:color="00599D"/>
            </w:tcBorders>
            <w:shd w:color="auto" w:fill="DDDDDD" w:val="clear"/>
            <w:vAlign w:val="bottom"/>
          </w:tcPr>
          <w:p>
            <w:pPr>
              <w:pStyle w:val="Normal"/>
              <w:jc w:val="both"/>
              <w:rPr/>
            </w:pPr>
            <w:r>
              <w:rPr>
                <w:rFonts w:ascii="Times New Roman" w:hAnsi="Times New Roman"/>
                <w:color w:val="000000"/>
              </w:rPr>
              <w:t>25</w:t>
            </w:r>
          </w:p>
        </w:tc>
        <w:tc>
          <w:tcPr>
            <w:tcW w:w="972" w:type="dxa"/>
            <w:tcBorders/>
            <w:shd w:color="auto" w:fill="DDDDDD" w:val="clear"/>
            <w:vAlign w:val="bottom"/>
          </w:tcPr>
          <w:p>
            <w:pPr>
              <w:pStyle w:val="Normal"/>
              <w:jc w:val="both"/>
              <w:rPr/>
            </w:pPr>
            <w:r>
              <w:rPr>
                <w:rFonts w:ascii="Times New Roman" w:hAnsi="Times New Roman"/>
                <w:color w:val="000000"/>
              </w:rPr>
              <w:t>0.83</w:t>
            </w:r>
          </w:p>
        </w:tc>
        <w:tc>
          <w:tcPr>
            <w:tcW w:w="1282" w:type="dxa"/>
            <w:tcBorders/>
            <w:shd w:color="auto" w:fill="DDDDDD" w:val="clear"/>
            <w:vAlign w:val="bottom"/>
          </w:tcPr>
          <w:p>
            <w:pPr>
              <w:pStyle w:val="Normal"/>
              <w:jc w:val="both"/>
              <w:rPr/>
            </w:pPr>
            <w:r>
              <w:rPr>
                <w:rFonts w:ascii="Times New Roman" w:hAnsi="Times New Roman"/>
                <w:color w:val="000000"/>
              </w:rPr>
              <w:t>0.85</w:t>
            </w:r>
          </w:p>
        </w:tc>
        <w:tc>
          <w:tcPr>
            <w:tcW w:w="1281" w:type="dxa"/>
            <w:tcBorders/>
            <w:shd w:color="auto" w:fill="DDDDDD" w:val="clear"/>
            <w:vAlign w:val="bottom"/>
          </w:tcPr>
          <w:p>
            <w:pPr>
              <w:pStyle w:val="Normal"/>
              <w:jc w:val="both"/>
              <w:rPr/>
            </w:pPr>
            <w:r>
              <w:rPr>
                <w:rFonts w:ascii="Times New Roman" w:hAnsi="Times New Roman"/>
                <w:color w:val="000000"/>
              </w:rPr>
              <w:t>0.84</w:t>
            </w:r>
          </w:p>
        </w:tc>
        <w:tc>
          <w:tcPr>
            <w:tcW w:w="1284" w:type="dxa"/>
            <w:tcBorders>
              <w:right w:val="single" w:sz="6" w:space="0" w:color="00599D"/>
            </w:tcBorders>
            <w:shd w:color="auto" w:fill="DDDDDD" w:val="clear"/>
            <w:vAlign w:val="bottom"/>
          </w:tcPr>
          <w:p>
            <w:pPr>
              <w:pStyle w:val="Normal"/>
              <w:jc w:val="both"/>
              <w:rPr/>
            </w:pPr>
            <w:r>
              <w:rPr>
                <w:rFonts w:ascii="Times New Roman" w:hAnsi="Times New Roman"/>
                <w:color w:val="000000"/>
              </w:rPr>
              <w:t>342</w:t>
            </w:r>
          </w:p>
        </w:tc>
      </w:tr>
      <w:tr>
        <w:trPr>
          <w:trHeight w:val="256" w:hRule="atLeast"/>
        </w:trPr>
        <w:tc>
          <w:tcPr>
            <w:tcW w:w="1619" w:type="dxa"/>
            <w:tcBorders>
              <w:left w:val="single" w:sz="6" w:space="0" w:color="00599D"/>
            </w:tcBorders>
            <w:vAlign w:val="bottom"/>
          </w:tcPr>
          <w:p>
            <w:pPr>
              <w:pStyle w:val="Normal"/>
              <w:jc w:val="both"/>
              <w:rPr/>
            </w:pPr>
            <w:r>
              <w:rPr>
                <w:rFonts w:ascii="Times New Roman" w:hAnsi="Times New Roman"/>
                <w:color w:val="000000"/>
              </w:rPr>
              <w:t>30</w:t>
            </w:r>
          </w:p>
        </w:tc>
        <w:tc>
          <w:tcPr>
            <w:tcW w:w="972" w:type="dxa"/>
            <w:tcBorders/>
            <w:vAlign w:val="bottom"/>
          </w:tcPr>
          <w:p>
            <w:pPr>
              <w:pStyle w:val="Normal"/>
              <w:jc w:val="both"/>
              <w:rPr/>
            </w:pPr>
            <w:r>
              <w:rPr>
                <w:rFonts w:ascii="Times New Roman" w:hAnsi="Times New Roman"/>
                <w:color w:val="000000"/>
              </w:rPr>
              <w:t>0.84</w:t>
            </w:r>
          </w:p>
        </w:tc>
        <w:tc>
          <w:tcPr>
            <w:tcW w:w="1282" w:type="dxa"/>
            <w:tcBorders/>
            <w:vAlign w:val="bottom"/>
          </w:tcPr>
          <w:p>
            <w:pPr>
              <w:pStyle w:val="Normal"/>
              <w:jc w:val="both"/>
              <w:rPr/>
            </w:pPr>
            <w:r>
              <w:rPr>
                <w:rFonts w:ascii="Times New Roman" w:hAnsi="Times New Roman"/>
                <w:color w:val="000000"/>
              </w:rPr>
              <w:t>0.71</w:t>
            </w:r>
          </w:p>
        </w:tc>
        <w:tc>
          <w:tcPr>
            <w:tcW w:w="1281" w:type="dxa"/>
            <w:tcBorders/>
            <w:vAlign w:val="bottom"/>
          </w:tcPr>
          <w:p>
            <w:pPr>
              <w:pStyle w:val="Normal"/>
              <w:jc w:val="both"/>
              <w:rPr/>
            </w:pPr>
            <w:r>
              <w:rPr>
                <w:rFonts w:ascii="Times New Roman" w:hAnsi="Times New Roman"/>
                <w:color w:val="000000"/>
              </w:rPr>
              <w:t>0.77</w:t>
            </w:r>
          </w:p>
        </w:tc>
        <w:tc>
          <w:tcPr>
            <w:tcW w:w="1284" w:type="dxa"/>
            <w:tcBorders>
              <w:right w:val="single" w:sz="6" w:space="0" w:color="00599D"/>
            </w:tcBorders>
            <w:vAlign w:val="bottom"/>
          </w:tcPr>
          <w:p>
            <w:pPr>
              <w:pStyle w:val="Normal"/>
              <w:jc w:val="both"/>
              <w:rPr/>
            </w:pPr>
            <w:r>
              <w:rPr>
                <w:rFonts w:ascii="Times New Roman" w:hAnsi="Times New Roman"/>
                <w:color w:val="000000"/>
              </w:rPr>
              <w:t>188</w:t>
            </w:r>
          </w:p>
        </w:tc>
      </w:tr>
      <w:tr>
        <w:trPr>
          <w:trHeight w:val="256" w:hRule="atLeast"/>
        </w:trPr>
        <w:tc>
          <w:tcPr>
            <w:tcW w:w="1619" w:type="dxa"/>
            <w:tcBorders>
              <w:left w:val="single" w:sz="6" w:space="0" w:color="00599D"/>
            </w:tcBorders>
            <w:shd w:color="auto" w:fill="DDDDDD" w:val="clear"/>
            <w:vAlign w:val="bottom"/>
          </w:tcPr>
          <w:p>
            <w:pPr>
              <w:pStyle w:val="Normal"/>
              <w:jc w:val="both"/>
              <w:rPr>
                <w:rFonts w:ascii="Times New Roman" w:hAnsi="Times New Roman"/>
                <w:color w:val="000000"/>
              </w:rPr>
            </w:pPr>
            <w:r>
              <w:rPr>
                <w:rFonts w:ascii="Times New Roman" w:hAnsi="Times New Roman"/>
                <w:color w:val="000000"/>
              </w:rPr>
            </w:r>
          </w:p>
        </w:tc>
        <w:tc>
          <w:tcPr>
            <w:tcW w:w="972" w:type="dxa"/>
            <w:tcBorders/>
            <w:shd w:color="auto" w:fill="DDDDDD" w:val="clear"/>
            <w:vAlign w:val="bottom"/>
          </w:tcPr>
          <w:p>
            <w:pPr>
              <w:pStyle w:val="Normal"/>
              <w:jc w:val="both"/>
              <w:rPr>
                <w:rFonts w:ascii="Times New Roman" w:hAnsi="Times New Roman"/>
                <w:color w:val="000000"/>
              </w:rPr>
            </w:pPr>
            <w:r>
              <w:rPr>
                <w:rFonts w:ascii="Times New Roman" w:hAnsi="Times New Roman"/>
                <w:color w:val="000000"/>
              </w:rPr>
            </w:r>
          </w:p>
        </w:tc>
        <w:tc>
          <w:tcPr>
            <w:tcW w:w="1282" w:type="dxa"/>
            <w:tcBorders/>
            <w:shd w:color="auto" w:fill="DDDDDD" w:val="clear"/>
            <w:vAlign w:val="bottom"/>
          </w:tcPr>
          <w:p>
            <w:pPr>
              <w:pStyle w:val="Normal"/>
              <w:jc w:val="both"/>
              <w:rPr>
                <w:rFonts w:ascii="Times New Roman" w:hAnsi="Times New Roman"/>
                <w:color w:val="000000"/>
              </w:rPr>
            </w:pPr>
            <w:r>
              <w:rPr>
                <w:rFonts w:ascii="Times New Roman" w:hAnsi="Times New Roman"/>
                <w:color w:val="000000"/>
              </w:rPr>
            </w:r>
          </w:p>
        </w:tc>
        <w:tc>
          <w:tcPr>
            <w:tcW w:w="1281" w:type="dxa"/>
            <w:tcBorders/>
            <w:shd w:color="auto" w:fill="DDDDDD" w:val="clear"/>
            <w:vAlign w:val="bottom"/>
          </w:tcPr>
          <w:p>
            <w:pPr>
              <w:pStyle w:val="Normal"/>
              <w:jc w:val="both"/>
              <w:rPr>
                <w:rFonts w:ascii="Times New Roman" w:hAnsi="Times New Roman"/>
                <w:color w:val="000000"/>
              </w:rPr>
            </w:pPr>
            <w:r>
              <w:rPr>
                <w:rFonts w:ascii="Times New Roman" w:hAnsi="Times New Roman"/>
                <w:color w:val="000000"/>
              </w:rPr>
            </w:r>
          </w:p>
        </w:tc>
        <w:tc>
          <w:tcPr>
            <w:tcW w:w="1284" w:type="dxa"/>
            <w:tcBorders>
              <w:right w:val="single" w:sz="6" w:space="0" w:color="00599D"/>
            </w:tcBorders>
            <w:shd w:color="auto" w:fill="DDDDDD" w:val="clear"/>
            <w:vAlign w:val="bottom"/>
          </w:tcPr>
          <w:p>
            <w:pPr>
              <w:pStyle w:val="Normal"/>
              <w:jc w:val="both"/>
              <w:rPr>
                <w:rFonts w:ascii="Times New Roman" w:hAnsi="Times New Roman"/>
                <w:color w:val="000000"/>
              </w:rPr>
            </w:pPr>
            <w:r>
              <w:rPr>
                <w:rFonts w:ascii="Times New Roman" w:hAnsi="Times New Roman"/>
                <w:color w:val="000000"/>
              </w:rPr>
            </w:r>
          </w:p>
        </w:tc>
      </w:tr>
      <w:tr>
        <w:trPr>
          <w:trHeight w:val="256" w:hRule="atLeast"/>
        </w:trPr>
        <w:tc>
          <w:tcPr>
            <w:tcW w:w="1619" w:type="dxa"/>
            <w:tcBorders>
              <w:left w:val="single" w:sz="6" w:space="0" w:color="00599D"/>
            </w:tcBorders>
            <w:vAlign w:val="bottom"/>
          </w:tcPr>
          <w:p>
            <w:pPr>
              <w:pStyle w:val="Normal"/>
              <w:jc w:val="both"/>
              <w:rPr/>
            </w:pPr>
            <w:r>
              <w:rPr>
                <w:rFonts w:ascii="Times New Roman" w:hAnsi="Times New Roman"/>
                <w:color w:val="000000"/>
              </w:rPr>
              <w:t>Accuracy</w:t>
            </w:r>
          </w:p>
        </w:tc>
        <w:tc>
          <w:tcPr>
            <w:tcW w:w="972" w:type="dxa"/>
            <w:tcBorders/>
            <w:vAlign w:val="bottom"/>
          </w:tcPr>
          <w:p>
            <w:pPr>
              <w:pStyle w:val="Normal"/>
              <w:jc w:val="both"/>
              <w:rPr>
                <w:rFonts w:ascii="Times New Roman" w:hAnsi="Times New Roman"/>
                <w:color w:val="000000"/>
              </w:rPr>
            </w:pPr>
            <w:r>
              <w:rPr>
                <w:rFonts w:ascii="Times New Roman" w:hAnsi="Times New Roman"/>
                <w:color w:val="000000"/>
              </w:rPr>
            </w:r>
          </w:p>
        </w:tc>
        <w:tc>
          <w:tcPr>
            <w:tcW w:w="1282" w:type="dxa"/>
            <w:tcBorders/>
            <w:vAlign w:val="bottom"/>
          </w:tcPr>
          <w:p>
            <w:pPr>
              <w:pStyle w:val="Normal"/>
              <w:jc w:val="both"/>
              <w:rPr>
                <w:rFonts w:ascii="Times New Roman" w:hAnsi="Times New Roman"/>
                <w:color w:val="000000"/>
              </w:rPr>
            </w:pPr>
            <w:r>
              <w:rPr>
                <w:rFonts w:ascii="Times New Roman" w:hAnsi="Times New Roman"/>
                <w:color w:val="000000"/>
              </w:rPr>
            </w:r>
          </w:p>
        </w:tc>
        <w:tc>
          <w:tcPr>
            <w:tcW w:w="1281" w:type="dxa"/>
            <w:tcBorders/>
            <w:vAlign w:val="bottom"/>
          </w:tcPr>
          <w:p>
            <w:pPr>
              <w:pStyle w:val="Normal"/>
              <w:jc w:val="both"/>
              <w:rPr/>
            </w:pPr>
            <w:r>
              <w:rPr>
                <w:rFonts w:ascii="Times New Roman" w:hAnsi="Times New Roman"/>
                <w:color w:val="000000"/>
              </w:rPr>
              <w:t>0.81</w:t>
            </w:r>
          </w:p>
        </w:tc>
        <w:tc>
          <w:tcPr>
            <w:tcW w:w="1284" w:type="dxa"/>
            <w:tcBorders>
              <w:right w:val="single" w:sz="6" w:space="0" w:color="00599D"/>
            </w:tcBorders>
            <w:vAlign w:val="bottom"/>
          </w:tcPr>
          <w:p>
            <w:pPr>
              <w:pStyle w:val="Normal"/>
              <w:jc w:val="both"/>
              <w:rPr/>
            </w:pPr>
            <w:r>
              <w:rPr>
                <w:rFonts w:ascii="Times New Roman" w:hAnsi="Times New Roman"/>
                <w:color w:val="000000"/>
              </w:rPr>
              <w:t>1164</w:t>
            </w:r>
          </w:p>
        </w:tc>
      </w:tr>
      <w:tr>
        <w:trPr>
          <w:trHeight w:val="256" w:hRule="atLeast"/>
        </w:trPr>
        <w:tc>
          <w:tcPr>
            <w:tcW w:w="1619" w:type="dxa"/>
            <w:tcBorders>
              <w:left w:val="single" w:sz="6" w:space="0" w:color="00599D"/>
            </w:tcBorders>
            <w:shd w:color="auto" w:fill="DDDDDD" w:val="clear"/>
            <w:vAlign w:val="bottom"/>
          </w:tcPr>
          <w:p>
            <w:pPr>
              <w:pStyle w:val="Normal"/>
              <w:jc w:val="both"/>
              <w:rPr/>
            </w:pPr>
            <w:r>
              <w:rPr>
                <w:rFonts w:ascii="Times New Roman" w:hAnsi="Times New Roman"/>
                <w:color w:val="000000"/>
              </w:rPr>
              <w:t>Macro Avg</w:t>
            </w:r>
          </w:p>
        </w:tc>
        <w:tc>
          <w:tcPr>
            <w:tcW w:w="972" w:type="dxa"/>
            <w:tcBorders/>
            <w:shd w:color="auto" w:fill="DDDDDD" w:val="clear"/>
            <w:vAlign w:val="bottom"/>
          </w:tcPr>
          <w:p>
            <w:pPr>
              <w:pStyle w:val="Normal"/>
              <w:jc w:val="both"/>
              <w:rPr/>
            </w:pPr>
            <w:r>
              <w:rPr>
                <w:rFonts w:ascii="Times New Roman" w:hAnsi="Times New Roman"/>
                <w:color w:val="000000"/>
              </w:rPr>
              <w:t>0.82</w:t>
            </w:r>
          </w:p>
        </w:tc>
        <w:tc>
          <w:tcPr>
            <w:tcW w:w="1282" w:type="dxa"/>
            <w:tcBorders/>
            <w:shd w:color="auto" w:fill="DDDDDD" w:val="clear"/>
            <w:vAlign w:val="bottom"/>
          </w:tcPr>
          <w:p>
            <w:pPr>
              <w:pStyle w:val="Normal"/>
              <w:jc w:val="both"/>
              <w:rPr/>
            </w:pPr>
            <w:r>
              <w:rPr>
                <w:rFonts w:ascii="Times New Roman" w:hAnsi="Times New Roman"/>
                <w:color w:val="000000"/>
              </w:rPr>
              <w:t>0.79</w:t>
            </w:r>
          </w:p>
        </w:tc>
        <w:tc>
          <w:tcPr>
            <w:tcW w:w="1281" w:type="dxa"/>
            <w:tcBorders/>
            <w:shd w:color="auto" w:fill="DDDDDD" w:val="clear"/>
            <w:vAlign w:val="bottom"/>
          </w:tcPr>
          <w:p>
            <w:pPr>
              <w:pStyle w:val="Normal"/>
              <w:jc w:val="both"/>
              <w:rPr/>
            </w:pPr>
            <w:r>
              <w:rPr>
                <w:rFonts w:ascii="Times New Roman" w:hAnsi="Times New Roman"/>
                <w:color w:val="000000"/>
              </w:rPr>
              <w:t>0.81</w:t>
            </w:r>
          </w:p>
        </w:tc>
        <w:tc>
          <w:tcPr>
            <w:tcW w:w="1284" w:type="dxa"/>
            <w:tcBorders>
              <w:right w:val="single" w:sz="6" w:space="0" w:color="00599D"/>
            </w:tcBorders>
            <w:shd w:color="auto" w:fill="DDDDDD" w:val="clear"/>
            <w:vAlign w:val="bottom"/>
          </w:tcPr>
          <w:p>
            <w:pPr>
              <w:pStyle w:val="Normal"/>
              <w:jc w:val="both"/>
              <w:rPr/>
            </w:pPr>
            <w:r>
              <w:rPr>
                <w:rFonts w:ascii="Times New Roman" w:hAnsi="Times New Roman"/>
                <w:color w:val="000000"/>
              </w:rPr>
              <w:t>1164</w:t>
            </w:r>
          </w:p>
        </w:tc>
      </w:tr>
      <w:tr>
        <w:trPr>
          <w:trHeight w:val="256" w:hRule="atLeast"/>
        </w:trPr>
        <w:tc>
          <w:tcPr>
            <w:tcW w:w="1619" w:type="dxa"/>
            <w:tcBorders>
              <w:top w:val="single" w:sz="6" w:space="0" w:color="00599D"/>
              <w:left w:val="single" w:sz="6" w:space="0" w:color="00599D"/>
              <w:bottom w:val="single" w:sz="6" w:space="0" w:color="00599D"/>
            </w:tcBorders>
            <w:shd w:color="auto" w:fill="ADC5E7" w:val="clear"/>
            <w:vAlign w:val="bottom"/>
          </w:tcPr>
          <w:p>
            <w:pPr>
              <w:pStyle w:val="Normal"/>
              <w:jc w:val="both"/>
              <w:rPr/>
            </w:pPr>
            <w:r>
              <w:rPr>
                <w:rFonts w:ascii="Times New Roman" w:hAnsi="Times New Roman"/>
                <w:b/>
                <w:bCs/>
                <w:color w:val="000000"/>
              </w:rPr>
              <w:t>Weighted Avg</w:t>
            </w:r>
          </w:p>
        </w:tc>
        <w:tc>
          <w:tcPr>
            <w:tcW w:w="972" w:type="dxa"/>
            <w:tcBorders>
              <w:top w:val="single" w:sz="6" w:space="0" w:color="00599D"/>
              <w:bottom w:val="single" w:sz="6" w:space="0" w:color="00599D"/>
            </w:tcBorders>
            <w:shd w:color="auto" w:fill="ADC5E7" w:val="clear"/>
            <w:vAlign w:val="bottom"/>
          </w:tcPr>
          <w:p>
            <w:pPr>
              <w:pStyle w:val="Normal"/>
              <w:jc w:val="both"/>
              <w:rPr/>
            </w:pPr>
            <w:r>
              <w:rPr>
                <w:rFonts w:ascii="Times New Roman" w:hAnsi="Times New Roman"/>
                <w:b/>
                <w:bCs/>
                <w:color w:val="000000"/>
              </w:rPr>
              <w:t>0.81</w:t>
            </w:r>
          </w:p>
        </w:tc>
        <w:tc>
          <w:tcPr>
            <w:tcW w:w="1282" w:type="dxa"/>
            <w:tcBorders>
              <w:top w:val="single" w:sz="6" w:space="0" w:color="00599D"/>
              <w:bottom w:val="single" w:sz="6" w:space="0" w:color="00599D"/>
            </w:tcBorders>
            <w:shd w:color="auto" w:fill="ADC5E7" w:val="clear"/>
            <w:vAlign w:val="bottom"/>
          </w:tcPr>
          <w:p>
            <w:pPr>
              <w:pStyle w:val="Normal"/>
              <w:jc w:val="both"/>
              <w:rPr/>
            </w:pPr>
            <w:r>
              <w:rPr>
                <w:rFonts w:ascii="Times New Roman" w:hAnsi="Times New Roman"/>
                <w:b/>
                <w:bCs/>
                <w:color w:val="000000"/>
              </w:rPr>
              <w:t>0.81</w:t>
            </w:r>
          </w:p>
        </w:tc>
        <w:tc>
          <w:tcPr>
            <w:tcW w:w="1281" w:type="dxa"/>
            <w:tcBorders>
              <w:top w:val="single" w:sz="6" w:space="0" w:color="00599D"/>
              <w:bottom w:val="single" w:sz="6" w:space="0" w:color="00599D"/>
            </w:tcBorders>
            <w:shd w:color="auto" w:fill="ADC5E7" w:val="clear"/>
            <w:vAlign w:val="bottom"/>
          </w:tcPr>
          <w:p>
            <w:pPr>
              <w:pStyle w:val="Normal"/>
              <w:jc w:val="both"/>
              <w:rPr/>
            </w:pPr>
            <w:r>
              <w:rPr>
                <w:rFonts w:ascii="Times New Roman" w:hAnsi="Times New Roman"/>
                <w:b/>
                <w:bCs/>
                <w:color w:val="000000"/>
              </w:rPr>
              <w:t>0.81</w:t>
            </w:r>
          </w:p>
        </w:tc>
        <w:tc>
          <w:tcPr>
            <w:tcW w:w="1284" w:type="dxa"/>
            <w:tcBorders>
              <w:top w:val="single" w:sz="6" w:space="0" w:color="00599D"/>
              <w:bottom w:val="single" w:sz="6" w:space="0" w:color="00599D"/>
              <w:right w:val="single" w:sz="6" w:space="0" w:color="00599D"/>
            </w:tcBorders>
            <w:shd w:color="auto" w:fill="ADC5E7" w:val="clear"/>
            <w:vAlign w:val="bottom"/>
          </w:tcPr>
          <w:p>
            <w:pPr>
              <w:pStyle w:val="Normal"/>
              <w:jc w:val="both"/>
              <w:rPr/>
            </w:pPr>
            <w:r>
              <w:rPr>
                <w:rFonts w:ascii="Times New Roman" w:hAnsi="Times New Roman"/>
                <w:b/>
                <w:bCs/>
                <w:color w:val="000000"/>
              </w:rPr>
              <w:t>1164</w:t>
            </w:r>
          </w:p>
        </w:tc>
      </w:tr>
    </w:tbl>
    <w:p>
      <w:pPr>
        <w:pStyle w:val="Normal"/>
        <w:jc w:val="both"/>
        <w:rPr>
          <w:rFonts w:ascii="Times New Roman" w:hAnsi="Times New Roman"/>
        </w:rPr>
      </w:pPr>
      <w:r>
        <w:rPr>
          <w:rFonts w:ascii="Times New Roman" w:hAnsi="Times New Roman"/>
        </w:rPr>
      </w:r>
    </w:p>
    <w:p>
      <w:pPr>
        <w:pStyle w:val="Normal"/>
        <w:jc w:val="center"/>
        <w:rPr/>
      </w:pPr>
      <w:r>
        <w:rPr>
          <w:rFonts w:ascii="Times New Roman" w:hAnsi="Times New Roman"/>
        </w:rPr>
        <w:t xml:space="preserve">Table </w:t>
      </w:r>
      <w:r>
        <w:rPr>
          <w:rFonts w:ascii="Times New Roman" w:hAnsi="Times New Roman"/>
        </w:rPr>
        <w:t>5</w:t>
      </w:r>
      <w:r>
        <w:rPr>
          <w:rFonts w:ascii="Times New Roman" w:hAnsi="Times New Roman"/>
        </w:rPr>
        <w:t>. Model Performance</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t xml:space="preserve">A Confusion Matrix </w:t>
      </w:r>
      <w:r>
        <w:rPr>
          <w:rFonts w:ascii="Times New Roman" w:hAnsi="Times New Roman"/>
        </w:rPr>
        <w:t xml:space="preserve">( Figure 5) </w:t>
      </w:r>
      <w:r>
        <w:rPr>
          <w:rFonts w:ascii="Times New Roman" w:hAnsi="Times New Roman"/>
        </w:rPr>
        <w:t>is generated and plotted, providing a visual breakdown of where the model is making correct versus incorrect predictions (e.g., predicting class "10" when the true class was "15").</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drawing>
          <wp:anchor distT="0" distB="0" distL="0" distR="0" simplePos="0" relativeHeight="8" behindDoc="0" locked="0" layoutInCell="0" allowOverlap="1">
            <wp:simplePos x="0" y="0"/>
            <wp:positionH relativeFrom="column">
              <wp:align>center</wp:align>
            </wp:positionH>
            <wp:positionV relativeFrom="paragraph">
              <wp:posOffset>54610</wp:posOffset>
            </wp:positionV>
            <wp:extent cx="2038985" cy="186563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7"/>
                    <a:stretch>
                      <a:fillRect/>
                    </a:stretch>
                  </pic:blipFill>
                  <pic:spPr bwMode="auto">
                    <a:xfrm>
                      <a:off x="0" y="0"/>
                      <a:ext cx="2038985" cy="1865630"/>
                    </a:xfrm>
                    <a:prstGeom prst="rect">
                      <a:avLst/>
                    </a:prstGeom>
                    <a:noFill/>
                  </pic:spPr>
                </pic:pic>
              </a:graphicData>
            </a:graphic>
          </wp:anchor>
        </w:drawing>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center"/>
        <w:rPr/>
      </w:pPr>
      <w:r>
        <w:rPr>
          <w:rFonts w:ascii="Times New Roman" w:hAnsi="Times New Roman"/>
        </w:rPr>
        <w:t xml:space="preserve">Figure </w:t>
      </w:r>
      <w:r>
        <w:rPr>
          <w:rFonts w:ascii="Times New Roman" w:hAnsi="Times New Roman"/>
        </w:rPr>
        <w:t>5</w:t>
      </w:r>
      <w:r>
        <w:rPr>
          <w:rFonts w:ascii="Times New Roman" w:hAnsi="Times New Roman"/>
        </w:rPr>
        <w:t>. Confusion Matrix</w:t>
      </w:r>
    </w:p>
    <w:p>
      <w:pPr>
        <w:pStyle w:val="Normal"/>
        <w:jc w:val="both"/>
        <w:rPr>
          <w:rFonts w:ascii="Times New Roman" w:hAnsi="Times New Roman"/>
        </w:rPr>
      </w:pPr>
      <w:r>
        <w:rPr>
          <w:rFonts w:ascii="Times New Roman" w:hAnsi="Times New Roman"/>
        </w:rPr>
      </w:r>
    </w:p>
    <w:p>
      <w:pPr>
        <w:pStyle w:val="Normal"/>
        <w:jc w:val="both"/>
        <w:rPr/>
      </w:pPr>
      <w:r>
        <w:rPr>
          <w:rFonts w:ascii="Times New Roman" w:hAnsi="Times New Roman"/>
        </w:rPr>
        <w:t xml:space="preserve">The final output </w:t>
      </w:r>
      <w:r>
        <w:rPr>
          <w:rFonts w:ascii="Times New Roman" w:hAnsi="Times New Roman"/>
        </w:rPr>
        <w:t>(Figure 6)</w:t>
      </w:r>
      <w:r>
        <w:rPr>
          <w:rFonts w:ascii="Times New Roman" w:hAnsi="Times New Roman"/>
        </w:rPr>
        <w:t xml:space="preserve"> is an image class prediction which can be used for deployment or further analysis by </w:t>
      </w:r>
      <w:r>
        <w:rPr/>
        <w:t xml:space="preserve">visually comparing the model's prediction with the true label on sampled images. </w:t>
      </w:r>
    </w:p>
    <w:p>
      <w:pPr>
        <w:pStyle w:val="Normal"/>
        <w:jc w:val="both"/>
        <w:rPr/>
      </w:pPr>
      <w:r>
        <w:rPr/>
      </w:r>
    </w:p>
    <w:p>
      <w:pPr>
        <w:pStyle w:val="Normal"/>
        <w:jc w:val="both"/>
        <w:rPr>
          <w:rFonts w:ascii="Times New Roman" w:hAnsi="Times New Roman"/>
          <w:color w:val="333333"/>
          <w:lang w:val="en-IN"/>
        </w:rPr>
      </w:pPr>
      <w:r>
        <w:rPr>
          <w:rFonts w:ascii="Times New Roman" w:hAnsi="Times New Roman"/>
          <w:color w:val="333333"/>
          <w:lang w:val="en-IN"/>
        </w:rPr>
        <w:drawing>
          <wp:anchor distT="0" distB="0" distL="0" distR="0" simplePos="0" relativeHeight="4" behindDoc="0" locked="0" layoutInCell="0" allowOverlap="1">
            <wp:simplePos x="0" y="0"/>
            <wp:positionH relativeFrom="column">
              <wp:posOffset>949960</wp:posOffset>
            </wp:positionH>
            <wp:positionV relativeFrom="paragraph">
              <wp:posOffset>55880</wp:posOffset>
            </wp:positionV>
            <wp:extent cx="1452245" cy="153416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1452245" cy="153416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3274060</wp:posOffset>
            </wp:positionH>
            <wp:positionV relativeFrom="paragraph">
              <wp:posOffset>50800</wp:posOffset>
            </wp:positionV>
            <wp:extent cx="1456690" cy="153924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9"/>
                    <a:stretch>
                      <a:fillRect/>
                    </a:stretch>
                  </pic:blipFill>
                  <pic:spPr bwMode="auto">
                    <a:xfrm>
                      <a:off x="0" y="0"/>
                      <a:ext cx="1456690" cy="1539240"/>
                    </a:xfrm>
                    <a:prstGeom prst="rect">
                      <a:avLst/>
                    </a:prstGeom>
                    <a:noFill/>
                  </pic:spPr>
                </pic:pic>
              </a:graphicData>
            </a:graphic>
          </wp:anchor>
        </w:drawing>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drawing>
          <wp:anchor distT="0" distB="0" distL="0" distR="0" simplePos="0" relativeHeight="6" behindDoc="0" locked="0" layoutInCell="0" allowOverlap="1">
            <wp:simplePos x="0" y="0"/>
            <wp:positionH relativeFrom="column">
              <wp:posOffset>906780</wp:posOffset>
            </wp:positionH>
            <wp:positionV relativeFrom="paragraph">
              <wp:posOffset>52070</wp:posOffset>
            </wp:positionV>
            <wp:extent cx="1440180" cy="1521460"/>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0"/>
                    <a:stretch>
                      <a:fillRect/>
                    </a:stretch>
                  </pic:blipFill>
                  <pic:spPr bwMode="auto">
                    <a:xfrm>
                      <a:off x="0" y="0"/>
                      <a:ext cx="1440180" cy="1521460"/>
                    </a:xfrm>
                    <a:prstGeom prst="rect">
                      <a:avLst/>
                    </a:prstGeom>
                    <a:noFill/>
                  </pic:spPr>
                </pic:pic>
              </a:graphicData>
            </a:graphic>
          </wp:anchor>
        </w:drawing>
        <w:drawing>
          <wp:anchor distT="0" distB="0" distL="0" distR="0" simplePos="0" relativeHeight="7" behindDoc="0" locked="0" layoutInCell="0" allowOverlap="1">
            <wp:simplePos x="0" y="0"/>
            <wp:positionH relativeFrom="column">
              <wp:posOffset>3306445</wp:posOffset>
            </wp:positionH>
            <wp:positionV relativeFrom="paragraph">
              <wp:posOffset>116840</wp:posOffset>
            </wp:positionV>
            <wp:extent cx="1319530" cy="139446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1"/>
                    <a:stretch>
                      <a:fillRect/>
                    </a:stretch>
                  </pic:blipFill>
                  <pic:spPr bwMode="auto">
                    <a:xfrm>
                      <a:off x="0" y="0"/>
                      <a:ext cx="1319530" cy="1394460"/>
                    </a:xfrm>
                    <a:prstGeom prst="rect">
                      <a:avLst/>
                    </a:prstGeom>
                    <a:noFill/>
                  </pic:spPr>
                </pic:pic>
              </a:graphicData>
            </a:graphic>
          </wp:anchor>
        </w:drawing>
      </w:r>
    </w:p>
    <w:p>
      <w:pPr>
        <w:pStyle w:val="Normal"/>
        <w:jc w:val="both"/>
        <w:rPr>
          <w:rFonts w:ascii="Times New Roman" w:hAnsi="Times New Roman"/>
          <w:color w:val="333333"/>
          <w:lang w:val="en-IN"/>
        </w:rPr>
      </w:pPr>
      <w:r>
        <w:rPr>
          <w:rFonts w:ascii="Times New Roman" w:hAnsi="Times New Roman"/>
          <w:color w:val="333333"/>
          <w:lang w:val="en-IN"/>
        </w:rPr>
      </w:r>
    </w:p>
    <w:p>
      <w:pPr>
        <w:pStyle w:val="Heading2"/>
        <w:jc w:val="both"/>
        <w:rPr/>
      </w:pPr>
      <w:r>
        <w:rPr>
          <w:rFonts w:ascii="Google Sans Text;sans-serif" w:hAnsi="Google Sans Text;sans-serif"/>
          <w:color w:val="333333"/>
          <w:lang w:val="en-IN"/>
        </w:rPr>
        <w:t xml:space="preserve">                                      </w:t>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both"/>
        <w:rPr>
          <w:rFonts w:ascii="Times New Roman" w:hAnsi="Times New Roman"/>
          <w:color w:val="333333"/>
          <w:lang w:val="en-IN"/>
        </w:rPr>
      </w:pPr>
      <w:r>
        <w:rPr>
          <w:rFonts w:ascii="Times New Roman" w:hAnsi="Times New Roman"/>
          <w:color w:val="333333"/>
          <w:lang w:val="en-IN"/>
        </w:rPr>
      </w:r>
    </w:p>
    <w:p>
      <w:pPr>
        <w:pStyle w:val="Normal"/>
        <w:jc w:val="center"/>
        <w:rPr/>
      </w:pPr>
      <w:r>
        <w:rPr/>
        <w:t xml:space="preserve">Figure </w:t>
      </w:r>
      <w:r>
        <w:rPr/>
        <w:t>6</w:t>
      </w:r>
      <w:r>
        <w:rPr/>
        <w:t>. Final Prediction of yield class</w:t>
      </w:r>
    </w:p>
    <w:p>
      <w:pPr>
        <w:pStyle w:val="Normal"/>
        <w:jc w:val="left"/>
        <w:rPr>
          <w:b/>
          <w:bCs/>
        </w:rPr>
      </w:pPr>
      <w:r>
        <w:rPr>
          <w:rFonts w:ascii="Times New Roman" w:hAnsi="Times New Roman"/>
          <w:b/>
          <w:bCs/>
        </w:rPr>
        <w:t>Results and Discussion</w:t>
      </w:r>
    </w:p>
    <w:p>
      <w:pPr>
        <w:pStyle w:val="Normal"/>
        <w:jc w:val="both"/>
        <w:rPr/>
      </w:pPr>
      <w:r>
        <w:rPr>
          <w:rFonts w:ascii="Times New Roman" w:hAnsi="Times New Roman"/>
        </w:rPr>
        <w:t xml:space="preserve">The model shows an accuracy of 81% and a balanced overall performance with an F1-Score of 0.81. While the performance is strong, there's room for improvement, particularly in identifying true positives for the minority classes (above 25 quintals per hectare). </w:t>
      </w:r>
      <w:r>
        <w:rPr>
          <w:rFonts w:ascii="Times New Roman" w:hAnsi="Times New Roman"/>
          <w:color w:val="1B1C1D"/>
          <w:lang w:val="en-IN"/>
        </w:rPr>
        <w:t xml:space="preserve">Based on the classification report , here is a detailed analysis and rating of the wheat image classification model. The total number of samples is 1164. Classes '20' and ‘25’ have 366 and 342 samples (about 31% and 29% of the data). Classes '10' (75 samples)  </w:t>
      </w:r>
      <w:r>
        <w:rPr>
          <w:rFonts w:ascii="Times New Roman" w:hAnsi="Times New Roman"/>
          <w:color w:val="1B1C1D"/>
          <w:lang w:val="en-IN"/>
        </w:rPr>
        <w:t xml:space="preserve">is </w:t>
      </w:r>
      <w:r>
        <w:rPr>
          <w:rFonts w:ascii="Times New Roman" w:hAnsi="Times New Roman"/>
          <w:color w:val="1B1C1D"/>
          <w:lang w:val="en-IN"/>
        </w:rPr>
        <w:t>under-represented. When a dataset is imbalanced, metrics like high Accuracy (here, 0.81) can be misleading, as the model might be predicting false alarm. So a balanced dataset would be the ideal requirement.</w:t>
      </w:r>
    </w:p>
    <w:p>
      <w:pPr>
        <w:pStyle w:val="BodyText"/>
        <w:tabs>
          <w:tab w:val="clear" w:pos="709"/>
          <w:tab w:val="left" w:pos="0" w:leader="none"/>
        </w:tabs>
        <w:spacing w:lineRule="auto" w:line="240"/>
        <w:ind w:hanging="0" w:left="0"/>
        <w:jc w:val="both"/>
        <w:rPr>
          <w:b/>
          <w:bCs/>
        </w:rPr>
      </w:pPr>
      <w:r>
        <w:rPr>
          <w:rFonts w:ascii="Times New Roman" w:hAnsi="Times New Roman"/>
          <w:b/>
          <w:bCs/>
          <w:color w:val="1B1C1D"/>
          <w:lang w:val="en-IN"/>
        </w:rPr>
        <w:t>Concluding Remarks</w:t>
      </w:r>
    </w:p>
    <w:p>
      <w:pPr>
        <w:pStyle w:val="BodyText"/>
        <w:tabs>
          <w:tab w:val="clear" w:pos="709"/>
          <w:tab w:val="left" w:pos="0" w:leader="none"/>
        </w:tabs>
        <w:spacing w:lineRule="auto" w:line="240"/>
        <w:ind w:hanging="0" w:left="0"/>
        <w:jc w:val="both"/>
        <w:rPr>
          <w:rFonts w:ascii="Times New Roman" w:hAnsi="Times New Roman"/>
          <w:color w:val="1B1C1D"/>
          <w:lang w:val="en-IN"/>
        </w:rPr>
      </w:pPr>
      <w:r>
        <w:rPr>
          <w:rFonts w:ascii="Times New Roman" w:hAnsi="Times New Roman"/>
          <w:color w:val="1B1C1D"/>
          <w:lang w:val="en-IN"/>
        </w:rPr>
        <w:t>Starting with the IFPRI project experiment at BKC WeatherSys Pvt. Ltd. in 2017 a full stack CNN model in the form of metGIS-Agro at the backend serving the smart phone front end using FasalSalah mobile App has been in operation all along providing an operational framework to upgrade it with data driven Vision Transformer model.</w:t>
      </w:r>
    </w:p>
    <w:p>
      <w:pPr>
        <w:pStyle w:val="Normal"/>
        <w:jc w:val="left"/>
        <w:rPr>
          <w:b/>
          <w:bCs/>
        </w:rPr>
      </w:pPr>
      <w:r>
        <w:rPr>
          <w:rFonts w:cs="Times New Roman" w:ascii="Times New Roman" w:hAnsi="Times New Roman"/>
          <w:b/>
          <w:bCs/>
        </w:rPr>
        <w:t>References</w:t>
      </w:r>
    </w:p>
    <w:p>
      <w:pPr>
        <w:pStyle w:val="Normal"/>
        <w:jc w:val="both"/>
        <w:rPr/>
      </w:pPr>
      <w:r>
        <w:rPr>
          <w:rStyle w:val="Hyperlink"/>
          <w:rFonts w:cs="Times New Roman" w:ascii="Times New Roman" w:hAnsi="Times New Roman"/>
          <w:color w:val="000000"/>
          <w:u w:val="none"/>
        </w:rPr>
        <w:t xml:space="preserve">1. </w:t>
      </w:r>
      <w:r>
        <w:rPr>
          <w:rStyle w:val="Hyperlink"/>
          <w:rFonts w:cs="Times New Roman" w:ascii="Times New Roman" w:hAnsi="Times New Roman"/>
          <w:bCs/>
          <w:iCs/>
          <w:color w:val="0A0A0A"/>
          <w:u w:val="none"/>
        </w:rPr>
        <w:t>Singh, B. K., Chakraborty, Dulal, Kalra, Naveen, and Singh, Jaya (2018), A Tool for Climate Smart Crop Insurance: Combining Farmers’ Pictures with Dynamic Crop Modelling for Accurate Yield Estimation Prior to Harvest</w:t>
      </w:r>
      <w:r>
        <w:rPr>
          <w:rStyle w:val="Hyperlink"/>
          <w:rFonts w:cs="Times New Roman" w:ascii="Times New Roman" w:hAnsi="Times New Roman"/>
          <w:color w:val="000000"/>
          <w:u w:val="none"/>
        </w:rPr>
        <w:t xml:space="preserve"> </w:t>
      </w:r>
      <w:hyperlink r:id="rId12">
        <w:r>
          <w:rPr>
            <w:rStyle w:val="Hyperlink"/>
            <w:rFonts w:cs="Times New Roman" w:ascii="Times New Roman" w:hAnsi="Times New Roman"/>
            <w:color w:val="000000"/>
            <w:u w:val="none"/>
          </w:rPr>
          <w:t>https://cgspace.cgiar.org/items/d5be41df-750d-4325-8300-f77da3249f70</w:t>
        </w:r>
      </w:hyperlink>
    </w:p>
    <w:p>
      <w:pPr>
        <w:pStyle w:val="Normal"/>
        <w:jc w:val="both"/>
        <w:rPr/>
      </w:pPr>
      <w:r>
        <w:rPr>
          <w:rFonts w:cs="Times New Roman" w:ascii="Times New Roman" w:hAnsi="Times New Roman"/>
          <w:color w:val="000000"/>
          <w:shd w:fill="FFFFFF" w:val="clear"/>
        </w:rPr>
        <w:t xml:space="preserve">2. </w:t>
      </w:r>
      <w:r>
        <w:rPr>
          <w:rStyle w:val="Hyperlink"/>
          <w:rFonts w:cs="Times New Roman" w:ascii="Times New Roman" w:hAnsi="Times New Roman"/>
          <w:color w:val="000000"/>
          <w:u w:val="none"/>
          <w:shd w:fill="FFFFFF" w:val="clear"/>
        </w:rPr>
        <w:t xml:space="preserve">Dosovitskiy </w:t>
      </w:r>
      <w:r>
        <w:rPr>
          <w:rStyle w:val="Hyperlink"/>
          <w:rFonts w:cs="Times New Roman" w:ascii="Times New Roman" w:hAnsi="Times New Roman"/>
          <w:color w:val="000000"/>
          <w:u w:val="none"/>
          <w:shd w:fill="FFFFFF" w:val="clear"/>
        </w:rPr>
        <w:t xml:space="preserve">Alexey </w:t>
      </w:r>
      <w:r>
        <w:rPr>
          <w:rStyle w:val="Hyperlink"/>
          <w:rFonts w:cs="Times New Roman" w:ascii="Times New Roman" w:hAnsi="Times New Roman"/>
          <w:color w:val="000000"/>
          <w:u w:val="none"/>
          <w:shd w:fill="FFFFFF" w:val="clear"/>
        </w:rPr>
        <w:t xml:space="preserve">, Beyer </w:t>
      </w:r>
      <w:r>
        <w:rPr>
          <w:rStyle w:val="Hyperlink"/>
          <w:rFonts w:cs="Times New Roman" w:ascii="Times New Roman" w:hAnsi="Times New Roman"/>
          <w:color w:val="000000"/>
          <w:u w:val="none"/>
          <w:shd w:fill="FFFFFF" w:val="clear"/>
        </w:rPr>
        <w:t>Lucas</w:t>
      </w:r>
      <w:r>
        <w:rPr>
          <w:rStyle w:val="Hyperlink"/>
          <w:rFonts w:cs="Times New Roman" w:ascii="Times New Roman" w:hAnsi="Times New Roman"/>
          <w:color w:val="000000"/>
          <w:u w:val="none"/>
          <w:shd w:fill="FFFFFF" w:val="clear"/>
        </w:rPr>
        <w:t xml:space="preserve"> , </w:t>
      </w:r>
      <w:r>
        <w:rPr>
          <w:rStyle w:val="Hyperlink"/>
          <w:rFonts w:cs="Times New Roman" w:ascii="Times New Roman" w:hAnsi="Times New Roman"/>
          <w:color w:val="000000"/>
          <w:u w:val="none"/>
          <w:shd w:fill="FFFFFF" w:val="clear"/>
        </w:rPr>
        <w:t xml:space="preserve">Kolesnikov </w:t>
      </w:r>
      <w:r>
        <w:rPr>
          <w:rStyle w:val="Hyperlink"/>
          <w:rFonts w:cs="Times New Roman" w:ascii="Times New Roman" w:hAnsi="Times New Roman"/>
          <w:color w:val="000000"/>
          <w:u w:val="none"/>
          <w:shd w:fill="FFFFFF" w:val="clear"/>
        </w:rPr>
        <w:t xml:space="preserve">Alexander , </w:t>
      </w:r>
      <w:r>
        <w:rPr>
          <w:rStyle w:val="Hyperlink"/>
          <w:rFonts w:cs="Times New Roman" w:ascii="Times New Roman" w:hAnsi="Times New Roman"/>
          <w:color w:val="000000"/>
          <w:u w:val="none"/>
          <w:shd w:fill="FFFFFF" w:val="clear"/>
        </w:rPr>
        <w:t xml:space="preserve">Weissenborn </w:t>
      </w:r>
      <w:r>
        <w:rPr>
          <w:rStyle w:val="Hyperlink"/>
          <w:rFonts w:cs="Times New Roman" w:ascii="Times New Roman" w:hAnsi="Times New Roman"/>
          <w:color w:val="000000"/>
          <w:u w:val="none"/>
          <w:shd w:fill="FFFFFF" w:val="clear"/>
        </w:rPr>
        <w:t xml:space="preserve">Dirk , </w:t>
      </w:r>
      <w:r>
        <w:rPr>
          <w:rStyle w:val="Hyperlink"/>
          <w:rFonts w:cs="Times New Roman" w:ascii="Times New Roman" w:hAnsi="Times New Roman"/>
          <w:color w:val="000000"/>
          <w:u w:val="none"/>
          <w:shd w:fill="FFFFFF" w:val="clear"/>
        </w:rPr>
        <w:t xml:space="preserve">Zhai </w:t>
      </w:r>
      <w:r>
        <w:rPr>
          <w:rStyle w:val="Hyperlink"/>
          <w:rFonts w:cs="Times New Roman" w:ascii="Times New Roman" w:hAnsi="Times New Roman"/>
          <w:color w:val="000000"/>
          <w:u w:val="none"/>
          <w:shd w:fill="FFFFFF" w:val="clear"/>
        </w:rPr>
        <w:t xml:space="preserve">Xiaohua , </w:t>
      </w:r>
      <w:r>
        <w:rPr>
          <w:rStyle w:val="Hyperlink"/>
          <w:rFonts w:cs="Times New Roman" w:ascii="Times New Roman" w:hAnsi="Times New Roman"/>
          <w:color w:val="000000"/>
          <w:u w:val="none"/>
          <w:shd w:fill="FFFFFF" w:val="clear"/>
        </w:rPr>
        <w:t xml:space="preserve">Unterthiner </w:t>
      </w:r>
      <w:r>
        <w:rPr>
          <w:rStyle w:val="Hyperlink"/>
          <w:rFonts w:cs="Times New Roman" w:ascii="Times New Roman" w:hAnsi="Times New Roman"/>
          <w:color w:val="000000"/>
          <w:u w:val="none"/>
          <w:shd w:fill="FFFFFF" w:val="clear"/>
        </w:rPr>
        <w:t xml:space="preserve">Thomas, </w:t>
      </w:r>
      <w:r>
        <w:rPr>
          <w:rStyle w:val="Hyperlink"/>
          <w:rFonts w:cs="Times New Roman" w:ascii="Times New Roman" w:hAnsi="Times New Roman"/>
          <w:color w:val="000000"/>
          <w:u w:val="none"/>
          <w:shd w:fill="FFFFFF" w:val="clear"/>
        </w:rPr>
        <w:t xml:space="preserve">Dehghani </w:t>
      </w:r>
      <w:r>
        <w:rPr>
          <w:rStyle w:val="Hyperlink"/>
          <w:rFonts w:cs="Times New Roman" w:ascii="Times New Roman" w:hAnsi="Times New Roman"/>
          <w:color w:val="000000"/>
          <w:u w:val="none"/>
          <w:shd w:fill="FFFFFF" w:val="clear"/>
        </w:rPr>
        <w:t xml:space="preserve">Mostafa, </w:t>
      </w:r>
      <w:r>
        <w:rPr>
          <w:rStyle w:val="Hyperlink"/>
          <w:rFonts w:cs="Times New Roman" w:ascii="Times New Roman" w:hAnsi="Times New Roman"/>
          <w:color w:val="000000"/>
          <w:u w:val="none"/>
          <w:shd w:fill="FFFFFF" w:val="clear"/>
        </w:rPr>
        <w:t xml:space="preserve">Minderer </w:t>
      </w:r>
      <w:r>
        <w:rPr>
          <w:rStyle w:val="Hyperlink"/>
          <w:rFonts w:cs="Times New Roman" w:ascii="Times New Roman" w:hAnsi="Times New Roman"/>
          <w:color w:val="000000"/>
          <w:u w:val="none"/>
          <w:shd w:fill="FFFFFF" w:val="clear"/>
        </w:rPr>
        <w:t xml:space="preserve">Matthias, </w:t>
      </w:r>
      <w:r>
        <w:rPr>
          <w:rStyle w:val="Hyperlink"/>
          <w:rFonts w:cs="Times New Roman" w:ascii="Times New Roman" w:hAnsi="Times New Roman"/>
          <w:color w:val="000000"/>
          <w:u w:val="none"/>
          <w:shd w:fill="FFFFFF" w:val="clear"/>
        </w:rPr>
        <w:t xml:space="preserve">Heigold </w:t>
      </w:r>
      <w:r>
        <w:rPr>
          <w:rStyle w:val="Hyperlink"/>
          <w:rFonts w:cs="Times New Roman" w:ascii="Times New Roman" w:hAnsi="Times New Roman"/>
          <w:color w:val="000000"/>
          <w:u w:val="none"/>
          <w:shd w:fill="FFFFFF" w:val="clear"/>
        </w:rPr>
        <w:t xml:space="preserve">Georg, </w:t>
      </w:r>
      <w:r>
        <w:rPr>
          <w:rStyle w:val="Hyperlink"/>
          <w:rFonts w:cs="Times New Roman" w:ascii="Times New Roman" w:hAnsi="Times New Roman"/>
          <w:color w:val="000000"/>
          <w:u w:val="none"/>
          <w:shd w:fill="FFFFFF" w:val="clear"/>
        </w:rPr>
        <w:t xml:space="preserve">Gelly </w:t>
      </w:r>
      <w:r>
        <w:rPr>
          <w:rStyle w:val="Hyperlink"/>
          <w:rFonts w:cs="Times New Roman" w:ascii="Times New Roman" w:hAnsi="Times New Roman"/>
          <w:color w:val="000000"/>
          <w:u w:val="none"/>
          <w:shd w:fill="FFFFFF" w:val="clear"/>
        </w:rPr>
        <w:t xml:space="preserve">Sylvain, </w:t>
      </w:r>
      <w:r>
        <w:rPr>
          <w:rStyle w:val="Hyperlink"/>
          <w:rFonts w:cs="Times New Roman" w:ascii="Times New Roman" w:hAnsi="Times New Roman"/>
          <w:color w:val="000000"/>
          <w:u w:val="none"/>
          <w:shd w:fill="FFFFFF" w:val="clear"/>
        </w:rPr>
        <w:t xml:space="preserve">Uszkoreit </w:t>
      </w:r>
      <w:r>
        <w:rPr>
          <w:rStyle w:val="Hyperlink"/>
          <w:rFonts w:cs="Times New Roman" w:ascii="Times New Roman" w:hAnsi="Times New Roman"/>
          <w:color w:val="000000"/>
          <w:u w:val="none"/>
          <w:shd w:fill="FFFFFF" w:val="clear"/>
        </w:rPr>
        <w:t xml:space="preserve">Jakob, </w:t>
      </w:r>
      <w:r>
        <w:rPr>
          <w:rStyle w:val="Hyperlink"/>
          <w:rFonts w:cs="Times New Roman" w:ascii="Times New Roman" w:hAnsi="Times New Roman"/>
          <w:color w:val="000000"/>
          <w:u w:val="none"/>
          <w:shd w:fill="FFFFFF" w:val="clear"/>
        </w:rPr>
        <w:t>Houlsby</w:t>
      </w:r>
      <w:r>
        <w:rPr>
          <w:rStyle w:val="Hyperlink"/>
          <w:rFonts w:cs="Times New Roman" w:ascii="Times New Roman" w:hAnsi="Times New Roman"/>
          <w:color w:val="000000"/>
          <w:u w:val="none"/>
          <w:shd w:fill="FFFFFF" w:val="clear"/>
        </w:rPr>
        <w:t xml:space="preserve"> Neil (2021)</w:t>
      </w:r>
      <w:r>
        <w:rPr>
          <w:rFonts w:cs="Times New Roman" w:ascii="Times New Roman" w:hAnsi="Times New Roman"/>
          <w:color w:val="000000"/>
          <w:shd w:fill="FFFFFF" w:val="clear"/>
        </w:rPr>
        <w:t xml:space="preserve">, An Image is Worth 16x16 Words: Transformers for Image Recognition at Scale , </w:t>
      </w:r>
      <w:r>
        <w:rPr/>
        <w:t xml:space="preserve">  </w:t>
      </w:r>
      <w:hyperlink r:id="rId13">
        <w:r>
          <w:rPr>
            <w:rStyle w:val="Hyperlink"/>
            <w:rFonts w:ascii="Times New Roman" w:hAnsi="Times New Roman"/>
          </w:rPr>
          <w:t>https://arxiv.org/abs/2010.11929</w:t>
        </w:r>
      </w:hyperlink>
    </w:p>
    <w:p>
      <w:pPr>
        <w:pStyle w:val="Normal"/>
        <w:jc w:val="both"/>
        <w:rPr/>
      </w:pPr>
      <w:r>
        <w:rPr>
          <w:rStyle w:val="Hyperlink"/>
          <w:rFonts w:cs="Times New Roman" w:ascii="Times New Roman" w:hAnsi="Times New Roman"/>
          <w:color w:val="0A0A0A"/>
          <w:u w:val="none"/>
          <w:lang w:val="en-IN"/>
        </w:rPr>
        <w:t xml:space="preserve">3. PIB (Press Information Bureaue) survey report </w:t>
      </w:r>
      <w:r>
        <w:rPr>
          <w:rStyle w:val="Hyperlink"/>
          <w:rFonts w:cs="Times New Roman" w:ascii="Times New Roman" w:hAnsi="Times New Roman"/>
          <w:color w:val="0A0A0A"/>
          <w:u w:val="none"/>
          <w:lang w:val="en-IN"/>
        </w:rPr>
        <w:t>(2025)</w:t>
      </w:r>
      <w:r>
        <w:rPr>
          <w:rStyle w:val="Hyperlink"/>
          <w:rFonts w:cs="Times New Roman" w:ascii="Times New Roman" w:hAnsi="Times New Roman"/>
          <w:color w:val="0A0A0A"/>
          <w:u w:val="none"/>
          <w:lang w:val="en-IN"/>
        </w:rPr>
        <w:t xml:space="preserve">, </w:t>
      </w:r>
      <w:hyperlink r:id="rId14">
        <w:r>
          <w:rPr>
            <w:rStyle w:val="Hyperlink"/>
            <w:rFonts w:cs="Times New Roman" w:ascii="Times New Roman" w:hAnsi="Times New Roman"/>
            <w:lang w:val="en-IN"/>
          </w:rPr>
          <w:t>https://www.pib.gov.in/PressReleasePage.aspx?PRID=2132330</w:t>
        </w:r>
      </w:hyperlink>
    </w:p>
    <w:p>
      <w:pPr>
        <w:pStyle w:val="Normal"/>
        <w:jc w:val="both"/>
        <w:rPr/>
      </w:pPr>
      <w:r>
        <w:rPr>
          <w:rStyle w:val="Hyperlink"/>
          <w:rFonts w:cs="Times New Roman" w:ascii="Times New Roman" w:hAnsi="Times New Roman"/>
          <w:b w:val="false"/>
          <w:bCs w:val="false"/>
          <w:color w:val="333333"/>
          <w:sz w:val="24"/>
          <w:szCs w:val="24"/>
          <w:u w:val="none"/>
          <w:lang w:val="en-IN"/>
        </w:rPr>
        <w:t xml:space="preserve">4. </w:t>
      </w:r>
      <w:r>
        <w:rPr>
          <w:rStyle w:val="Hyperlink"/>
          <w:rFonts w:cs="Times New Roman" w:ascii="Times New Roman" w:hAnsi="Times New Roman"/>
          <w:b w:val="false"/>
          <w:bCs w:val="false"/>
          <w:color w:val="000000"/>
          <w:sz w:val="24"/>
          <w:szCs w:val="24"/>
          <w:u w:val="none"/>
          <w:lang w:val="en-IN"/>
        </w:rPr>
        <w:t xml:space="preserve">Berroukham Abdelhafid et al (2023), </w:t>
      </w:r>
      <w:r>
        <w:rPr>
          <w:rStyle w:val="Hyperlink"/>
          <w:rFonts w:cs="Times New Roman" w:ascii="Times New Roman" w:hAnsi="Times New Roman"/>
          <w:b w:val="false"/>
          <w:bCs w:val="false"/>
          <w:color w:val="333333"/>
          <w:sz w:val="24"/>
          <w:szCs w:val="24"/>
          <w:u w:val="none"/>
          <w:lang w:val="en-IN"/>
        </w:rPr>
        <w:t>Vision Transformers: A Review of Architecture, Applications, and Future Directions</w:t>
      </w:r>
      <w:r>
        <w:rPr>
          <w:rFonts w:ascii="Times New Roman" w:hAnsi="Times New Roman"/>
          <w:b w:val="false"/>
          <w:bCs w:val="false"/>
          <w:color w:val="000000"/>
          <w:sz w:val="24"/>
          <w:szCs w:val="24"/>
          <w:lang w:val="en-IN"/>
        </w:rPr>
        <w:t xml:space="preserve">, </w:t>
      </w:r>
      <w:hyperlink r:id="rId15">
        <w:r>
          <w:rPr>
            <w:rStyle w:val="Hyperlink"/>
            <w:rFonts w:ascii="Times New Roman" w:hAnsi="Times New Roman"/>
            <w:b w:val="false"/>
            <w:color w:val="000000"/>
            <w:sz w:val="24"/>
            <w:szCs w:val="24"/>
            <w:u w:val="none"/>
            <w:shd w:fill="FFFFFF" w:val="clear"/>
          </w:rPr>
          <w:t>7th IEEE Congress on Information Science and Technology (CiSt)</w:t>
        </w:r>
      </w:hyperlink>
    </w:p>
    <w:p>
      <w:pPr>
        <w:pStyle w:val="Normal"/>
        <w:jc w:val="both"/>
        <w:rPr/>
      </w:pPr>
      <w:r>
        <w:rPr>
          <w:rFonts w:ascii="Times New Roman" w:hAnsi="Times New Roman"/>
          <w:b w:val="false"/>
          <w:bCs w:val="false"/>
          <w:color w:val="000000"/>
          <w:sz w:val="24"/>
          <w:szCs w:val="24"/>
          <w:shd w:fill="FFFFFF" w:val="clear"/>
        </w:rPr>
        <w:t>5. Yaoli Wang et al (2025) Vision Transformers for Image Classification: A Comparative Survey,,</w:t>
      </w:r>
      <w:r>
        <w:rPr>
          <w:rStyle w:val="Emphasis"/>
          <w:rFonts w:ascii="Times New Roman" w:hAnsi="Times New Roman"/>
          <w:b w:val="false"/>
          <w:color w:val="000000"/>
          <w:sz w:val="24"/>
          <w:szCs w:val="24"/>
        </w:rPr>
        <w:t>Technologies</w:t>
      </w:r>
      <w:r>
        <w:rPr>
          <w:rFonts w:ascii="Times New Roman" w:hAnsi="Times New Roman"/>
          <w:color w:val="000000"/>
          <w:sz w:val="24"/>
          <w:szCs w:val="24"/>
        </w:rPr>
        <w:t> </w:t>
      </w:r>
      <w:r>
        <w:rPr>
          <w:rStyle w:val="Emphasis"/>
          <w:rFonts w:ascii="Times New Roman" w:hAnsi="Times New Roman"/>
          <w:b w:val="false"/>
          <w:color w:val="000000"/>
          <w:sz w:val="24"/>
          <w:szCs w:val="24"/>
        </w:rPr>
        <w:t>13</w:t>
      </w:r>
      <w:r>
        <w:rPr>
          <w:rFonts w:ascii="Times New Roman" w:hAnsi="Times New Roman"/>
          <w:b w:val="false"/>
          <w:color w:val="000000"/>
          <w:sz w:val="24"/>
          <w:szCs w:val="24"/>
        </w:rPr>
        <w:t>(1),2; </w:t>
      </w:r>
      <w:hyperlink r:id="rId16">
        <w:r>
          <w:rPr>
            <w:rStyle w:val="Hyperlink"/>
            <w:rFonts w:ascii="Times New Roman" w:hAnsi="Times New Roman"/>
            <w:b w:val="false"/>
            <w:color w:val="2A11EC"/>
            <w:sz w:val="24"/>
            <w:szCs w:val="24"/>
            <w:u w:val="single"/>
            <w:shd w:fill="auto" w:val="clear"/>
          </w:rPr>
          <w:t>https://doi.org/10.3390/technologies13010032</w:t>
        </w:r>
      </w:hyperlink>
    </w:p>
    <w:p>
      <w:pPr>
        <w:pStyle w:val="BodyText"/>
        <w:jc w:val="both"/>
        <w:rPr>
          <w:rFonts w:ascii="Times New Roman" w:hAnsi="Times New Roman"/>
          <w:color w:val="000000"/>
          <w:shd w:fill="FFFFFF" w:val="clear"/>
        </w:rPr>
      </w:pPr>
      <w:r>
        <w:rPr>
          <w:rFonts w:ascii="Times New Roman" w:hAnsi="Times New Roman"/>
          <w:color w:val="000000"/>
          <w:shd w:fill="FFFFFF" w:val="clear"/>
        </w:rPr>
      </w:r>
    </w:p>
    <w:p>
      <w:pPr>
        <w:pStyle w:val="Normal"/>
        <w:spacing w:lineRule="atLeast" w:line="450"/>
        <w:jc w:val="both"/>
        <w:rPr>
          <w:rFonts w:ascii="Times New Roman" w:hAnsi="Times New Roman" w:cs="Times New Roman"/>
          <w:color w:val="333333"/>
        </w:rPr>
      </w:pPr>
      <w:r>
        <w:rPr>
          <w:rFonts w:cs="Times New Roman" w:ascii="Times New Roman" w:hAnsi="Times New Roman"/>
          <w:color w:val="333333"/>
        </w:rPr>
      </w:r>
    </w:p>
    <w:p>
      <w:pPr>
        <w:pStyle w:val="BodyText"/>
        <w:spacing w:lineRule="auto" w:line="240" w:before="0" w:after="0"/>
        <w:contextualSpacing/>
        <w:rPr>
          <w:rStyle w:val="Hyperlink"/>
          <w:bCs/>
          <w:iCs/>
          <w:color w:val="0A0A0A"/>
          <w:u w:val="none"/>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times new roman">
    <w:charset w:val="01"/>
    <w:family w:val="roman"/>
    <w:pitch w:val="variable"/>
  </w:font>
  <w:font w:name="times new roman">
    <w:charset w:val="01"/>
    <w:family w:val="roman"/>
    <w:pitch w:val="default"/>
  </w:font>
  <w:font w:name="Google Sans Text">
    <w:altName w:val="sans-serif"/>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outlineLvl w:val="0"/>
    </w:pPr>
    <w:rPr>
      <w:rFonts w:ascii="Liberation Serif" w:hAnsi="Liberation Serif" w:eastAsia="Noto Serif CJK SC"/>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SourceText" w:customStyle="1">
    <w:name w:val="Source Text"/>
    <w:qFormat/>
    <w:rPr>
      <w:rFonts w:ascii="Liberation Mono" w:hAnsi="Liberation Mono" w:eastAsia="Noto Sans Mono CJK SC" w:cs="Liberation Mono"/>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customStyle="1">
    <w:name w:val="Numbering Symbols"/>
    <w:qFormat/>
    <w:rPr/>
  </w:style>
  <w:style w:type="character" w:styleId="Bulletsuser" w:customStyle="1">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ulalchakrabarti@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https://cgspace.cgiar.org/items/d5be41df-750d-4325-8300-f77da3249f70" TargetMode="External"/><Relationship Id="rId13" Type="http://schemas.openxmlformats.org/officeDocument/2006/relationships/hyperlink" Target="https://arxiv.org/abs/2010.11929" TargetMode="External"/><Relationship Id="rId14" Type="http://schemas.openxmlformats.org/officeDocument/2006/relationships/hyperlink" Target="https://www.pib.gov.in/PressReleasePage.aspx?PRID=2132330" TargetMode="External"/><Relationship Id="rId15" Type="http://schemas.openxmlformats.org/officeDocument/2006/relationships/hyperlink" Target="https://ieeexplore.ieee.org/xpl/conhome/10409867/proceeding" TargetMode="External"/><Relationship Id="rId16" Type="http://schemas.openxmlformats.org/officeDocument/2006/relationships/hyperlink" Target="https://doi.org/10.3390/technologies13010032" TargetMode="Externa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923</TotalTime>
  <Application>LibreOffice/26.2.5.2$Linux_X86_64 LibreOffice_project/6d2b0d33fb0f5da53a12f98bed3e9973e56ff1f0</Application>
  <AppVersion>15.0000</AppVersion>
  <Pages>6</Pages>
  <Words>1916</Words>
  <Characters>10723</Characters>
  <CharactersWithSpaces>12550</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2025-11-02T07:43:48Z</dcterms:created>
  <dc:creator/>
  <dc:description/>
  <dc:language>en-US</dc:language>
  <cp:lastModifiedBy/>
  <dcterms:modified xsi:type="dcterms:W3CDTF">2026-08-26T13:43:31Z</dcterms:modified>
  <cp:revision>305</cp:revision>
  <dc:subject/>
  <dc:title/>
</cp:coreProperties>
</file>

<file path=docProps/custom.xml><?xml version="1.0" encoding="utf-8"?>
<Properties xmlns="http://schemas.openxmlformats.org/officeDocument/2006/custom-properties" xmlns:vt="http://schemas.openxmlformats.org/officeDocument/2006/docPropsVTypes"/>
</file>