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sz w:val="28"/>
          <w:szCs w:val="28"/>
        </w:rPr>
      </w:pPr>
      <w:r>
        <w:rPr>
          <w:rFonts w:ascii="times new roman" w:hAnsi="times new roman"/>
          <w:b/>
          <w:bCs/>
          <w:sz w:val="28"/>
          <w:szCs w:val="28"/>
        </w:rPr>
        <w:t>A Smart-vision Tool Empowering Gen-Z Farmers</w:t>
      </w:r>
    </w:p>
    <w:p>
      <w:pPr>
        <w:pStyle w:val="Normal"/>
        <w:bidi w:val="0"/>
        <w:spacing w:lineRule="auto" w:line="240"/>
        <w:ind w:hanging="0" w:start="0" w:end="0"/>
        <w:jc w:val="center"/>
        <w:rPr>
          <w:rFonts w:ascii="times new roman" w:hAnsi="times new roman"/>
          <w:b/>
          <w:bCs/>
          <w:color w:val="000000"/>
          <w:sz w:val="28"/>
          <w:szCs w:val="28"/>
          <w:shd w:fill="auto" w:val="clear"/>
        </w:rPr>
      </w:pPr>
      <w:r>
        <w:rPr>
          <w:rFonts w:ascii="times new roman" w:hAnsi="times new roman"/>
          <w:b/>
          <w:bCs/>
          <w:color w:val="000000"/>
          <w:sz w:val="28"/>
          <w:szCs w:val="28"/>
          <w:shd w:fill="auto" w:val="clear"/>
        </w:rPr>
      </w:r>
    </w:p>
    <w:p>
      <w:pPr>
        <w:pStyle w:val="Normal"/>
        <w:bidi w:val="0"/>
        <w:spacing w:lineRule="auto" w:line="240"/>
        <w:ind w:hanging="0" w:start="0" w:end="0"/>
        <w:jc w:val="center"/>
        <w:rPr>
          <w:rFonts w:ascii="sans-serif" w:hAnsi="sans-serif"/>
          <w:color w:val="000000"/>
          <w:shd w:fill="auto" w:val="clear"/>
        </w:rPr>
      </w:pPr>
      <w:r>
        <w:rPr>
          <w:rFonts w:ascii="times new roman" w:hAnsi="times new roman"/>
          <w:b w:val="false"/>
          <w:bCs w:val="false"/>
          <w:color w:val="1F1F1F"/>
          <w:shd w:fill="auto" w:val="clear"/>
        </w:rPr>
        <w:t>Dulal Chakrabarti*</w:t>
      </w:r>
      <w:r>
        <w:rPr>
          <w:rFonts w:ascii="times new roman" w:hAnsi="times new roman"/>
          <w:b/>
          <w:bCs/>
          <w:color w:val="1F1F1F"/>
          <w:shd w:fill="auto" w:val="clear"/>
        </w:rPr>
        <w:br/>
      </w:r>
      <w:r>
        <w:rPr>
          <w:rFonts w:ascii="times new roman" w:hAnsi="times new roman"/>
          <w:b w:val="false"/>
          <w:bCs w:val="false"/>
          <w:color w:val="1F1F1F"/>
          <w:shd w:fill="auto" w:val="clear"/>
        </w:rPr>
        <w:t>India Meteorological Department (Retired), New Delhi - 110 003, India</w:t>
        <w:br/>
        <w:t>*C-120/PKT-7, Kendriya Vihar-II, Sector-82, Noida, Uttar Pradesh-201304</w:t>
        <w:br/>
      </w:r>
      <w:r>
        <w:rPr>
          <w:rFonts w:ascii="times new roman" w:hAnsi="times new roman"/>
          <w:b/>
          <w:bCs/>
          <w:color w:val="1F1F1F"/>
          <w:sz w:val="22"/>
          <w:szCs w:val="22"/>
          <w:shd w:fill="auto" w:val="clear"/>
        </w:rPr>
        <w:t xml:space="preserve">Email: </w:t>
      </w:r>
      <w:hyperlink r:id="rId2">
        <w:r>
          <w:rPr>
            <w:rStyle w:val="Hyperlink"/>
            <w:rFonts w:ascii="times new roman" w:hAnsi="times new roman"/>
            <w:b/>
            <w:bCs/>
            <w:color w:val="1F1F1F"/>
            <w:sz w:val="22"/>
            <w:szCs w:val="22"/>
            <w:shd w:fill="auto" w:val="clear"/>
          </w:rPr>
          <w:t>dulalchakrabarti@gmail.com</w:t>
        </w:r>
      </w:hyperlink>
    </w:p>
    <w:p>
      <w:pPr>
        <w:pStyle w:val="Normal"/>
        <w:bidi w:val="0"/>
        <w:jc w:val="center"/>
        <w:rPr>
          <w:sz w:val="24"/>
          <w:szCs w:val="24"/>
        </w:rPr>
      </w:pPr>
      <w:r>
        <w:rPr>
          <w:sz w:val="24"/>
          <w:szCs w:val="24"/>
        </w:rPr>
      </w:r>
    </w:p>
    <w:p>
      <w:pPr>
        <w:pStyle w:val="Normal"/>
        <w:bidi w:val="0"/>
        <w:spacing w:lineRule="auto" w:line="240"/>
        <w:ind w:hanging="0" w:start="0" w:end="0"/>
        <w:jc w:val="both"/>
        <w:rPr>
          <w:rFonts w:ascii="times new roman" w:hAnsi="times new roman"/>
          <w:color w:val="000000"/>
          <w:shd w:fill="auto" w:val="clear"/>
        </w:rPr>
      </w:pPr>
      <w:r>
        <w:rPr>
          <w:rFonts w:ascii="times new roman" w:hAnsi="times new roman"/>
          <w:color w:val="000000"/>
          <w:shd w:fill="auto" w:val="clear"/>
        </w:rPr>
        <w:t>Field level monitoring of crop health is crucial for precision agriculture, crop insurance, and climate risk management. This study focuses on the ability of Google Gemini, a multi modal generative AI chat bot, to monitor crop health and estimate wheat yield using sequences of geotagged smartphone images as actionable evidence. A total of 118 field observations covering nine wheat varieties from Haryana and Punjab (2017–18 Rabi season) were processed and analyzed. Gemini-based visual estimates ranged from 14.5 to 27.2 quintals per acre (mean 21.8 ± 2.1 q/acre) and were in quite good agreement with actual values evaluated using Crop Cutting Experiment (CCE). Lodging was identified as the dominant yield-limiting factor, causing yield penalties of 0–36% depending on severity and timing. A practical yield adjustment framework using Growing Degree Days (GDD) was developed and validated on 30 independent observations (Mean Absolute Error = 1.2 q/acre, Root Mean Square Error = 1.6 q/acre), with 85% of predictions falling within ±1.5 q/acre of observed values. The results demonstrate that multi modal generative AI can effectively transform farmer-captured image sequences into reliable phenological, stress, and yield insights. This approach offers a scalable, low-cost solution for digital agriculture in resource-constrained smallholder systems.</w:t>
      </w:r>
    </w:p>
    <w:p>
      <w:pPr>
        <w:pStyle w:val="Normal"/>
        <w:bidi w:val="0"/>
        <w:jc w:val="start"/>
        <w:rPr>
          <w:sz w:val="24"/>
          <w:szCs w:val="24"/>
        </w:rPr>
      </w:pPr>
      <w:r>
        <w:rPr>
          <w:rFonts w:cs="times new roman" w:ascii="times new roman" w:hAnsi="times new roman"/>
          <w:b/>
          <w:bCs w:val="false"/>
          <w:color w:val="000000"/>
          <w:sz w:val="24"/>
          <w:szCs w:val="24"/>
          <w:shd w:fill="auto" w:val="clear"/>
        </w:rPr>
        <w:t xml:space="preserve">Keywords: </w:t>
      </w:r>
      <w:r>
        <w:rPr>
          <w:rFonts w:cs="times new roman" w:ascii="times new roman" w:hAnsi="times new roman"/>
          <w:b w:val="false"/>
          <w:bCs w:val="false"/>
          <w:color w:val="000000"/>
          <w:sz w:val="24"/>
          <w:szCs w:val="24"/>
          <w:shd w:fill="auto" w:val="clear"/>
        </w:rPr>
        <w:t>Generative AI, Crop yield , Digital agriculture, Smart-vision, Crop Dignostics</w:t>
      </w:r>
      <w:r>
        <w:rPr>
          <w:rFonts w:ascii="times new roman" w:hAnsi="times new roman"/>
          <w:b w:val="false"/>
          <w:bCs w:val="false"/>
          <w:sz w:val="24"/>
          <w:szCs w:val="24"/>
        </w:rPr>
        <w:br/>
      </w:r>
      <w:r>
        <w:rPr>
          <w:rFonts w:ascii="times new roman" w:hAnsi="times new roman"/>
          <w:b/>
          <w:bCs/>
          <w:sz w:val="24"/>
          <w:szCs w:val="24"/>
        </w:rPr>
        <w:t>Introduction</w:t>
      </w:r>
    </w:p>
    <w:p>
      <w:pPr>
        <w:pStyle w:val="Normal"/>
        <w:bidi w:val="0"/>
        <w:spacing w:lineRule="auto" w:line="240" w:before="0" w:after="0"/>
        <w:ind w:hanging="0" w:start="0" w:end="0"/>
        <w:contextualSpacing/>
        <w:jc w:val="both"/>
        <w:rPr/>
      </w:pPr>
      <w:r>
        <w:rPr>
          <w:rFonts w:ascii="times new roman" w:hAnsi="times new roman"/>
          <w:color w:val="000000"/>
          <w:shd w:fill="auto" w:val="clear"/>
        </w:rPr>
        <w:t>India faces the dual challenge of increasing food production while adapting to climate variability. Timely and accurate crop monitoring and yield estimation at hyper local field scale remain critical and challenging for smallholder farmers, extension services, and crop insurance systems. Recent advances in multi-modal generative Artificial Intelligence (GenAI), particularly models like Google Gemini, OpenAI ChatGPT, Microsoft Copilot and many more mobile apps enable simultaneous processing of images, temporal sequences, short videos and even live streaming of crop field and natural language prompts. These capabilities closely replicate expert visual assessment by agronomists while offering scalability through widely available smartphones (</w:t>
      </w:r>
      <w:r>
        <w:rPr>
          <w:rStyle w:val="Strong"/>
          <w:rFonts w:cs="Times New Roman" w:ascii="times new roman" w:hAnsi="times new roman"/>
          <w:b w:val="false"/>
          <w:bCs/>
          <w:i w:val="false"/>
          <w:iCs/>
          <w:caps w:val="false"/>
          <w:smallCaps w:val="false"/>
          <w:color w:val="0A0A0A"/>
          <w:spacing w:val="0"/>
          <w:sz w:val="24"/>
          <w:szCs w:val="24"/>
          <w:shd w:fill="auto" w:val="clear"/>
        </w:rPr>
        <w:t>PIB 2132330(2025))</w:t>
      </w:r>
      <w:r>
        <w:rPr>
          <w:rFonts w:ascii="times new roman" w:hAnsi="times new roman"/>
          <w:color w:val="000000"/>
          <w:shd w:fill="auto" w:val="clear"/>
        </w:rPr>
        <w:t>. This study builds on earlier work using Convolutional Neural Networks (CNNs) under the IFPRI-BKC WeatherSys project (Singh et al., 2018). It evaluates Google Gemini’s performance in analyzing temporal sequences of geotagged wheat images for phenological staging, stress detection (especially lodging), and visual yield estimation. The specific objectives are: (1) To assess Gemini’s ability to estimate wheat yield across multiple varieties. (2) To quantify the impact of lodging and other stresses on yield. (3) To validate the yield estimation framework by comparing with actual yield obtained by Crop Cutting Experiment (CCE).</w:t>
      </w:r>
    </w:p>
    <w:p>
      <w:pPr>
        <w:pStyle w:val="Normal"/>
        <w:spacing w:before="0" w:after="0"/>
        <w:contextualSpacing/>
        <w:rPr>
          <w:rFonts w:ascii="Times new roman" w:hAnsi="Times new roman"/>
          <w:b/>
          <w:bCs/>
        </w:rPr>
      </w:pPr>
      <w:r>
        <w:rPr>
          <w:rFonts w:ascii="Times new roman" w:hAnsi="Times new roman"/>
          <w:b/>
          <w:bCs/>
        </w:rPr>
        <w:t>Materials and Methods</w:t>
      </w:r>
    </w:p>
    <w:p>
      <w:pPr>
        <w:pStyle w:val="Normal"/>
        <w:spacing w:before="0" w:after="0"/>
        <w:contextualSpacing/>
        <w:rPr>
          <w:rFonts w:ascii="Times new roman" w:hAnsi="Times new roman"/>
          <w:b/>
          <w:bCs/>
        </w:rPr>
      </w:pPr>
      <w:r>
        <w:rPr>
          <w:rFonts w:ascii="Times new roman" w:hAnsi="Times new roman"/>
          <w:b/>
          <w:bCs/>
        </w:rPr>
        <w:t>Study Area and Datasets</w:t>
      </w:r>
    </w:p>
    <w:p>
      <w:pPr>
        <w:pStyle w:val="Normal"/>
        <w:bidi w:val="0"/>
        <w:spacing w:lineRule="auto" w:line="240" w:before="0" w:after="0"/>
        <w:ind w:hanging="0" w:start="0" w:end="0"/>
        <w:contextualSpacing/>
        <w:jc w:val="both"/>
        <w:rPr>
          <w:rFonts w:ascii="Times new roman" w:hAnsi="Times new roman"/>
          <w:color w:val="000000"/>
          <w:shd w:fill="auto" w:val="clear"/>
        </w:rPr>
      </w:pPr>
      <w:r>
        <w:rPr>
          <w:rFonts w:ascii="Times new roman" w:hAnsi="Times new roman"/>
          <w:color w:val="000000"/>
          <w:shd w:fill="auto" w:val="clear"/>
        </w:rPr>
        <w:t>The dataset comprises 118 field observations collected during the 2017–18 Rabi season across Karnal, Sirsa, Ambala (Haryana), and parts of Punjab. Nine wheat varieties were evaluated, with HD2967 being the most represented (n=82).</w:t>
      </w:r>
    </w:p>
    <w:p>
      <w:pPr>
        <w:pStyle w:val="Normal"/>
        <w:bidi w:val="0"/>
        <w:spacing w:lineRule="auto" w:line="240" w:before="0" w:after="0"/>
        <w:ind w:hanging="0" w:start="0" w:end="0"/>
        <w:contextualSpacing/>
        <w:jc w:val="both"/>
        <w:rPr>
          <w:rFonts w:ascii="Times new roman" w:hAnsi="Times new roman"/>
          <w:b/>
          <w:bCs/>
          <w:i w:val="false"/>
          <w:iCs w:val="false"/>
        </w:rPr>
      </w:pPr>
      <w:r>
        <w:rPr>
          <w:rFonts w:ascii="Times new roman" w:hAnsi="Times new roman"/>
          <w:b/>
          <w:bCs/>
          <w:i w:val="false"/>
          <w:iCs w:val="false"/>
        </w:rPr>
        <w:t>Image Acquisition</w:t>
      </w:r>
    </w:p>
    <w:p>
      <w:pPr>
        <w:pStyle w:val="Normal"/>
        <w:bidi w:val="0"/>
        <w:spacing w:lineRule="auto" w:line="240" w:before="0" w:after="0"/>
        <w:ind w:hanging="0" w:start="0" w:end="0"/>
        <w:contextualSpacing/>
        <w:jc w:val="both"/>
        <w:rPr>
          <w:rFonts w:ascii="Times new roman" w:hAnsi="Times new roman"/>
          <w:b w:val="false"/>
          <w:bCs w:val="false"/>
        </w:rPr>
      </w:pPr>
      <w:r>
        <w:rPr>
          <w:rFonts w:ascii="Times new roman" w:hAnsi="Times new roman"/>
          <w:b w:val="false"/>
          <w:bCs w:val="false"/>
        </w:rPr>
        <w:t>At each field location geotagged sequence of high-resolution smartphone images were captured at multiple phenological stages from emergence to physiological maturity. This constituted a temporal sequence of images for processing. One such sequence is shown as an example below.</w:t>
      </w:r>
    </w:p>
    <w:p>
      <w:pPr>
        <w:pStyle w:val="Normal"/>
        <w:bidi w:val="0"/>
        <w:spacing w:lineRule="auto" w:line="240" w:before="0" w:after="283"/>
        <w:ind w:hanging="0" w:start="0" w:end="0"/>
        <w:jc w:val="both"/>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283"/>
        <w:ind w:hanging="0" w:start="0" w:end="0"/>
        <w:jc w:val="both"/>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7670" cy="2395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487670" cy="2395855"/>
                    </a:xfrm>
                    <a:prstGeom prst="rect">
                      <a:avLst/>
                    </a:prstGeom>
                    <a:noFill/>
                  </pic:spPr>
                </pic:pic>
              </a:graphicData>
            </a:graphic>
          </wp:anchor>
        </w:drawing>
      </w:r>
      <w:r>
        <w:rPr>
          <w:rFonts w:ascii="times new roman" w:hAnsi="times new roman"/>
          <w:b w:val="false"/>
          <w:bCs w:val="false"/>
          <w:spacing w:val="0"/>
        </w:rPr>
        <w:t xml:space="preserve">Figure 1. Geotagged [29.76412,76.83407] wheat field (Pundrak, Karnal, Haryana) images </w:t>
      </w:r>
    </w:p>
    <w:p>
      <w:pPr>
        <w:pStyle w:val="Normal"/>
        <w:bidi w:val="0"/>
        <w:spacing w:lineRule="auto" w:line="240" w:before="0" w:after="0"/>
        <w:ind w:hanging="0" w:start="0" w:end="0"/>
        <w:rPr>
          <w:rFonts w:ascii="times new roman" w:hAnsi="times new roman"/>
          <w:b/>
          <w:bCs/>
          <w:i w:val="false"/>
          <w:iCs w:val="false"/>
          <w:color w:val="000000"/>
          <w:shd w:fill="auto" w:val="clear"/>
        </w:rPr>
      </w:pPr>
      <w:r>
        <w:rPr>
          <w:rFonts w:ascii="times new roman" w:hAnsi="times new roman"/>
          <w:b/>
          <w:bCs/>
          <w:i w:val="false"/>
          <w:iCs w:val="false"/>
          <w:color w:val="000000"/>
          <w:shd w:fill="auto" w:val="clear"/>
        </w:rPr>
        <w:t>AI Analysis Framework</w:t>
      </w:r>
    </w:p>
    <w:p>
      <w:pPr>
        <w:pStyle w:val="Normal"/>
        <w:bidi w:val="0"/>
        <w:spacing w:lineRule="auto" w:line="240" w:before="0" w:after="0"/>
        <w:ind w:hanging="0" w:start="0" w:end="0"/>
        <w:rPr>
          <w:rFonts w:ascii="times new roman" w:hAnsi="times new roman"/>
          <w:color w:val="000000"/>
          <w:shd w:fill="auto" w:val="clear"/>
        </w:rPr>
      </w:pPr>
      <w:r>
        <w:rPr>
          <w:rFonts w:ascii="times new roman" w:hAnsi="times new roman"/>
          <w:color w:val="000000"/>
          <w:shd w:fill="auto" w:val="clear"/>
        </w:rPr>
        <w:t>Google Gemini (multi-modal Generative AI model) was used to process image sequences. A structured prompting strategy (Annexure-I) guided the model to extract: (1) Phenological stages and timeline (2) Detection and severity of lodging and other stresses (3) Visual yield estimation (quintals per acre) (4) Confidence score (0–100%)</w:t>
      </w:r>
    </w:p>
    <w:p>
      <w:pPr>
        <w:pStyle w:val="BodyText"/>
        <w:bidi w:val="0"/>
        <w:spacing w:lineRule="auto" w:line="240" w:before="0" w:after="0"/>
        <w:ind w:hanging="0" w:start="0" w:end="0"/>
        <w:jc w:val="start"/>
        <w:rPr>
          <w:rFonts w:ascii="times new roman" w:hAnsi="times new roman"/>
          <w:color w:val="000000"/>
          <w:shd w:fill="auto" w:val="clear"/>
        </w:rPr>
      </w:pPr>
      <w:r>
        <w:rPr>
          <w:rFonts w:ascii="times new roman" w:hAnsi="times new roman"/>
          <w:b/>
          <w:bCs/>
          <w:color w:val="000000"/>
          <w:shd w:fill="auto" w:val="clear"/>
        </w:rPr>
        <w:t>Yield Components and Growing Degree Days (GDD)</w:t>
      </w:r>
      <w:r>
        <w:rPr>
          <w:rFonts w:ascii="times new roman" w:hAnsi="times new roman"/>
          <w:color w:val="000000"/>
          <w:shd w:fill="auto" w:val="clear"/>
        </w:rPr>
        <w:br/>
        <w:t>Yield estimation considered visual indicators of yield components (spikes per unit area, grains per spike, and grain weight). Growing Degree Days were computed using:</w:t>
      </w:r>
    </w:p>
    <w:p>
      <w:pPr>
        <w:pStyle w:val="BodyText"/>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t>GDD = Σ [(T_max + T_min)/2) – 5°C] (base temperature = 5°C).</w:t>
      </w:r>
    </w:p>
    <w:p>
      <w:pPr>
        <w:pStyle w:val="BodyText"/>
        <w:bidi w:val="0"/>
        <w:spacing w:lineRule="auto" w:line="240" w:before="0" w:after="0"/>
        <w:ind w:hanging="0" w:start="0" w:end="0"/>
        <w:jc w:val="start"/>
        <w:rPr>
          <w:rFonts w:ascii="times new roman" w:hAnsi="times new roman"/>
          <w:color w:val="000000"/>
          <w:shd w:fill="auto" w:val="clear"/>
        </w:rPr>
      </w:pPr>
      <w:r>
        <w:rPr>
          <w:rFonts w:ascii="times new roman" w:hAnsi="times new roman"/>
          <w:b/>
          <w:bCs/>
          <w:color w:val="000000"/>
          <w:shd w:fill="auto" w:val="clear"/>
        </w:rPr>
        <w:t>Statistical Analysis</w:t>
      </w:r>
      <w:r>
        <w:rPr>
          <w:rFonts w:ascii="times new roman" w:hAnsi="times new roman"/>
          <w:color w:val="000000"/>
          <w:shd w:fill="auto" w:val="clear"/>
        </w:rPr>
        <w:br/>
        <w:t>Descriptive statistics, one-way ANOVA, and Tukey’s HSD post-hoc test were performed. A rule-based yield adjustment framework was developed using HD2967 as reference and validated on 30 independent observations using Mean Absolute Error (MAE) and Root Mean Square Error (RMSE).</w:t>
      </w:r>
    </w:p>
    <w:p>
      <w:pPr>
        <w:pStyle w:val="Normal"/>
        <w:bidi w:val="0"/>
        <w:spacing w:lineRule="auto" w:line="240" w:before="0" w:after="0"/>
        <w:ind w:hanging="0" w:start="0" w:end="0"/>
        <w:jc w:val="start"/>
        <w:rPr>
          <w:b/>
          <w:bCs/>
        </w:rPr>
      </w:pPr>
      <w:r>
        <w:rPr>
          <w:rFonts w:ascii="times new roman" w:hAnsi="times new roman"/>
          <w:b/>
          <w:bCs/>
          <w:color w:val="000000"/>
          <w:shd w:fill="auto" w:val="clear"/>
        </w:rPr>
        <w:t>Results</w:t>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b/>
          <w:bCs/>
          <w:color w:val="000000"/>
          <w:shd w:fill="auto" w:val="clear"/>
        </w:rPr>
        <w:t>Yield Performance</w:t>
      </w:r>
      <w:r>
        <w:rPr>
          <w:rFonts w:ascii="times new roman" w:hAnsi="times new roman"/>
          <w:color w:val="000000"/>
          <w:shd w:fill="auto" w:val="clear"/>
        </w:rPr>
        <w:br/>
        <w:t xml:space="preserve">Estimated yields ranged from 14.5 to 27.2 q/acre (mean 21.8 ± 2.1 q/acre, median 22.5 q/acre). </w:t>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t>Table 1. Yield summary by wheat variety (ordered by maximum observed yield).</w:t>
      </w:r>
    </w:p>
    <w:tbl>
      <w:tblPr>
        <w:tblW w:w="9638" w:type="dxa"/>
        <w:jc w:val="start"/>
        <w:tblInd w:w="0" w:type="dxa"/>
        <w:tblLayout w:type="fixed"/>
        <w:tblCellMar>
          <w:top w:w="0" w:type="dxa"/>
          <w:start w:w="0" w:type="dxa"/>
          <w:bottom w:w="0" w:type="dxa"/>
          <w:end w:w="0" w:type="dxa"/>
        </w:tblCellMar>
      </w:tblPr>
      <w:tblGrid>
        <w:gridCol w:w="1464"/>
        <w:gridCol w:w="374"/>
        <w:gridCol w:w="2733"/>
        <w:gridCol w:w="2487"/>
        <w:gridCol w:w="2580"/>
      </w:tblGrid>
      <w:tr>
        <w:trPr/>
        <w:tc>
          <w:tcPr>
            <w:tcW w:w="1464" w:type="dxa"/>
            <w:tcBorders/>
            <w:vAlign w:val="center"/>
          </w:tcPr>
          <w:p>
            <w:pPr>
              <w:pStyle w:val="TableHeading"/>
              <w:bidi w:val="0"/>
              <w:spacing w:lineRule="auto" w:line="240"/>
              <w:ind w:hanging="0" w:start="0" w:end="0"/>
              <w:rPr>
                <w:rFonts w:ascii="times new roman" w:hAnsi="times new roman"/>
                <w:b/>
                <w:color w:val="000000"/>
                <w:shd w:fill="auto" w:val="clear"/>
              </w:rPr>
            </w:pPr>
            <w:r>
              <w:rPr>
                <w:rFonts w:ascii="times new roman" w:hAnsi="times new roman"/>
                <w:b/>
                <w:color w:val="000000"/>
                <w:shd w:fill="auto" w:val="clear"/>
              </w:rPr>
              <w:t>Variety</w:t>
            </w:r>
          </w:p>
        </w:tc>
        <w:tc>
          <w:tcPr>
            <w:tcW w:w="374" w:type="dxa"/>
            <w:tcBorders/>
            <w:vAlign w:val="center"/>
          </w:tcPr>
          <w:p>
            <w:pPr>
              <w:pStyle w:val="TableHeading"/>
              <w:bidi w:val="0"/>
              <w:spacing w:lineRule="auto" w:line="240"/>
              <w:ind w:hanging="0" w:start="0" w:end="0"/>
              <w:rPr>
                <w:rFonts w:ascii="times new roman" w:hAnsi="times new roman"/>
                <w:b/>
                <w:color w:val="000000"/>
                <w:shd w:fill="auto" w:val="clear"/>
              </w:rPr>
            </w:pPr>
            <w:r>
              <w:rPr>
                <w:rFonts w:ascii="times new roman" w:hAnsi="times new roman"/>
                <w:b/>
                <w:color w:val="000000"/>
                <w:shd w:fill="auto" w:val="clear"/>
              </w:rPr>
              <w:t>n</w:t>
            </w:r>
          </w:p>
        </w:tc>
        <w:tc>
          <w:tcPr>
            <w:tcW w:w="2733" w:type="dxa"/>
            <w:tcBorders/>
            <w:vAlign w:val="center"/>
          </w:tcPr>
          <w:p>
            <w:pPr>
              <w:pStyle w:val="TableHeading"/>
              <w:bidi w:val="0"/>
              <w:spacing w:lineRule="auto" w:line="240"/>
              <w:ind w:hanging="0" w:start="0" w:end="0"/>
              <w:rPr>
                <w:rFonts w:ascii="times new roman" w:hAnsi="times new roman"/>
                <w:b/>
                <w:color w:val="000000"/>
                <w:shd w:fill="auto" w:val="clear"/>
              </w:rPr>
            </w:pPr>
            <w:r>
              <w:rPr>
                <w:rFonts w:ascii="times new roman" w:hAnsi="times new roman"/>
                <w:b/>
                <w:color w:val="000000"/>
                <w:shd w:fill="auto" w:val="clear"/>
              </w:rPr>
              <w:t>Maximum Yield (q/acre)</w:t>
            </w:r>
          </w:p>
        </w:tc>
        <w:tc>
          <w:tcPr>
            <w:tcW w:w="2487" w:type="dxa"/>
            <w:tcBorders/>
            <w:vAlign w:val="center"/>
          </w:tcPr>
          <w:p>
            <w:pPr>
              <w:pStyle w:val="TableHeading"/>
              <w:bidi w:val="0"/>
              <w:spacing w:lineRule="auto" w:line="240"/>
              <w:ind w:hanging="0" w:start="0" w:end="0"/>
              <w:rPr>
                <w:rFonts w:ascii="times new roman" w:hAnsi="times new roman"/>
                <w:b/>
                <w:color w:val="000000"/>
                <w:shd w:fill="auto" w:val="clear"/>
              </w:rPr>
            </w:pPr>
            <w:r>
              <w:rPr>
                <w:rFonts w:ascii="times new roman" w:hAnsi="times new roman"/>
                <w:b/>
                <w:color w:val="000000"/>
                <w:shd w:fill="auto" w:val="clear"/>
              </w:rPr>
              <w:t>Typical Range (q/acre)</w:t>
            </w:r>
          </w:p>
        </w:tc>
        <w:tc>
          <w:tcPr>
            <w:tcW w:w="2580" w:type="dxa"/>
            <w:tcBorders/>
            <w:vAlign w:val="center"/>
          </w:tcPr>
          <w:p>
            <w:pPr>
              <w:pStyle w:val="TableHeading"/>
              <w:bidi w:val="0"/>
              <w:spacing w:lineRule="auto" w:line="240"/>
              <w:ind w:hanging="0" w:start="0" w:end="0"/>
              <w:rPr>
                <w:rFonts w:ascii="times new roman" w:hAnsi="times new roman"/>
                <w:b/>
                <w:color w:val="000000"/>
                <w:shd w:fill="auto" w:val="clear"/>
              </w:rPr>
            </w:pPr>
            <w:r>
              <w:rPr>
                <w:rFonts w:ascii="times new roman" w:hAnsi="times new roman"/>
                <w:b/>
                <w:color w:val="000000"/>
                <w:shd w:fill="auto" w:val="clear"/>
              </w:rPr>
              <w:t>Confidence Range (%)</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DBW90</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3</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27.2</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22.5 – 27.2</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92–95</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HD 3086</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7</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24.5</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22.5 – 24.5</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90–95</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WH1105</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4</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24.5</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21.2 – 24.5</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90–95</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WH1142</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24.5</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21.5 – 24.5</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85–92</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HD2967</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82</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25.0</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21.5 – 25</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85–95</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PBW725</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5</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23.8</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22.5 – 23.8</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85–92</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H3043</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3</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22.5</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17.8 – 22.5</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85–90</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Syngenta 23</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22.5</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19.5 – 22.5</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85</w:t>
            </w:r>
          </w:p>
        </w:tc>
      </w:tr>
      <w:tr>
        <w:trPr/>
        <w:tc>
          <w:tcPr>
            <w:tcW w:w="146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KRL 210</w:t>
            </w:r>
          </w:p>
        </w:tc>
        <w:tc>
          <w:tcPr>
            <w:tcW w:w="374"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7</w:t>
            </w:r>
          </w:p>
        </w:tc>
        <w:tc>
          <w:tcPr>
            <w:tcW w:w="2733"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21.8</w:t>
            </w:r>
          </w:p>
        </w:tc>
        <w:tc>
          <w:tcPr>
            <w:tcW w:w="2487"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18.5 – 21.8</w:t>
            </w:r>
          </w:p>
        </w:tc>
        <w:tc>
          <w:tcPr>
            <w:tcW w:w="2580" w:type="dxa"/>
            <w:tcBorders/>
            <w:vAlign w:val="center"/>
          </w:tcPr>
          <w:p>
            <w:pPr>
              <w:pStyle w:val="TableContents"/>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85–95</w:t>
            </w:r>
          </w:p>
        </w:tc>
      </w:tr>
    </w:tbl>
    <w:p>
      <w:pPr>
        <w:pStyle w:val="Normal"/>
        <w:bidi w:val="0"/>
        <w:spacing w:lineRule="auto" w:line="240" w:before="0" w:after="0"/>
        <w:ind w:hanging="0" w:start="0" w:end="0"/>
        <w:rPr>
          <w:rFonts w:ascii="times new roman" w:hAnsi="times new roman"/>
          <w:color w:val="000000"/>
          <w:shd w:fill="auto" w:val="clear"/>
        </w:rPr>
      </w:pPr>
      <w:r>
        <w:rPr>
          <w:rFonts w:ascii="times new roman" w:hAnsi="times new roman"/>
          <w:color w:val="000000"/>
          <w:shd w:fill="auto" w:val="clear"/>
        </w:rPr>
        <w:t>One-way ANOVA revealed significant differences among varieties (p &lt; 0.001). DBW90, HD 3086, and non-lodged HD2967 performed best.</w:t>
      </w:r>
    </w:p>
    <w:p>
      <w:pPr>
        <w:pStyle w:val="Normal"/>
        <w:bidi w:val="0"/>
        <w:spacing w:lineRule="auto" w:line="240" w:before="0" w:after="0"/>
        <w:ind w:hanging="0" w:start="0" w:end="0"/>
        <w:rPr>
          <w:rFonts w:ascii="times new roman" w:hAnsi="times new roman"/>
          <w:color w:val="000000"/>
          <w:shd w:fill="auto" w:val="clear"/>
        </w:rPr>
      </w:pPr>
      <w:r>
        <w:rPr>
          <w:rFonts w:ascii="times new roman" w:hAnsi="times new roman"/>
          <w:color w:val="000000"/>
          <w:shd w:fill="auto" w:val="clear"/>
        </w:rPr>
      </w:r>
    </w:p>
    <w:p>
      <w:pPr>
        <w:pStyle w:val="Normal"/>
        <w:bidi w:val="0"/>
        <w:spacing w:before="0" w:after="0"/>
        <w:ind w:hanging="0" w:start="0" w:end="0"/>
        <w:jc w:val="center"/>
        <w:rPr>
          <w:rFonts w:ascii="times new roman" w:hAnsi="times new roman"/>
          <w:color w:val="000000"/>
          <w:shd w:fill="auto" w:val="clear"/>
          <w:lang w:val="en-IN"/>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2382520"/>
            <wp:effectExtent l="0" t="0" r="0" b="0"/>
            <wp:wrapSquare wrapText="largest"/>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4"/>
                    <a:stretch>
                      <a:fillRect/>
                    </a:stretch>
                  </pic:blipFill>
                  <pic:spPr bwMode="auto">
                    <a:xfrm>
                      <a:off x="0" y="0"/>
                      <a:ext cx="5731510" cy="2382520"/>
                    </a:xfrm>
                    <a:prstGeom prst="rect">
                      <a:avLst/>
                    </a:prstGeom>
                    <a:noFill/>
                  </pic:spPr>
                </pic:pic>
              </a:graphicData>
            </a:graphic>
          </wp:anchor>
        </w:drawing>
      </w:r>
      <w:r>
        <w:rPr>
          <w:lang w:val="en-IN"/>
        </w:rPr>
        <w:t>Figure 2: Overall Yield distribution</w:t>
      </w:r>
    </w:p>
    <w:p>
      <w:pPr>
        <w:pStyle w:val="Normal"/>
        <w:bidi w:val="0"/>
        <w:spacing w:before="0" w:after="0"/>
        <w:ind w:hanging="0" w:start="0" w:end="0"/>
        <w:jc w:val="both"/>
        <w:rPr>
          <w:rFonts w:ascii="times new roman" w:hAnsi="times new roman"/>
          <w:color w:val="000000"/>
          <w:shd w:fill="auto" w:val="clear"/>
          <w:lang w:val="en-IN"/>
        </w:rPr>
      </w:pPr>
      <w:r>
        <w:rPr>
          <w:lang w:val="en-IN"/>
        </w:rPr>
        <w:t>Overall yield distribution of estimated wheat yields across 118 field observations. (A) Histogram showing yield distribution with mean (red dashed line). (B) Boxplot summarizing the central tendency and spread of yields (mean = 21.8 q/acre, range = 14.5–27.2 q/acre).</w:t>
      </w:r>
    </w:p>
    <w:p>
      <w:pPr>
        <w:pStyle w:val="Normal"/>
        <w:bidi w:val="0"/>
        <w:spacing w:lineRule="auto" w:line="240" w:before="0" w:after="0"/>
        <w:ind w:hanging="0" w:start="0" w:end="0"/>
        <w:rPr>
          <w:rFonts w:ascii="times new roman" w:hAnsi="times new roman"/>
          <w:color w:val="000000"/>
          <w:shd w:fill="auto" w:val="clear"/>
        </w:rPr>
      </w:pPr>
      <w:r>
        <w:rPr>
          <w:lang w:val="en-IN"/>
        </w:rPr>
        <w:t>Stacked bar chart (Figure 3) showing the percentage of observations with and without lodging (n = 118 total observations).</w:t>
      </w:r>
    </w:p>
    <w:p>
      <w:pPr>
        <w:pStyle w:val="Normal"/>
        <w:bidi w:val="0"/>
        <w:spacing w:lineRule="auto" w:line="240" w:before="0" w:after="0"/>
        <w:ind w:hanging="0" w:start="0" w:end="0"/>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726305" cy="339852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4726305" cy="3398520"/>
                    </a:xfrm>
                    <a:prstGeom prst="rect">
                      <a:avLst/>
                    </a:prstGeom>
                    <a:noFill/>
                  </pic:spPr>
                </pic:pic>
              </a:graphicData>
            </a:graphic>
          </wp:anchor>
        </w:drawing>
      </w:r>
      <w:r>
        <w:rPr>
          <w:rFonts w:ascii="times new roman" w:hAnsi="times new roman"/>
          <w:color w:val="000000"/>
          <w:shd w:fill="auto" w:val="clear"/>
        </w:rPr>
        <w:b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t>Figure 3. Mean yield performance by variety.</w:t>
      </w:r>
    </w:p>
    <w:p>
      <w:pPr>
        <w:pStyle w:val="Normal"/>
        <w:bidi w:val="0"/>
        <w:spacing w:before="0" w:after="0"/>
        <w:ind w:hanging="0" w:start="0" w:end="0"/>
        <w:jc w:val="both"/>
        <w:rPr>
          <w:rFonts w:ascii="times new roman" w:hAnsi="times new roman"/>
          <w:color w:val="000000"/>
          <w:shd w:fill="auto" w:val="clear"/>
          <w:lang w:val="en-IN"/>
        </w:rPr>
      </w:pPr>
      <w:r>
        <w:rPr>
          <w:lang w:val="en-IN"/>
        </w:rPr>
        <w:t>Bar chart (Figure 3) showing average estimated yields with standard error bars. Sample sizes (n) are indicated above each bar. DBW90 recorded the highest mean yield, followed by HD 3086 and WH1105.</w:t>
      </w:r>
    </w:p>
    <w:p>
      <w:pPr>
        <w:pStyle w:val="Normal"/>
        <w:bidi w:val="0"/>
        <w:spacing w:lineRule="auto" w:line="240"/>
        <w:ind w:hanging="0" w:start="0" w:end="0"/>
        <w:jc w:val="start"/>
        <w:rPr>
          <w:b/>
          <w:bCs/>
        </w:rPr>
      </w:pPr>
      <w:r>
        <w:rPr>
          <w:rFonts w:ascii="times new roman" w:hAnsi="times new roman"/>
          <w:b/>
          <w:bCs/>
          <w:color w:val="000000"/>
          <w:shd w:fill="auto" w:val="clear"/>
        </w:rPr>
        <w:t>Major Yield Constraints</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drawing>
          <wp:anchor distT="0" distB="0" distL="0" distR="0" simplePos="0" relativeHeight="4" behindDoc="0" locked="0" layoutInCell="0" allowOverlap="1">
            <wp:simplePos x="0" y="0"/>
            <wp:positionH relativeFrom="column">
              <wp:align>center</wp:align>
            </wp:positionH>
            <wp:positionV relativeFrom="paragraph">
              <wp:posOffset>83185</wp:posOffset>
            </wp:positionV>
            <wp:extent cx="3745865" cy="2470785"/>
            <wp:effectExtent l="0" t="0" r="0" b="0"/>
            <wp:wrapSquare wrapText="largest"/>
            <wp:docPr id="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pic:cNvPicPr>
                      <a:picLocks noChangeAspect="1" noChangeArrowheads="1"/>
                    </pic:cNvPicPr>
                  </pic:nvPicPr>
                  <pic:blipFill>
                    <a:blip r:embed="rId6"/>
                    <a:stretch>
                      <a:fillRect/>
                    </a:stretch>
                  </pic:blipFill>
                  <pic:spPr bwMode="auto">
                    <a:xfrm>
                      <a:off x="0" y="0"/>
                      <a:ext cx="3745865" cy="2470785"/>
                    </a:xfrm>
                    <a:prstGeom prst="rect">
                      <a:avLst/>
                    </a:prstGeom>
                    <a:noFill/>
                  </pic:spPr>
                </pic:pic>
              </a:graphicData>
            </a:graphic>
          </wp:anchor>
        </w:drawing>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lang w:val="en-IN"/>
        </w:rPr>
        <w:t>Figure 4. Lodging incidence across wheat varieties.</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Lodging affected 34.7% of observations and was the primary yield constraint(Figures 4 &amp; 5).</w:t>
      </w:r>
    </w:p>
    <w:p>
      <w:pPr>
        <w:pStyle w:val="Normal"/>
        <w:bidi w:val="0"/>
        <w:spacing w:lineRule="auto" w:line="240" w:before="0" w:after="0"/>
        <w:ind w:hanging="0" w:start="0" w:end="0"/>
        <w:jc w:val="center"/>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193540" cy="3086100"/>
            <wp:effectExtent l="0" t="0" r="0" b="0"/>
            <wp:wrapSquare wrapText="largest"/>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7"/>
                    <a:stretch>
                      <a:fillRect/>
                    </a:stretch>
                  </pic:blipFill>
                  <pic:spPr bwMode="auto">
                    <a:xfrm>
                      <a:off x="0" y="0"/>
                      <a:ext cx="4193540" cy="3086100"/>
                    </a:xfrm>
                    <a:prstGeom prst="rect">
                      <a:avLst/>
                    </a:prstGeom>
                    <a:noFill/>
                  </pic:spPr>
                </pic:pic>
              </a:graphicData>
            </a:graphic>
          </wp:anchor>
        </w:drawing>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center"/>
        <w:rPr>
          <w:rFonts w:ascii="times new roman" w:hAnsi="times new roman"/>
          <w:color w:val="000000"/>
          <w:shd w:fill="auto" w:val="clear"/>
        </w:rPr>
      </w:pPr>
      <w:r>
        <w:rPr>
          <w:rFonts w:ascii="times new roman" w:hAnsi="times new roman"/>
          <w:color w:val="000000"/>
          <w:shd w:fill="auto" w:val="clear"/>
        </w:rPr>
        <w:t>Figure 5. Impact of lodging severity on estimated yield (HD2967 baseline).</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ind w:hanging="0" w:start="0" w:end="0"/>
        <w:jc w:val="both"/>
        <w:rPr>
          <w:rFonts w:ascii="times new roman" w:hAnsi="times new roman"/>
          <w:color w:val="000000"/>
          <w:shd w:fill="auto" w:val="clear"/>
          <w:lang w:val="en-IN"/>
        </w:rPr>
      </w:pPr>
      <w:r>
        <w:rPr>
          <w:rFonts w:ascii="times new roman" w:hAnsi="times new roman"/>
          <w:color w:val="000000"/>
          <w:shd w:fill="auto" w:val="clear"/>
          <w:lang w:val="en-IN"/>
        </w:rPr>
        <w:t>Yield reductions are shown as percentages above each bar.</w:t>
      </w:r>
    </w:p>
    <w:p>
      <w:pPr>
        <w:pStyle w:val="Normal"/>
        <w:bidi w:val="0"/>
        <w:ind w:hanging="0" w:start="0" w:end="0"/>
        <w:jc w:val="both"/>
        <w:rPr>
          <w:rFonts w:ascii="times new roman" w:hAnsi="times new roman"/>
          <w:color w:val="000000"/>
          <w:shd w:fill="auto" w:val="clear"/>
          <w:lang w:val="en-IN"/>
        </w:rPr>
      </w:pPr>
      <w:r>
        <w:rPr>
          <w:rFonts w:ascii="times new roman" w:hAnsi="times new roman"/>
          <w:color w:val="000000"/>
          <w:shd w:fill="auto" w:val="clear"/>
          <w:lang w:val="en-IN"/>
        </w:rPr>
        <w:t xml:space="preserve">Severe lodging (occurring before or during early grain filling) caused the highest yield penalty (≈32%). (1) Weeds (6.8%): ~5% penalty. (2) Waterlogging (3.4%): Localized; worse when combined with lodging (~22% penalty). (3) </w:t>
      </w:r>
      <w:r>
        <w:rPr>
          <w:lang w:val="en-IN"/>
        </w:rPr>
        <w:t>Fog/humidity: No direct yield loss; low disease pressure observed.</w:t>
      </w:r>
    </w:p>
    <w:p>
      <w:pPr>
        <w:pStyle w:val="Normal"/>
        <w:bidi w:val="0"/>
        <w:spacing w:lineRule="auto" w:line="240"/>
        <w:ind w:hanging="0" w:start="0" w:end="0"/>
        <w:jc w:val="start"/>
        <w:rPr>
          <w:b/>
          <w:bCs/>
        </w:rPr>
      </w:pPr>
      <w:r>
        <w:rPr>
          <w:rFonts w:ascii="times new roman" w:hAnsi="times new roman"/>
          <w:b/>
          <w:bCs/>
          <w:color w:val="000000"/>
          <w:shd w:fill="auto" w:val="clear"/>
          <w:lang w:val="en-IN"/>
        </w:rPr>
        <w:t>Confidence in Estimates</w:t>
      </w:r>
    </w:p>
    <w:p>
      <w:pPr>
        <w:pStyle w:val="BodyText"/>
        <w:bidi w:val="0"/>
        <w:spacing w:before="0" w:after="0"/>
        <w:ind w:hanging="0" w:start="0" w:end="0"/>
        <w:jc w:val="both"/>
        <w:rPr>
          <w:rFonts w:ascii="times new roman" w:hAnsi="times new roman"/>
          <w:color w:val="000000"/>
          <w:shd w:fill="auto" w:val="clear"/>
          <w:lang w:val="en-IN"/>
        </w:rPr>
      </w:pPr>
      <w:r>
        <w:rPr>
          <w:lang w:val="en-IN"/>
        </w:rPr>
        <w:t xml:space="preserve">Confidence scores (Figure 6) ranged 70–95%, with 84.7% ≥85%. High-confidence estimates (≥90%) showed lower variance (SD=1.1 vs 1.6 q/acre) and were linked to complete phenology, uniform canopy, and clear imagery. No correlation existed between confidence and yield level. </w:t>
      </w:r>
      <w:r>
        <w:rPr>
          <w:rFonts w:ascii="times new roman" w:hAnsi="times new roman"/>
          <w:color w:val="000000"/>
          <w:shd w:fill="auto" w:val="clear"/>
        </w:rPr>
        <w:br/>
        <w:t xml:space="preserve">84.7% of estimates had confidence ≥85%. High-confidence estimates showed lower variance (SD = 1.1 q/acre). </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2757170"/>
            <wp:effectExtent l="0" t="0" r="0" b="0"/>
            <wp:wrapSquare wrapText="largest"/>
            <wp:docPr id="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8"/>
                    <a:stretch>
                      <a:fillRect/>
                    </a:stretch>
                  </pic:blipFill>
                  <pic:spPr bwMode="auto">
                    <a:xfrm>
                      <a:off x="0" y="0"/>
                      <a:ext cx="5731510" cy="2757170"/>
                    </a:xfrm>
                    <a:prstGeom prst="rect">
                      <a:avLst/>
                    </a:prstGeom>
                    <a:noFill/>
                  </pic:spPr>
                </pic:pic>
              </a:graphicData>
            </a:graphic>
          </wp:anchor>
        </w:drawing>
      </w:r>
    </w:p>
    <w:p>
      <w:pPr>
        <w:pStyle w:val="Normal"/>
        <w:bidi w:val="0"/>
        <w:spacing w:lineRule="auto" w:line="240"/>
        <w:ind w:hanging="0" w:start="0" w:end="0"/>
        <w:jc w:val="center"/>
        <w:rPr>
          <w:rFonts w:ascii="times new roman" w:hAnsi="times new roman"/>
          <w:color w:val="000000"/>
          <w:shd w:fill="auto" w:val="clear"/>
        </w:rPr>
      </w:pPr>
      <w:r>
        <w:rPr>
          <w:rFonts w:ascii="times new roman" w:hAnsi="times new roman"/>
          <w:color w:val="000000"/>
          <w:shd w:fill="auto" w:val="clear"/>
        </w:rPr>
        <w:t xml:space="preserve">Figure 6. </w:t>
      </w:r>
      <w:r>
        <w:rPr>
          <w:rFonts w:ascii="times new roman" w:hAnsi="times new roman"/>
          <w:color w:val="000000"/>
          <w:shd w:fill="auto" w:val="clear"/>
          <w:lang w:val="en-IN"/>
        </w:rPr>
        <w:t>Distribution of confidence scores and relationship with yield variance (pie + grouped boxplot).</w:t>
      </w:r>
    </w:p>
    <w:p>
      <w:pPr>
        <w:pStyle w:val="BodyText"/>
        <w:bidi w:val="0"/>
        <w:spacing w:before="0" w:after="0"/>
        <w:ind w:hanging="0" w:start="0" w:end="0"/>
        <w:jc w:val="both"/>
        <w:rPr>
          <w:rFonts w:ascii="times new roman" w:hAnsi="times new roman"/>
          <w:color w:val="000000"/>
          <w:shd w:fill="auto" w:val="clear"/>
          <w:lang w:val="en-IN"/>
        </w:rPr>
      </w:pPr>
      <w:r>
        <w:rPr>
          <w:rFonts w:ascii="times new roman" w:hAnsi="times new roman"/>
          <w:color w:val="000000"/>
          <w:shd w:fill="auto" w:val="clear"/>
          <w:lang w:val="en-IN"/>
        </w:rPr>
        <w:t>3.4 Yield Adjustment Framework</w:t>
      </w:r>
    </w:p>
    <w:p>
      <w:pPr>
        <w:pStyle w:val="BodyText"/>
        <w:bidi w:val="0"/>
        <w:spacing w:before="0" w:after="0"/>
        <w:ind w:hanging="0" w:start="0" w:end="0"/>
        <w:jc w:val="both"/>
        <w:rPr>
          <w:rFonts w:ascii="times new roman" w:hAnsi="times new roman"/>
          <w:color w:val="000000"/>
          <w:shd w:fill="auto" w:val="clear"/>
          <w:lang w:val="en-IN"/>
        </w:rPr>
      </w:pPr>
      <w:r>
        <w:rPr>
          <w:rFonts w:ascii="times new roman" w:hAnsi="times new roman"/>
          <w:color w:val="000000"/>
          <w:shd w:fill="auto" w:val="clear"/>
          <w:lang w:val="en-IN"/>
        </w:rPr>
        <w:t>A practical framework was developed using HD2967 baseline of 22 q/acre (adjust for other varieties):</w:t>
      </w:r>
    </w:p>
    <w:p>
      <w:pPr>
        <w:pStyle w:val="Normal"/>
        <w:bidi w:val="0"/>
        <w:ind w:hanging="0" w:start="0" w:end="0"/>
        <w:jc w:val="both"/>
        <w:rPr>
          <w:rFonts w:ascii="times new roman" w:hAnsi="times new roman"/>
          <w:color w:val="000000"/>
          <w:shd w:fill="auto" w:val="clear"/>
          <w:lang w:val="en-IN"/>
        </w:rPr>
      </w:pPr>
      <w:r>
        <w:rPr>
          <w:rFonts w:ascii="times new roman" w:hAnsi="times new roman"/>
          <w:color w:val="000000"/>
          <w:shd w:fill="auto" w:val="clear"/>
          <w:lang w:val="en-IN"/>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300855" cy="4512945"/>
            <wp:effectExtent l="0" t="0" r="0" b="0"/>
            <wp:wrapSquare wrapText="largest"/>
            <wp:docPr id="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pic:cNvPicPr>
                      <a:picLocks noChangeAspect="1" noChangeArrowheads="1"/>
                    </pic:cNvPicPr>
                  </pic:nvPicPr>
                  <pic:blipFill>
                    <a:blip r:embed="rId9"/>
                    <a:stretch>
                      <a:fillRect/>
                    </a:stretch>
                  </pic:blipFill>
                  <pic:spPr bwMode="auto">
                    <a:xfrm>
                      <a:off x="0" y="0"/>
                      <a:ext cx="4300855" cy="4512945"/>
                    </a:xfrm>
                    <a:prstGeom prst="rect">
                      <a:avLst/>
                    </a:prstGeom>
                    <a:noFill/>
                  </pic:spPr>
                </pic:pic>
              </a:graphicData>
            </a:graphic>
          </wp:anchor>
        </w:drawing>
      </w:r>
    </w:p>
    <w:p>
      <w:pPr>
        <w:pStyle w:val="Normal"/>
        <w:bidi w:val="0"/>
        <w:spacing w:before="0" w:after="0"/>
        <w:ind w:hanging="0" w:start="0" w:end="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t>Figure 7.  Observed (CCE-Red line) vs. framework-predicted(GDD-Blue dots) yields.</w:t>
      </w:r>
    </w:p>
    <w:p>
      <w:pPr>
        <w:pStyle w:val="BodyText"/>
        <w:bidi w:val="0"/>
        <w:spacing w:before="0" w:after="0"/>
        <w:ind w:hanging="0" w:start="0" w:end="0"/>
        <w:jc w:val="center"/>
        <w:rPr>
          <w:rFonts w:ascii="times new roman" w:hAnsi="times new roman"/>
          <w:color w:val="000000"/>
          <w:shd w:fill="auto" w:val="clear"/>
          <w:lang w:val="en-IN"/>
        </w:rPr>
      </w:pPr>
      <w:r>
        <w:rPr>
          <w:rFonts w:ascii="times new roman" w:hAnsi="times new roman"/>
          <w:color w:val="000000"/>
          <w:shd w:fill="auto" w:val="clear"/>
          <w:lang w:val="en-IN"/>
        </w:rPr>
        <w:t>Table 2 : Adjustment Table  HD2967 baseline of 22 q/acre</w:t>
      </w:r>
    </w:p>
    <w:tbl>
      <w:tblPr>
        <w:tblW w:w="8383" w:type="dxa"/>
        <w:jc w:val="start"/>
        <w:tblInd w:w="0" w:type="dxa"/>
        <w:tblLayout w:type="fixed"/>
        <w:tblCellMar>
          <w:top w:w="0" w:type="dxa"/>
          <w:start w:w="0" w:type="dxa"/>
          <w:bottom w:w="0" w:type="dxa"/>
          <w:end w:w="0" w:type="dxa"/>
        </w:tblCellMar>
      </w:tblPr>
      <w:tblGrid>
        <w:gridCol w:w="3741"/>
        <w:gridCol w:w="1763"/>
        <w:gridCol w:w="2879"/>
      </w:tblGrid>
      <w:tr>
        <w:trPr/>
        <w:tc>
          <w:tcPr>
            <w:tcW w:w="3741" w:type="dxa"/>
            <w:tcBorders/>
            <w:vAlign w:val="center"/>
          </w:tcPr>
          <w:p>
            <w:pPr>
              <w:pStyle w:val="TableHeading"/>
              <w:ind w:hanging="0" w:start="0" w:end="0"/>
              <w:rPr>
                <w:rFonts w:eastAsia="sans-serif" w:cs="sans-serif"/>
                <w:b/>
                <w:bCs/>
                <w:color w:val="000000"/>
              </w:rPr>
            </w:pPr>
            <w:r>
              <w:rPr>
                <w:rFonts w:ascii="times new roman" w:hAnsi="times new roman"/>
                <w:b/>
                <w:color w:val="000000"/>
                <w:shd w:fill="auto" w:val="clear"/>
              </w:rPr>
              <w:t>Condition</w:t>
            </w:r>
          </w:p>
        </w:tc>
        <w:tc>
          <w:tcPr>
            <w:tcW w:w="1763" w:type="dxa"/>
            <w:tcBorders/>
            <w:vAlign w:val="center"/>
          </w:tcPr>
          <w:p>
            <w:pPr>
              <w:pStyle w:val="TableHeading"/>
              <w:ind w:hanging="0" w:start="0" w:end="0"/>
              <w:rPr>
                <w:rFonts w:eastAsia="sans-serif" w:cs="sans-serif"/>
                <w:b/>
                <w:bCs/>
                <w:color w:val="000000"/>
              </w:rPr>
            </w:pPr>
            <w:r>
              <w:rPr>
                <w:rFonts w:ascii="times new roman" w:hAnsi="times new roman"/>
                <w:b/>
                <w:color w:val="000000"/>
                <w:shd w:fill="auto" w:val="clear"/>
              </w:rPr>
              <w:t>Adjustment</w:t>
            </w:r>
          </w:p>
        </w:tc>
        <w:tc>
          <w:tcPr>
            <w:tcW w:w="2879" w:type="dxa"/>
            <w:tcBorders/>
            <w:vAlign w:val="center"/>
          </w:tcPr>
          <w:p>
            <w:pPr>
              <w:pStyle w:val="TableHeading"/>
              <w:ind w:hanging="0" w:start="0" w:end="0"/>
              <w:rPr>
                <w:rFonts w:eastAsia="sans-serif" w:cs="sans-serif"/>
                <w:b/>
                <w:bCs/>
                <w:color w:val="000000"/>
              </w:rPr>
            </w:pPr>
            <w:r>
              <w:rPr>
                <w:rFonts w:ascii="times new roman" w:hAnsi="times new roman"/>
                <w:b/>
                <w:color w:val="000000"/>
                <w:shd w:fill="auto" w:val="clear"/>
              </w:rPr>
              <w:t>Expected Yield (q/acre)</w:t>
            </w:r>
          </w:p>
        </w:tc>
      </w:tr>
      <w:tr>
        <w:trPr/>
        <w:tc>
          <w:tcPr>
            <w:tcW w:w="3741"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Healthy, uniform, no lodging</w:t>
            </w:r>
          </w:p>
        </w:tc>
        <w:tc>
          <w:tcPr>
            <w:tcW w:w="1763"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+10 to +15%</w:t>
            </w:r>
          </w:p>
        </w:tc>
        <w:tc>
          <w:tcPr>
            <w:tcW w:w="2879"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24.2–25.3</w:t>
            </w:r>
          </w:p>
        </w:tc>
      </w:tr>
      <w:tr>
        <w:trPr/>
        <w:tc>
          <w:tcPr>
            <w:tcW w:w="3741"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Minor lodging (maturity)</w:t>
            </w:r>
          </w:p>
        </w:tc>
        <w:tc>
          <w:tcPr>
            <w:tcW w:w="1763"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w:t>
            </w:r>
            <w:r>
              <w:rPr>
                <w:rFonts w:ascii="times new roman" w:hAnsi="times new roman"/>
                <w:color w:val="000000"/>
                <w:shd w:fill="auto" w:val="clear"/>
              </w:rPr>
              <w:t>5 to –10%</w:t>
            </w:r>
          </w:p>
        </w:tc>
        <w:tc>
          <w:tcPr>
            <w:tcW w:w="2879"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19.8–20.9</w:t>
            </w:r>
          </w:p>
        </w:tc>
      </w:tr>
      <w:tr>
        <w:trPr/>
        <w:tc>
          <w:tcPr>
            <w:tcW w:w="3741"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Moderate lodging</w:t>
            </w:r>
          </w:p>
        </w:tc>
        <w:tc>
          <w:tcPr>
            <w:tcW w:w="1763"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w:t>
            </w:r>
            <w:r>
              <w:rPr>
                <w:rFonts w:ascii="times new roman" w:hAnsi="times new roman"/>
                <w:color w:val="000000"/>
                <w:shd w:fill="auto" w:val="clear"/>
              </w:rPr>
              <w:t>15 to –20%</w:t>
            </w:r>
          </w:p>
        </w:tc>
        <w:tc>
          <w:tcPr>
            <w:tcW w:w="2879"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17.6–18.7</w:t>
            </w:r>
          </w:p>
        </w:tc>
      </w:tr>
      <w:tr>
        <w:trPr/>
        <w:tc>
          <w:tcPr>
            <w:tcW w:w="3741"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Severe lodging (pre-grain fill)</w:t>
            </w:r>
          </w:p>
        </w:tc>
        <w:tc>
          <w:tcPr>
            <w:tcW w:w="1763"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w:t>
            </w:r>
            <w:r>
              <w:rPr>
                <w:rFonts w:ascii="times new roman" w:hAnsi="times new roman"/>
                <w:color w:val="000000"/>
                <w:shd w:fill="auto" w:val="clear"/>
              </w:rPr>
              <w:t>25 to –30%</w:t>
            </w:r>
          </w:p>
        </w:tc>
        <w:tc>
          <w:tcPr>
            <w:tcW w:w="2879"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15.4–16.5</w:t>
            </w:r>
          </w:p>
        </w:tc>
      </w:tr>
      <w:tr>
        <w:trPr/>
        <w:tc>
          <w:tcPr>
            <w:tcW w:w="3741"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Weeds / Waterlogging + lodging</w:t>
            </w:r>
          </w:p>
        </w:tc>
        <w:tc>
          <w:tcPr>
            <w:tcW w:w="1763"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w:t>
            </w:r>
            <w:r>
              <w:rPr>
                <w:rFonts w:ascii="times new roman" w:hAnsi="times new roman"/>
                <w:color w:val="000000"/>
                <w:shd w:fill="auto" w:val="clear"/>
              </w:rPr>
              <w:t>5% / –15–25%</w:t>
            </w:r>
          </w:p>
        </w:tc>
        <w:tc>
          <w:tcPr>
            <w:tcW w:w="2879" w:type="dxa"/>
            <w:tcBorders/>
            <w:vAlign w:val="center"/>
          </w:tcPr>
          <w:p>
            <w:pPr>
              <w:pStyle w:val="TableContents"/>
              <w:ind w:hanging="0" w:start="0" w:end="0"/>
              <w:rPr>
                <w:rFonts w:eastAsia="sans-serif" w:cs="sans-serif"/>
                <w:color w:val="000000"/>
              </w:rPr>
            </w:pPr>
            <w:r>
              <w:rPr>
                <w:rFonts w:ascii="times new roman" w:hAnsi="times new roman"/>
                <w:color w:val="000000"/>
                <w:shd w:fill="auto" w:val="clear"/>
              </w:rPr>
              <w:t>—</w:t>
            </w:r>
          </w:p>
        </w:tc>
      </w:tr>
    </w:tbl>
    <w:p>
      <w:pPr>
        <w:pStyle w:val="Normal"/>
        <w:bidi w:val="0"/>
        <w:ind w:hanging="0" w:start="0" w:end="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start="0" w:end="0"/>
        <w:contextualSpacing/>
        <w:jc w:val="both"/>
        <w:rPr>
          <w:rFonts w:ascii="times new roman" w:hAnsi="times new roman"/>
          <w:color w:val="000000"/>
          <w:shd w:fill="auto" w:val="clear"/>
          <w:lang w:val="en-IN"/>
        </w:rPr>
      </w:pPr>
      <w:r>
        <w:rPr>
          <w:rFonts w:ascii="times new roman" w:hAnsi="times new roman"/>
          <w:color w:val="000000"/>
          <w:shd w:fill="auto" w:val="clear"/>
          <w:lang w:val="en-IN"/>
        </w:rPr>
        <w:t xml:space="preserve">Validation on 30 independent observations: MAE=1.2 q/acre, RMSE=1.6 q/acre; 85% predictions within ±1.5 q/acre. </w:t>
      </w:r>
    </w:p>
    <w:p>
      <w:pPr>
        <w:pStyle w:val="Normal"/>
        <w:bidi w:val="0"/>
        <w:spacing w:lineRule="auto" w:line="240" w:before="0" w:after="0"/>
        <w:ind w:hanging="0" w:start="0" w:end="0"/>
        <w:contextualSpacing/>
        <w:jc w:val="start"/>
        <w:rPr>
          <w:b/>
          <w:bCs/>
        </w:rPr>
      </w:pPr>
      <w:r>
        <w:rPr>
          <w:rFonts w:ascii="times new roman" w:hAnsi="times new roman"/>
          <w:b/>
          <w:bCs/>
          <w:color w:val="000000"/>
          <w:shd w:fill="auto" w:val="clear"/>
        </w:rPr>
        <w:t>Discussion</w:t>
      </w:r>
    </w:p>
    <w:p>
      <w:pPr>
        <w:pStyle w:val="Normal"/>
        <w:bidi w:val="0"/>
        <w:spacing w:lineRule="auto" w:line="240" w:before="0" w:after="0"/>
        <w:ind w:hanging="0" w:start="0" w:end="0"/>
        <w:contextualSpacing/>
        <w:jc w:val="start"/>
        <w:rPr/>
      </w:pPr>
      <w:r>
        <w:rPr>
          <w:rFonts w:ascii="times new roman" w:hAnsi="times new roman"/>
          <w:color w:val="000000"/>
          <w:shd w:fill="auto" w:val="clear"/>
        </w:rPr>
        <w:t>The results demonstrate that Google Gemini can effectively analyze temporal image sequences for wheat phenology, stress detection, and yield estimation. The strong performance of DBW90 and HD 3086 highlights the importance of variety selection in lodging-prone environments. The developed yield adjustment framework provides a practical, easy-to-use tool for extension workers and farmers. Its alignment with established lodging-yield loss relationships (Berry et al., 2004; Tripathi et al., 2004) adds credibility.</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Conclusions</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This study demonstrates the potential of multi-modal generative AI (Google Gemini) as a scalable tool for smartphone-based wheat monitoring and yield estimation. The proposed framework offers a practical solution for precision agriculture and climate-resilient farming in India. With continued validation and integration of meteorological data, such AI systems can significantly enhance decision support for all farmers including smallholder farmers.</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Acknowledgments</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The author gratefully acknowledges the IFPRI-BKC WeatherSys project for providing the 2017–18 field data and metadata.</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Annexures</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Annexure-I: Detailed prompts and responses in English and Hindi</w:t>
      </w:r>
    </w:p>
    <w:p>
      <w:pPr>
        <w:pStyle w:val="Normal"/>
        <w:bidi w:val="0"/>
        <w:spacing w:lineRule="auto" w:line="240"/>
        <w:ind w:hanging="0" w:start="0" w:end="0"/>
        <w:jc w:val="start"/>
        <w:rPr>
          <w:rFonts w:ascii="times new roman" w:hAnsi="times new roman"/>
          <w:color w:val="000000"/>
          <w:shd w:fill="auto" w:val="clear"/>
        </w:rPr>
      </w:pPr>
      <w:r>
        <w:rPr>
          <w:rFonts w:ascii="times new roman" w:hAnsi="times new roman"/>
          <w:color w:val="000000"/>
          <w:shd w:fill="auto" w:val="clear"/>
        </w:rPr>
        <w:t>Annexure-II: Mobile setup</w:t>
      </w:r>
    </w:p>
    <w:p>
      <w:pPr>
        <w:pStyle w:val="Normal"/>
        <w:bidi w:val="0"/>
        <w:spacing w:before="0" w:after="0"/>
        <w:contextualSpacing/>
        <w:jc w:val="start"/>
        <w:rPr/>
      </w:pPr>
      <w:r>
        <w:rPr>
          <w:rFonts w:ascii="Times New Roman" w:hAnsi="Times New Roman"/>
        </w:rPr>
        <w:t>References</w:t>
      </w:r>
    </w:p>
    <w:p>
      <w:pPr>
        <w:pStyle w:val="BodyText"/>
        <w:spacing w:lineRule="auto" w:line="240" w:before="0" w:after="0"/>
        <w:contextualSpacing/>
        <w:rPr/>
      </w:pPr>
      <w:r>
        <w:rPr/>
        <w:t xml:space="preserve">1. </w:t>
      </w:r>
      <w:r>
        <w:rPr>
          <w:rStyle w:val="Strong"/>
          <w:rFonts w:cs="Times New Roman" w:ascii="times new roman" w:hAnsi="times new roman"/>
          <w:b w:val="false"/>
          <w:bCs/>
          <w:i w:val="false"/>
          <w:iCs/>
          <w:caps w:val="false"/>
          <w:smallCaps w:val="false"/>
          <w:color w:val="0A0A0A"/>
          <w:spacing w:val="0"/>
          <w:sz w:val="24"/>
          <w:szCs w:val="24"/>
        </w:rPr>
        <w:t xml:space="preserve">PIB 2132330(2025), </w:t>
      </w:r>
      <w:r>
        <w:rPr/>
        <w:t xml:space="preserve"> </w:t>
      </w:r>
      <w:hyperlink r:id="rId10">
        <w:r>
          <w:rPr>
            <w:rStyle w:val="Hyperlink"/>
            <w:rFonts w:cs="Times New Roman" w:ascii="times new roman" w:hAnsi="times new roman"/>
            <w:b w:val="false"/>
            <w:bCs/>
            <w:i w:val="false"/>
            <w:iCs/>
            <w:caps w:val="false"/>
            <w:smallCaps w:val="false"/>
            <w:color w:val="0A0A0A"/>
            <w:spacing w:val="0"/>
            <w:sz w:val="24"/>
            <w:szCs w:val="24"/>
          </w:rPr>
          <w:t>https://www.pib.gov.in/PressReleasePage.aspx?PRID=2132330&amp;reg=3&amp;lang=2</w:t>
        </w:r>
      </w:hyperlink>
    </w:p>
    <w:p>
      <w:pPr>
        <w:pStyle w:val="Normal"/>
        <w:spacing w:lineRule="auto" w:line="240" w:before="0" w:after="0"/>
        <w:contextualSpacing/>
        <w:jc w:val="both"/>
        <w:rPr/>
      </w:pPr>
      <w:r>
        <w:rPr>
          <w:rStyle w:val="Hyperlink"/>
          <w:rFonts w:cs="Times New Roman" w:ascii="Times New Roman" w:hAnsi="Times New Roman"/>
          <w:b w:val="false"/>
          <w:bCs/>
          <w:i w:val="false"/>
          <w:iCs/>
          <w:caps w:val="false"/>
          <w:smallCaps w:val="false"/>
          <w:color w:val="0A0A0A"/>
          <w:spacing w:val="0"/>
          <w:sz w:val="24"/>
          <w:szCs w:val="24"/>
        </w:rPr>
        <w:t xml:space="preserve">2. Singh, B. K., et al. (2018) A Tool for Climate Smart Crop Insurance: Combining Farmers’Pictures with Dynamic Crop Modelling for Accurate Yield Estimation Prior to Harvest, Dr. B.K. Singh, Dulal Chakraborty, Dr. Naveen Kalra, and Dr. Jaya Singh, </w:t>
      </w:r>
      <w:hyperlink r:id="rId11">
        <w:r>
          <w:rPr>
            <w:rStyle w:val="Hyperlink"/>
            <w:rFonts w:cs="Times New Roman" w:ascii="Times New Roman" w:hAnsi="Times New Roman"/>
            <w:b w:val="false"/>
            <w:bCs/>
            <w:i w:val="false"/>
            <w:iCs/>
            <w:caps w:val="false"/>
            <w:smallCaps w:val="false"/>
            <w:spacing w:val="0"/>
            <w:sz w:val="24"/>
            <w:szCs w:val="24"/>
          </w:rPr>
          <w:t>https://cgspace.cgiar.org/items/d5be41df-750d-4325-8300-f77da3249f70</w:t>
        </w:r>
      </w:hyperlink>
    </w:p>
    <w:p>
      <w:pPr>
        <w:pStyle w:val="Normal"/>
        <w:bidi w:val="0"/>
        <w:spacing w:lineRule="auto" w:line="240" w:before="0" w:after="0"/>
        <w:contextualSpacing/>
        <w:jc w:val="start"/>
        <w:rPr/>
      </w:pPr>
      <w:r>
        <w:rPr>
          <w:rFonts w:ascii="Times New Roman" w:hAnsi="Times New Roman"/>
        </w:rPr>
        <w:t xml:space="preserve">3. </w:t>
      </w:r>
      <w:r>
        <w:rPr/>
        <w:t xml:space="preserve">Berry, P. M., Sterling, M., Baker, C. J., Spink, J., &amp; Sparkes, D. L. (2004). A calibrated model of wheat lodging compared with field measurements. </w:t>
      </w:r>
      <w:r>
        <w:rPr>
          <w:i/>
        </w:rPr>
        <w:t>Agricultural and Forest Meteorology</w:t>
      </w:r>
      <w:r>
        <w:rPr/>
        <w:t>, 123(3-4), 167-180</w:t>
      </w:r>
    </w:p>
    <w:p>
      <w:pPr>
        <w:pStyle w:val="Normal"/>
        <w:bidi w:val="0"/>
        <w:spacing w:lineRule="auto" w:line="240" w:before="0" w:after="0"/>
        <w:ind w:hanging="0" w:start="0" w:end="0"/>
        <w:contextualSpacing/>
        <w:jc w:val="start"/>
        <w:rPr/>
      </w:pPr>
      <w:r>
        <w:rPr>
          <w:rFonts w:ascii="times new roman" w:hAnsi="times new roman"/>
          <w:color w:val="000000"/>
          <w:shd w:fill="auto" w:val="clear"/>
        </w:rPr>
        <w:t xml:space="preserve">4. Tripathi, S. C., Sayre, K. D., Kaul, J. N., &amp; Narang, R. S. (2004). Lodging behavior and yield potential of spring wheat (Triticum aestivum L.) under different management practices. </w:t>
      </w:r>
      <w:r>
        <w:rPr>
          <w:rFonts w:ascii="times new roman" w:hAnsi="times new roman"/>
          <w:i/>
          <w:color w:val="000000"/>
          <w:shd w:fill="auto" w:val="clear"/>
        </w:rPr>
        <w:t>Indian Journal of Agricultural Sciences</w:t>
      </w:r>
      <w:r>
        <w:rPr>
          <w:rFonts w:ascii="times new roman" w:hAnsi="times new roman"/>
          <w:color w:val="000000"/>
          <w:shd w:fill="auto" w:val="clear"/>
        </w:rPr>
        <w:t>, 74(4), 189-193.</w:t>
      </w:r>
    </w:p>
    <w:p>
      <w:pPr>
        <w:pStyle w:val="Normal"/>
        <w:bidi w:val="0"/>
        <w:spacing w:lineRule="auto" w:line="240" w:before="0" w:after="283"/>
        <w:ind w:hanging="0" w:start="0" w:end="0"/>
        <w:jc w:val="start"/>
        <w:rPr>
          <w:rFonts w:ascii="times new roman" w:hAnsi="times new roman"/>
          <w:color w:val="000000"/>
          <w:shd w:fill="auto" w:val="clear"/>
        </w:rPr>
      </w:pPr>
      <w:r>
        <w:rPr>
          <w:rFonts w:ascii="times new roman" w:hAnsi="times new roman"/>
          <w:color w:val="000000"/>
          <w:shd w:fill="auto" w:val="clear"/>
        </w:rPr>
      </w:r>
    </w:p>
    <w:p>
      <w:pPr>
        <w:pStyle w:val="Normal"/>
        <w:spacing w:before="0" w:after="0"/>
        <w:ind w:hanging="0" w:start="0"/>
        <w:jc w:val="center"/>
        <w:rPr>
          <w:rFonts w:ascii="times new roman" w:hAnsi="times new roman" w:cs="Times New Roman"/>
          <w:b/>
          <w:i w:val="false"/>
          <w:caps w:val="false"/>
          <w:smallCaps w:val="false"/>
          <w:color w:val="0F1115"/>
          <w:spacing w:val="0"/>
          <w:sz w:val="24"/>
          <w:szCs w:val="24"/>
        </w:rPr>
      </w:pPr>
      <w:r>
        <w:rPr>
          <w:rFonts w:ascii="times new roman" w:hAnsi="times new roman"/>
          <w:color w:val="1F1F1F"/>
        </w:rPr>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ohit Devanagari">
    <w:altName w:val="Segoe Print"/>
    <w:charset w:val="01" w:characterSet="utf-8"/>
    <w:family w:val="roman"/>
    <w:pitch w:val="variable"/>
  </w:font>
  <w:font w:name="times new roman">
    <w:charset w:val="01" w:characterSet="utf-8"/>
    <w:family w:val="roman"/>
    <w:pitch w:val="variable"/>
  </w:font>
  <w:font w:name="sans-serif">
    <w:altName w:val="Arial"/>
    <w:charset w:val="01" w:characterSet="utf-8"/>
    <w:family w:val="roman"/>
    <w:pitch w:val="variable"/>
  </w:font>
  <w:font w:name="Times new roman">
    <w:charset w:val="01" w:characterSet="utf-8"/>
    <w:family w:val="roman"/>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outlineLvl w:val="0"/>
    </w:pPr>
    <w:rPr>
      <w:rFonts w:ascii="Liberation Serif;HGPMinchoE" w:hAnsi="Liberation Serif;HGPMinchoE" w:eastAsia="Noto Serif CJK SC;SimSun" w:cs="Liberation Serif;HGPMinchoE"/>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Normal"/>
    <w:next w:val="Normal"/>
    <w:qFormat/>
    <w:pPr>
      <w:keepNext w:val="true"/>
      <w:widowControl w:val="false"/>
      <w:numPr>
        <w:ilvl w:val="2"/>
        <w:numId w:val="1"/>
      </w:numPr>
      <w:tabs>
        <w:tab w:val="clear" w:pos="709"/>
        <w:tab w:val="left" w:pos="0" w:leader="none"/>
      </w:tabs>
      <w:jc w:val="center"/>
      <w:outlineLvl w:val="2"/>
    </w:pPr>
    <w:rPr>
      <w:b/>
      <w:bCs/>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efaultDrawingStyle">
    <w:name w:val="Default Drawing Style"/>
    <w:qFormat/>
    <w:pPr>
      <w:widowControl/>
      <w:suppressAutoHyphens w:val="true"/>
      <w:bidi w:val="0"/>
      <w:spacing w:lineRule="atLeast" w:line="200" w:before="0" w:after="0"/>
      <w:jc w:val="start"/>
    </w:pPr>
    <w:rPr>
      <w:rFonts w:ascii="Lohit Devanagari;Segoe Print" w:hAnsi="Lohit Devanagari;Segoe Print" w:eastAsia="DejaVu Sans" w:cs="Noto Sans"/>
      <w:color w:val="auto"/>
      <w:kern w:val="2"/>
      <w:sz w:val="36"/>
      <w:szCs w:val="24"/>
      <w:lang w:val="en-IN"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ulalchakrabarti@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www.pib.gov.in/PressReleasePage.aspx?PRID=2132330&amp;reg=3&amp;lang=2" TargetMode="External"/><Relationship Id="rId11" Type="http://schemas.openxmlformats.org/officeDocument/2006/relationships/hyperlink" Target="https://cgspace.cgiar.org/items/d5be41df-750d-4325-8300-f77da3249f70"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1028</TotalTime>
  <Application>LibreOffice/26.2.3.2$Linux_X86_64 LibreOffice_project/d4d5ed47b6084125f28d269a5650105d54dde034</Application>
  <AppVersion>15.0000</AppVersion>
  <Pages>6</Pages>
  <Words>1413</Words>
  <Characters>8504</Characters>
  <CharactersWithSpaces>9796</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2026-05-27T19:03:51Z</dcterms:created>
  <dc:creator/>
  <dc:description/>
  <dc:language>en-US</dc:language>
  <cp:lastModifiedBy/>
  <dcterms:modified xsi:type="dcterms:W3CDTF">2026-05-30T13:20:31Z</dcterms:modified>
  <cp:revision>131</cp:revision>
  <dc:subject/>
  <dc:title/>
</cp:coreProperties>
</file>

<file path=docProps/custom.xml><?xml version="1.0" encoding="utf-8"?>
<Properties xmlns="http://schemas.openxmlformats.org/officeDocument/2006/custom-properties" xmlns:vt="http://schemas.openxmlformats.org/officeDocument/2006/docPropsVTypes"/>
</file>