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F7C17" w14:textId="168F66B8" w:rsidR="00CC283A" w:rsidRDefault="00C640E9">
      <w:r>
        <w:t>Executive Summary</w:t>
      </w:r>
    </w:p>
    <w:p w14:paraId="2495E1D9" w14:textId="044B1168" w:rsidR="00C640E9" w:rsidRDefault="00C640E9">
      <w:r>
        <w:t xml:space="preserve">This report aims to capture. The </w:t>
      </w:r>
      <w:r w:rsidR="00D87084">
        <w:t xml:space="preserve">trends in the </w:t>
      </w:r>
      <w:r w:rsidR="000C0979">
        <w:t>water</w:t>
      </w:r>
      <w:r w:rsidR="00D87084">
        <w:t xml:space="preserve"> demand in the industrial  sector of the free state of Thuringia. The annual water consumption of the industrial sector of Thuringia</w:t>
      </w:r>
      <w:r w:rsidR="00A21AA1">
        <w:t xml:space="preserve"> has been increased over time for the </w:t>
      </w:r>
      <w:r w:rsidR="005C6DDC">
        <w:t>observed years (2004 – 2019) ranging from 48264</w:t>
      </w:r>
      <w:r w:rsidR="00822088">
        <w:t>000 m3</w:t>
      </w:r>
      <w:r w:rsidR="0025428A">
        <w:t xml:space="preserve"> in 2004 to 71836</w:t>
      </w:r>
      <w:r w:rsidR="00822088">
        <w:t>000 m3</w:t>
      </w:r>
      <w:r w:rsidR="0025428A">
        <w:t xml:space="preserve"> in 2019 with a peak of </w:t>
      </w:r>
      <w:r w:rsidR="001B69CA">
        <w:t>72075</w:t>
      </w:r>
      <w:r w:rsidR="00822088">
        <w:t>000 m3</w:t>
      </w:r>
      <w:r w:rsidR="001B69CA">
        <w:t xml:space="preserve"> in 2016</w:t>
      </w:r>
      <w:r w:rsidR="00B67974">
        <w:t xml:space="preserve"> (figure 1)</w:t>
      </w:r>
      <w:r w:rsidR="001B69CA">
        <w:t>. Considering this, trend, it is important to</w:t>
      </w:r>
      <w:r w:rsidR="00837CAB">
        <w:t xml:space="preserve"> delve deeper</w:t>
      </w:r>
      <w:r w:rsidR="001B69CA">
        <w:t xml:space="preserve"> into the insights of what factors drive these industrial water demand </w:t>
      </w:r>
      <w:r w:rsidR="00837CAB">
        <w:t xml:space="preserve">overtime. </w:t>
      </w:r>
      <w:r w:rsidR="00B67974">
        <w:t>To</w:t>
      </w:r>
      <w:r w:rsidR="00837CAB">
        <w:t xml:space="preserve"> do that, we </w:t>
      </w:r>
      <w:r w:rsidR="00B02E45">
        <w:t>investigated the factors that affect this industrial water demand at the Kreis level</w:t>
      </w:r>
      <w:r w:rsidR="005062B2">
        <w:t>.</w:t>
      </w:r>
    </w:p>
    <w:p w14:paraId="4F1D3A19" w14:textId="79223EE0" w:rsidR="009C481A" w:rsidRDefault="007D61E3">
      <w:r w:rsidRPr="007D61E3">
        <w:drawing>
          <wp:inline distT="0" distB="0" distL="0" distR="0" wp14:anchorId="31D30F30" wp14:editId="2BCEC762">
            <wp:extent cx="5943600" cy="5024755"/>
            <wp:effectExtent l="0" t="0" r="0" b="4445"/>
            <wp:docPr id="56937885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78857" name="Picture 1" descr="A graph with a line going 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F9B" w14:textId="230B3B48" w:rsidR="00CA5E76" w:rsidRDefault="00CA5E76">
      <w:r>
        <w:br w:type="page"/>
      </w:r>
    </w:p>
    <w:p w14:paraId="00EE03B7" w14:textId="1EE0C7FA" w:rsidR="00CA5E76" w:rsidRDefault="007F2BC3">
      <w:r>
        <w:lastRenderedPageBreak/>
        <w:t>Introduction</w:t>
      </w:r>
    </w:p>
    <w:p w14:paraId="1BEABC30" w14:textId="45BFD4FB" w:rsidR="00001ECC" w:rsidRDefault="00001ECC">
      <w:r>
        <w:t>Write a short introduction about the industrial sector of Thuringia</w:t>
      </w:r>
      <w:r>
        <w:br/>
        <w:t>No of companies as of 2019/2022 (if 2022 values are used)</w:t>
      </w:r>
      <w:r w:rsidR="000E5F77">
        <w:t>. The industry sectors that are currently in the Thuringia state, the total GVA of Thuringia</w:t>
      </w:r>
    </w:p>
    <w:p w14:paraId="09902275" w14:textId="1D51A85F" w:rsidR="000E5F77" w:rsidRDefault="000E5F77">
      <w:r>
        <w:t xml:space="preserve">A little info about the </w:t>
      </w:r>
      <w:proofErr w:type="spellStart"/>
      <w:r>
        <w:t>no</w:t>
      </w:r>
      <w:proofErr w:type="spellEnd"/>
      <w:r>
        <w:t xml:space="preserve"> of Kreis and their respective contributions to the GDP (GVA at the Kr</w:t>
      </w:r>
      <w:r w:rsidR="002D43DE">
        <w:t>ei</w:t>
      </w:r>
      <w:r>
        <w:t>s, highest Kreis, lowest etc.)</w:t>
      </w:r>
    </w:p>
    <w:p w14:paraId="332A9442" w14:textId="77777777" w:rsidR="000E5F77" w:rsidRDefault="000E5F77"/>
    <w:p w14:paraId="15BF5D41" w14:textId="414F57DE" w:rsidR="00521A55" w:rsidRDefault="007F2BC3">
      <w:r>
        <w:t xml:space="preserve">We assumed the water withdrawals for industrial use (water demand) may be correlated with factors such as Gross value added, mean temperature, </w:t>
      </w:r>
      <w:r w:rsidR="001F0A45">
        <w:t>and technological change factor (TC)</w:t>
      </w:r>
      <w:r w:rsidR="00521A55">
        <w:t>.</w:t>
      </w:r>
    </w:p>
    <w:p w14:paraId="2AED663C" w14:textId="6FCC1BDA" w:rsidR="00521A55" w:rsidRDefault="00521A55">
      <w:r>
        <w:t>TC Calculation</w:t>
      </w:r>
    </w:p>
    <w:p w14:paraId="1922B437" w14:textId="0619E831" w:rsidR="007F2BC3" w:rsidRDefault="001F0A45">
      <w:r>
        <w:t xml:space="preserve">In order to calculate </w:t>
      </w:r>
      <w:proofErr w:type="gramStart"/>
      <w:r>
        <w:t>TC</w:t>
      </w:r>
      <w:proofErr w:type="gramEnd"/>
      <w:r>
        <w:t xml:space="preserve"> we assumed that the </w:t>
      </w:r>
      <w:r w:rsidR="000612B3">
        <w:t>reduction in water intensity is a positive factor of Technological change</w:t>
      </w:r>
      <w:r w:rsidR="00121FB3">
        <w:t xml:space="preserve"> as it is a sign of increase in water use efficiency. </w:t>
      </w:r>
      <w:proofErr w:type="gramStart"/>
      <w:r w:rsidR="00121FB3">
        <w:t>Also</w:t>
      </w:r>
      <w:proofErr w:type="gramEnd"/>
      <w:r w:rsidR="00121FB3">
        <w:t xml:space="preserve"> we considered the </w:t>
      </w:r>
      <w:r w:rsidR="002A71AD">
        <w:t xml:space="preserve">multiple and circular use of water in industrial processes which also indicate a reduction in water withdrawals resulting in increase in water use efficiency over time. </w:t>
      </w:r>
    </w:p>
    <w:p w14:paraId="6987989D" w14:textId="7599DDC0" w:rsidR="00F77047" w:rsidRDefault="00F77047">
      <w:r>
        <w:t>##</w:t>
      </w:r>
    </w:p>
    <w:p w14:paraId="7CCA4170" w14:textId="1EBE4B56" w:rsidR="00F77047" w:rsidRDefault="00F77047">
      <w:r>
        <w:t xml:space="preserve">New TC method as discussed with </w:t>
      </w:r>
      <w:proofErr w:type="gramStart"/>
      <w:r>
        <w:t>Simon</w:t>
      </w:r>
      <w:r w:rsidR="00B600B2">
        <w:t>;</w:t>
      </w:r>
      <w:proofErr w:type="gramEnd"/>
    </w:p>
    <w:p w14:paraId="27164C1B" w14:textId="20C32231" w:rsidR="00B600B2" w:rsidRDefault="00B600B2">
      <w:r w:rsidRPr="00B600B2">
        <w:t>analyze water use and circular use trends, derive the growth function, calculate Technological Change (TC</w:t>
      </w:r>
      <w:r w:rsidR="00BE12E2">
        <w:t>)</w:t>
      </w:r>
    </w:p>
    <w:p w14:paraId="4010CFFB" w14:textId="30AF65C2" w:rsidR="00F77047" w:rsidRDefault="00F77047">
      <w:r w:rsidRPr="00F77047">
        <w:lastRenderedPageBreak/>
        <w:drawing>
          <wp:inline distT="0" distB="0" distL="0" distR="0" wp14:anchorId="53DF9260" wp14:editId="21BA9E9B">
            <wp:extent cx="5943600" cy="5024755"/>
            <wp:effectExtent l="0" t="0" r="0" b="4445"/>
            <wp:docPr id="1768612695" name="Picture 1" descr="A graph of water 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2695" name="Picture 1" descr="A graph of water u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E692" w14:textId="2C64E400" w:rsidR="00F77047" w:rsidRDefault="009D5F72">
      <w:r w:rsidRPr="009D5F72">
        <w:lastRenderedPageBreak/>
        <w:drawing>
          <wp:inline distT="0" distB="0" distL="0" distR="0" wp14:anchorId="358B9745" wp14:editId="045A0463">
            <wp:extent cx="5943600" cy="5024755"/>
            <wp:effectExtent l="0" t="0" r="0" b="4445"/>
            <wp:docPr id="311766793" name="Picture 1" descr="A graph with colorful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6793" name="Picture 1" descr="A graph with colorful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96D" w14:textId="77777777" w:rsidR="00690EBE" w:rsidRDefault="00690EBE"/>
    <w:p w14:paraId="7C38240C" w14:textId="60654BAD" w:rsidR="00690EBE" w:rsidRDefault="00690EBE">
      <w:r w:rsidRPr="00690EBE">
        <w:lastRenderedPageBreak/>
        <w:drawing>
          <wp:inline distT="0" distB="0" distL="0" distR="0" wp14:anchorId="291509A9" wp14:editId="733B5E9E">
            <wp:extent cx="5943600" cy="5024755"/>
            <wp:effectExtent l="0" t="0" r="0" b="4445"/>
            <wp:docPr id="147924622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6220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B78" w14:textId="77777777" w:rsidR="00690EBE" w:rsidRDefault="00690EBE"/>
    <w:p w14:paraId="6710873D" w14:textId="7D0AA96D" w:rsidR="00690EBE" w:rsidRDefault="00AC27C5">
      <w:r>
        <w:t>In this method,</w:t>
      </w:r>
    </w:p>
    <w:p w14:paraId="706A551A" w14:textId="7D6055F1" w:rsidR="00AC27C5" w:rsidRDefault="00AC27C5">
      <w:r>
        <w:t xml:space="preserve">We aggregated the circular water use over all Kreis </w:t>
      </w:r>
      <w:r w:rsidR="00F71C89">
        <w:t xml:space="preserve">to calculate the proxy for TC. The </w:t>
      </w:r>
      <w:r w:rsidR="00493B98">
        <w:t xml:space="preserve">reasons behind this aggregation to state level </w:t>
      </w:r>
      <w:proofErr w:type="gramStart"/>
      <w:r w:rsidR="00493B98">
        <w:t>is;</w:t>
      </w:r>
      <w:proofErr w:type="gramEnd"/>
      <w:r w:rsidR="00493B98">
        <w:t xml:space="preserve"> </w:t>
      </w:r>
    </w:p>
    <w:p w14:paraId="41AFF87B" w14:textId="5E3BC42D" w:rsidR="00493B98" w:rsidRDefault="00493B98" w:rsidP="00493B98">
      <w:pPr>
        <w:pStyle w:val="ListParagraph"/>
        <w:numPr>
          <w:ilvl w:val="0"/>
          <w:numId w:val="1"/>
        </w:numPr>
      </w:pPr>
      <w:r>
        <w:t xml:space="preserve">Focusing on a state-level TC </w:t>
      </w:r>
      <w:r w:rsidR="00A90AEA">
        <w:t>where a</w:t>
      </w:r>
      <w:r w:rsidR="00A90AEA" w:rsidRPr="00A90AEA">
        <w:t xml:space="preserve"> single TC proxy derived from aggregated circular use captures the general trend of technological progress for the </w:t>
      </w:r>
      <w:r w:rsidR="00A23A71">
        <w:t xml:space="preserve">whole </w:t>
      </w:r>
      <w:r w:rsidR="00A90AEA" w:rsidRPr="00A90AEA">
        <w:t>state</w:t>
      </w:r>
      <w:r w:rsidR="00A23A71">
        <w:t xml:space="preserve"> which can be applied directly in our water demand model</w:t>
      </w:r>
    </w:p>
    <w:p w14:paraId="2C08FC22" w14:textId="27A93494" w:rsidR="00F07423" w:rsidRDefault="00D978AF" w:rsidP="00F07423">
      <w:pPr>
        <w:pStyle w:val="ListParagraph"/>
        <w:numPr>
          <w:ilvl w:val="0"/>
          <w:numId w:val="1"/>
        </w:numPr>
      </w:pPr>
      <w:r>
        <w:t>To avoid noise in the data caused due to inconsistencies</w:t>
      </w:r>
      <w:r w:rsidR="00F07423">
        <w:t>, which made it easier to capture a clear growth trend.</w:t>
      </w:r>
    </w:p>
    <w:p w14:paraId="1B2E9DF8" w14:textId="77A74B58" w:rsidR="00F07423" w:rsidRDefault="00F07423" w:rsidP="00F07423">
      <w:r>
        <w:t xml:space="preserve">Initially two growth trends were </w:t>
      </w:r>
      <w:r w:rsidR="00995202">
        <w:t>analyzed</w:t>
      </w:r>
      <w:r>
        <w:t xml:space="preserve"> (linear and exponential), </w:t>
      </w:r>
      <w:r w:rsidR="00234625">
        <w:t>the growth functions for the two trends are given as follows:</w:t>
      </w:r>
    </w:p>
    <w:p w14:paraId="3DAF7C57" w14:textId="5EE13B76" w:rsidR="00234625" w:rsidRDefault="00234625" w:rsidP="00F07423">
      <w:pPr>
        <w:rPr>
          <w:rStyle w:val="mord"/>
          <w:color w:val="000000"/>
        </w:rPr>
      </w:pPr>
      <w:r>
        <w:t xml:space="preserve">Linear growth function: </w:t>
      </w:r>
      <w:proofErr w:type="spellStart"/>
      <w:r w:rsidR="0087654F">
        <w:rPr>
          <w:rStyle w:val="mord"/>
          <w:color w:val="000000"/>
        </w:rPr>
        <w:t>circular_use</w:t>
      </w:r>
      <w:proofErr w:type="spellEnd"/>
      <w:r w:rsidR="00E87479">
        <w:rPr>
          <w:rStyle w:val="mord"/>
          <w:color w:val="000000"/>
          <w:vertAlign w:val="subscript"/>
        </w:rPr>
        <w:t xml:space="preserve"> </w:t>
      </w:r>
      <w:r w:rsidR="0087654F">
        <w:rPr>
          <w:rStyle w:val="mrel"/>
          <w:color w:val="000000"/>
        </w:rPr>
        <w:t>=</w:t>
      </w:r>
      <w:r w:rsidR="00E87479">
        <w:rPr>
          <w:rStyle w:val="mrel"/>
          <w:color w:val="000000"/>
        </w:rPr>
        <w:t xml:space="preserve"> </w:t>
      </w:r>
      <w:r w:rsidR="0087654F">
        <w:rPr>
          <w:rStyle w:val="mord"/>
          <w:color w:val="000000"/>
        </w:rPr>
        <w:t>β</w:t>
      </w:r>
      <w:r w:rsidR="0087654F" w:rsidRPr="00437392">
        <w:rPr>
          <w:rStyle w:val="mord"/>
          <w:color w:val="000000"/>
          <w:vertAlign w:val="subscript"/>
        </w:rPr>
        <w:t>0</w:t>
      </w:r>
      <w:r w:rsidR="0087654F">
        <w:rPr>
          <w:rStyle w:val="vlist-s"/>
          <w:rFonts w:ascii="Arial" w:hAnsi="Arial" w:cs="Arial"/>
          <w:color w:val="000000"/>
        </w:rPr>
        <w:t>​</w:t>
      </w:r>
      <w:r w:rsidR="0087654F">
        <w:rPr>
          <w:rStyle w:val="mbin"/>
          <w:color w:val="000000"/>
        </w:rPr>
        <w:t>+</w:t>
      </w:r>
      <w:r w:rsidR="0087654F">
        <w:rPr>
          <w:rStyle w:val="mord"/>
          <w:color w:val="000000"/>
        </w:rPr>
        <w:t>β</w:t>
      </w:r>
      <w:r w:rsidR="00437392" w:rsidRPr="00E87479">
        <w:rPr>
          <w:rStyle w:val="mord"/>
          <w:color w:val="000000"/>
          <w:vertAlign w:val="subscript"/>
        </w:rPr>
        <w:t>l</w:t>
      </w:r>
      <w:r w:rsidR="0087654F">
        <w:rPr>
          <w:rStyle w:val="vlist-s"/>
          <w:rFonts w:ascii="Arial" w:hAnsi="Arial" w:cs="Arial"/>
          <w:color w:val="000000"/>
        </w:rPr>
        <w:t>​</w:t>
      </w:r>
      <w:r w:rsidR="0087654F">
        <w:rPr>
          <w:rStyle w:val="mopen"/>
          <w:color w:val="000000"/>
        </w:rPr>
        <w:t>(</w:t>
      </w:r>
      <w:r w:rsidR="0087654F">
        <w:rPr>
          <w:rStyle w:val="mord"/>
          <w:color w:val="000000"/>
        </w:rPr>
        <w:t>year</w:t>
      </w:r>
      <w:r w:rsidR="0087654F">
        <w:rPr>
          <w:rStyle w:val="mclose"/>
          <w:color w:val="000000"/>
        </w:rPr>
        <w:t>)</w:t>
      </w:r>
      <w:r w:rsidR="0087654F">
        <w:rPr>
          <w:rStyle w:val="mbin"/>
          <w:color w:val="000000"/>
        </w:rPr>
        <w:t>+</w:t>
      </w:r>
      <w:r w:rsidR="0087654F">
        <w:rPr>
          <w:rStyle w:val="mord"/>
          <w:color w:val="000000"/>
        </w:rPr>
        <w:t>ϵ</w:t>
      </w:r>
    </w:p>
    <w:p w14:paraId="19575608" w14:textId="71B80414" w:rsidR="00A41B44" w:rsidRDefault="00A41B44" w:rsidP="00F07423">
      <w:pPr>
        <w:rPr>
          <w:rStyle w:val="mord"/>
          <w:color w:val="000000"/>
        </w:rPr>
      </w:pPr>
      <w:r>
        <w:rPr>
          <w:rStyle w:val="mord"/>
          <w:color w:val="000000"/>
        </w:rPr>
        <w:lastRenderedPageBreak/>
        <w:t xml:space="preserve">Exponential growth function: </w:t>
      </w:r>
      <w:r>
        <w:rPr>
          <w:rStyle w:val="mop"/>
          <w:color w:val="000000"/>
        </w:rPr>
        <w:t>n</w:t>
      </w:r>
      <w:r>
        <w:rPr>
          <w:rStyle w:val="mopen"/>
          <w:color w:val="000000"/>
        </w:rPr>
        <w:t>(</w:t>
      </w:r>
      <w:proofErr w:type="spellStart"/>
      <w:r>
        <w:rPr>
          <w:rStyle w:val="mord"/>
          <w:color w:val="000000"/>
        </w:rPr>
        <w:t>circular_use</w:t>
      </w:r>
      <w:proofErr w:type="spellEnd"/>
      <w:r>
        <w:rPr>
          <w:rStyle w:val="mclose"/>
          <w:color w:val="000000"/>
        </w:rPr>
        <w:t>)</w:t>
      </w:r>
      <w:r w:rsidR="00D96010">
        <w:rPr>
          <w:rStyle w:val="mclose"/>
          <w:color w:val="000000"/>
        </w:rPr>
        <w:t xml:space="preserve"> </w:t>
      </w:r>
      <w:r>
        <w:rPr>
          <w:rStyle w:val="mrel"/>
          <w:color w:val="000000"/>
        </w:rPr>
        <w:t>=</w:t>
      </w:r>
      <w:r w:rsidR="00D96010">
        <w:rPr>
          <w:rStyle w:val="mrel"/>
          <w:color w:val="000000"/>
        </w:rPr>
        <w:t xml:space="preserve"> </w:t>
      </w:r>
      <w:r>
        <w:rPr>
          <w:rStyle w:val="mord"/>
          <w:color w:val="000000"/>
        </w:rPr>
        <w:t>β</w:t>
      </w:r>
      <w:r w:rsidRPr="00E87479">
        <w:rPr>
          <w:rStyle w:val="mord"/>
          <w:color w:val="000000"/>
          <w:vertAlign w:val="subscript"/>
        </w:rPr>
        <w:t>0</w:t>
      </w:r>
      <w:r>
        <w:rPr>
          <w:rStyle w:val="vlist-s"/>
          <w:rFonts w:ascii="Arial" w:hAnsi="Arial" w:cs="Arial"/>
          <w:color w:val="000000"/>
        </w:rPr>
        <w:t>​</w:t>
      </w:r>
      <w:r>
        <w:rPr>
          <w:rStyle w:val="mbin"/>
          <w:color w:val="000000"/>
        </w:rPr>
        <w:t>+</w:t>
      </w:r>
      <w:r>
        <w:rPr>
          <w:rStyle w:val="mord"/>
          <w:color w:val="000000"/>
        </w:rPr>
        <w:t>β</w:t>
      </w:r>
      <w:r w:rsidR="00E87479" w:rsidRPr="00E87479">
        <w:rPr>
          <w:rStyle w:val="mord"/>
          <w:color w:val="000000"/>
          <w:vertAlign w:val="subscript"/>
        </w:rPr>
        <w:t>e</w:t>
      </w:r>
      <w:r>
        <w:rPr>
          <w:rStyle w:val="vlist-s"/>
          <w:rFonts w:ascii="Arial" w:hAnsi="Arial" w:cs="Arial"/>
          <w:color w:val="000000"/>
        </w:rPr>
        <w:t>​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year</w:t>
      </w:r>
      <w:r>
        <w:rPr>
          <w:rStyle w:val="mclose"/>
          <w:color w:val="000000"/>
        </w:rPr>
        <w:t>)</w:t>
      </w:r>
      <w:r>
        <w:rPr>
          <w:rStyle w:val="mbin"/>
          <w:color w:val="000000"/>
        </w:rPr>
        <w:t>+</w:t>
      </w:r>
      <w:r>
        <w:rPr>
          <w:rStyle w:val="mord"/>
          <w:color w:val="000000"/>
        </w:rPr>
        <w:t>ϵ</w:t>
      </w:r>
    </w:p>
    <w:p w14:paraId="4366F781" w14:textId="766910D2" w:rsidR="00E87479" w:rsidRDefault="00E87479" w:rsidP="00F07423">
      <w:pPr>
        <w:rPr>
          <w:rStyle w:val="mord"/>
          <w:color w:val="000000"/>
        </w:rPr>
      </w:pPr>
      <w:r>
        <w:rPr>
          <w:rStyle w:val="mord"/>
          <w:color w:val="000000"/>
        </w:rPr>
        <w:t xml:space="preserve">The gradients of the above functions were </w:t>
      </w:r>
      <w:r w:rsidR="00976899">
        <w:rPr>
          <w:rStyle w:val="mord"/>
          <w:color w:val="000000"/>
        </w:rPr>
        <w:t>calculated as follows</w:t>
      </w:r>
    </w:p>
    <w:p w14:paraId="3C41BB17" w14:textId="249D0276" w:rsidR="00D96010" w:rsidRPr="008A143A" w:rsidRDefault="00D96010" w:rsidP="00D96010">
      <w:pPr>
        <w:pStyle w:val="ListParagraph"/>
        <w:numPr>
          <w:ilvl w:val="0"/>
          <w:numId w:val="2"/>
        </w:numPr>
        <w:rPr>
          <w:rStyle w:val="vlist-s"/>
          <w:color w:val="000000"/>
        </w:rPr>
      </w:pPr>
      <w:r>
        <w:rPr>
          <w:rStyle w:val="mord"/>
          <w:color w:val="000000"/>
        </w:rPr>
        <w:t>β</w:t>
      </w:r>
      <w:r w:rsidRPr="00E87479">
        <w:rPr>
          <w:rStyle w:val="mord"/>
          <w:color w:val="000000"/>
          <w:vertAlign w:val="subscript"/>
        </w:rPr>
        <w:t>l</w:t>
      </w:r>
      <w:r>
        <w:rPr>
          <w:rStyle w:val="vlist-s"/>
          <w:rFonts w:ascii="Arial" w:hAnsi="Arial" w:cs="Arial"/>
          <w:color w:val="000000"/>
        </w:rPr>
        <w:t>​</w:t>
      </w:r>
      <w:r>
        <w:rPr>
          <w:rStyle w:val="vlist-s"/>
          <w:rFonts w:ascii="Arial" w:hAnsi="Arial" w:cs="Arial"/>
          <w:color w:val="000000"/>
        </w:rPr>
        <w:t xml:space="preserve">: </w:t>
      </w:r>
      <w:r w:rsidR="008A143A">
        <w:rPr>
          <w:rStyle w:val="vlist-s"/>
          <w:rFonts w:ascii="Arial" w:hAnsi="Arial" w:cs="Arial"/>
          <w:color w:val="000000"/>
        </w:rPr>
        <w:t>507.6</w:t>
      </w:r>
    </w:p>
    <w:p w14:paraId="1FA6CB30" w14:textId="5B7C322C" w:rsidR="008A143A" w:rsidRDefault="008A143A" w:rsidP="00D96010">
      <w:pPr>
        <w:pStyle w:val="ListParagraph"/>
        <w:numPr>
          <w:ilvl w:val="0"/>
          <w:numId w:val="2"/>
        </w:numPr>
        <w:rPr>
          <w:rStyle w:val="mord"/>
          <w:color w:val="000000"/>
        </w:rPr>
      </w:pPr>
      <w:r>
        <w:rPr>
          <w:rStyle w:val="mord"/>
          <w:color w:val="000000"/>
        </w:rPr>
        <w:t>β</w:t>
      </w:r>
      <w:r w:rsidRPr="00E87479">
        <w:rPr>
          <w:rStyle w:val="mord"/>
          <w:color w:val="000000"/>
          <w:vertAlign w:val="subscript"/>
        </w:rPr>
        <w:t>e</w:t>
      </w:r>
      <w:r>
        <w:rPr>
          <w:rStyle w:val="mord"/>
          <w:color w:val="000000"/>
          <w:vertAlign w:val="subscript"/>
        </w:rPr>
        <w:t xml:space="preserve"> </w:t>
      </w:r>
      <w:r>
        <w:rPr>
          <w:rStyle w:val="mord"/>
          <w:color w:val="000000"/>
        </w:rPr>
        <w:t xml:space="preserve">: </w:t>
      </w:r>
      <w:r w:rsidR="0061473A">
        <w:rPr>
          <w:rStyle w:val="mord"/>
          <w:color w:val="000000"/>
        </w:rPr>
        <w:t>0.075</w:t>
      </w:r>
    </w:p>
    <w:p w14:paraId="271F42F2" w14:textId="77777777" w:rsidR="0061473A" w:rsidRPr="0061473A" w:rsidRDefault="0061473A" w:rsidP="0061473A">
      <w:pPr>
        <w:rPr>
          <w:rStyle w:val="mord"/>
          <w:color w:val="000000"/>
        </w:rPr>
      </w:pPr>
    </w:p>
    <w:p w14:paraId="4CD8DEF7" w14:textId="2C154D84" w:rsidR="00E87479" w:rsidRPr="001A05DB" w:rsidRDefault="00976899" w:rsidP="00F07423">
      <w:pPr>
        <w:rPr>
          <w:rStyle w:val="vlist-s"/>
          <w:rFonts w:ascii="Aptos" w:hAnsi="Aptos" w:cs="Arial"/>
          <w:color w:val="000000"/>
        </w:rPr>
      </w:pPr>
      <w:r w:rsidRPr="001A05DB">
        <w:rPr>
          <w:rStyle w:val="mord"/>
          <w:rFonts w:ascii="Aptos" w:hAnsi="Aptos"/>
          <w:color w:val="000000"/>
        </w:rPr>
        <w:t xml:space="preserve">For the linear function </w:t>
      </w:r>
      <w:r w:rsidRPr="001A05DB">
        <w:rPr>
          <w:rStyle w:val="mord"/>
          <w:rFonts w:ascii="Aptos" w:hAnsi="Aptos"/>
          <w:color w:val="000000"/>
        </w:rPr>
        <w:t>β</w:t>
      </w:r>
      <w:r w:rsidRPr="001A05DB">
        <w:rPr>
          <w:rStyle w:val="mord"/>
          <w:rFonts w:ascii="Aptos" w:hAnsi="Aptos"/>
          <w:color w:val="000000"/>
          <w:vertAlign w:val="subscript"/>
        </w:rPr>
        <w:t>l</w:t>
      </w:r>
      <w:r w:rsidRPr="001A05DB">
        <w:rPr>
          <w:rStyle w:val="vlist-s"/>
          <w:rFonts w:ascii="Arial" w:hAnsi="Arial" w:cs="Arial"/>
          <w:color w:val="000000"/>
        </w:rPr>
        <w:t>​</w:t>
      </w:r>
      <w:r w:rsidRPr="001A05DB">
        <w:rPr>
          <w:rStyle w:val="vlist-s"/>
          <w:rFonts w:ascii="Aptos" w:hAnsi="Aptos" w:cs="Arial"/>
          <w:color w:val="000000"/>
        </w:rPr>
        <w:t xml:space="preserve"> </w:t>
      </w:r>
      <w:r w:rsidR="0097109B" w:rsidRPr="001A05DB">
        <w:rPr>
          <w:rStyle w:val="vlist-s"/>
          <w:rFonts w:ascii="Aptos" w:hAnsi="Aptos" w:cs="Arial"/>
          <w:color w:val="000000"/>
        </w:rPr>
        <w:t xml:space="preserve">(gradient of the linear function) </w:t>
      </w:r>
      <w:r w:rsidRPr="001A05DB">
        <w:rPr>
          <w:rStyle w:val="vlist-s"/>
          <w:rFonts w:ascii="Aptos" w:hAnsi="Aptos" w:cs="Arial"/>
          <w:color w:val="000000"/>
        </w:rPr>
        <w:t xml:space="preserve">can be directly taken as </w:t>
      </w:r>
      <w:r w:rsidR="0097109B" w:rsidRPr="001A05DB">
        <w:rPr>
          <w:rStyle w:val="vlist-s"/>
          <w:rFonts w:ascii="Aptos" w:hAnsi="Aptos" w:cs="Arial"/>
          <w:color w:val="000000"/>
        </w:rPr>
        <w:t xml:space="preserve">the growth rate and for the exponential function, it has to be </w:t>
      </w:r>
      <w:r w:rsidR="008E05D9" w:rsidRPr="001A05DB">
        <w:rPr>
          <w:rStyle w:val="vlist-s"/>
          <w:rFonts w:ascii="Aptos" w:hAnsi="Aptos" w:cs="Arial"/>
          <w:color w:val="000000"/>
        </w:rPr>
        <w:t>trans</w:t>
      </w:r>
      <w:r w:rsidR="00A0478A" w:rsidRPr="001A05DB">
        <w:rPr>
          <w:rStyle w:val="vlist-s"/>
          <w:rFonts w:ascii="Aptos" w:hAnsi="Aptos" w:cs="Arial"/>
          <w:color w:val="000000"/>
        </w:rPr>
        <w:t xml:space="preserve">formed using the exponential </w:t>
      </w:r>
      <w:proofErr w:type="gramStart"/>
      <w:r w:rsidR="00A0478A" w:rsidRPr="001A05DB">
        <w:rPr>
          <w:rStyle w:val="vlist-s"/>
          <w:rFonts w:ascii="Aptos" w:hAnsi="Aptos" w:cs="Arial"/>
          <w:color w:val="000000"/>
        </w:rPr>
        <w:t>transformation;</w:t>
      </w:r>
      <w:proofErr w:type="gramEnd"/>
    </w:p>
    <w:p w14:paraId="17A66D9C" w14:textId="70B22459" w:rsidR="00A0478A" w:rsidRPr="001A05DB" w:rsidRDefault="00A0478A" w:rsidP="00F07423">
      <w:pPr>
        <w:rPr>
          <w:rStyle w:val="mord"/>
          <w:rFonts w:ascii="Aptos" w:hAnsi="Aptos"/>
          <w:color w:val="000000"/>
          <w:sz w:val="32"/>
          <w:szCs w:val="32"/>
        </w:rPr>
      </w:pPr>
      <w:r w:rsidRPr="001A05DB">
        <w:rPr>
          <w:rStyle w:val="mord"/>
          <w:rFonts w:ascii="Aptos" w:hAnsi="Aptos"/>
          <w:color w:val="000000"/>
          <w:sz w:val="32"/>
          <w:szCs w:val="32"/>
        </w:rPr>
        <w:t>Growth Rate (%)</w:t>
      </w:r>
      <w:r w:rsidRPr="001A05DB">
        <w:rPr>
          <w:rStyle w:val="mrel"/>
          <w:rFonts w:ascii="Aptos" w:hAnsi="Aptos"/>
          <w:color w:val="000000"/>
          <w:sz w:val="32"/>
          <w:szCs w:val="32"/>
        </w:rPr>
        <w:t>=</w:t>
      </w:r>
      <w:r w:rsidRPr="001A05DB">
        <w:rPr>
          <w:rStyle w:val="mord"/>
          <w:rFonts w:ascii="Aptos" w:hAnsi="Aptos"/>
          <w:color w:val="000000"/>
          <w:sz w:val="32"/>
          <w:szCs w:val="32"/>
        </w:rPr>
        <w:t>e</w:t>
      </w:r>
      <w:r w:rsidRPr="001A05DB">
        <w:rPr>
          <w:rStyle w:val="mord"/>
          <w:rFonts w:ascii="Aptos" w:hAnsi="Aptos"/>
          <w:color w:val="000000"/>
          <w:sz w:val="32"/>
          <w:szCs w:val="32"/>
          <w:vertAlign w:val="superscript"/>
        </w:rPr>
        <w:t>β</w:t>
      </w:r>
      <w:r w:rsidRPr="001A05DB">
        <w:rPr>
          <w:rStyle w:val="mord"/>
          <w:rFonts w:ascii="Aptos" w:hAnsi="Aptos"/>
          <w:color w:val="000000"/>
          <w:sz w:val="32"/>
          <w:szCs w:val="32"/>
          <w:vertAlign w:val="superscript"/>
        </w:rPr>
        <w:t>e</w:t>
      </w:r>
      <w:r w:rsidRPr="001A05DB">
        <w:rPr>
          <w:rStyle w:val="vlist-s"/>
          <w:rFonts w:ascii="Arial" w:hAnsi="Arial" w:cs="Arial"/>
          <w:color w:val="000000"/>
          <w:sz w:val="32"/>
          <w:szCs w:val="32"/>
        </w:rPr>
        <w:t>​</w:t>
      </w:r>
      <w:r w:rsidRPr="001A05DB">
        <w:rPr>
          <w:rStyle w:val="mbin"/>
          <w:rFonts w:ascii="Aptos" w:hAnsi="Aptos"/>
          <w:color w:val="000000"/>
          <w:sz w:val="32"/>
          <w:szCs w:val="32"/>
        </w:rPr>
        <w:t>−</w:t>
      </w:r>
      <w:r w:rsidRPr="001A05DB">
        <w:rPr>
          <w:rStyle w:val="mord"/>
          <w:rFonts w:ascii="Aptos" w:hAnsi="Aptos"/>
          <w:color w:val="000000"/>
          <w:sz w:val="32"/>
          <w:szCs w:val="32"/>
        </w:rPr>
        <w:t>1</w:t>
      </w:r>
    </w:p>
    <w:p w14:paraId="0E298A44" w14:textId="1507F60A" w:rsidR="00A41B44" w:rsidRDefault="00A525AA" w:rsidP="00F07423">
      <w:pPr>
        <w:rPr>
          <w:rStyle w:val="mord"/>
          <w:color w:val="000000"/>
        </w:rPr>
      </w:pPr>
      <w:r>
        <w:t xml:space="preserve">And after its application we can get the exponential growth rate of circular water use as </w:t>
      </w:r>
      <w:r w:rsidR="00760112">
        <w:rPr>
          <w:rStyle w:val="mord"/>
          <w:color w:val="000000"/>
        </w:rPr>
        <w:t>0.0778 or 7.78%</w:t>
      </w:r>
      <w:r w:rsidR="0028653C">
        <w:rPr>
          <w:rStyle w:val="mord"/>
          <w:color w:val="000000"/>
        </w:rPr>
        <w:t xml:space="preserve">. </w:t>
      </w:r>
    </w:p>
    <w:p w14:paraId="791CABAB" w14:textId="11055377" w:rsidR="0028653C" w:rsidRDefault="00F315DE" w:rsidP="00F07423">
      <w:r>
        <w:t xml:space="preserve">Since the aggregated </w:t>
      </w:r>
      <w:r w:rsidR="00FD68E5">
        <w:t xml:space="preserve">circular water use from 2004 – 2019 follows a strong linear trend, we assume the best proxy for TC is the </w:t>
      </w:r>
      <w:r w:rsidR="001B44EC">
        <w:t xml:space="preserve">linear growth trend which is 507.6 units per year. </w:t>
      </w:r>
    </w:p>
    <w:p w14:paraId="1113E81F" w14:textId="77777777" w:rsidR="000A128D" w:rsidRDefault="000A128D" w:rsidP="00F07423"/>
    <w:p w14:paraId="391A9F70" w14:textId="77777777" w:rsidR="001B44EC" w:rsidRDefault="001B44EC" w:rsidP="00F07423"/>
    <w:p w14:paraId="7AC1AC20" w14:textId="5E7666F8" w:rsidR="001B44EC" w:rsidRPr="000761D4" w:rsidRDefault="001B44EC" w:rsidP="00F07423">
      <w:pPr>
        <w:rPr>
          <w:b/>
          <w:bCs/>
        </w:rPr>
      </w:pPr>
      <w:r w:rsidRPr="000761D4">
        <w:rPr>
          <w:b/>
          <w:bCs/>
        </w:rPr>
        <w:t>Water demand model</w:t>
      </w:r>
    </w:p>
    <w:p w14:paraId="1B58FE3A" w14:textId="75554363" w:rsidR="001B44EC" w:rsidRDefault="00513033" w:rsidP="00F07423">
      <w:r w:rsidRPr="00513033">
        <w:t>IWW</w:t>
      </w:r>
      <w:r w:rsidRPr="00513033">
        <w:rPr>
          <w:rFonts w:ascii="Arial" w:hAnsi="Arial" w:cs="Arial"/>
        </w:rPr>
        <w:t>​</w:t>
      </w:r>
      <w:r w:rsidRPr="00513033">
        <w:t>=β0</w:t>
      </w:r>
      <w:r w:rsidRPr="00513033">
        <w:rPr>
          <w:rFonts w:ascii="Arial" w:hAnsi="Arial" w:cs="Arial"/>
        </w:rPr>
        <w:t>​</w:t>
      </w:r>
      <w:r w:rsidRPr="00513033">
        <w:t>+β1</w:t>
      </w:r>
      <w:r w:rsidRPr="00513033">
        <w:rPr>
          <w:rFonts w:ascii="Arial" w:hAnsi="Arial" w:cs="Arial"/>
        </w:rPr>
        <w:t>​</w:t>
      </w:r>
      <w:r w:rsidRPr="00513033">
        <w:rPr>
          <w:rFonts w:ascii="Cambria Math" w:hAnsi="Cambria Math" w:cs="Cambria Math"/>
        </w:rPr>
        <w:t>⋅</w:t>
      </w:r>
      <w:r w:rsidRPr="00513033">
        <w:t>GVA+β2</w:t>
      </w:r>
      <w:r w:rsidRPr="00513033">
        <w:rPr>
          <w:rFonts w:ascii="Arial" w:hAnsi="Arial" w:cs="Arial"/>
        </w:rPr>
        <w:t>​</w:t>
      </w:r>
      <w:r w:rsidRPr="00513033">
        <w:rPr>
          <w:rFonts w:ascii="Cambria Math" w:hAnsi="Cambria Math" w:cs="Cambria Math"/>
        </w:rPr>
        <w:t>⋅</w:t>
      </w:r>
      <w:r w:rsidRPr="00513033">
        <w:t>T+β4</w:t>
      </w:r>
      <w:r w:rsidRPr="00513033">
        <w:rPr>
          <w:rFonts w:ascii="Arial" w:hAnsi="Arial" w:cs="Arial"/>
        </w:rPr>
        <w:t>​</w:t>
      </w:r>
      <w:r w:rsidRPr="00513033">
        <w:rPr>
          <w:rFonts w:ascii="Cambria Math" w:hAnsi="Cambria Math" w:cs="Cambria Math"/>
        </w:rPr>
        <w:t>⋅</w:t>
      </w:r>
      <w:r w:rsidRPr="00513033">
        <w:t>TC+ϵ</w:t>
      </w:r>
    </w:p>
    <w:p w14:paraId="70E59AC5" w14:textId="37906C5E" w:rsidR="00513033" w:rsidRDefault="00513033" w:rsidP="00F07423">
      <w:proofErr w:type="gramStart"/>
      <w:r>
        <w:t>Here;</w:t>
      </w:r>
      <w:proofErr w:type="gramEnd"/>
    </w:p>
    <w:p w14:paraId="43ED44BE" w14:textId="0B27CA7A" w:rsidR="00513033" w:rsidRDefault="00513033" w:rsidP="00F07423">
      <w:r>
        <w:t>IWW = Industrial water withdrawals</w:t>
      </w:r>
    </w:p>
    <w:p w14:paraId="683EDF12" w14:textId="7592627D" w:rsidR="00513033" w:rsidRDefault="00082E84" w:rsidP="00F07423">
      <w:r>
        <w:t>GVA = Gross value added</w:t>
      </w:r>
    </w:p>
    <w:p w14:paraId="2B62DD76" w14:textId="6DE62535" w:rsidR="00082E84" w:rsidRDefault="00082E84" w:rsidP="00F07423">
      <w:r>
        <w:t>T = temperature</w:t>
      </w:r>
    </w:p>
    <w:p w14:paraId="5A9B1EA6" w14:textId="4983C92B" w:rsidR="00082E84" w:rsidRDefault="00082E84" w:rsidP="00F07423">
      <w:r>
        <w:t>TC = Technological change factor.</w:t>
      </w:r>
    </w:p>
    <w:p w14:paraId="4B3A185B" w14:textId="77777777" w:rsidR="00082E84" w:rsidRDefault="00082E84" w:rsidP="00F07423"/>
    <w:p w14:paraId="3E389707" w14:textId="00442609" w:rsidR="00082E84" w:rsidRDefault="00082E84" w:rsidP="001405F1">
      <w:r>
        <w:t xml:space="preserve">We fitted the TC into the water demand model </w:t>
      </w:r>
      <w:r w:rsidR="001405F1">
        <w:t>a</w:t>
      </w:r>
      <w:r>
        <w:t xml:space="preserve">ssuming TC is a constant factor across all Kreis for the whole considered </w:t>
      </w:r>
      <w:proofErr w:type="gramStart"/>
      <w:r>
        <w:t>time period</w:t>
      </w:r>
      <w:proofErr w:type="gramEnd"/>
      <w:r>
        <w:t xml:space="preserve"> where TC = 507.6</w:t>
      </w:r>
    </w:p>
    <w:p w14:paraId="4C3712E4" w14:textId="77777777" w:rsidR="00082E84" w:rsidRPr="002C4D61" w:rsidRDefault="00082E84" w:rsidP="001405F1">
      <w:pPr>
        <w:rPr>
          <w:color w:val="156082" w:themeColor="accent1"/>
        </w:rPr>
      </w:pPr>
    </w:p>
    <w:p w14:paraId="7B24A6BF" w14:textId="1004903D" w:rsidR="001405F1" w:rsidRPr="002C4D61" w:rsidRDefault="001405F1" w:rsidP="001405F1">
      <w:pPr>
        <w:rPr>
          <w:color w:val="156082" w:themeColor="accent1"/>
        </w:rPr>
      </w:pPr>
      <w:r w:rsidRPr="002C4D61">
        <w:rPr>
          <w:color w:val="156082" w:themeColor="accent1"/>
        </w:rPr>
        <w:t>*</w:t>
      </w:r>
      <w:r w:rsidR="00A87541" w:rsidRPr="002C4D61">
        <w:rPr>
          <w:color w:val="156082" w:themeColor="accent1"/>
        </w:rPr>
        <w:t xml:space="preserve">According to the study conducted by Shang et al., 2017, there should be a negative relationship between TC and </w:t>
      </w:r>
      <w:r w:rsidR="00427570" w:rsidRPr="002C4D61">
        <w:rPr>
          <w:color w:val="156082" w:themeColor="accent1"/>
        </w:rPr>
        <w:t xml:space="preserve">IWW. </w:t>
      </w:r>
      <w:proofErr w:type="gramStart"/>
      <w:r w:rsidR="00427570" w:rsidRPr="002C4D61">
        <w:rPr>
          <w:color w:val="156082" w:themeColor="accent1"/>
        </w:rPr>
        <w:t>In order to</w:t>
      </w:r>
      <w:proofErr w:type="gramEnd"/>
      <w:r w:rsidR="00427570" w:rsidRPr="002C4D61">
        <w:rPr>
          <w:color w:val="156082" w:themeColor="accent1"/>
        </w:rPr>
        <w:t xml:space="preserve"> see this, based on the logic we used,</w:t>
      </w:r>
    </w:p>
    <w:p w14:paraId="135BF8F3" w14:textId="6F89D684" w:rsidR="00427570" w:rsidRPr="002C4D61" w:rsidRDefault="00427570" w:rsidP="001405F1">
      <w:pPr>
        <w:rPr>
          <w:color w:val="156082" w:themeColor="accent1"/>
        </w:rPr>
      </w:pPr>
      <w:r w:rsidRPr="002C4D61">
        <w:rPr>
          <w:color w:val="156082" w:themeColor="accent1"/>
        </w:rPr>
        <w:lastRenderedPageBreak/>
        <w:t xml:space="preserve">Which is: </w:t>
      </w:r>
      <w:r w:rsidR="00B813DF" w:rsidRPr="002C4D61">
        <w:rPr>
          <w:color w:val="156082" w:themeColor="accent1"/>
        </w:rPr>
        <w:t>increase in circular water use means it is an increase in more water saving technologies. So that means, circular water use (circ) should be inversely proportional to water withdrawals (</w:t>
      </w:r>
      <w:proofErr w:type="spellStart"/>
      <w:r w:rsidR="00B813DF" w:rsidRPr="002C4D61">
        <w:rPr>
          <w:color w:val="156082" w:themeColor="accent1"/>
        </w:rPr>
        <w:t>wa</w:t>
      </w:r>
      <w:proofErr w:type="spellEnd"/>
      <w:r w:rsidR="00B813DF" w:rsidRPr="002C4D61">
        <w:rPr>
          <w:color w:val="156082" w:themeColor="accent1"/>
        </w:rPr>
        <w:t>)</w:t>
      </w:r>
      <w:r w:rsidR="001F130B" w:rsidRPr="002C4D61">
        <w:rPr>
          <w:color w:val="156082" w:themeColor="accent1"/>
        </w:rPr>
        <w:t>.</w:t>
      </w:r>
    </w:p>
    <w:p w14:paraId="4F958FBC" w14:textId="08CBA3F7" w:rsidR="001F130B" w:rsidRPr="002C4D61" w:rsidRDefault="001F130B" w:rsidP="001405F1">
      <w:pPr>
        <w:rPr>
          <w:color w:val="156082" w:themeColor="accent1"/>
        </w:rPr>
      </w:pPr>
      <w:r w:rsidRPr="002C4D61">
        <w:rPr>
          <w:color w:val="156082" w:themeColor="accent1"/>
        </w:rPr>
        <w:t xml:space="preserve">But the regression between </w:t>
      </w:r>
      <w:proofErr w:type="spellStart"/>
      <w:r w:rsidRPr="002C4D61">
        <w:rPr>
          <w:color w:val="156082" w:themeColor="accent1"/>
        </w:rPr>
        <w:t>wa</w:t>
      </w:r>
      <w:proofErr w:type="spellEnd"/>
      <w:r w:rsidRPr="002C4D61">
        <w:rPr>
          <w:color w:val="156082" w:themeColor="accent1"/>
        </w:rPr>
        <w:t xml:space="preserve"> ~ circ suggest otherwise and it is statistically significant at the 0.05 CI</w:t>
      </w:r>
    </w:p>
    <w:p w14:paraId="7B2E26D2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Call:</w:t>
      </w:r>
    </w:p>
    <w:p w14:paraId="34944452" w14:textId="77777777" w:rsidR="002C4D61" w:rsidRPr="002C4D61" w:rsidRDefault="002C4D61" w:rsidP="002C4D61">
      <w:pPr>
        <w:rPr>
          <w:color w:val="156082" w:themeColor="accent1"/>
        </w:rPr>
      </w:pPr>
      <w:proofErr w:type="spellStart"/>
      <w:r w:rsidRPr="002C4D61">
        <w:rPr>
          <w:color w:val="156082" w:themeColor="accent1"/>
        </w:rPr>
        <w:t>plm</w:t>
      </w:r>
      <w:proofErr w:type="spellEnd"/>
      <w:r w:rsidRPr="002C4D61">
        <w:rPr>
          <w:color w:val="156082" w:themeColor="accent1"/>
        </w:rPr>
        <w:t xml:space="preserve">(formula = </w:t>
      </w:r>
      <w:proofErr w:type="spellStart"/>
      <w:r w:rsidRPr="002C4D61">
        <w:rPr>
          <w:color w:val="156082" w:themeColor="accent1"/>
        </w:rPr>
        <w:t>wa</w:t>
      </w:r>
      <w:proofErr w:type="spellEnd"/>
      <w:r w:rsidRPr="002C4D61">
        <w:rPr>
          <w:color w:val="156082" w:themeColor="accent1"/>
        </w:rPr>
        <w:t xml:space="preserve"> ~ circ, data = </w:t>
      </w:r>
      <w:proofErr w:type="spellStart"/>
      <w:r w:rsidRPr="002C4D61">
        <w:rPr>
          <w:color w:val="156082" w:themeColor="accent1"/>
        </w:rPr>
        <w:t>inddata</w:t>
      </w:r>
      <w:proofErr w:type="spellEnd"/>
      <w:r w:rsidRPr="002C4D61">
        <w:rPr>
          <w:color w:val="156082" w:themeColor="accent1"/>
        </w:rPr>
        <w:t xml:space="preserve">, model = "within", index = c("Kreis", </w:t>
      </w:r>
    </w:p>
    <w:p w14:paraId="2652ECFA" w14:textId="4B37B925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 xml:space="preserve">    "year"))</w:t>
      </w:r>
    </w:p>
    <w:p w14:paraId="544627DD" w14:textId="2A9FFA5E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Balanced Panel: n = 23, T = 6, N = 138</w:t>
      </w:r>
    </w:p>
    <w:p w14:paraId="22742B5E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Residuals:</w:t>
      </w:r>
    </w:p>
    <w:p w14:paraId="5DB08612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 xml:space="preserve">      Min.    1st Qu.     Median    3rd Qu.       Max. </w:t>
      </w:r>
    </w:p>
    <w:p w14:paraId="1C0D6188" w14:textId="6692C74E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 xml:space="preserve">-5541.4726  -148.9070    -2.7719   138.8532  6959.1166 </w:t>
      </w:r>
    </w:p>
    <w:p w14:paraId="4863666A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Coefficients:</w:t>
      </w:r>
    </w:p>
    <w:p w14:paraId="285CB957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 xml:space="preserve">     Estimate Std. Error t-value </w:t>
      </w:r>
      <w:proofErr w:type="spellStart"/>
      <w:r w:rsidRPr="002C4D61">
        <w:rPr>
          <w:color w:val="156082" w:themeColor="accent1"/>
        </w:rPr>
        <w:t>Pr</w:t>
      </w:r>
      <w:proofErr w:type="spellEnd"/>
      <w:r w:rsidRPr="002C4D61">
        <w:rPr>
          <w:color w:val="156082" w:themeColor="accent1"/>
        </w:rPr>
        <w:t xml:space="preserve">(&gt;|t|)  </w:t>
      </w:r>
    </w:p>
    <w:p w14:paraId="083F075D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circ  0.62047    0.27750   2.236   0.0273 *</w:t>
      </w:r>
    </w:p>
    <w:p w14:paraId="750A3C92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---</w:t>
      </w:r>
    </w:p>
    <w:p w14:paraId="588057AB" w14:textId="6EF20A29" w:rsidR="002C4D61" w:rsidRPr="002C4D61" w:rsidRDefault="002C4D61" w:rsidP="002C4D61">
      <w:pPr>
        <w:rPr>
          <w:color w:val="156082" w:themeColor="accent1"/>
        </w:rPr>
      </w:pPr>
      <w:proofErr w:type="spellStart"/>
      <w:r w:rsidRPr="002C4D61">
        <w:rPr>
          <w:color w:val="156082" w:themeColor="accent1"/>
        </w:rPr>
        <w:t>Signif</w:t>
      </w:r>
      <w:proofErr w:type="spellEnd"/>
      <w:r w:rsidRPr="002C4D61">
        <w:rPr>
          <w:color w:val="156082" w:themeColor="accent1"/>
        </w:rPr>
        <w:t>. codes:  0 ‘***’ 0.001 ‘**’ 0.01 ‘*’ 0.05 ‘.’ 0.1 ‘ ’ 1</w:t>
      </w:r>
    </w:p>
    <w:p w14:paraId="4EB03182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Total Sum of Squares:    204650000</w:t>
      </w:r>
    </w:p>
    <w:p w14:paraId="586821C4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Residual Sum of Squares: 196060000</w:t>
      </w:r>
    </w:p>
    <w:p w14:paraId="2DE4385E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R-Squared:      0.042013</w:t>
      </w:r>
    </w:p>
    <w:p w14:paraId="275331A9" w14:textId="77777777" w:rsidR="002C4D61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Adj. R-Squared: -0.15127</w:t>
      </w:r>
    </w:p>
    <w:p w14:paraId="38D32113" w14:textId="3DA4ED1F" w:rsidR="001F130B" w:rsidRPr="002C4D61" w:rsidRDefault="002C4D61" w:rsidP="002C4D61">
      <w:pPr>
        <w:rPr>
          <w:color w:val="156082" w:themeColor="accent1"/>
        </w:rPr>
      </w:pPr>
      <w:r w:rsidRPr="002C4D61">
        <w:rPr>
          <w:color w:val="156082" w:themeColor="accent1"/>
        </w:rPr>
        <w:t>F-statistic: 4.99949 on 1 and 114 DF, p-value: 0.027302</w:t>
      </w:r>
    </w:p>
    <w:p w14:paraId="68796D41" w14:textId="77777777" w:rsidR="002C4D61" w:rsidRDefault="002C4D61" w:rsidP="002C4D61"/>
    <w:sectPr w:rsidR="002C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B45D1"/>
    <w:multiLevelType w:val="hybridMultilevel"/>
    <w:tmpl w:val="83724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3A01"/>
    <w:multiLevelType w:val="hybridMultilevel"/>
    <w:tmpl w:val="6CDE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87CF1"/>
    <w:multiLevelType w:val="hybridMultilevel"/>
    <w:tmpl w:val="414A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441992">
    <w:abstractNumId w:val="0"/>
  </w:num>
  <w:num w:numId="2" w16cid:durableId="2141533177">
    <w:abstractNumId w:val="2"/>
  </w:num>
  <w:num w:numId="3" w16cid:durableId="164513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3A"/>
    <w:rsid w:val="00001717"/>
    <w:rsid w:val="00001ECC"/>
    <w:rsid w:val="000612B3"/>
    <w:rsid w:val="000656AC"/>
    <w:rsid w:val="000761D4"/>
    <w:rsid w:val="00082E84"/>
    <w:rsid w:val="000A128D"/>
    <w:rsid w:val="000C0979"/>
    <w:rsid w:val="000E5F77"/>
    <w:rsid w:val="00121FB3"/>
    <w:rsid w:val="001405F1"/>
    <w:rsid w:val="001A05DB"/>
    <w:rsid w:val="001B44EC"/>
    <w:rsid w:val="001B69CA"/>
    <w:rsid w:val="001F0A45"/>
    <w:rsid w:val="001F130B"/>
    <w:rsid w:val="00234625"/>
    <w:rsid w:val="0025428A"/>
    <w:rsid w:val="0028653C"/>
    <w:rsid w:val="002A71AD"/>
    <w:rsid w:val="002C4D61"/>
    <w:rsid w:val="002D43DE"/>
    <w:rsid w:val="00427570"/>
    <w:rsid w:val="00437392"/>
    <w:rsid w:val="00493B98"/>
    <w:rsid w:val="004E3092"/>
    <w:rsid w:val="005062B2"/>
    <w:rsid w:val="00513033"/>
    <w:rsid w:val="00521A55"/>
    <w:rsid w:val="0059606E"/>
    <w:rsid w:val="005C6DDC"/>
    <w:rsid w:val="0061473A"/>
    <w:rsid w:val="00690EBE"/>
    <w:rsid w:val="00760112"/>
    <w:rsid w:val="007D61E3"/>
    <w:rsid w:val="007F2BC3"/>
    <w:rsid w:val="00822088"/>
    <w:rsid w:val="00837CAB"/>
    <w:rsid w:val="0087654F"/>
    <w:rsid w:val="008A143A"/>
    <w:rsid w:val="008E05D9"/>
    <w:rsid w:val="0097109B"/>
    <w:rsid w:val="00976899"/>
    <w:rsid w:val="00995202"/>
    <w:rsid w:val="009C481A"/>
    <w:rsid w:val="009D5F72"/>
    <w:rsid w:val="00A0478A"/>
    <w:rsid w:val="00A21AA1"/>
    <w:rsid w:val="00A23A71"/>
    <w:rsid w:val="00A41B44"/>
    <w:rsid w:val="00A525AA"/>
    <w:rsid w:val="00A87541"/>
    <w:rsid w:val="00A90AEA"/>
    <w:rsid w:val="00AC27C5"/>
    <w:rsid w:val="00B02E45"/>
    <w:rsid w:val="00B600B2"/>
    <w:rsid w:val="00B67974"/>
    <w:rsid w:val="00B813DF"/>
    <w:rsid w:val="00BE12E2"/>
    <w:rsid w:val="00C640E9"/>
    <w:rsid w:val="00CA5E76"/>
    <w:rsid w:val="00CC283A"/>
    <w:rsid w:val="00D87084"/>
    <w:rsid w:val="00D96010"/>
    <w:rsid w:val="00D978AF"/>
    <w:rsid w:val="00E87479"/>
    <w:rsid w:val="00F07423"/>
    <w:rsid w:val="00F173DF"/>
    <w:rsid w:val="00F315DE"/>
    <w:rsid w:val="00F71C89"/>
    <w:rsid w:val="00F77047"/>
    <w:rsid w:val="00F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114C"/>
  <w15:chartTrackingRefBased/>
  <w15:docId w15:val="{846A1978-58B3-2C4C-BC16-0D0E115A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3A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3A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3A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7654F"/>
  </w:style>
  <w:style w:type="character" w:customStyle="1" w:styleId="vlist-s">
    <w:name w:val="vlist-s"/>
    <w:basedOn w:val="DefaultParagraphFont"/>
    <w:rsid w:val="0087654F"/>
  </w:style>
  <w:style w:type="character" w:customStyle="1" w:styleId="mrel">
    <w:name w:val="mrel"/>
    <w:basedOn w:val="DefaultParagraphFont"/>
    <w:rsid w:val="0087654F"/>
  </w:style>
  <w:style w:type="character" w:customStyle="1" w:styleId="mbin">
    <w:name w:val="mbin"/>
    <w:basedOn w:val="DefaultParagraphFont"/>
    <w:rsid w:val="0087654F"/>
  </w:style>
  <w:style w:type="character" w:customStyle="1" w:styleId="mopen">
    <w:name w:val="mopen"/>
    <w:basedOn w:val="DefaultParagraphFont"/>
    <w:rsid w:val="0087654F"/>
  </w:style>
  <w:style w:type="character" w:customStyle="1" w:styleId="mclose">
    <w:name w:val="mclose"/>
    <w:basedOn w:val="DefaultParagraphFont"/>
    <w:rsid w:val="0087654F"/>
  </w:style>
  <w:style w:type="character" w:customStyle="1" w:styleId="mop">
    <w:name w:val="mop"/>
    <w:basedOn w:val="DefaultParagraphFont"/>
    <w:rsid w:val="00A4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039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400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W.K.I.DULANJANA WIJENAYAKE</dc:creator>
  <cp:keywords/>
  <dc:description/>
  <cp:lastModifiedBy>W.K.I.DULANJANA WIJENAYAKE</cp:lastModifiedBy>
  <cp:revision>71</cp:revision>
  <dcterms:created xsi:type="dcterms:W3CDTF">2024-12-22T09:55:00Z</dcterms:created>
  <dcterms:modified xsi:type="dcterms:W3CDTF">2025-01-04T10:59:00Z</dcterms:modified>
</cp:coreProperties>
</file>