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44"/>
        </w:rPr>
        <w:t>WiFiRisk Security Assessment &amp; Threat Modeling Report</w:t>
      </w:r>
    </w:p>
    <w:p>
      <w:r>
        <w:rPr>
          <w:i/>
          <w:sz w:val="26"/>
        </w:rPr>
        <w:t>A Lightweight Security Assessment Framework for Low-Cost Wi-Fi Repeaters</w:t>
      </w:r>
    </w:p>
    <w:p>
      <w:pPr>
        <w:pStyle w:val="Heading2"/>
      </w:pPr>
      <w:r>
        <w:t>Academic Project Context</w:t>
      </w:r>
    </w:p>
    <w:p>
      <w:r>
        <w:rPr>
          <w:b/>
        </w:rPr>
        <w:t xml:space="preserve">Student Name: </w:t>
      </w:r>
      <w:r>
        <w:t>W.M.D.C.D.S Weerakoon (ID: 11161)</w:t>
        <w:br/>
      </w:r>
      <w:r>
        <w:rPr>
          <w:b/>
        </w:rPr>
        <w:t xml:space="preserve">Faculty: </w:t>
      </w:r>
      <w:r>
        <w:t>Faculty of Computer Science and Engineering, KIU</w:t>
        <w:br/>
      </w:r>
      <w:r>
        <w:rPr>
          <w:b/>
        </w:rPr>
        <w:t xml:space="preserve">Module: </w:t>
      </w:r>
      <w:r>
        <w:t>COM4901 - Final Year Individual Research Project</w:t>
      </w:r>
    </w:p>
    <w:p>
      <w:pPr>
        <w:pStyle w:val="Heading2"/>
      </w:pPr>
      <w:r>
        <w:t>1. Assessment Details</w:t>
      </w:r>
    </w:p>
    <w:tbl>
      <w:tblPr>
        <w:tblW w:type="auto" w:w="0"/>
        <w:jc w:val="center"/>
        <w:tblLayout w:type="autofit"/>
        <w:tblLook w:firstColumn="1" w:firstRow="1" w:lastColumn="0" w:lastRow="0" w:noHBand="0" w:noVBand="1" w:val="04A0"/>
      </w:tblPr>
      <w:tblGrid>
        <w:gridCol w:w="4320"/>
        <w:gridCol w:w="4320"/>
      </w:tblGrid>
      <w:tr>
        <w:tc>
          <w:tcPr>
            <w:tcW w:type="dxa" w:w="4320"/>
          </w:tcPr>
          <w:p>
            <w:r>
              <w:rPr>
                <w:b/>
              </w:rPr>
              <w:t>Assessment ID</w:t>
            </w:r>
          </w:p>
        </w:tc>
        <w:tc>
          <w:tcPr>
            <w:tcW w:type="dxa" w:w="4320"/>
          </w:tcPr>
          <w:p>
            <w:r>
              <w:t>ASM-002</w:t>
            </w:r>
          </w:p>
        </w:tc>
      </w:tr>
      <w:tr>
        <w:tc>
          <w:tcPr>
            <w:tcW w:type="dxa" w:w="4320"/>
          </w:tcPr>
          <w:p>
            <w:r>
              <w:rPr>
                <w:b/>
              </w:rPr>
              <w:t>Date Generated</w:t>
            </w:r>
          </w:p>
        </w:tc>
        <w:tc>
          <w:tcPr>
            <w:tcW w:type="dxa" w:w="4320"/>
          </w:tcPr>
          <w:p>
            <w:r>
              <w:t>2026-08-28 17:50:20</w:t>
            </w:r>
          </w:p>
        </w:tc>
      </w:tr>
      <w:tr>
        <w:tc>
          <w:tcPr>
            <w:tcW w:type="dxa" w:w="4320"/>
          </w:tcPr>
          <w:p>
            <w:r>
              <w:rPr>
                <w:b/>
              </w:rPr>
              <w:t>Target IP / Gateway</w:t>
            </w:r>
          </w:p>
        </w:tc>
        <w:tc>
          <w:tcPr>
            <w:tcW w:type="dxa" w:w="4320"/>
          </w:tcPr>
          <w:p>
            <w:r>
              <w:t>192.168.26.1</w:t>
            </w:r>
          </w:p>
        </w:tc>
      </w:tr>
      <w:tr>
        <w:tc>
          <w:tcPr>
            <w:tcW w:type="dxa" w:w="4320"/>
          </w:tcPr>
          <w:p>
            <w:r>
              <w:rPr>
                <w:b/>
              </w:rPr>
              <w:t>Device ID / Model</w:t>
            </w:r>
          </w:p>
        </w:tc>
        <w:tc>
          <w:tcPr>
            <w:tcW w:type="dxa" w:w="4320"/>
          </w:tcPr>
          <w:p>
            <w:r>
              <w:t>Target-192.168.26.1 (Generic Wi-Fi Repeater)</w:t>
            </w:r>
          </w:p>
        </w:tc>
      </w:tr>
      <w:tr>
        <w:tc>
          <w:tcPr>
            <w:tcW w:type="dxa" w:w="4320"/>
          </w:tcPr>
          <w:p>
            <w:r>
              <w:rPr>
                <w:b/>
              </w:rPr>
              <w:t>Firmware Version</w:t>
            </w:r>
          </w:p>
        </w:tc>
        <w:tc>
          <w:tcPr>
            <w:tcW w:type="dxa" w:w="4320"/>
          </w:tcPr>
          <w:p>
            <w:r>
              <w:t>Unknown</w:t>
            </w:r>
          </w:p>
        </w:tc>
      </w:tr>
      <w:tr>
        <w:tc>
          <w:tcPr>
            <w:tcW w:type="dxa" w:w="4320"/>
          </w:tcPr>
          <w:p>
            <w:r>
              <w:rPr>
                <w:b/>
              </w:rPr>
              <w:t>Purchase Price</w:t>
            </w:r>
          </w:p>
        </w:tc>
        <w:tc>
          <w:tcPr>
            <w:tcW w:type="dxa" w:w="4320"/>
          </w:tcPr>
          <w:p>
            <w:r>
              <w:t>LKR 2500</w:t>
            </w:r>
          </w:p>
        </w:tc>
      </w:tr>
    </w:tbl>
    <w:p>
      <w:pPr>
        <w:pStyle w:val="Heading2"/>
      </w:pPr>
      <w:r>
        <w:t>2. Executive Summary &amp; Security Scorecard</w:t>
      </w:r>
    </w:p>
    <w:p>
      <w:r>
        <w:rPr>
          <w:b/>
          <w:color w:val="007800"/>
          <w:sz w:val="28"/>
        </w:rPr>
        <w:t>Security Score: 95 / 100  |  Risk Level: Low</w:t>
      </w:r>
    </w:p>
    <w:p>
      <w:r>
        <w:t>Price-to-Security Ratio (PSR): 5.7 (Baseline: LKR 15,000)</w:t>
      </w:r>
    </w:p>
    <w:p>
      <w:r>
        <w:rPr>
          <w:b/>
        </w:rPr>
        <w:t>Recommendation Category: Recommended</w:t>
      </w:r>
    </w:p>
    <w:p>
      <w:r>
        <w:t>Evaluation Guidance: The device demonstrates acceptable baseline security with low observed risk.</w:t>
      </w:r>
    </w:p>
    <w:p>
      <w:r>
        <w:t>Price Verdict: Price: LKR 2500 with PSR score 5.7.</w:t>
      </w:r>
    </w:p>
    <w:p>
      <w:pPr>
        <w:pStyle w:val="Heading3"/>
      </w:pPr>
      <w:r>
        <w:t>Score Deductions Breakdown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Finding ID</w:t>
            </w:r>
          </w:p>
        </w:tc>
        <w:tc>
          <w:tcPr>
            <w:tcW w:type="dxa" w:w="2160"/>
          </w:tcPr>
          <w:p>
            <w:r>
              <w:rPr>
                <w:b/>
              </w:rPr>
              <w:t>Severity</w:t>
            </w:r>
          </w:p>
        </w:tc>
        <w:tc>
          <w:tcPr>
            <w:tcW w:type="dxa" w:w="2160"/>
          </w:tcPr>
          <w:p>
            <w:r>
              <w:rPr>
                <w:b/>
              </w:rPr>
              <w:t>Deduction</w:t>
            </w:r>
          </w:p>
        </w:tc>
        <w:tc>
          <w:tcPr>
            <w:tcW w:type="dxa" w:w="2160"/>
          </w:tcPr>
          <w:p>
            <w:r>
              <w:rPr>
                <w:b/>
              </w:rPr>
              <w:t>Vulnerability Title</w:t>
            </w:r>
          </w:p>
        </w:tc>
      </w:tr>
      <w:tr>
        <w:tc>
          <w:tcPr>
            <w:tcW w:type="dxa" w:w="2160"/>
          </w:tcPr>
          <w:p>
            <w:r>
              <w:t>T1-F05</w:t>
            </w:r>
          </w:p>
        </w:tc>
        <w:tc>
          <w:tcPr>
            <w:tcW w:type="dxa" w:w="2160"/>
          </w:tcPr>
          <w:p>
            <w:r>
              <w:t>Low-Medium</w:t>
            </w:r>
          </w:p>
        </w:tc>
        <w:tc>
          <w:tcPr>
            <w:tcW w:type="dxa" w:w="2160"/>
          </w:tcPr>
          <w:p>
            <w:r>
              <w:t>-5</w:t>
            </w:r>
          </w:p>
        </w:tc>
        <w:tc>
          <w:tcPr>
            <w:tcW w:type="dxa" w:w="2160"/>
          </w:tcPr>
          <w:p>
            <w:r>
              <w:t>DNS resolver exposed on management interface</w:t>
            </w:r>
          </w:p>
        </w:tc>
      </w:tr>
    </w:tbl>
    <w:p>
      <w:pPr>
        <w:pStyle w:val="Heading2"/>
      </w:pPr>
      <w:r>
        <w:t>3. Detailed Vulnerability Findings &amp; Threat Modeling (1)</w:t>
      </w:r>
    </w:p>
    <w:p>
      <w:pPr>
        <w:pStyle w:val="Heading3"/>
      </w:pPr>
      <w:r>
        <w:t>1. [T1-F05] DNS resolver exposed on management interface</w:t>
      </w:r>
    </w:p>
    <w:p>
      <w:r>
        <w:rPr>
          <w:b/>
        </w:rPr>
        <w:t xml:space="preserve">Severity: </w:t>
      </w:r>
      <w:r>
        <w:t xml:space="preserve">Low-Medium  |  </w:t>
      </w:r>
      <w:r>
        <w:rPr>
          <w:b/>
        </w:rPr>
        <w:t xml:space="preserve">Status: </w:t>
      </w:r>
      <w:r>
        <w:t xml:space="preserve">Confirmed  |  </w:t>
      </w:r>
      <w:r>
        <w:rPr>
          <w:b/>
        </w:rPr>
        <w:t xml:space="preserve">Weakness: </w:t>
      </w:r>
      <w:r>
        <w:t>CWE-345 (Insufficient Verification of Data Authenticity) / CWE-400 (Resource Amplification)</w:t>
        <w:br/>
      </w:r>
      <w:r>
        <w:rPr>
          <w:b/>
        </w:rPr>
        <w:t xml:space="preserve">Threat Modeling &amp; Attack Vector: </w:t>
      </w:r>
      <w:r>
        <w:t>In a threat environment, an outdated or misconfigured DNS daemon (such as legacy dnsmasq versions) can be targeted for DNS Cache Poisoning (DNSpooq series) or DNS Spoofing attacks. An attacker can forge DNS responses to poison the repeater's cache, redirecting all connected users from legitimate domains (such as banking or social media) to malicious phishing servers.</w:t>
        <w:br/>
      </w:r>
      <w:r>
        <w:rPr>
          <w:b/>
        </w:rPr>
        <w:t xml:space="preserve">Security Impact: </w:t>
      </w:r>
      <w:r>
        <w:t>The device runs an active DNS resolver which may redirect setup queries or expose internal DNS resolution.</w:t>
        <w:br/>
      </w:r>
      <w:r>
        <w:rPr>
          <w:b/>
        </w:rPr>
        <w:t xml:space="preserve">Remediation: </w:t>
      </w:r>
      <w:r>
        <w:t>Restrict DNS exposure to required client interfaces only and validate redirect behavior.</w:t>
        <w:br/>
      </w:r>
      <w:r>
        <w:rPr>
          <w:b/>
        </w:rPr>
        <w:t>Hardening Actions:</w:t>
        <w:br/>
      </w:r>
      <w:r>
        <w:t xml:space="preserve">  • 1. Upgrade dnsmasq to version 2.83 or later to mitigate DNSpooq vulnerability advisories (CVE-2020-25681 through CVE-2020-25687).</w:t>
        <w:br/>
      </w:r>
      <w:r>
        <w:t xml:space="preserve">  • 2. Configure the DNS server to listen exclusively on the internal LAN interface (bind-interfaces).</w:t>
        <w:br/>
      </w:r>
      <w:r>
        <w:t xml:space="preserve">  • 3. Enable source port randomization and DNSSEC query verification in dnsmasq configuration.</w:t>
        <w:br/>
      </w:r>
    </w:p>
    <w:p>
      <w:pPr>
        <w:pStyle w:val="Heading2"/>
      </w:pPr>
      <w:r>
        <w:t>4. Recommended Hardening Actions</w:t>
      </w:r>
    </w:p>
    <w:p>
      <w:r>
        <w:t>1. Change default administrator passwords immediately upon deployment.</w:t>
      </w:r>
    </w:p>
    <w:p>
      <w:r>
        <w:t>2. Disable unencrypted services such as Telnet and HTTP where possible.</w:t>
      </w:r>
    </w:p>
    <w:p>
      <w:r>
        <w:t>3. Isolate repeater devices on a dedicated guest or test VLAN.</w:t>
      </w:r>
    </w:p>
    <w:p>
      <w:r>
        <w:t>4. Verify firmware update availability from verified vendor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