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2"/>
      </w:pPr>
      <w:r>
        <w:t xml:space="preserve">Highlights</w:t>
      </w:r>
    </w:p>
    <w:p>
      <w:pPr>
        <w:pStyle w:val="Compact"/>
        <w:numPr>
          <w:ilvl w:val="0"/>
          <w:numId w:val="1001"/>
        </w:numPr>
      </w:pPr>
      <w:r>
        <w:t xml:space="preserve">On a 24-well nitrate snapshot no interpolator beats the network mean out of sample</w:t>
      </w:r>
    </w:p>
    <w:p>
      <w:pPr>
        <w:pStyle w:val="Compact"/>
        <w:numPr>
          <w:ilvl w:val="0"/>
          <w:numId w:val="1001"/>
        </w:numPr>
      </w:pPr>
      <w:r>
        <w:t xml:space="preserve">24 nitrate wells constrain 0.0753 of one direction in a 150-mode porosity field</w:t>
      </w:r>
    </w:p>
    <w:p>
      <w:pPr>
        <w:pStyle w:val="Compact"/>
        <w:numPr>
          <w:ilvl w:val="0"/>
          <w:numId w:val="1001"/>
        </w:numPr>
      </w:pPr>
      <w:r>
        <w:t xml:space="preserve">For porosity, one optimally sited nitrate sample is worth 0.09 of a pumping test</w:t>
      </w:r>
    </w:p>
    <w:p>
      <w:pPr>
        <w:pStyle w:val="Compact"/>
        <w:numPr>
          <w:ilvl w:val="0"/>
          <w:numId w:val="1001"/>
        </w:numPr>
      </w:pPr>
      <w:r>
        <w:t xml:space="preserve">Weighting the parameter space leaves D-optimal sites unchanged, which is proved</w:t>
      </w:r>
    </w:p>
    <w:p>
      <w:pPr>
        <w:pStyle w:val="Compact"/>
        <w:numPr>
          <w:ilvl w:val="0"/>
          <w:numId w:val="1001"/>
        </w:numPr>
      </w:pPr>
      <w:r>
        <w:t xml:space="preserve">Goal orientation cuts the targeted variance 10.0 times further than D-optimality</w:t>
      </w:r>
    </w:p>
    <w:sectPr w:rsidR="00C507A5" w:rsidSect="00D5555F">
      <w:pgSz w:h="15840" w:w="12240"/>
      <w:pgMar w:bottom="1440" w:footer="720" w:gutter="0" w:header="720" w:left="1260" w:right="1170" w:top="81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CC625FB6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A99431"/>
    <w:multiLevelType w:val="multilevel"/>
    <w:tmpl w:val="14CE95BC"/>
    <w:lvl w:ilvl="0">
      <w:start w:val="1"/>
      <w:numFmt w:val="decimal"/>
      <w:lvlText w:val="(%1)"/>
      <w:lvlJc w:val="left"/>
      <w:pPr>
        <w:ind w:hanging="480" w:left="720"/>
      </w:pPr>
    </w:lvl>
    <w:lvl w:ilvl="1">
      <w:start w:val="1"/>
      <w:numFmt w:val="decimal"/>
      <w:lvlText w:val="(%2)"/>
      <w:lvlJc w:val="left"/>
      <w:pPr>
        <w:ind w:hanging="480" w:left="1440"/>
      </w:pPr>
    </w:lvl>
    <w:lvl w:ilvl="2">
      <w:start w:val="1"/>
      <w:numFmt w:val="decimal"/>
      <w:lvlText w:val="(%3)"/>
      <w:lvlJc w:val="left"/>
      <w:pPr>
        <w:ind w:hanging="480" w:left="2160"/>
      </w:pPr>
    </w:lvl>
    <w:lvl w:ilvl="3">
      <w:start w:val="1"/>
      <w:numFmt w:val="decimal"/>
      <w:lvlText w:val="(%4)"/>
      <w:lvlJc w:val="left"/>
      <w:pPr>
        <w:ind w:hanging="480" w:left="2880"/>
      </w:pPr>
    </w:lvl>
    <w:lvl w:ilvl="4">
      <w:start w:val="1"/>
      <w:numFmt w:val="decimal"/>
      <w:lvlText w:val="(%5)"/>
      <w:lvlJc w:val="left"/>
      <w:pPr>
        <w:ind w:hanging="480" w:left="3600"/>
      </w:pPr>
    </w:lvl>
    <w:lvl w:ilvl="5">
      <w:start w:val="1"/>
      <w:numFmt w:val="decimal"/>
      <w:lvlText w:val="(%6)"/>
      <w:lvlJc w:val="left"/>
      <w:pPr>
        <w:ind w:hanging="480" w:left="4320"/>
      </w:pPr>
    </w:lvl>
    <w:lvl w:ilvl="6">
      <w:start w:val="1"/>
      <w:numFmt w:val="decimal"/>
      <w:lvlText w:val="(%7)"/>
      <w:lvlJc w:val="left"/>
      <w:pPr>
        <w:ind w:hanging="480" w:left="5040"/>
      </w:pPr>
    </w:lvl>
    <w:lvl w:ilvl="7">
      <w:start w:val="1"/>
      <w:numFmt w:val="decimal"/>
      <w:lvlText w:val="(%8)"/>
      <w:lvlJc w:val="left"/>
      <w:pPr>
        <w:ind w:hanging="480" w:left="5760"/>
      </w:pPr>
    </w:lvl>
    <w:lvl w:ilvl="8">
      <w:start w:val="1"/>
      <w:numFmt w:val="decimal"/>
      <w:lvlText w:val="(%9)"/>
      <w:lvlJc w:val="left"/>
      <w:pPr>
        <w:ind w:hanging="480" w:left="6480"/>
      </w:pPr>
    </w:lvl>
  </w:abstractNum>
  <w:abstractNum w15:restartNumberingAfterBreak="0" w:abstractNumId="2">
    <w:nsid w:val="00A99531"/>
    <w:multiLevelType w:val="multilevel"/>
    <w:tmpl w:val="AB1A7462"/>
    <w:lvl w:ilvl="0">
      <w:start w:val="1"/>
      <w:numFmt w:val="lowerRoman"/>
      <w:lvlText w:val="(%1)"/>
      <w:lvlJc w:val="left"/>
      <w:pPr>
        <w:ind w:hanging="480" w:left="720"/>
      </w:pPr>
    </w:lvl>
    <w:lvl w:ilvl="1">
      <w:start w:val="1"/>
      <w:numFmt w:val="lowerRoman"/>
      <w:lvlText w:val="(%2)"/>
      <w:lvlJc w:val="left"/>
      <w:pPr>
        <w:ind w:hanging="480" w:left="1440"/>
      </w:pPr>
    </w:lvl>
    <w:lvl w:ilvl="2">
      <w:start w:val="1"/>
      <w:numFmt w:val="lowerRoman"/>
      <w:lvlText w:val="(%3)"/>
      <w:lvlJc w:val="left"/>
      <w:pPr>
        <w:ind w:hanging="480" w:left="2160"/>
      </w:pPr>
    </w:lvl>
    <w:lvl w:ilvl="3">
      <w:start w:val="1"/>
      <w:numFmt w:val="lowerRoman"/>
      <w:lvlText w:val="(%4)"/>
      <w:lvlJc w:val="left"/>
      <w:pPr>
        <w:ind w:hanging="480" w:left="2880"/>
      </w:pPr>
    </w:lvl>
    <w:lvl w:ilvl="4">
      <w:start w:val="1"/>
      <w:numFmt w:val="lowerRoman"/>
      <w:lvlText w:val="(%5)"/>
      <w:lvlJc w:val="left"/>
      <w:pPr>
        <w:ind w:hanging="480" w:left="3600"/>
      </w:pPr>
    </w:lvl>
    <w:lvl w:ilvl="5">
      <w:start w:val="1"/>
      <w:numFmt w:val="lowerRoman"/>
      <w:lvlText w:val="(%6)"/>
      <w:lvlJc w:val="left"/>
      <w:pPr>
        <w:ind w:hanging="480" w:left="4320"/>
      </w:pPr>
    </w:lvl>
    <w:lvl w:ilvl="6">
      <w:start w:val="1"/>
      <w:numFmt w:val="lowerRoman"/>
      <w:lvlText w:val="(%7)"/>
      <w:lvlJc w:val="left"/>
      <w:pPr>
        <w:ind w:hanging="480" w:left="5040"/>
      </w:pPr>
    </w:lvl>
    <w:lvl w:ilvl="7">
      <w:start w:val="1"/>
      <w:numFmt w:val="lowerRoman"/>
      <w:lvlText w:val="(%8)"/>
      <w:lvlJc w:val="left"/>
      <w:pPr>
        <w:ind w:hanging="480" w:left="5760"/>
      </w:pPr>
    </w:lvl>
    <w:lvl w:ilvl="8">
      <w:start w:val="1"/>
      <w:numFmt w:val="lowerRoman"/>
      <w:lvlText w:val="(%9)"/>
      <w:lvlJc w:val="left"/>
      <w:pPr>
        <w:ind w:hanging="48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1051659305" w:numId="1">
    <w:abstractNumId w:val="0"/>
  </w:num>
  <w:num w16cid:durableId="101267838"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781726742"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674725237"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6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579"/>
    <w:rsid w:val="0004411D"/>
    <w:rsid w:val="000C0062"/>
    <w:rsid w:val="001667E4"/>
    <w:rsid w:val="00276436"/>
    <w:rsid w:val="002E3123"/>
    <w:rsid w:val="00324E63"/>
    <w:rsid w:val="003C4AAD"/>
    <w:rsid w:val="00500BE3"/>
    <w:rsid w:val="006A34AB"/>
    <w:rsid w:val="006D54D5"/>
    <w:rsid w:val="00871194"/>
    <w:rsid w:val="008D0523"/>
    <w:rsid w:val="008E249C"/>
    <w:rsid w:val="008F3579"/>
    <w:rsid w:val="0091072A"/>
    <w:rsid w:val="009A26E2"/>
    <w:rsid w:val="00C507A5"/>
    <w:rsid w:val="00C52911"/>
    <w:rsid w:val="00D42B87"/>
    <w:rsid w:val="00D5555F"/>
    <w:rsid w:val="00DB3553"/>
    <w:rsid w:val="00E339D8"/>
    <w:rsid w:val="00E54519"/>
    <w:rsid w:val="00E80209"/>
    <w:rsid w:val="00FE1333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qFormat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link w:val="SourceCode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0"/>
    </w:pPr>
  </w:style>
  <w:style w:customStyle="1" w:styleId="KeywordTok" w:type="character">
    <w:name w:val="KeywordTok"/>
    <w:basedOn w:val="VerbatimChar"/>
    <w:rPr>
      <w:rFonts w:ascii="Consolas" w:hAnsi="Consolas"/>
      <w:b/>
      <w:color w:val="007020"/>
      <w:sz w:val="22"/>
    </w:rPr>
  </w:style>
  <w:style w:customStyle="1" w:styleId="DataTypeTok" w:type="character">
    <w:name w:val="DataTypeTok"/>
    <w:basedOn w:val="VerbatimChar"/>
    <w:rPr>
      <w:rFonts w:ascii="Consolas" w:hAnsi="Consolas"/>
      <w:color w:val="902000"/>
      <w:sz w:val="22"/>
    </w:rPr>
  </w:style>
  <w:style w:customStyle="1" w:styleId="DecValTok" w:type="character">
    <w:name w:val="DecValTok"/>
    <w:basedOn w:val="VerbatimChar"/>
    <w:rPr>
      <w:rFonts w:ascii="Consolas" w:hAnsi="Consolas"/>
      <w:color w:val="40A070"/>
      <w:sz w:val="22"/>
    </w:rPr>
  </w:style>
  <w:style w:customStyle="1" w:styleId="BaseNTok" w:type="character">
    <w:name w:val="BaseNTok"/>
    <w:basedOn w:val="VerbatimChar"/>
    <w:rPr>
      <w:rFonts w:ascii="Consolas" w:hAnsi="Consolas"/>
      <w:color w:val="40A070"/>
      <w:sz w:val="22"/>
    </w:rPr>
  </w:style>
  <w:style w:customStyle="1" w:styleId="FloatTok" w:type="character">
    <w:name w:val="FloatTok"/>
    <w:basedOn w:val="VerbatimChar"/>
    <w:rPr>
      <w:rFonts w:ascii="Consolas" w:hAnsi="Consolas"/>
      <w:color w:val="40A070"/>
      <w:sz w:val="22"/>
    </w:rPr>
  </w:style>
  <w:style w:customStyle="1" w:styleId="ConstantTok" w:type="character">
    <w:name w:val="ConstantTok"/>
    <w:basedOn w:val="VerbatimChar"/>
    <w:rPr>
      <w:rFonts w:ascii="Consolas" w:hAnsi="Consolas"/>
      <w:color w:val="880000"/>
      <w:sz w:val="22"/>
    </w:rPr>
  </w:style>
  <w:style w:customStyle="1" w:styleId="CharTok" w:type="character">
    <w:name w:val="CharTok"/>
    <w:basedOn w:val="VerbatimChar"/>
    <w:rPr>
      <w:rFonts w:ascii="Consolas" w:hAnsi="Consolas"/>
      <w:color w:val="4070A0"/>
      <w:sz w:val="22"/>
    </w:rPr>
  </w:style>
  <w:style w:customStyle="1" w:styleId="SpecialCharTok" w:type="character">
    <w:name w:val="SpecialCharTok"/>
    <w:basedOn w:val="VerbatimChar"/>
    <w:rPr>
      <w:rFonts w:ascii="Consolas" w:hAnsi="Consolas"/>
      <w:color w:val="4070A0"/>
      <w:sz w:val="22"/>
    </w:rPr>
  </w:style>
  <w:style w:customStyle="1" w:styleId="StringTok" w:type="character">
    <w:name w:val="StringTok"/>
    <w:basedOn w:val="VerbatimChar"/>
    <w:rPr>
      <w:rFonts w:ascii="Consolas" w:hAnsi="Consolas"/>
      <w:color w:val="4070A0"/>
      <w:sz w:val="22"/>
    </w:rPr>
  </w:style>
  <w:style w:customStyle="1" w:styleId="VerbatimStringTok" w:type="character">
    <w:name w:val="VerbatimStringTok"/>
    <w:basedOn w:val="VerbatimChar"/>
    <w:rPr>
      <w:rFonts w:ascii="Consolas" w:hAnsi="Consolas"/>
      <w:color w:val="4070A0"/>
      <w:sz w:val="22"/>
    </w:rPr>
  </w:style>
  <w:style w:customStyle="1" w:styleId="SpecialStringTok" w:type="character">
    <w:name w:val="SpecialStringTok"/>
    <w:basedOn w:val="VerbatimChar"/>
    <w:rPr>
      <w:rFonts w:ascii="Consolas" w:hAnsi="Consolas"/>
      <w:color w:val="BB6688"/>
      <w:sz w:val="22"/>
    </w:rPr>
  </w:style>
  <w:style w:customStyle="1" w:styleId="ImportTok" w:type="character">
    <w:name w:val="ImportTok"/>
    <w:basedOn w:val="VerbatimChar"/>
    <w:rPr>
      <w:rFonts w:ascii="Consolas" w:hAnsi="Consolas"/>
      <w:b/>
      <w:color w:val="008000"/>
      <w:sz w:val="22"/>
    </w:rPr>
  </w:style>
  <w:style w:customStyle="1" w:styleId="CommentTok" w:type="character">
    <w:name w:val="CommentTok"/>
    <w:basedOn w:val="VerbatimChar"/>
    <w:rPr>
      <w:rFonts w:ascii="Consolas" w:hAnsi="Consolas"/>
      <w:i/>
      <w:color w:val="60A0B0"/>
      <w:sz w:val="22"/>
    </w:rPr>
  </w:style>
  <w:style w:customStyle="1" w:styleId="DocumentationTok" w:type="character">
    <w:name w:val="DocumentationTok"/>
    <w:basedOn w:val="VerbatimChar"/>
    <w:rPr>
      <w:rFonts w:ascii="Consolas" w:hAnsi="Consolas"/>
      <w:i/>
      <w:color w:val="BA2121"/>
      <w:sz w:val="22"/>
    </w:rPr>
  </w:style>
  <w:style w:customStyle="1" w:styleId="AnnotationTok" w:type="character">
    <w:name w:val="AnnotationTok"/>
    <w:basedOn w:val="VerbatimChar"/>
    <w:rPr>
      <w:rFonts w:ascii="Consolas" w:hAnsi="Consolas"/>
      <w:b/>
      <w:i/>
      <w:color w:val="60A0B0"/>
      <w:sz w:val="22"/>
    </w:rPr>
  </w:style>
  <w:style w:customStyle="1" w:styleId="CommentVarTok" w:type="character">
    <w:name w:val="CommentVarTok"/>
    <w:basedOn w:val="VerbatimChar"/>
    <w:rPr>
      <w:rFonts w:ascii="Consolas" w:hAnsi="Consolas"/>
      <w:b/>
      <w:i/>
      <w:color w:val="60A0B0"/>
      <w:sz w:val="22"/>
    </w:rPr>
  </w:style>
  <w:style w:customStyle="1" w:styleId="OtherTok" w:type="character">
    <w:name w:val="OtherTok"/>
    <w:basedOn w:val="VerbatimChar"/>
    <w:rPr>
      <w:rFonts w:ascii="Consolas" w:hAnsi="Consolas"/>
      <w:color w:val="007020"/>
      <w:sz w:val="22"/>
    </w:rPr>
  </w:style>
  <w:style w:customStyle="1" w:styleId="FunctionTok" w:type="character">
    <w:name w:val="FunctionTok"/>
    <w:basedOn w:val="VerbatimChar"/>
    <w:rPr>
      <w:rFonts w:ascii="Consolas" w:hAnsi="Consolas"/>
      <w:color w:val="06287E"/>
      <w:sz w:val="22"/>
    </w:rPr>
  </w:style>
  <w:style w:customStyle="1" w:styleId="VariableTok" w:type="character">
    <w:name w:val="VariableTok"/>
    <w:basedOn w:val="VerbatimChar"/>
    <w:rPr>
      <w:rFonts w:ascii="Consolas" w:hAnsi="Consolas"/>
      <w:color w:val="19177C"/>
      <w:sz w:val="22"/>
    </w:rPr>
  </w:style>
  <w:style w:customStyle="1" w:styleId="ControlFlowTok" w:type="character">
    <w:name w:val="ControlFlowTok"/>
    <w:basedOn w:val="VerbatimChar"/>
    <w:rPr>
      <w:rFonts w:ascii="Consolas" w:hAnsi="Consolas"/>
      <w:b/>
      <w:color w:val="007020"/>
      <w:sz w:val="22"/>
    </w:rPr>
  </w:style>
  <w:style w:customStyle="1" w:styleId="OperatorTok" w:type="character">
    <w:name w:val="OperatorTok"/>
    <w:basedOn w:val="VerbatimChar"/>
    <w:rPr>
      <w:rFonts w:ascii="Consolas" w:hAnsi="Consolas"/>
      <w:color w:val="666666"/>
      <w:sz w:val="22"/>
    </w:rPr>
  </w:style>
  <w:style w:customStyle="1" w:styleId="BuiltInTok" w:type="character">
    <w:name w:val="BuiltInTok"/>
    <w:basedOn w:val="VerbatimChar"/>
    <w:rPr>
      <w:rFonts w:ascii="Consolas" w:hAnsi="Consolas"/>
      <w:color w:val="008000"/>
      <w:sz w:val="22"/>
    </w:rPr>
  </w:style>
  <w:style w:customStyle="1" w:styleId="ExtensionTok" w:type="character">
    <w:name w:val="ExtensionTok"/>
    <w:basedOn w:val="VerbatimChar"/>
    <w:rPr>
      <w:rFonts w:ascii="Consolas" w:hAnsi="Consolas"/>
      <w:sz w:val="22"/>
    </w:rPr>
  </w:style>
  <w:style w:customStyle="1" w:styleId="PreprocessorTok" w:type="character">
    <w:name w:val="PreprocessorTok"/>
    <w:basedOn w:val="VerbatimChar"/>
    <w:rPr>
      <w:rFonts w:ascii="Consolas" w:hAnsi="Consolas"/>
      <w:color w:val="BC7A00"/>
      <w:sz w:val="22"/>
    </w:rPr>
  </w:style>
  <w:style w:customStyle="1" w:styleId="AttributeTok" w:type="character">
    <w:name w:val="AttributeTok"/>
    <w:basedOn w:val="VerbatimChar"/>
    <w:rPr>
      <w:rFonts w:ascii="Consolas" w:hAnsi="Consolas"/>
      <w:color w:val="7D9029"/>
      <w:sz w:val="22"/>
    </w:rPr>
  </w:style>
  <w:style w:customStyle="1" w:styleId="RegionMarkerTok" w:type="character">
    <w:name w:val="RegionMarkerTok"/>
    <w:basedOn w:val="VerbatimChar"/>
    <w:rPr>
      <w:rFonts w:ascii="Consolas" w:hAnsi="Consolas"/>
      <w:sz w:val="22"/>
    </w:rPr>
  </w:style>
  <w:style w:customStyle="1" w:styleId="InformationTok" w:type="character">
    <w:name w:val="InformationTok"/>
    <w:basedOn w:val="VerbatimChar"/>
    <w:rPr>
      <w:rFonts w:ascii="Consolas" w:hAnsi="Consolas"/>
      <w:b/>
      <w:i/>
      <w:color w:val="60A0B0"/>
      <w:sz w:val="22"/>
    </w:rPr>
  </w:style>
  <w:style w:customStyle="1" w:styleId="WarningTok" w:type="character">
    <w:name w:val="WarningTok"/>
    <w:basedOn w:val="VerbatimChar"/>
    <w:rPr>
      <w:rFonts w:ascii="Consolas" w:hAnsi="Consolas"/>
      <w:b/>
      <w:i/>
      <w:color w:val="60A0B0"/>
      <w:sz w:val="22"/>
    </w:rPr>
  </w:style>
  <w:style w:customStyle="1" w:styleId="AlertTok" w:type="character">
    <w:name w:val="AlertTok"/>
    <w:basedOn w:val="VerbatimChar"/>
    <w:rPr>
      <w:rFonts w:ascii="Consolas" w:hAnsi="Consolas"/>
      <w:b/>
      <w:color w:val="FF0000"/>
      <w:sz w:val="22"/>
    </w:rPr>
  </w:style>
  <w:style w:customStyle="1" w:styleId="ErrorTok" w:type="character">
    <w:name w:val="ErrorTok"/>
    <w:basedOn w:val="VerbatimChar"/>
    <w:rPr>
      <w:rFonts w:ascii="Consolas" w:hAnsi="Consolas"/>
      <w:b/>
      <w:color w:val="FF0000"/>
      <w:sz w:val="22"/>
    </w:rPr>
  </w:style>
  <w:style w:customStyle="1" w:styleId="NormalTok" w:type="character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211</TotalTime>
  <Pages>35</Pages>
  <Words>14416</Words>
  <Characters>82172</Characters>
  <Application>Microsoft Office Word</Application>
  <DocSecurity>0</DocSecurity>
  <Lines>684</Lines>
  <Paragraphs>192</Paragraphs>
  <ScaleCrop>false</ScaleCrop>
  <Company/>
  <LinksUpToDate>false</LinksUpToDate>
  <CharactersWithSpaces>96396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What is a nitrate measurement worth? Fisher information and goal-oriented monitoring network design in alluvial aquifers</dc:title>
  <dc:creator>Dulian Zeqiraj</dc:creator>
  <cp:keywords/>
  <dcterms:created xsi:type="dcterms:W3CDTF">2026-09-12T12:25:15Z</dcterms:created>
  <dcterms:modified xsi:type="dcterms:W3CDTF">2026-09-12T12:25:15Z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