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2"/>
        </w:rPr>
        <w:t>State of the art</w:t>
      </w:r>
    </w:p>
    <w:p>
      <w:pPr>
        <w:spacing w:after="120" w:line="276" w:lineRule="auto"/>
      </w:pPr>
      <w:r>
        <w:rPr>
          <w:rFonts w:ascii="Arial" w:hAnsi="Arial"/>
          <w:sz w:val="22"/>
        </w:rPr>
        <w:t>Seawater intrusion is well understood physically: variable-density codes such as SEAWAT simulate it (Langevin et al., 2008), and reviews summarise its processes and management (Werner et al., 2013). Pumping is now optimised under parameter and climate uncertainty with ensembles and sharp-interface models (Coulon et al., 2022, 2024; Mostafaei-Avandari &amp; Ketabchi, 2020), and monitoring networks are designed for adaptive management (Sreekanth &amp; Datta, 2014). For decisions under deep uncertainty, robust decision making and adaptive pathways stress-test strategies against many futures (Lempert et al., 2006; Haasnoot et al., 2013). Recent work extends the futures beyond the observed record with pooled forecast ensembles (Kelder et al., 2020) and machine-learning corrections for rare extremes (Barthel Sorensen et al., 2024), turns data directly into decisions (Bertsimas &amp; Kallus, 2020), and gives guarantees under distribution shift through anchor regression (Rothenhäusler et al., 2021) or exact conformal tests for counterfactuals (Chernozhukov et al., 2021).</w:t>
      </w:r>
    </w:p>
    <w:p>
      <w:pPr>
        <w:spacing w:after="120" w:line="276" w:lineRule="auto"/>
      </w:pPr>
      <w:r>
        <w:rPr>
          <w:rFonts w:ascii="Arial" w:hAnsi="Arial"/>
          <w:sz w:val="22"/>
        </w:rPr>
        <w:t>Three gaps remain. First, coastal management models rarely couple the full density-dependent physics with an explicit, stakeholder-facing decision rule solved in the same time loop. Second, statistical early warnings of salinisation are seldom certified, and their validity after a pumping decision or under record-shattering drought is rarely tested. Third, unrecorded behaviour, such as private abstraction that rises in droughts, and the gap between rainfall and effective recharge are treated as noise rather than as bounded causal shifts. This project addresses all three.</w:t>
      </w:r>
    </w:p>
    <w:p>
      <w:r>
        <w:rPr>
          <w:rFonts w:ascii="Arial" w:hAnsi="Arial"/>
          <w:b/>
          <w:sz w:val="22"/>
        </w:rPr>
        <w:t>References</w:t>
      </w:r>
    </w:p>
    <w:p>
      <w:pPr>
        <w:spacing w:after="60"/>
        <w:ind w:left="340" w:hanging="340"/>
      </w:pPr>
      <w:r>
        <w:rPr>
          <w:rFonts w:ascii="Arial" w:hAnsi="Arial"/>
          <w:sz w:val="22"/>
        </w:rPr>
        <w:t>Barthel Sorensen, B., Charalampopoulos, A., Zhang, S., Harrop, B. E., Leung, L. R. &amp; Sapsis, T. P. (2024). A non-intrusive machine learning framework for debiasing long-time coarse resolution climate simulations and quantifying rare events statistics. Journal of Advances in Modeling Earth Systems, 16, e2023MS004122. https://doi.org/10.1029/2023MS004122</w:t>
      </w:r>
    </w:p>
    <w:p>
      <w:pPr>
        <w:spacing w:after="60"/>
        <w:ind w:left="340" w:hanging="340"/>
      </w:pPr>
      <w:r>
        <w:rPr>
          <w:rFonts w:ascii="Arial" w:hAnsi="Arial"/>
          <w:sz w:val="22"/>
        </w:rPr>
        <w:t>Bertsimas, D. &amp; Kallus, N. (2020). From predictive to prescriptive analytics. Management Science, 66(3), 1025–1044. https://doi.org/10.1287/mnsc.2018.3253</w:t>
      </w:r>
    </w:p>
    <w:p>
      <w:pPr>
        <w:spacing w:after="60"/>
        <w:ind w:left="340" w:hanging="340"/>
      </w:pPr>
      <w:r>
        <w:rPr>
          <w:rFonts w:ascii="Arial" w:hAnsi="Arial"/>
          <w:sz w:val="22"/>
        </w:rPr>
        <w:t>Chernozhukov, V., Wüthrich, K. &amp; Zhu, Y. (2021). An exact and robust conformal inference method for counterfactual and synthetic controls. Journal of the American Statistical Association, 116(536), 1849–1864. https://doi.org/10.1080/01621459.2021.1920957</w:t>
      </w:r>
    </w:p>
    <w:p>
      <w:pPr>
        <w:spacing w:after="60"/>
        <w:ind w:left="340" w:hanging="340"/>
      </w:pPr>
      <w:r>
        <w:rPr>
          <w:rFonts w:ascii="Arial" w:hAnsi="Arial"/>
          <w:sz w:val="22"/>
        </w:rPr>
        <w:t>Coulon, C., Lemieux, J.-M., Pryet, A., Bayer, P., Young, N. L. &amp; Molson, J. (2022). Pumping optimization under uncertainty in an island freshwater lens using a sharp-interface seawater intrusion model. Water Resources Research, 58, e2021WR031793. https://doi.org/10.1029/2021WR031793</w:t>
      </w:r>
    </w:p>
    <w:p>
      <w:pPr>
        <w:spacing w:after="60"/>
        <w:ind w:left="340" w:hanging="340"/>
      </w:pPr>
      <w:r>
        <w:rPr>
          <w:rFonts w:ascii="Arial" w:hAnsi="Arial"/>
          <w:sz w:val="22"/>
        </w:rPr>
        <w:t>Coulon, C., White, J. T., Pryet, A., Gatel, L. &amp; Lemieux, J.-M. (2024). An ensemble-based approach for pumping optimization in an island aquifer considering parameter, observation and climate uncertainty. Hydrology and Earth System Sciences, 28(1), 303–319. https://doi.org/10.5194/hess-28-303-2024</w:t>
      </w:r>
    </w:p>
    <w:p>
      <w:pPr>
        <w:spacing w:after="60"/>
        <w:ind w:left="340" w:hanging="340"/>
      </w:pPr>
      <w:r>
        <w:rPr>
          <w:rFonts w:ascii="Arial" w:hAnsi="Arial"/>
          <w:sz w:val="22"/>
        </w:rPr>
        <w:t>Haasnoot, M., Kwakkel, J. H., Walker, W. E. &amp; ter Maat, J. (2013). Dynamic adaptive policy pathways: a method for crafting robust decisions for a deeply uncertain world. Global Environmental Change, 23(2), 485–498. https://doi.org/10.1016/j.gloenvcha.2012.12.006</w:t>
      </w:r>
    </w:p>
    <w:p>
      <w:pPr>
        <w:spacing w:after="60"/>
        <w:ind w:left="340" w:hanging="340"/>
      </w:pPr>
      <w:r>
        <w:rPr>
          <w:rFonts w:ascii="Arial" w:hAnsi="Arial"/>
          <w:sz w:val="22"/>
        </w:rPr>
        <w:t>Kelder, T., Müller, M., Slater, L. J., Marjoribanks, T. I., Wilby, R. L., Prudhomme, C., Bohlinger, P., Ferranti, L. &amp; Nipen, T. (2020). Using UNSEEN trends to detect decadal changes in 100-year precipitation extremes. npj Climate and Atmospheric Science, 3, 47. https://doi.org/10.1038/s41612-020-00149-4</w:t>
      </w:r>
    </w:p>
    <w:p>
      <w:pPr>
        <w:spacing w:after="60"/>
        <w:ind w:left="340" w:hanging="340"/>
      </w:pPr>
      <w:r>
        <w:rPr>
          <w:rFonts w:ascii="Arial" w:hAnsi="Arial"/>
          <w:sz w:val="22"/>
        </w:rPr>
        <w:t>Langevin, C. D., Thorne, D. T., Dausman, A. M., Sukop, M. C. &amp; Guo, W. (2008). SEAWAT Version 4: A computer program for simulation of multi-species solute and heat transport. U.S. Geological Survey Techniques and Methods 6-A22. https://doi.org/10.3133/tm6A22</w:t>
      </w:r>
    </w:p>
    <w:p>
      <w:pPr>
        <w:spacing w:after="60"/>
        <w:ind w:left="340" w:hanging="340"/>
      </w:pPr>
      <w:r>
        <w:rPr>
          <w:rFonts w:ascii="Arial" w:hAnsi="Arial"/>
          <w:sz w:val="22"/>
        </w:rPr>
        <w:t>Lempert, R. J., Groves, D. G., Popper, S. W. &amp; Bankes, S. C. (2006). A general, analytic method for generating robust strategies and narrative scenarios. Management Science, 52(4), 514–528. https://doi.org/10.1287/mnsc.1050.0472</w:t>
      </w:r>
    </w:p>
    <w:p>
      <w:pPr>
        <w:spacing w:after="60"/>
        <w:ind w:left="340" w:hanging="340"/>
      </w:pPr>
      <w:r>
        <w:rPr>
          <w:rFonts w:ascii="Arial" w:hAnsi="Arial"/>
          <w:sz w:val="22"/>
        </w:rPr>
        <w:t>Mostafaei-Avandari, M. &amp; Ketabchi, H. (2020). Coastal groundwater management by an uncertainty-based parallel decision model. Journal of Water Resources Planning and Management, 146(6). https://doi.org/10.1061/(ASCE)WR.1943-5452.0001227</w:t>
      </w:r>
    </w:p>
    <w:p>
      <w:pPr>
        <w:spacing w:after="60"/>
        <w:ind w:left="340" w:hanging="340"/>
      </w:pPr>
      <w:r>
        <w:rPr>
          <w:rFonts w:ascii="Arial" w:hAnsi="Arial"/>
          <w:sz w:val="22"/>
        </w:rPr>
        <w:t>Rothenhäusler, D., Meinshausen, N., Bühlmann, P. &amp; Peters, J. (2021). Anchor regression: heterogeneous data meet causality. Journal of the Royal Statistical Society Series B, 83(2), 215–246. https://doi.org/10.1111/rssb.12398</w:t>
      </w:r>
    </w:p>
    <w:p>
      <w:pPr>
        <w:spacing w:after="60"/>
        <w:ind w:left="340" w:hanging="340"/>
      </w:pPr>
      <w:r>
        <w:rPr>
          <w:rFonts w:ascii="Arial" w:hAnsi="Arial"/>
          <w:sz w:val="22"/>
        </w:rPr>
        <w:t>Sreekanth, J. &amp; Datta, B. (2014). Design of an optimal compliance monitoring network and feedback information for adaptive management of saltwater intrusion in coastal aquifers. Journal of Water Resources Planning and Management, 140(10), 04014026. https://doi.org/10.1061/(ASCE)WR.1943-5452.0000406</w:t>
      </w:r>
    </w:p>
    <w:p>
      <w:pPr>
        <w:spacing w:after="60"/>
        <w:ind w:left="340" w:hanging="340"/>
      </w:pPr>
      <w:r>
        <w:rPr>
          <w:rFonts w:ascii="Arial" w:hAnsi="Arial"/>
          <w:sz w:val="22"/>
        </w:rPr>
        <w:t>Werner, A. D., Bakker, M., Post, V. E. A., Vandenbohede, A., Lu, C., Ataie-Ashtiani, B., Simmons, C. T. &amp; Barry, D. A. (2013). Seawater intrusion processes, investigation and management: recent advances and future challenges. Advances in Water Resources, 51, 3–26. https://doi.org/10.1016/j.advwatres.2012.03.004</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