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Risk Assessment</w:t>
      </w:r>
    </w:p>
    <w:p>
      <w:pPr>
        <w:spacing w:after="20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60" w:before="0"/>
        <w:jc w:val="both"/>
      </w:pPr>
      <w:r>
        <w:rPr>
          <w:rFonts w:ascii="Arial" w:hAnsi="Arial" w:eastAsia="Arial"/>
          <w:b w:val="0"/>
          <w:i w:val="0"/>
          <w:sz w:val="23"/>
        </w:rPr>
        <w:t>CERTAIN-COAST is exposed to risks in delivering the project and, because it issues warnings for critical infrastructure, to risks that the warning service itself could create. The register below covers both: 21 risks in seven categories, each scored before and after mitigation, with an owner, an early-warning indicator with a numeric trigger, a mitigation that acts in advance and a contingency if the risk occurs. Before mitigation, 1 risk is very high, 8 are high and 12 medium; after mitigation none is high or very high, 7 remain medium and 14 are low. The seven risks of the Work Plan are included with the same ratings.</w:t>
      </w:r>
    </w:p>
    <w:p>
      <w:pPr>
        <w:keepNext/>
        <w:spacing w:after="120" w:before="120"/>
      </w:pPr>
      <w:r>
        <w:rPr>
          <w:rFonts w:ascii="Arial" w:hAnsi="Arial" w:eastAsia="Arial"/>
          <w:b/>
          <w:i w:val="0"/>
          <w:color w:val="1F3864"/>
          <w:sz w:val="27"/>
        </w:rPr>
        <w:t>1. How risks are assessed</w:t>
      </w:r>
    </w:p>
    <w:p>
      <w:pPr>
        <w:spacing w:after="100" w:before="0"/>
        <w:jc w:val="both"/>
      </w:pPr>
      <w:r>
        <w:rPr>
          <w:rFonts w:ascii="Arial" w:hAnsi="Arial" w:eastAsia="Arial"/>
          <w:b w:val="0"/>
          <w:i w:val="0"/>
          <w:sz w:val="22"/>
        </w:rPr>
        <w:t xml:space="preserve">Each risk is scored for likelihood L over the 36 months and for impact I on the objectives, both from 1 to 5. The score L × I sets its level: </w:t>
      </w:r>
      <w:r>
        <w:rPr>
          <w:rFonts w:ascii="Arial" w:hAnsi="Arial" w:eastAsia="Arial"/>
          <w:b/>
          <w:i w:val="0"/>
          <w:sz w:val="22"/>
        </w:rPr>
        <w:t>low</w:t>
      </w:r>
      <w:r>
        <w:rPr>
          <w:rFonts w:ascii="Arial" w:hAnsi="Arial" w:eastAsia="Arial"/>
          <w:b w:val="0"/>
          <w:i w:val="0"/>
          <w:sz w:val="22"/>
        </w:rPr>
        <w:t xml:space="preserve"> (1–4), </w:t>
      </w:r>
      <w:r>
        <w:rPr>
          <w:rFonts w:ascii="Arial" w:hAnsi="Arial" w:eastAsia="Arial"/>
          <w:b/>
          <w:i w:val="0"/>
          <w:sz w:val="22"/>
        </w:rPr>
        <w:t>medium</w:t>
      </w:r>
      <w:r>
        <w:rPr>
          <w:rFonts w:ascii="Arial" w:hAnsi="Arial" w:eastAsia="Arial"/>
          <w:b w:val="0"/>
          <w:i w:val="0"/>
          <w:sz w:val="22"/>
        </w:rPr>
        <w:t xml:space="preserve"> (5–9), </w:t>
      </w:r>
      <w:r>
        <w:rPr>
          <w:rFonts w:ascii="Arial" w:hAnsi="Arial" w:eastAsia="Arial"/>
          <w:b/>
          <w:i w:val="0"/>
          <w:sz w:val="22"/>
        </w:rPr>
        <w:t>high</w:t>
      </w:r>
      <w:r>
        <w:rPr>
          <w:rFonts w:ascii="Arial" w:hAnsi="Arial" w:eastAsia="Arial"/>
          <w:b w:val="0"/>
          <w:i w:val="0"/>
          <w:sz w:val="22"/>
        </w:rPr>
        <w:t xml:space="preserve"> (10–14) or </w:t>
      </w:r>
      <w:r>
        <w:rPr>
          <w:rFonts w:ascii="Arial" w:hAnsi="Arial" w:eastAsia="Arial"/>
          <w:b/>
          <w:i w:val="0"/>
          <w:sz w:val="22"/>
        </w:rPr>
        <w:t>very high</w:t>
      </w:r>
      <w:r>
        <w:rPr>
          <w:rFonts w:ascii="Arial" w:hAnsi="Arial" w:eastAsia="Arial"/>
          <w:b w:val="0"/>
          <w:i w:val="0"/>
          <w:sz w:val="22"/>
        </w:rPr>
        <w:t xml:space="preserve"> (15–25). The residual score is the score expected after the mitigation is in place.</w:t>
      </w:r>
    </w:p>
    <w:tbl>
      <w:tblPr>
        <w:tblStyle w:val="TableGrid"/>
        <w:tblW w:type="auto" w:w="0"/>
        <w:jc w:val="center"/>
        <w:tblLayout w:type="fixed"/>
        <w:tblLook w:firstColumn="1" w:firstRow="1" w:lastColumn="0" w:lastRow="0" w:noHBand="0" w:noVBand="1" w:val="04A0"/>
        <w:tblLayout w:type="fixed"/>
      </w:tblPr>
      <w:tblGrid>
        <w:gridCol w:w="567"/>
        <w:gridCol w:w="2041"/>
        <w:gridCol w:w="7030"/>
      </w:tblGrid>
      <w:tr>
        <w:trPr>
          <w:cantSplit/>
        </w:trPr>
        <w:tc>
          <w:tcPr>
            <w:tcW w:type="dxa" w:w="567"/>
            <w:shd w:val="clear" w:color="auto" w:fill="1F3864"/>
          </w:tcPr>
          <w:p>
            <w:r/>
            <w:r>
              <w:rPr>
                <w:rFonts w:ascii="Arial" w:hAnsi="Arial" w:eastAsia="Arial"/>
                <w:b/>
                <w:i w:val="0"/>
                <w:color w:val="FFFFFF"/>
                <w:sz w:val="20"/>
              </w:rPr>
              <w:t>L</w:t>
            </w:r>
          </w:p>
        </w:tc>
        <w:tc>
          <w:tcPr>
            <w:tcW w:type="dxa" w:w="2041"/>
            <w:shd w:val="clear" w:color="auto" w:fill="1F3864"/>
          </w:tcPr>
          <w:p>
            <w:r/>
            <w:r>
              <w:rPr>
                <w:rFonts w:ascii="Arial" w:hAnsi="Arial" w:eastAsia="Arial"/>
                <w:b/>
                <w:i w:val="0"/>
                <w:color w:val="FFFFFF"/>
                <w:sz w:val="20"/>
              </w:rPr>
              <w:t>Likelihood</w:t>
            </w:r>
          </w:p>
        </w:tc>
        <w:tc>
          <w:tcPr>
            <w:tcW w:type="dxa" w:w="7030"/>
            <w:shd w:val="clear" w:color="auto" w:fill="1F3864"/>
          </w:tcPr>
          <w:p>
            <w:r/>
            <w:r>
              <w:rPr>
                <w:rFonts w:ascii="Arial" w:hAnsi="Arial" w:eastAsia="Arial"/>
                <w:b/>
                <w:i w:val="0"/>
                <w:color w:val="FFFFFF"/>
                <w:sz w:val="20"/>
              </w:rPr>
              <w:t>Probability over the project</w:t>
            </w:r>
          </w:p>
        </w:tc>
      </w:tr>
      <w:tr>
        <w:trPr>
          <w:cantSplit/>
        </w:trPr>
        <w:tc>
          <w:tcPr>
            <w:tcW w:type="dxa" w:w="567"/>
          </w:tcPr>
          <w:p>
            <w:r/>
            <w:r>
              <w:rPr>
                <w:rFonts w:ascii="Arial" w:hAnsi="Arial" w:eastAsia="Arial"/>
                <w:b w:val="0"/>
                <w:i w:val="0"/>
                <w:sz w:val="20"/>
              </w:rPr>
              <w:t>1</w:t>
            </w:r>
          </w:p>
        </w:tc>
        <w:tc>
          <w:tcPr>
            <w:tcW w:type="dxa" w:w="2041"/>
          </w:tcPr>
          <w:p>
            <w:r/>
            <w:r>
              <w:rPr>
                <w:rFonts w:ascii="Arial" w:hAnsi="Arial" w:eastAsia="Arial"/>
                <w:b w:val="0"/>
                <w:i w:val="0"/>
                <w:sz w:val="20"/>
              </w:rPr>
              <w:t>Rare</w:t>
            </w:r>
          </w:p>
        </w:tc>
        <w:tc>
          <w:tcPr>
            <w:tcW w:type="dxa" w:w="7030"/>
          </w:tcPr>
          <w:p>
            <w:r/>
            <w:r>
              <w:rPr>
                <w:rFonts w:ascii="Arial" w:hAnsi="Arial" w:eastAsia="Arial"/>
                <w:b w:val="0"/>
                <w:i w:val="0"/>
                <w:sz w:val="20"/>
              </w:rPr>
              <w:t>Less than 10% over the 36 months</w:t>
            </w:r>
          </w:p>
        </w:tc>
      </w:tr>
      <w:tr>
        <w:trPr>
          <w:cantSplit/>
        </w:trPr>
        <w:tc>
          <w:tcPr>
            <w:tcW w:type="dxa" w:w="567"/>
          </w:tcPr>
          <w:p>
            <w:r/>
            <w:r>
              <w:rPr>
                <w:rFonts w:ascii="Arial" w:hAnsi="Arial" w:eastAsia="Arial"/>
                <w:b w:val="0"/>
                <w:i w:val="0"/>
                <w:sz w:val="20"/>
              </w:rPr>
              <w:t>2</w:t>
            </w:r>
          </w:p>
        </w:tc>
        <w:tc>
          <w:tcPr>
            <w:tcW w:type="dxa" w:w="2041"/>
          </w:tcPr>
          <w:p>
            <w:r/>
            <w:r>
              <w:rPr>
                <w:rFonts w:ascii="Arial" w:hAnsi="Arial" w:eastAsia="Arial"/>
                <w:b w:val="0"/>
                <w:i w:val="0"/>
                <w:sz w:val="20"/>
              </w:rPr>
              <w:t>Unlikely</w:t>
            </w:r>
          </w:p>
        </w:tc>
        <w:tc>
          <w:tcPr>
            <w:tcW w:type="dxa" w:w="7030"/>
          </w:tcPr>
          <w:p>
            <w:r/>
            <w:r>
              <w:rPr>
                <w:rFonts w:ascii="Arial" w:hAnsi="Arial" w:eastAsia="Arial"/>
                <w:b w:val="0"/>
                <w:i w:val="0"/>
                <w:sz w:val="20"/>
              </w:rPr>
              <w:t>10–30%</w:t>
            </w:r>
          </w:p>
        </w:tc>
      </w:tr>
      <w:tr>
        <w:trPr>
          <w:cantSplit/>
        </w:trPr>
        <w:tc>
          <w:tcPr>
            <w:tcW w:type="dxa" w:w="567"/>
          </w:tcPr>
          <w:p>
            <w:r/>
            <w:r>
              <w:rPr>
                <w:rFonts w:ascii="Arial" w:hAnsi="Arial" w:eastAsia="Arial"/>
                <w:b w:val="0"/>
                <w:i w:val="0"/>
                <w:sz w:val="20"/>
              </w:rPr>
              <w:t>3</w:t>
            </w:r>
          </w:p>
        </w:tc>
        <w:tc>
          <w:tcPr>
            <w:tcW w:type="dxa" w:w="2041"/>
          </w:tcPr>
          <w:p>
            <w:r/>
            <w:r>
              <w:rPr>
                <w:rFonts w:ascii="Arial" w:hAnsi="Arial" w:eastAsia="Arial"/>
                <w:b w:val="0"/>
                <w:i w:val="0"/>
                <w:sz w:val="20"/>
              </w:rPr>
              <w:t>Possible</w:t>
            </w:r>
          </w:p>
        </w:tc>
        <w:tc>
          <w:tcPr>
            <w:tcW w:type="dxa" w:w="7030"/>
          </w:tcPr>
          <w:p>
            <w:r/>
            <w:r>
              <w:rPr>
                <w:rFonts w:ascii="Arial" w:hAnsi="Arial" w:eastAsia="Arial"/>
                <w:b w:val="0"/>
                <w:i w:val="0"/>
                <w:sz w:val="20"/>
              </w:rPr>
              <w:t>30–50%</w:t>
            </w:r>
          </w:p>
        </w:tc>
      </w:tr>
      <w:tr>
        <w:trPr>
          <w:cantSplit/>
        </w:trPr>
        <w:tc>
          <w:tcPr>
            <w:tcW w:type="dxa" w:w="567"/>
          </w:tcPr>
          <w:p>
            <w:r/>
            <w:r>
              <w:rPr>
                <w:rFonts w:ascii="Arial" w:hAnsi="Arial" w:eastAsia="Arial"/>
                <w:b w:val="0"/>
                <w:i w:val="0"/>
                <w:sz w:val="20"/>
              </w:rPr>
              <w:t>4</w:t>
            </w:r>
          </w:p>
        </w:tc>
        <w:tc>
          <w:tcPr>
            <w:tcW w:type="dxa" w:w="2041"/>
          </w:tcPr>
          <w:p>
            <w:r/>
            <w:r>
              <w:rPr>
                <w:rFonts w:ascii="Arial" w:hAnsi="Arial" w:eastAsia="Arial"/>
                <w:b w:val="0"/>
                <w:i w:val="0"/>
                <w:sz w:val="20"/>
              </w:rPr>
              <w:t>Likely</w:t>
            </w:r>
          </w:p>
        </w:tc>
        <w:tc>
          <w:tcPr>
            <w:tcW w:type="dxa" w:w="7030"/>
          </w:tcPr>
          <w:p>
            <w:r/>
            <w:r>
              <w:rPr>
                <w:rFonts w:ascii="Arial" w:hAnsi="Arial" w:eastAsia="Arial"/>
                <w:b w:val="0"/>
                <w:i w:val="0"/>
                <w:sz w:val="20"/>
              </w:rPr>
              <w:t>50–80%</w:t>
            </w:r>
          </w:p>
        </w:tc>
      </w:tr>
      <w:tr>
        <w:trPr>
          <w:cantSplit/>
        </w:trPr>
        <w:tc>
          <w:tcPr>
            <w:tcW w:type="dxa" w:w="567"/>
          </w:tcPr>
          <w:p>
            <w:r/>
            <w:r>
              <w:rPr>
                <w:rFonts w:ascii="Arial" w:hAnsi="Arial" w:eastAsia="Arial"/>
                <w:b w:val="0"/>
                <w:i w:val="0"/>
                <w:sz w:val="20"/>
              </w:rPr>
              <w:t>5</w:t>
            </w:r>
          </w:p>
        </w:tc>
        <w:tc>
          <w:tcPr>
            <w:tcW w:type="dxa" w:w="2041"/>
          </w:tcPr>
          <w:p>
            <w:r/>
            <w:r>
              <w:rPr>
                <w:rFonts w:ascii="Arial" w:hAnsi="Arial" w:eastAsia="Arial"/>
                <w:b w:val="0"/>
                <w:i w:val="0"/>
                <w:sz w:val="20"/>
              </w:rPr>
              <w:t>Almost certain</w:t>
            </w:r>
          </w:p>
        </w:tc>
        <w:tc>
          <w:tcPr>
            <w:tcW w:type="dxa" w:w="7030"/>
          </w:tcPr>
          <w:p>
            <w:r/>
            <w:r>
              <w:rPr>
                <w:rFonts w:ascii="Arial" w:hAnsi="Arial" w:eastAsia="Arial"/>
                <w:b w:val="0"/>
                <w:i w:val="0"/>
                <w:sz w:val="20"/>
              </w:rPr>
              <w:t>More than 80%</w:t>
            </w:r>
          </w:p>
        </w:tc>
      </w:tr>
    </w:tbl>
    <w:p>
      <w:pPr>
        <w:spacing w:after="80" w:before="0"/>
      </w:pPr>
    </w:p>
    <w:tbl>
      <w:tblPr>
        <w:tblStyle w:val="TableGrid"/>
        <w:tblW w:type="auto" w:w="0"/>
        <w:jc w:val="center"/>
        <w:tblLayout w:type="fixed"/>
        <w:tblLook w:firstColumn="1" w:firstRow="1" w:lastColumn="0" w:lastRow="0" w:noHBand="0" w:noVBand="1" w:val="04A0"/>
        <w:tblLayout w:type="fixed"/>
      </w:tblPr>
      <w:tblGrid>
        <w:gridCol w:w="567"/>
        <w:gridCol w:w="2041"/>
        <w:gridCol w:w="7030"/>
      </w:tblGrid>
      <w:tr>
        <w:trPr>
          <w:cantSplit/>
        </w:trPr>
        <w:tc>
          <w:tcPr>
            <w:tcW w:type="dxa" w:w="567"/>
            <w:shd w:val="clear" w:color="auto" w:fill="1F3864"/>
          </w:tcPr>
          <w:p>
            <w:r/>
            <w:r>
              <w:rPr>
                <w:rFonts w:ascii="Arial" w:hAnsi="Arial" w:eastAsia="Arial"/>
                <w:b/>
                <w:i w:val="0"/>
                <w:color w:val="FFFFFF"/>
                <w:sz w:val="20"/>
              </w:rPr>
              <w:t>I</w:t>
            </w:r>
          </w:p>
        </w:tc>
        <w:tc>
          <w:tcPr>
            <w:tcW w:type="dxa" w:w="2041"/>
            <w:shd w:val="clear" w:color="auto" w:fill="1F3864"/>
          </w:tcPr>
          <w:p>
            <w:r/>
            <w:r>
              <w:rPr>
                <w:rFonts w:ascii="Arial" w:hAnsi="Arial" w:eastAsia="Arial"/>
                <w:b/>
                <w:i w:val="0"/>
                <w:color w:val="FFFFFF"/>
                <w:sz w:val="20"/>
              </w:rPr>
              <w:t>Impact</w:t>
            </w:r>
          </w:p>
        </w:tc>
        <w:tc>
          <w:tcPr>
            <w:tcW w:type="dxa" w:w="7030"/>
            <w:shd w:val="clear" w:color="auto" w:fill="1F3864"/>
          </w:tcPr>
          <w:p>
            <w:r/>
            <w:r>
              <w:rPr>
                <w:rFonts w:ascii="Arial" w:hAnsi="Arial" w:eastAsia="Arial"/>
                <w:b/>
                <w:i w:val="0"/>
                <w:color w:val="FFFFFF"/>
                <w:sz w:val="20"/>
              </w:rPr>
              <w:t>Effect on the project</w:t>
            </w:r>
          </w:p>
        </w:tc>
      </w:tr>
      <w:tr>
        <w:trPr>
          <w:cantSplit/>
        </w:trPr>
        <w:tc>
          <w:tcPr>
            <w:tcW w:type="dxa" w:w="567"/>
          </w:tcPr>
          <w:p>
            <w:r/>
            <w:r>
              <w:rPr>
                <w:rFonts w:ascii="Arial" w:hAnsi="Arial" w:eastAsia="Arial"/>
                <w:b w:val="0"/>
                <w:i w:val="0"/>
                <w:sz w:val="20"/>
              </w:rPr>
              <w:t>1</w:t>
            </w:r>
          </w:p>
        </w:tc>
        <w:tc>
          <w:tcPr>
            <w:tcW w:type="dxa" w:w="2041"/>
          </w:tcPr>
          <w:p>
            <w:r/>
            <w:r>
              <w:rPr>
                <w:rFonts w:ascii="Arial" w:hAnsi="Arial" w:eastAsia="Arial"/>
                <w:b w:val="0"/>
                <w:i w:val="0"/>
                <w:sz w:val="20"/>
              </w:rPr>
              <w:t>Minimal</w:t>
            </w:r>
          </w:p>
        </w:tc>
        <w:tc>
          <w:tcPr>
            <w:tcW w:type="dxa" w:w="7030"/>
          </w:tcPr>
          <w:p>
            <w:r/>
            <w:r>
              <w:rPr>
                <w:rFonts w:ascii="Arial" w:hAnsi="Arial" w:eastAsia="Arial"/>
                <w:b w:val="0"/>
                <w:i w:val="0"/>
                <w:sz w:val="20"/>
              </w:rPr>
              <w:t>No effect on deliverables</w:t>
            </w:r>
          </w:p>
        </w:tc>
      </w:tr>
      <w:tr>
        <w:trPr>
          <w:cantSplit/>
        </w:trPr>
        <w:tc>
          <w:tcPr>
            <w:tcW w:type="dxa" w:w="567"/>
          </w:tcPr>
          <w:p>
            <w:r/>
            <w:r>
              <w:rPr>
                <w:rFonts w:ascii="Arial" w:hAnsi="Arial" w:eastAsia="Arial"/>
                <w:b w:val="0"/>
                <w:i w:val="0"/>
                <w:sz w:val="20"/>
              </w:rPr>
              <w:t>2</w:t>
            </w:r>
          </w:p>
        </w:tc>
        <w:tc>
          <w:tcPr>
            <w:tcW w:type="dxa" w:w="2041"/>
          </w:tcPr>
          <w:p>
            <w:r/>
            <w:r>
              <w:rPr>
                <w:rFonts w:ascii="Arial" w:hAnsi="Arial" w:eastAsia="Arial"/>
                <w:b w:val="0"/>
                <w:i w:val="0"/>
                <w:sz w:val="20"/>
              </w:rPr>
              <w:t>Minor</w:t>
            </w:r>
          </w:p>
        </w:tc>
        <w:tc>
          <w:tcPr>
            <w:tcW w:type="dxa" w:w="7030"/>
          </w:tcPr>
          <w:p>
            <w:r/>
            <w:r>
              <w:rPr>
                <w:rFonts w:ascii="Arial" w:hAnsi="Arial" w:eastAsia="Arial"/>
                <w:b w:val="0"/>
                <w:i w:val="0"/>
                <w:sz w:val="20"/>
              </w:rPr>
              <w:t>Delay of less than one month in one task</w:t>
            </w:r>
          </w:p>
        </w:tc>
      </w:tr>
      <w:tr>
        <w:trPr>
          <w:cantSplit/>
        </w:trPr>
        <w:tc>
          <w:tcPr>
            <w:tcW w:type="dxa" w:w="567"/>
          </w:tcPr>
          <w:p>
            <w:r/>
            <w:r>
              <w:rPr>
                <w:rFonts w:ascii="Arial" w:hAnsi="Arial" w:eastAsia="Arial"/>
                <w:b w:val="0"/>
                <w:i w:val="0"/>
                <w:sz w:val="20"/>
              </w:rPr>
              <w:t>3</w:t>
            </w:r>
          </w:p>
        </w:tc>
        <w:tc>
          <w:tcPr>
            <w:tcW w:type="dxa" w:w="2041"/>
          </w:tcPr>
          <w:p>
            <w:r/>
            <w:r>
              <w:rPr>
                <w:rFonts w:ascii="Arial" w:hAnsi="Arial" w:eastAsia="Arial"/>
                <w:b w:val="0"/>
                <w:i w:val="0"/>
                <w:sz w:val="20"/>
              </w:rPr>
              <w:t>Moderate</w:t>
            </w:r>
          </w:p>
        </w:tc>
        <w:tc>
          <w:tcPr>
            <w:tcW w:type="dxa" w:w="7030"/>
          </w:tcPr>
          <w:p>
            <w:r/>
            <w:r>
              <w:rPr>
                <w:rFonts w:ascii="Arial" w:hAnsi="Arial" w:eastAsia="Arial"/>
                <w:b w:val="0"/>
                <w:i w:val="0"/>
                <w:sz w:val="20"/>
              </w:rPr>
              <w:t>Delay of one to three months, or one deliverable reduced in scope</w:t>
            </w:r>
          </w:p>
        </w:tc>
      </w:tr>
      <w:tr>
        <w:trPr>
          <w:cantSplit/>
        </w:trPr>
        <w:tc>
          <w:tcPr>
            <w:tcW w:type="dxa" w:w="567"/>
          </w:tcPr>
          <w:p>
            <w:r/>
            <w:r>
              <w:rPr>
                <w:rFonts w:ascii="Arial" w:hAnsi="Arial" w:eastAsia="Arial"/>
                <w:b w:val="0"/>
                <w:i w:val="0"/>
                <w:sz w:val="20"/>
              </w:rPr>
              <w:t>4</w:t>
            </w:r>
          </w:p>
        </w:tc>
        <w:tc>
          <w:tcPr>
            <w:tcW w:type="dxa" w:w="2041"/>
          </w:tcPr>
          <w:p>
            <w:r/>
            <w:r>
              <w:rPr>
                <w:rFonts w:ascii="Arial" w:hAnsi="Arial" w:eastAsia="Arial"/>
                <w:b w:val="0"/>
                <w:i w:val="0"/>
                <w:sz w:val="20"/>
              </w:rPr>
              <w:t>Major</w:t>
            </w:r>
          </w:p>
        </w:tc>
        <w:tc>
          <w:tcPr>
            <w:tcW w:type="dxa" w:w="7030"/>
          </w:tcPr>
          <w:p>
            <w:r/>
            <w:r>
              <w:rPr>
                <w:rFonts w:ascii="Arial" w:hAnsi="Arial" w:eastAsia="Arial"/>
                <w:b w:val="0"/>
                <w:i w:val="0"/>
                <w:sz w:val="20"/>
              </w:rPr>
              <w:t>A milestone missed or an objective partly not met</w:t>
            </w:r>
          </w:p>
        </w:tc>
      </w:tr>
      <w:tr>
        <w:trPr>
          <w:cantSplit/>
        </w:trPr>
        <w:tc>
          <w:tcPr>
            <w:tcW w:type="dxa" w:w="567"/>
          </w:tcPr>
          <w:p>
            <w:r/>
            <w:r>
              <w:rPr>
                <w:rFonts w:ascii="Arial" w:hAnsi="Arial" w:eastAsia="Arial"/>
                <w:b w:val="0"/>
                <w:i w:val="0"/>
                <w:sz w:val="20"/>
              </w:rPr>
              <w:t>5</w:t>
            </w:r>
          </w:p>
        </w:tc>
        <w:tc>
          <w:tcPr>
            <w:tcW w:type="dxa" w:w="2041"/>
          </w:tcPr>
          <w:p>
            <w:r/>
            <w:r>
              <w:rPr>
                <w:rFonts w:ascii="Arial" w:hAnsi="Arial" w:eastAsia="Arial"/>
                <w:b w:val="0"/>
                <w:i w:val="0"/>
                <w:sz w:val="20"/>
              </w:rPr>
              <w:t>Severe</w:t>
            </w:r>
          </w:p>
        </w:tc>
        <w:tc>
          <w:tcPr>
            <w:tcW w:type="dxa" w:w="7030"/>
          </w:tcPr>
          <w:p>
            <w:r/>
            <w:r>
              <w:rPr>
                <w:rFonts w:ascii="Arial" w:hAnsi="Arial" w:eastAsia="Arial"/>
                <w:b w:val="0"/>
                <w:i w:val="0"/>
                <w:sz w:val="20"/>
              </w:rPr>
              <w:t>An objective not met, harm to people, or a security breach</w:t>
            </w:r>
          </w:p>
        </w:tc>
      </w:tr>
    </w:tbl>
    <w:p>
      <w:pPr>
        <w:spacing w:after="80" w:before="0"/>
      </w:pPr>
    </w:p>
    <w:p>
      <w:pPr>
        <w:keepNext/>
        <w:spacing w:after="120" w:before="160"/>
      </w:pPr>
      <w:r>
        <w:rPr>
          <w:rFonts w:ascii="Arial" w:hAnsi="Arial" w:eastAsia="Arial"/>
          <w:b/>
          <w:i w:val="0"/>
          <w:color w:val="1F3864"/>
          <w:sz w:val="27"/>
        </w:rPr>
        <w:t>2. Highest risks and how they are reduced</w:t>
      </w:r>
    </w:p>
    <w:tbl>
      <w:tblPr>
        <w:tblStyle w:val="TableGrid"/>
        <w:tblW w:type="auto" w:w="0"/>
        <w:jc w:val="center"/>
        <w:tblLayout w:type="fixed"/>
        <w:tblLook w:firstColumn="1" w:firstRow="1" w:lastColumn="0" w:lastRow="0" w:noHBand="0" w:noVBand="1" w:val="04A0"/>
        <w:tblLayout w:type="fixed"/>
      </w:tblPr>
      <w:tblGrid>
        <w:gridCol w:w="624"/>
        <w:gridCol w:w="6406"/>
        <w:gridCol w:w="1304"/>
        <w:gridCol w:w="1304"/>
      </w:tblGrid>
      <w:tr>
        <w:trPr>
          <w:cantSplit/>
        </w:trPr>
        <w:tc>
          <w:tcPr>
            <w:tcW w:type="dxa" w:w="624"/>
            <w:shd w:val="clear" w:color="auto" w:fill="1F3864"/>
          </w:tcPr>
          <w:p>
            <w:r/>
            <w:r>
              <w:rPr>
                <w:rFonts w:ascii="Arial" w:hAnsi="Arial" w:eastAsia="Arial"/>
                <w:b/>
                <w:i w:val="0"/>
                <w:color w:val="FFFFFF"/>
                <w:sz w:val="20"/>
              </w:rPr>
            </w:r>
          </w:p>
        </w:tc>
        <w:tc>
          <w:tcPr>
            <w:tcW w:type="dxa" w:w="6406"/>
            <w:shd w:val="clear" w:color="auto" w:fill="1F3864"/>
          </w:tcPr>
          <w:p>
            <w:r/>
            <w:r>
              <w:rPr>
                <w:rFonts w:ascii="Arial" w:hAnsi="Arial" w:eastAsia="Arial"/>
                <w:b/>
                <w:i w:val="0"/>
                <w:color w:val="FFFFFF"/>
                <w:sz w:val="20"/>
              </w:rPr>
              <w:t>Risk</w:t>
            </w:r>
          </w:p>
        </w:tc>
        <w:tc>
          <w:tcPr>
            <w:tcW w:type="dxa" w:w="1304"/>
            <w:shd w:val="clear" w:color="auto" w:fill="1F3864"/>
          </w:tcPr>
          <w:p>
            <w:r/>
            <w:r>
              <w:rPr>
                <w:rFonts w:ascii="Arial" w:hAnsi="Arial" w:eastAsia="Arial"/>
                <w:b/>
                <w:i w:val="0"/>
                <w:color w:val="FFFFFF"/>
                <w:sz w:val="20"/>
              </w:rPr>
              <w:t>Before</w:t>
            </w:r>
          </w:p>
        </w:tc>
        <w:tc>
          <w:tcPr>
            <w:tcW w:type="dxa" w:w="1304"/>
            <w:shd w:val="clear" w:color="auto" w:fill="1F3864"/>
          </w:tcPr>
          <w:p>
            <w:r/>
            <w:r>
              <w:rPr>
                <w:rFonts w:ascii="Arial" w:hAnsi="Arial" w:eastAsia="Arial"/>
                <w:b/>
                <w:i w:val="0"/>
                <w:color w:val="FFFFFF"/>
                <w:sz w:val="20"/>
              </w:rPr>
              <w:t>After</w:t>
            </w:r>
          </w:p>
        </w:tc>
      </w:tr>
      <w:tr>
        <w:trPr>
          <w:cantSplit/>
        </w:trPr>
        <w:tc>
          <w:tcPr>
            <w:tcW w:type="dxa" w:w="624"/>
          </w:tcPr>
          <w:p>
            <w:r/>
            <w:r>
              <w:rPr>
                <w:rFonts w:ascii="Arial" w:hAnsi="Arial" w:eastAsia="Arial"/>
                <w:b w:val="0"/>
                <w:i w:val="0"/>
                <w:sz w:val="20"/>
              </w:rPr>
              <w:t>R20</w:t>
            </w:r>
          </w:p>
        </w:tc>
        <w:tc>
          <w:tcPr>
            <w:tcW w:type="dxa" w:w="6406"/>
          </w:tcPr>
          <w:p>
            <w:r/>
            <w:r>
              <w:rPr>
                <w:rFonts w:ascii="Arial" w:hAnsi="Arial" w:eastAsia="Arial"/>
                <w:b w:val="0"/>
                <w:i w:val="0"/>
                <w:sz w:val="20"/>
              </w:rPr>
              <w:t>Sensitive information on critical-infrastructure vulnerability is disclosed through open data or publications</w:t>
            </w:r>
          </w:p>
        </w:tc>
        <w:tc>
          <w:tcPr>
            <w:tcW w:type="dxa" w:w="1304"/>
            <w:shd w:val="clear" w:color="auto" w:fill="F2B8B5"/>
          </w:tcPr>
          <w:p>
            <w:r/>
            <w:r>
              <w:rPr>
                <w:rFonts w:ascii="Arial" w:hAnsi="Arial" w:eastAsia="Arial"/>
                <w:b w:val="0"/>
                <w:i w:val="0"/>
                <w:sz w:val="20"/>
              </w:rPr>
              <w:t>3×5 = 15</w:t>
            </w:r>
          </w:p>
        </w:tc>
        <w:tc>
          <w:tcPr>
            <w:tcW w:type="dxa" w:w="1304"/>
            <w:shd w:val="clear" w:color="auto" w:fill="DCEFE3"/>
          </w:tcPr>
          <w:p>
            <w:r/>
            <w:r>
              <w:rPr>
                <w:rFonts w:ascii="Arial" w:hAnsi="Arial" w:eastAsia="Arial"/>
                <w:b w:val="0"/>
                <w:i w:val="0"/>
                <w:sz w:val="20"/>
              </w:rPr>
              <w:t>1×4 = 4</w:t>
            </w:r>
          </w:p>
        </w:tc>
      </w:tr>
      <w:tr>
        <w:trPr>
          <w:cantSplit/>
        </w:trPr>
        <w:tc>
          <w:tcPr>
            <w:tcW w:type="dxa" w:w="624"/>
          </w:tcPr>
          <w:p>
            <w:r/>
            <w:r>
              <w:rPr>
                <w:rFonts w:ascii="Arial" w:hAnsi="Arial" w:eastAsia="Arial"/>
                <w:b w:val="0"/>
                <w:i w:val="0"/>
                <w:sz w:val="20"/>
              </w:rPr>
              <w:t>R1</w:t>
            </w:r>
          </w:p>
        </w:tc>
        <w:tc>
          <w:tcPr>
            <w:tcW w:type="dxa" w:w="6406"/>
          </w:tcPr>
          <w:p>
            <w:r/>
            <w:r>
              <w:rPr>
                <w:rFonts w:ascii="Arial" w:hAnsi="Arial" w:eastAsia="Arial"/>
                <w:b w:val="0"/>
                <w:i w:val="0"/>
                <w:sz w:val="20"/>
              </w:rPr>
              <w:t>Operators delay access to well, port or landfall data; calibration and design start late</w:t>
            </w:r>
          </w:p>
        </w:tc>
        <w:tc>
          <w:tcPr>
            <w:tcW w:type="dxa" w:w="1304"/>
            <w:shd w:val="clear" w:color="auto" w:fill="F9D3B4"/>
          </w:tcPr>
          <w:p>
            <w:r/>
            <w:r>
              <w:rPr>
                <w:rFonts w:ascii="Arial" w:hAnsi="Arial" w:eastAsia="Arial"/>
                <w:b w:val="0"/>
                <w:i w:val="0"/>
                <w:sz w:val="20"/>
              </w:rPr>
              <w:t>3×4 = 12</w:t>
            </w:r>
          </w:p>
        </w:tc>
        <w:tc>
          <w:tcPr>
            <w:tcW w:type="dxa" w:w="1304"/>
            <w:shd w:val="clear" w:color="auto" w:fill="FFF1C2"/>
          </w:tcPr>
          <w:p>
            <w:r/>
            <w:r>
              <w:rPr>
                <w:rFonts w:ascii="Arial" w:hAnsi="Arial" w:eastAsia="Arial"/>
                <w:b w:val="0"/>
                <w:i w:val="0"/>
                <w:sz w:val="20"/>
              </w:rPr>
              <w:t>2×3 = 6</w:t>
            </w:r>
          </w:p>
        </w:tc>
      </w:tr>
      <w:tr>
        <w:trPr>
          <w:cantSplit/>
        </w:trPr>
        <w:tc>
          <w:tcPr>
            <w:tcW w:type="dxa" w:w="624"/>
          </w:tcPr>
          <w:p>
            <w:r/>
            <w:r>
              <w:rPr>
                <w:rFonts w:ascii="Arial" w:hAnsi="Arial" w:eastAsia="Arial"/>
                <w:b w:val="0"/>
                <w:i w:val="0"/>
                <w:sz w:val="20"/>
              </w:rPr>
              <w:t>R14</w:t>
            </w:r>
          </w:p>
        </w:tc>
        <w:tc>
          <w:tcPr>
            <w:tcW w:type="dxa" w:w="6406"/>
          </w:tcPr>
          <w:p>
            <w:r/>
            <w:r>
              <w:rPr>
                <w:rFonts w:ascii="Arial" w:hAnsi="Arial" w:eastAsia="Arial"/>
                <w:b w:val="0"/>
                <w:i w:val="0"/>
                <w:sz w:val="20"/>
              </w:rPr>
              <w:t>No strong earthquake or surge occurs during the demonstration, so the guarantees are not tested on such events</w:t>
            </w:r>
          </w:p>
        </w:tc>
        <w:tc>
          <w:tcPr>
            <w:tcW w:type="dxa" w:w="1304"/>
            <w:shd w:val="clear" w:color="auto" w:fill="F9D3B4"/>
          </w:tcPr>
          <w:p>
            <w:r/>
            <w:r>
              <w:rPr>
                <w:rFonts w:ascii="Arial" w:hAnsi="Arial" w:eastAsia="Arial"/>
                <w:b w:val="0"/>
                <w:i w:val="0"/>
                <w:sz w:val="20"/>
              </w:rPr>
              <w:t>4×3 = 12</w:t>
            </w:r>
          </w:p>
        </w:tc>
        <w:tc>
          <w:tcPr>
            <w:tcW w:type="dxa" w:w="1304"/>
            <w:shd w:val="clear" w:color="auto" w:fill="FFF1C2"/>
          </w:tcPr>
          <w:p>
            <w:r/>
            <w:r>
              <w:rPr>
                <w:rFonts w:ascii="Arial" w:hAnsi="Arial" w:eastAsia="Arial"/>
                <w:b w:val="0"/>
                <w:i w:val="0"/>
                <w:sz w:val="20"/>
              </w:rPr>
              <w:t>4×2 = 8</w:t>
            </w:r>
          </w:p>
        </w:tc>
      </w:tr>
      <w:tr>
        <w:trPr>
          <w:cantSplit/>
        </w:trPr>
        <w:tc>
          <w:tcPr>
            <w:tcW w:type="dxa" w:w="624"/>
          </w:tcPr>
          <w:p>
            <w:r/>
            <w:r>
              <w:rPr>
                <w:rFonts w:ascii="Arial" w:hAnsi="Arial" w:eastAsia="Arial"/>
                <w:b w:val="0"/>
                <w:i w:val="0"/>
                <w:sz w:val="20"/>
              </w:rPr>
              <w:t>R3</w:t>
            </w:r>
          </w:p>
        </w:tc>
        <w:tc>
          <w:tcPr>
            <w:tcW w:type="dxa" w:w="6406"/>
          </w:tcPr>
          <w:p>
            <w:r/>
            <w:r>
              <w:rPr>
                <w:rFonts w:ascii="Arial" w:hAnsi="Arial" w:eastAsia="Arial"/>
                <w:b w:val="0"/>
                <w:i w:val="0"/>
                <w:sz w:val="20"/>
              </w:rPr>
              <w:t>Historical head and chloride records are incomplete or of uneven quality</w:t>
            </w:r>
          </w:p>
        </w:tc>
        <w:tc>
          <w:tcPr>
            <w:tcW w:type="dxa" w:w="1304"/>
            <w:shd w:val="clear" w:color="auto" w:fill="F9D3B4"/>
          </w:tcPr>
          <w:p>
            <w:r/>
            <w:r>
              <w:rPr>
                <w:rFonts w:ascii="Arial" w:hAnsi="Arial" w:eastAsia="Arial"/>
                <w:b w:val="0"/>
                <w:i w:val="0"/>
                <w:sz w:val="20"/>
              </w:rPr>
              <w:t>4×3 = 12</w:t>
            </w:r>
          </w:p>
        </w:tc>
        <w:tc>
          <w:tcPr>
            <w:tcW w:type="dxa" w:w="1304"/>
            <w:shd w:val="clear" w:color="auto" w:fill="FFF1C2"/>
          </w:tcPr>
          <w:p>
            <w:r/>
            <w:r>
              <w:rPr>
                <w:rFonts w:ascii="Arial" w:hAnsi="Arial" w:eastAsia="Arial"/>
                <w:b w:val="0"/>
                <w:i w:val="0"/>
                <w:sz w:val="20"/>
              </w:rPr>
              <w:t>3×2 = 6</w:t>
            </w:r>
          </w:p>
        </w:tc>
      </w:tr>
      <w:tr>
        <w:trPr>
          <w:cantSplit/>
        </w:trPr>
        <w:tc>
          <w:tcPr>
            <w:tcW w:type="dxa" w:w="624"/>
          </w:tcPr>
          <w:p>
            <w:r/>
            <w:r>
              <w:rPr>
                <w:rFonts w:ascii="Arial" w:hAnsi="Arial" w:eastAsia="Arial"/>
                <w:b w:val="0"/>
                <w:i w:val="0"/>
                <w:sz w:val="20"/>
              </w:rPr>
              <w:t>R5</w:t>
            </w:r>
          </w:p>
        </w:tc>
        <w:tc>
          <w:tcPr>
            <w:tcW w:type="dxa" w:w="6406"/>
          </w:tcPr>
          <w:p>
            <w:r/>
            <w:r>
              <w:rPr>
                <w:rFonts w:ascii="Arial" w:hAnsi="Arial" w:eastAsia="Arial"/>
                <w:b w:val="0"/>
                <w:i w:val="0"/>
                <w:sz w:val="20"/>
              </w:rPr>
              <w:t>The coupled model fails its validation test on held-out data</w:t>
            </w:r>
          </w:p>
        </w:tc>
        <w:tc>
          <w:tcPr>
            <w:tcW w:type="dxa" w:w="1304"/>
            <w:shd w:val="clear" w:color="auto" w:fill="F9D3B4"/>
          </w:tcPr>
          <w:p>
            <w:r/>
            <w:r>
              <w:rPr>
                <w:rFonts w:ascii="Arial" w:hAnsi="Arial" w:eastAsia="Arial"/>
                <w:b w:val="0"/>
                <w:i w:val="0"/>
                <w:sz w:val="20"/>
              </w:rPr>
              <w:t>3×4 = 12</w:t>
            </w:r>
          </w:p>
        </w:tc>
        <w:tc>
          <w:tcPr>
            <w:tcW w:type="dxa" w:w="1304"/>
            <w:shd w:val="clear" w:color="auto" w:fill="FFF1C2"/>
          </w:tcPr>
          <w:p>
            <w:r/>
            <w:r>
              <w:rPr>
                <w:rFonts w:ascii="Arial" w:hAnsi="Arial" w:eastAsia="Arial"/>
                <w:b w:val="0"/>
                <w:i w:val="0"/>
                <w:sz w:val="20"/>
              </w:rPr>
              <w:t>2×3 = 6</w:t>
            </w:r>
          </w:p>
        </w:tc>
      </w:tr>
      <w:tr>
        <w:trPr>
          <w:cantSplit/>
        </w:trPr>
        <w:tc>
          <w:tcPr>
            <w:tcW w:type="dxa" w:w="624"/>
          </w:tcPr>
          <w:p>
            <w:r/>
            <w:r>
              <w:rPr>
                <w:rFonts w:ascii="Arial" w:hAnsi="Arial" w:eastAsia="Arial"/>
                <w:b w:val="0"/>
                <w:i w:val="0"/>
                <w:sz w:val="20"/>
              </w:rPr>
              <w:t>R7</w:t>
            </w:r>
          </w:p>
        </w:tc>
        <w:tc>
          <w:tcPr>
            <w:tcW w:type="dxa" w:w="6406"/>
          </w:tcPr>
          <w:p>
            <w:r/>
            <w:r>
              <w:rPr>
                <w:rFonts w:ascii="Arial" w:hAnsi="Arial" w:eastAsia="Arial"/>
                <w:b w:val="0"/>
                <w:i w:val="0"/>
                <w:sz w:val="20"/>
              </w:rPr>
              <w:t>Certified alarms are too cautious: the false-alarm rate is unacceptable to the operators</w:t>
            </w:r>
          </w:p>
        </w:tc>
        <w:tc>
          <w:tcPr>
            <w:tcW w:type="dxa" w:w="1304"/>
            <w:shd w:val="clear" w:color="auto" w:fill="F9D3B4"/>
          </w:tcPr>
          <w:p>
            <w:r/>
            <w:r>
              <w:rPr>
                <w:rFonts w:ascii="Arial" w:hAnsi="Arial" w:eastAsia="Arial"/>
                <w:b w:val="0"/>
                <w:i w:val="0"/>
                <w:sz w:val="20"/>
              </w:rPr>
              <w:t>3×4 = 12</w:t>
            </w:r>
          </w:p>
        </w:tc>
        <w:tc>
          <w:tcPr>
            <w:tcW w:type="dxa" w:w="1304"/>
            <w:shd w:val="clear" w:color="auto" w:fill="FFF1C2"/>
          </w:tcPr>
          <w:p>
            <w:r/>
            <w:r>
              <w:rPr>
                <w:rFonts w:ascii="Arial" w:hAnsi="Arial" w:eastAsia="Arial"/>
                <w:b w:val="0"/>
                <w:i w:val="0"/>
                <w:sz w:val="20"/>
              </w:rPr>
              <w:t>2×3 = 6</w:t>
            </w:r>
          </w:p>
        </w:tc>
      </w:tr>
      <w:tr>
        <w:trPr>
          <w:cantSplit/>
        </w:trPr>
        <w:tc>
          <w:tcPr>
            <w:tcW w:type="dxa" w:w="624"/>
          </w:tcPr>
          <w:p>
            <w:r/>
            <w:r>
              <w:rPr>
                <w:rFonts w:ascii="Arial" w:hAnsi="Arial" w:eastAsia="Arial"/>
                <w:b w:val="0"/>
                <w:i w:val="0"/>
                <w:sz w:val="20"/>
              </w:rPr>
              <w:t>R8</w:t>
            </w:r>
          </w:p>
        </w:tc>
        <w:tc>
          <w:tcPr>
            <w:tcW w:type="dxa" w:w="6406"/>
          </w:tcPr>
          <w:p>
            <w:r/>
            <w:r>
              <w:rPr>
                <w:rFonts w:ascii="Arial" w:hAnsi="Arial" w:eastAsia="Arial"/>
                <w:b w:val="0"/>
                <w:i w:val="0"/>
                <w:sz w:val="20"/>
              </w:rPr>
              <w:t>Conditions move beyond the observed record (drought, compound storm, post-seismic change) and weaken the guarantees</w:t>
            </w:r>
          </w:p>
        </w:tc>
        <w:tc>
          <w:tcPr>
            <w:tcW w:type="dxa" w:w="1304"/>
            <w:shd w:val="clear" w:color="auto" w:fill="F9D3B4"/>
          </w:tcPr>
          <w:p>
            <w:r/>
            <w:r>
              <w:rPr>
                <w:rFonts w:ascii="Arial" w:hAnsi="Arial" w:eastAsia="Arial"/>
                <w:b w:val="0"/>
                <w:i w:val="0"/>
                <w:sz w:val="20"/>
              </w:rPr>
              <w:t>3×4 = 12</w:t>
            </w:r>
          </w:p>
        </w:tc>
        <w:tc>
          <w:tcPr>
            <w:tcW w:type="dxa" w:w="1304"/>
            <w:shd w:val="clear" w:color="auto" w:fill="FFF1C2"/>
          </w:tcPr>
          <w:p>
            <w:r/>
            <w:r>
              <w:rPr>
                <w:rFonts w:ascii="Arial" w:hAnsi="Arial" w:eastAsia="Arial"/>
                <w:b w:val="0"/>
                <w:i w:val="0"/>
                <w:sz w:val="20"/>
              </w:rPr>
              <w:t>3×2 = 6</w:t>
            </w:r>
          </w:p>
        </w:tc>
      </w:tr>
      <w:tr>
        <w:trPr>
          <w:cantSplit/>
        </w:trPr>
        <w:tc>
          <w:tcPr>
            <w:tcW w:type="dxa" w:w="624"/>
          </w:tcPr>
          <w:p>
            <w:r/>
            <w:r>
              <w:rPr>
                <w:rFonts w:ascii="Arial" w:hAnsi="Arial" w:eastAsia="Arial"/>
                <w:b w:val="0"/>
                <w:i w:val="0"/>
                <w:sz w:val="20"/>
              </w:rPr>
              <w:t>R13</w:t>
            </w:r>
          </w:p>
        </w:tc>
        <w:tc>
          <w:tcPr>
            <w:tcW w:type="dxa" w:w="6406"/>
          </w:tcPr>
          <w:p>
            <w:r/>
            <w:r>
              <w:rPr>
                <w:rFonts w:ascii="Arial" w:hAnsi="Arial" w:eastAsia="Arial"/>
                <w:b w:val="0"/>
                <w:i w:val="0"/>
                <w:sz w:val="20"/>
              </w:rPr>
              <w:t>Injury during field work (port traffic, storms, inspections after an earthquake)</w:t>
            </w:r>
          </w:p>
        </w:tc>
        <w:tc>
          <w:tcPr>
            <w:tcW w:type="dxa" w:w="1304"/>
            <w:shd w:val="clear" w:color="auto" w:fill="F9D3B4"/>
          </w:tcPr>
          <w:p>
            <w:r/>
            <w:r>
              <w:rPr>
                <w:rFonts w:ascii="Arial" w:hAnsi="Arial" w:eastAsia="Arial"/>
                <w:b w:val="0"/>
                <w:i w:val="0"/>
                <w:sz w:val="20"/>
              </w:rPr>
              <w:t>2×5 = 10</w:t>
            </w:r>
          </w:p>
        </w:tc>
        <w:tc>
          <w:tcPr>
            <w:tcW w:type="dxa" w:w="1304"/>
            <w:shd w:val="clear" w:color="auto" w:fill="DCEFE3"/>
          </w:tcPr>
          <w:p>
            <w:r/>
            <w:r>
              <w:rPr>
                <w:rFonts w:ascii="Arial" w:hAnsi="Arial" w:eastAsia="Arial"/>
                <w:b w:val="0"/>
                <w:i w:val="0"/>
                <w:sz w:val="20"/>
              </w:rPr>
              <w:t>1×4 = 4</w:t>
            </w:r>
          </w:p>
        </w:tc>
      </w:tr>
    </w:tbl>
    <w:p>
      <w:pPr>
        <w:sectPr>
          <w:pgSz w:w="11906" w:h="16838"/>
          <w:pgMar w:top="1020" w:right="1134" w:bottom="1020" w:left="1134" w:header="720" w:footer="720" w:gutter="0"/>
          <w:cols w:space="720"/>
          <w:docGrid w:linePitch="360"/>
        </w:sectPr>
      </w:pPr>
    </w:p>
    <w:p>
      <w:pPr>
        <w:spacing w:after="40" w:before="0"/>
        <w:jc w:val="center"/>
      </w:pPr>
      <w:r>
        <w:drawing>
          <wp:inline xmlns:a="http://schemas.openxmlformats.org/drawingml/2006/main" xmlns:pic="http://schemas.openxmlformats.org/drawingml/2006/picture">
            <wp:extent cx="9504000" cy="5346000"/>
            <wp:docPr id="1" name="Picture 1"/>
            <wp:cNvGraphicFramePr>
              <a:graphicFrameLocks noChangeAspect="1"/>
            </wp:cNvGraphicFramePr>
            <a:graphic>
              <a:graphicData uri="http://schemas.openxmlformats.org/drawingml/2006/picture">
                <pic:pic>
                  <pic:nvPicPr>
                    <pic:cNvPr id="0" name="fig_risk_matrix.png"/>
                    <pic:cNvPicPr/>
                  </pic:nvPicPr>
                  <pic:blipFill>
                    <a:blip r:embed="rId9"/>
                    <a:stretch>
                      <a:fillRect/>
                    </a:stretch>
                  </pic:blipFill>
                  <pic:spPr>
                    <a:xfrm>
                      <a:off x="0" y="0"/>
                      <a:ext cx="9504000" cy="5346000"/>
                    </a:xfrm>
                    <a:prstGeom prst="rect"/>
                  </pic:spPr>
                </pic:pic>
              </a:graphicData>
            </a:graphic>
          </wp:inline>
        </w:drawing>
      </w:r>
    </w:p>
    <w:p>
      <w:pPr>
        <w:spacing w:after="120" w:before="0"/>
      </w:pPr>
      <w:r>
        <w:rPr>
          <w:rFonts w:ascii="Arial" w:hAnsi="Arial" w:eastAsia="Arial"/>
          <w:b w:val="0"/>
          <w:i/>
          <w:color w:val="52606D"/>
          <w:sz w:val="20"/>
        </w:rPr>
        <w:t>Figure 1. Risk matrix before and after mitigation. Each cell lists the risks with that likelihood and impact; colours show the level of the score L × I. R14 (no strong event during the demonstration) stays at likelihood 4 because mitigation cannot create events; it reduces the impact through back-testing.</w:t>
      </w:r>
    </w:p>
    <w:p>
      <w:pPr>
        <w:keepNext/>
        <w:spacing w:after="120" w:before="80"/>
      </w:pPr>
      <w:r>
        <w:rPr>
          <w:rFonts w:ascii="Arial" w:hAnsi="Arial" w:eastAsia="Arial"/>
          <w:b/>
          <w:i w:val="0"/>
          <w:color w:val="1F3864"/>
          <w:sz w:val="27"/>
        </w:rPr>
        <w:t>3. Risk register</w:t>
      </w:r>
    </w:p>
    <w:p>
      <w:pPr>
        <w:keepNext/>
        <w:spacing w:after="120" w:before="120"/>
      </w:pPr>
      <w:r>
        <w:rPr>
          <w:rFonts w:ascii="Arial" w:hAnsi="Arial" w:eastAsia="Arial"/>
          <w:b/>
          <w:i w:val="0"/>
          <w:color w:val="2E6DB4"/>
          <w:sz w:val="23"/>
        </w:rPr>
        <w:t>A. Data and access</w:t>
      </w:r>
    </w:p>
    <w:tbl>
      <w:tblPr>
        <w:tblStyle w:val="TableGrid"/>
        <w:tblW w:type="auto" w:w="0"/>
        <w:jc w:val="center"/>
        <w:tblLayout w:type="fixed"/>
        <w:tblLook w:firstColumn="1" w:firstRow="1" w:lastColumn="0" w:lastRow="0" w:noHBand="0" w:noVBand="1" w:val="04A0"/>
        <w:tblLayout w:type="fixed"/>
      </w:tblPr>
      <w:tblGrid>
        <w:gridCol w:w="567"/>
        <w:gridCol w:w="2721"/>
        <w:gridCol w:w="397"/>
        <w:gridCol w:w="397"/>
        <w:gridCol w:w="794"/>
        <w:gridCol w:w="2211"/>
        <w:gridCol w:w="3231"/>
        <w:gridCol w:w="2608"/>
        <w:gridCol w:w="850"/>
        <w:gridCol w:w="1361"/>
      </w:tblGrid>
      <w:tr>
        <w:trPr>
          <w:cantSplit/>
          <w:tblHeader/>
        </w:trPr>
        <w:tc>
          <w:tcPr>
            <w:tcW w:type="dxa" w:w="567"/>
            <w:shd w:val="clear" w:color="auto" w:fill="1F3864"/>
          </w:tcPr>
          <w:p>
            <w:pPr>
              <w:keepNext/>
            </w:pPr>
            <w:r/>
            <w:r>
              <w:rPr>
                <w:rFonts w:ascii="Arial" w:hAnsi="Arial" w:eastAsia="Arial"/>
                <w:b/>
                <w:i w:val="0"/>
                <w:color w:val="FFFFFF"/>
                <w:sz w:val="17"/>
              </w:rPr>
              <w:t>ID</w:t>
            </w:r>
          </w:p>
        </w:tc>
        <w:tc>
          <w:tcPr>
            <w:tcW w:type="dxa" w:w="2721"/>
            <w:shd w:val="clear" w:color="auto" w:fill="1F3864"/>
          </w:tcPr>
          <w:p>
            <w:pPr>
              <w:keepNext/>
            </w:pPr>
            <w:r/>
            <w:r>
              <w:rPr>
                <w:rFonts w:ascii="Arial" w:hAnsi="Arial" w:eastAsia="Arial"/>
                <w:b/>
                <w:i w:val="0"/>
                <w:color w:val="FFFFFF"/>
                <w:sz w:val="17"/>
              </w:rPr>
              <w:t>Risk and consequence</w:t>
            </w:r>
          </w:p>
        </w:tc>
        <w:tc>
          <w:tcPr>
            <w:tcW w:type="dxa" w:w="397"/>
            <w:shd w:val="clear" w:color="auto" w:fill="1F3864"/>
          </w:tcPr>
          <w:p>
            <w:pPr>
              <w:keepNext/>
            </w:pPr>
            <w:r/>
            <w:r>
              <w:rPr>
                <w:rFonts w:ascii="Arial" w:hAnsi="Arial" w:eastAsia="Arial"/>
                <w:b/>
                <w:i w:val="0"/>
                <w:color w:val="FFFFFF"/>
                <w:sz w:val="17"/>
              </w:rPr>
              <w:t>L</w:t>
            </w:r>
          </w:p>
        </w:tc>
        <w:tc>
          <w:tcPr>
            <w:tcW w:type="dxa" w:w="397"/>
            <w:shd w:val="clear" w:color="auto" w:fill="1F3864"/>
          </w:tcPr>
          <w:p>
            <w:pPr>
              <w:keepNext/>
            </w:pPr>
            <w:r/>
            <w:r>
              <w:rPr>
                <w:rFonts w:ascii="Arial" w:hAnsi="Arial" w:eastAsia="Arial"/>
                <w:b/>
                <w:i w:val="0"/>
                <w:color w:val="FFFFFF"/>
                <w:sz w:val="17"/>
              </w:rPr>
              <w:t>I</w:t>
            </w:r>
          </w:p>
        </w:tc>
        <w:tc>
          <w:tcPr>
            <w:tcW w:type="dxa" w:w="794"/>
            <w:shd w:val="clear" w:color="auto" w:fill="1F3864"/>
          </w:tcPr>
          <w:p>
            <w:pPr>
              <w:keepNext/>
            </w:pPr>
            <w:r/>
            <w:r>
              <w:rPr>
                <w:rFonts w:ascii="Arial" w:hAnsi="Arial" w:eastAsia="Arial"/>
                <w:b/>
                <w:i w:val="0"/>
                <w:color w:val="FFFFFF"/>
                <w:sz w:val="17"/>
              </w:rPr>
              <w:t>Score</w:t>
            </w:r>
          </w:p>
        </w:tc>
        <w:tc>
          <w:tcPr>
            <w:tcW w:type="dxa" w:w="2211"/>
            <w:shd w:val="clear" w:color="auto" w:fill="1F3864"/>
          </w:tcPr>
          <w:p>
            <w:pPr>
              <w:keepNext/>
            </w:pPr>
            <w:r/>
            <w:r>
              <w:rPr>
                <w:rFonts w:ascii="Arial" w:hAnsi="Arial" w:eastAsia="Arial"/>
                <w:b/>
                <w:i w:val="0"/>
                <w:color w:val="FFFFFF"/>
                <w:sz w:val="17"/>
              </w:rPr>
              <w:t>Early-warning indicator (trigger)</w:t>
            </w:r>
          </w:p>
        </w:tc>
        <w:tc>
          <w:tcPr>
            <w:tcW w:type="dxa" w:w="3231"/>
            <w:shd w:val="clear" w:color="auto" w:fill="1F3864"/>
          </w:tcPr>
          <w:p>
            <w:pPr>
              <w:keepNext/>
            </w:pPr>
            <w:r/>
            <w:r>
              <w:rPr>
                <w:rFonts w:ascii="Arial" w:hAnsi="Arial" w:eastAsia="Arial"/>
                <w:b/>
                <w:i w:val="0"/>
                <w:color w:val="FFFFFF"/>
                <w:sz w:val="17"/>
              </w:rPr>
              <w:t>Mitigation (in advance)</w:t>
            </w:r>
          </w:p>
        </w:tc>
        <w:tc>
          <w:tcPr>
            <w:tcW w:type="dxa" w:w="2608"/>
            <w:shd w:val="clear" w:color="auto" w:fill="1F3864"/>
          </w:tcPr>
          <w:p>
            <w:pPr>
              <w:keepNext/>
            </w:pPr>
            <w:r/>
            <w:r>
              <w:rPr>
                <w:rFonts w:ascii="Arial" w:hAnsi="Arial" w:eastAsia="Arial"/>
                <w:b/>
                <w:i w:val="0"/>
                <w:color w:val="FFFFFF"/>
                <w:sz w:val="17"/>
              </w:rPr>
              <w:t>Contingency (if it occurs)</w:t>
            </w:r>
          </w:p>
        </w:tc>
        <w:tc>
          <w:tcPr>
            <w:tcW w:type="dxa" w:w="850"/>
            <w:shd w:val="clear" w:color="auto" w:fill="1F3864"/>
          </w:tcPr>
          <w:p>
            <w:pPr>
              <w:keepNext/>
            </w:pPr>
            <w:r/>
            <w:r>
              <w:rPr>
                <w:rFonts w:ascii="Arial" w:hAnsi="Arial" w:eastAsia="Arial"/>
                <w:b/>
                <w:i w:val="0"/>
                <w:color w:val="FFFFFF"/>
                <w:sz w:val="17"/>
              </w:rPr>
              <w:t>Owner</w:t>
            </w:r>
          </w:p>
        </w:tc>
        <w:tc>
          <w:tcPr>
            <w:tcW w:type="dxa" w:w="1361"/>
            <w:shd w:val="clear" w:color="auto" w:fill="1F3864"/>
          </w:tcPr>
          <w:p>
            <w:pPr>
              <w:keepNext/>
            </w:pPr>
            <w:r/>
            <w:r>
              <w:rPr>
                <w:rFonts w:ascii="Arial" w:hAnsi="Arial" w:eastAsia="Arial"/>
                <w:b/>
                <w:i w:val="0"/>
                <w:color w:val="FFFFFF"/>
                <w:sz w:val="17"/>
              </w:rPr>
              <w:t>Residual</w:t>
            </w:r>
          </w:p>
        </w:tc>
      </w:tr>
      <w:tr>
        <w:trPr>
          <w:cantSplit/>
        </w:trPr>
        <w:tc>
          <w:tcPr>
            <w:tcW w:type="dxa" w:w="567"/>
          </w:tcPr>
          <w:p>
            <w:pPr>
              <w:keepNext/>
            </w:pPr>
            <w:r/>
            <w:r>
              <w:rPr>
                <w:rFonts w:ascii="Arial" w:hAnsi="Arial" w:eastAsia="Arial"/>
                <w:b w:val="0"/>
                <w:i w:val="0"/>
                <w:sz w:val="17"/>
              </w:rPr>
              <w:t>R1</w:t>
            </w:r>
          </w:p>
        </w:tc>
        <w:tc>
          <w:tcPr>
            <w:tcW w:type="dxa" w:w="2721"/>
          </w:tcPr>
          <w:p>
            <w:pPr>
              <w:keepNext/>
            </w:pPr>
            <w:r/>
            <w:r>
              <w:rPr>
                <w:rFonts w:ascii="Arial" w:hAnsi="Arial" w:eastAsia="Arial"/>
                <w:b w:val="0"/>
                <w:i w:val="0"/>
                <w:sz w:val="17"/>
              </w:rPr>
              <w:t>Operators delay access to well, port or landfall data; calibration and design start late</w:t>
            </w:r>
          </w:p>
        </w:tc>
        <w:tc>
          <w:tcPr>
            <w:tcW w:type="dxa" w:w="397"/>
          </w:tcPr>
          <w:p>
            <w:pPr>
              <w:keepNext/>
            </w:pPr>
            <w:r/>
            <w:r>
              <w:rPr>
                <w:rFonts w:ascii="Arial" w:hAnsi="Arial" w:eastAsia="Arial"/>
                <w:b w:val="0"/>
                <w:i w:val="0"/>
                <w:sz w:val="17"/>
              </w:rPr>
              <w:t>3</w:t>
            </w:r>
          </w:p>
        </w:tc>
        <w:tc>
          <w:tcPr>
            <w:tcW w:type="dxa" w:w="397"/>
          </w:tcPr>
          <w:p>
            <w:pPr>
              <w:keepNext/>
            </w:pPr>
            <w:r/>
            <w:r>
              <w:rPr>
                <w:rFonts w:ascii="Arial" w:hAnsi="Arial" w:eastAsia="Arial"/>
                <w:b w:val="0"/>
                <w:i w:val="0"/>
                <w:sz w:val="17"/>
              </w:rPr>
              <w:t>4</w:t>
            </w:r>
          </w:p>
        </w:tc>
        <w:tc>
          <w:tcPr>
            <w:tcW w:type="dxa" w:w="794"/>
            <w:shd w:val="clear" w:color="auto" w:fill="F9D3B4"/>
          </w:tcPr>
          <w:p>
            <w:pPr>
              <w:keepNext/>
            </w:pPr>
            <w:r/>
            <w:r>
              <w:rPr>
                <w:rFonts w:ascii="Arial" w:hAnsi="Arial" w:eastAsia="Arial"/>
                <w:b w:val="0"/>
                <w:i w:val="0"/>
                <w:sz w:val="17"/>
              </w:rPr>
              <w:t>12</w:t>
            </w:r>
          </w:p>
        </w:tc>
        <w:tc>
          <w:tcPr>
            <w:tcW w:type="dxa" w:w="2211"/>
          </w:tcPr>
          <w:p>
            <w:pPr>
              <w:keepNext/>
            </w:pPr>
            <w:r/>
            <w:r>
              <w:rPr>
                <w:rFonts w:ascii="Arial" w:hAnsi="Arial" w:eastAsia="Arial"/>
                <w:b w:val="0"/>
                <w:i w:val="0"/>
                <w:sz w:val="17"/>
              </w:rPr>
              <w:t>Access agreements not signed by Month 3</w:t>
            </w:r>
          </w:p>
        </w:tc>
        <w:tc>
          <w:tcPr>
            <w:tcW w:type="dxa" w:w="3231"/>
          </w:tcPr>
          <w:p>
            <w:pPr>
              <w:keepNext/>
            </w:pPr>
            <w:r/>
            <w:r>
              <w:rPr>
                <w:rFonts w:ascii="Arial" w:hAnsi="Arial" w:eastAsia="Arial"/>
                <w:b w:val="0"/>
                <w:i w:val="0"/>
                <w:sz w:val="17"/>
              </w:rPr>
              <w:t>Letters of support at proposal stage; access agreements by Month 3 (T7.2, D7.1); data needs listed per operator</w:t>
            </w:r>
          </w:p>
        </w:tc>
        <w:tc>
          <w:tcPr>
            <w:tcW w:type="dxa" w:w="2608"/>
          </w:tcPr>
          <w:p>
            <w:pPr>
              <w:keepNext/>
            </w:pPr>
            <w:r/>
            <w:r>
              <w:rPr>
                <w:rFonts w:ascii="Arial" w:hAnsi="Arial" w:eastAsia="Arial"/>
                <w:b w:val="0"/>
                <w:i w:val="0"/>
                <w:sz w:val="17"/>
              </w:rPr>
              <w:t>Start WP1 and the design in WP4 on public and satellite data; escalate to the steering committee</w:t>
            </w:r>
          </w:p>
        </w:tc>
        <w:tc>
          <w:tcPr>
            <w:tcW w:type="dxa" w:w="850"/>
          </w:tcPr>
          <w:p>
            <w:pPr>
              <w:keepNext/>
            </w:pPr>
            <w:r/>
            <w:r>
              <w:rPr>
                <w:rFonts w:ascii="Arial" w:hAnsi="Arial" w:eastAsia="Arial"/>
                <w:b w:val="0"/>
                <w:i w:val="0"/>
                <w:sz w:val="17"/>
              </w:rPr>
              <w:t>WP7</w:t>
            </w:r>
          </w:p>
        </w:tc>
        <w:tc>
          <w:tcPr>
            <w:tcW w:type="dxa" w:w="1361"/>
            <w:shd w:val="clear" w:color="auto" w:fill="FFF1C2"/>
          </w:tcPr>
          <w:p>
            <w:pPr>
              <w:keepNext/>
            </w:pPr>
            <w:r/>
            <w:r>
              <w:rPr>
                <w:rFonts w:ascii="Arial" w:hAnsi="Arial" w:eastAsia="Arial"/>
                <w:b w:val="0"/>
                <w:i w:val="0"/>
                <w:sz w:val="17"/>
              </w:rPr>
              <w:t>2×3 = 6</w:t>
            </w:r>
          </w:p>
        </w:tc>
      </w:tr>
      <w:tr>
        <w:trPr>
          <w:cantSplit/>
        </w:trPr>
        <w:tc>
          <w:tcPr>
            <w:tcW w:type="dxa" w:w="567"/>
          </w:tcPr>
          <w:p>
            <w:pPr>
              <w:keepNext/>
            </w:pPr>
            <w:r/>
            <w:r>
              <w:rPr>
                <w:rFonts w:ascii="Arial" w:hAnsi="Arial" w:eastAsia="Arial"/>
                <w:b w:val="0"/>
                <w:i w:val="0"/>
                <w:sz w:val="17"/>
              </w:rPr>
              <w:t>R2</w:t>
            </w:r>
          </w:p>
        </w:tc>
        <w:tc>
          <w:tcPr>
            <w:tcW w:type="dxa" w:w="2721"/>
          </w:tcPr>
          <w:p>
            <w:pPr>
              <w:keepNext/>
            </w:pPr>
            <w:r/>
            <w:r>
              <w:rPr>
                <w:rFonts w:ascii="Arial" w:hAnsi="Arial" w:eastAsia="Arial"/>
                <w:b w:val="0"/>
                <w:i w:val="0"/>
                <w:sz w:val="17"/>
              </w:rPr>
              <w:t>Security rules restrict access to the port or landfall (port-facility security, energy operator rules)</w:t>
            </w:r>
          </w:p>
        </w:tc>
        <w:tc>
          <w:tcPr>
            <w:tcW w:type="dxa" w:w="397"/>
          </w:tcPr>
          <w:p>
            <w:pPr>
              <w:keepNext/>
            </w:pPr>
            <w:r/>
            <w:r>
              <w:rPr>
                <w:rFonts w:ascii="Arial" w:hAnsi="Arial" w:eastAsia="Arial"/>
                <w:b w:val="0"/>
                <w:i w:val="0"/>
                <w:sz w:val="17"/>
              </w:rPr>
              <w:t>3</w:t>
            </w:r>
          </w:p>
        </w:tc>
        <w:tc>
          <w:tcPr>
            <w:tcW w:type="dxa" w:w="397"/>
          </w:tcPr>
          <w:p>
            <w:pPr>
              <w:keepNext/>
            </w:pPr>
            <w:r/>
            <w:r>
              <w:rPr>
                <w:rFonts w:ascii="Arial" w:hAnsi="Arial" w:eastAsia="Arial"/>
                <w:b w:val="0"/>
                <w:i w:val="0"/>
                <w:sz w:val="17"/>
              </w:rPr>
              <w:t>3</w:t>
            </w:r>
          </w:p>
        </w:tc>
        <w:tc>
          <w:tcPr>
            <w:tcW w:type="dxa" w:w="794"/>
            <w:shd w:val="clear" w:color="auto" w:fill="FFF1C2"/>
          </w:tcPr>
          <w:p>
            <w:pPr>
              <w:keepNext/>
            </w:pPr>
            <w:r/>
            <w:r>
              <w:rPr>
                <w:rFonts w:ascii="Arial" w:hAnsi="Arial" w:eastAsia="Arial"/>
                <w:b w:val="0"/>
                <w:i w:val="0"/>
                <w:sz w:val="17"/>
              </w:rPr>
              <w:t>9</w:t>
            </w:r>
          </w:p>
        </w:tc>
        <w:tc>
          <w:tcPr>
            <w:tcW w:type="dxa" w:w="2211"/>
          </w:tcPr>
          <w:p>
            <w:pPr>
              <w:keepNext/>
            </w:pPr>
            <w:r/>
            <w:r>
              <w:rPr>
                <w:rFonts w:ascii="Arial" w:hAnsi="Arial" w:eastAsia="Arial"/>
                <w:b w:val="0"/>
                <w:i w:val="0"/>
                <w:sz w:val="17"/>
              </w:rPr>
              <w:t>Site access not granted by Month 6</w:t>
            </w:r>
          </w:p>
        </w:tc>
        <w:tc>
          <w:tcPr>
            <w:tcW w:type="dxa" w:w="3231"/>
          </w:tcPr>
          <w:p>
            <w:pPr>
              <w:keepNext/>
            </w:pPr>
            <w:r/>
            <w:r>
              <w:rPr>
                <w:rFonts w:ascii="Arial" w:hAnsi="Arial" w:eastAsia="Arial"/>
                <w:b w:val="0"/>
                <w:i w:val="0"/>
                <w:sz w:val="17"/>
              </w:rPr>
              <w:t>Early meetings with security officers; named staff, escorts and inductions; installation plans approved in advance</w:t>
            </w:r>
          </w:p>
        </w:tc>
        <w:tc>
          <w:tcPr>
            <w:tcW w:type="dxa" w:w="2608"/>
          </w:tcPr>
          <w:p>
            <w:pPr>
              <w:keepNext/>
            </w:pPr>
            <w:r/>
            <w:r>
              <w:rPr>
                <w:rFonts w:ascii="Arial" w:hAnsi="Arial" w:eastAsia="Arial"/>
                <w:b w:val="0"/>
                <w:i w:val="0"/>
                <w:sz w:val="17"/>
              </w:rPr>
              <w:t>Install on the nearest accessible ground; rely more on InSAR, corner reflectors and seismic noise</w:t>
            </w:r>
          </w:p>
        </w:tc>
        <w:tc>
          <w:tcPr>
            <w:tcW w:type="dxa" w:w="850"/>
          </w:tcPr>
          <w:p>
            <w:pPr>
              <w:keepNext/>
            </w:pPr>
            <w:r/>
            <w:r>
              <w:rPr>
                <w:rFonts w:ascii="Arial" w:hAnsi="Arial" w:eastAsia="Arial"/>
                <w:b w:val="0"/>
                <w:i w:val="0"/>
                <w:sz w:val="17"/>
              </w:rPr>
              <w:t>WP4</w:t>
            </w:r>
          </w:p>
        </w:tc>
        <w:tc>
          <w:tcPr>
            <w:tcW w:type="dxa" w:w="1361"/>
            <w:shd w:val="clear" w:color="auto" w:fill="DCEFE3"/>
          </w:tcPr>
          <w:p>
            <w:pPr>
              <w:keepNext/>
            </w:pPr>
            <w:r/>
            <w:r>
              <w:rPr>
                <w:rFonts w:ascii="Arial" w:hAnsi="Arial" w:eastAsia="Arial"/>
                <w:b w:val="0"/>
                <w:i w:val="0"/>
                <w:sz w:val="17"/>
              </w:rPr>
              <w:t>2×2 = 4</w:t>
            </w:r>
          </w:p>
        </w:tc>
      </w:tr>
      <w:tr>
        <w:trPr>
          <w:cantSplit/>
        </w:trPr>
        <w:tc>
          <w:tcPr>
            <w:tcW w:type="dxa" w:w="567"/>
          </w:tcPr>
          <w:p>
            <w:r/>
            <w:r>
              <w:rPr>
                <w:rFonts w:ascii="Arial" w:hAnsi="Arial" w:eastAsia="Arial"/>
                <w:b w:val="0"/>
                <w:i w:val="0"/>
                <w:sz w:val="17"/>
              </w:rPr>
              <w:t>R3</w:t>
            </w:r>
          </w:p>
        </w:tc>
        <w:tc>
          <w:tcPr>
            <w:tcW w:type="dxa" w:w="2721"/>
          </w:tcPr>
          <w:p>
            <w:r/>
            <w:r>
              <w:rPr>
                <w:rFonts w:ascii="Arial" w:hAnsi="Arial" w:eastAsia="Arial"/>
                <w:b w:val="0"/>
                <w:i w:val="0"/>
                <w:sz w:val="17"/>
              </w:rPr>
              <w:t>Historical head and chloride records are incomplete or of uneven quality</w:t>
            </w:r>
          </w:p>
        </w:tc>
        <w:tc>
          <w:tcPr>
            <w:tcW w:type="dxa" w:w="397"/>
          </w:tcPr>
          <w:p>
            <w:r/>
            <w:r>
              <w:rPr>
                <w:rFonts w:ascii="Arial" w:hAnsi="Arial" w:eastAsia="Arial"/>
                <w:b w:val="0"/>
                <w:i w:val="0"/>
                <w:sz w:val="17"/>
              </w:rPr>
              <w:t>4</w:t>
            </w:r>
          </w:p>
        </w:tc>
        <w:tc>
          <w:tcPr>
            <w:tcW w:type="dxa" w:w="397"/>
          </w:tcPr>
          <w:p>
            <w:r/>
            <w:r>
              <w:rPr>
                <w:rFonts w:ascii="Arial" w:hAnsi="Arial" w:eastAsia="Arial"/>
                <w:b w:val="0"/>
                <w:i w:val="0"/>
                <w:sz w:val="17"/>
              </w:rPr>
              <w:t>3</w:t>
            </w:r>
          </w:p>
        </w:tc>
        <w:tc>
          <w:tcPr>
            <w:tcW w:type="dxa" w:w="794"/>
            <w:shd w:val="clear" w:color="auto" w:fill="F9D3B4"/>
          </w:tcPr>
          <w:p>
            <w:r/>
            <w:r>
              <w:rPr>
                <w:rFonts w:ascii="Arial" w:hAnsi="Arial" w:eastAsia="Arial"/>
                <w:b w:val="0"/>
                <w:i w:val="0"/>
                <w:sz w:val="17"/>
              </w:rPr>
              <w:t>12</w:t>
            </w:r>
          </w:p>
        </w:tc>
        <w:tc>
          <w:tcPr>
            <w:tcW w:type="dxa" w:w="2211"/>
          </w:tcPr>
          <w:p>
            <w:r/>
            <w:r>
              <w:rPr>
                <w:rFonts w:ascii="Arial" w:hAnsi="Arial" w:eastAsia="Arial"/>
                <w:b w:val="0"/>
                <w:i w:val="0"/>
                <w:sz w:val="17"/>
              </w:rPr>
              <w:t>More than 30% of records fail quality control</w:t>
            </w:r>
          </w:p>
        </w:tc>
        <w:tc>
          <w:tcPr>
            <w:tcW w:type="dxa" w:w="3231"/>
          </w:tcPr>
          <w:p>
            <w:r/>
            <w:r>
              <w:rPr>
                <w:rFonts w:ascii="Arial" w:hAnsi="Arial" w:eastAsia="Arial"/>
                <w:b w:val="0"/>
                <w:i w:val="0"/>
                <w:sz w:val="17"/>
              </w:rPr>
              <w:t>Data rescue from paper archives; quality flags; record errors carried as uncertainty in the assimilation</w:t>
            </w:r>
          </w:p>
        </w:tc>
        <w:tc>
          <w:tcPr>
            <w:tcW w:type="dxa" w:w="2608"/>
          </w:tcPr>
          <w:p>
            <w:r/>
            <w:r>
              <w:rPr>
                <w:rFonts w:ascii="Arial" w:hAnsi="Arial" w:eastAsia="Arial"/>
                <w:b w:val="0"/>
                <w:i w:val="0"/>
                <w:sz w:val="17"/>
              </w:rPr>
              <w:t>Calibrate on the new network and InSAR; widen the stated uncertainty</w:t>
            </w:r>
          </w:p>
        </w:tc>
        <w:tc>
          <w:tcPr>
            <w:tcW w:type="dxa" w:w="850"/>
          </w:tcPr>
          <w:p>
            <w:r/>
            <w:r>
              <w:rPr>
                <w:rFonts w:ascii="Arial" w:hAnsi="Arial" w:eastAsia="Arial"/>
                <w:b w:val="0"/>
                <w:i w:val="0"/>
                <w:sz w:val="17"/>
              </w:rPr>
              <w:t>WP2</w:t>
            </w:r>
          </w:p>
        </w:tc>
        <w:tc>
          <w:tcPr>
            <w:tcW w:type="dxa" w:w="1361"/>
            <w:shd w:val="clear" w:color="auto" w:fill="FFF1C2"/>
          </w:tcPr>
          <w:p>
            <w:r/>
            <w:r>
              <w:rPr>
                <w:rFonts w:ascii="Arial" w:hAnsi="Arial" w:eastAsia="Arial"/>
                <w:b w:val="0"/>
                <w:i w:val="0"/>
                <w:sz w:val="17"/>
              </w:rPr>
              <w:t>3×2 = 6</w:t>
            </w:r>
          </w:p>
        </w:tc>
      </w:tr>
    </w:tbl>
    <w:p>
      <w:pPr>
        <w:keepNext/>
        <w:spacing w:after="120" w:before="120"/>
      </w:pPr>
      <w:r>
        <w:rPr>
          <w:rFonts w:ascii="Arial" w:hAnsi="Arial" w:eastAsia="Arial"/>
          <w:b/>
          <w:i w:val="0"/>
          <w:color w:val="2E6DB4"/>
          <w:sz w:val="23"/>
        </w:rPr>
        <w:t>B. Science and methods</w:t>
      </w:r>
    </w:p>
    <w:tbl>
      <w:tblPr>
        <w:tblStyle w:val="TableGrid"/>
        <w:tblW w:type="auto" w:w="0"/>
        <w:jc w:val="center"/>
        <w:tblLayout w:type="fixed"/>
        <w:tblLook w:firstColumn="1" w:firstRow="1" w:lastColumn="0" w:lastRow="0" w:noHBand="0" w:noVBand="1" w:val="04A0"/>
        <w:tblLayout w:type="fixed"/>
      </w:tblPr>
      <w:tblGrid>
        <w:gridCol w:w="567"/>
        <w:gridCol w:w="2721"/>
        <w:gridCol w:w="397"/>
        <w:gridCol w:w="397"/>
        <w:gridCol w:w="794"/>
        <w:gridCol w:w="2211"/>
        <w:gridCol w:w="3231"/>
        <w:gridCol w:w="2608"/>
        <w:gridCol w:w="850"/>
        <w:gridCol w:w="1361"/>
      </w:tblGrid>
      <w:tr>
        <w:trPr>
          <w:cantSplit/>
          <w:tblHeader/>
        </w:trPr>
        <w:tc>
          <w:tcPr>
            <w:tcW w:type="dxa" w:w="567"/>
            <w:shd w:val="clear" w:color="auto" w:fill="1F3864"/>
          </w:tcPr>
          <w:p>
            <w:pPr>
              <w:keepNext/>
            </w:pPr>
            <w:r/>
            <w:r>
              <w:rPr>
                <w:rFonts w:ascii="Arial" w:hAnsi="Arial" w:eastAsia="Arial"/>
                <w:b/>
                <w:i w:val="0"/>
                <w:color w:val="FFFFFF"/>
                <w:sz w:val="17"/>
              </w:rPr>
              <w:t>ID</w:t>
            </w:r>
          </w:p>
        </w:tc>
        <w:tc>
          <w:tcPr>
            <w:tcW w:type="dxa" w:w="2721"/>
            <w:shd w:val="clear" w:color="auto" w:fill="1F3864"/>
          </w:tcPr>
          <w:p>
            <w:pPr>
              <w:keepNext/>
            </w:pPr>
            <w:r/>
            <w:r>
              <w:rPr>
                <w:rFonts w:ascii="Arial" w:hAnsi="Arial" w:eastAsia="Arial"/>
                <w:b/>
                <w:i w:val="0"/>
                <w:color w:val="FFFFFF"/>
                <w:sz w:val="17"/>
              </w:rPr>
              <w:t>Risk and consequence</w:t>
            </w:r>
          </w:p>
        </w:tc>
        <w:tc>
          <w:tcPr>
            <w:tcW w:type="dxa" w:w="397"/>
            <w:shd w:val="clear" w:color="auto" w:fill="1F3864"/>
          </w:tcPr>
          <w:p>
            <w:pPr>
              <w:keepNext/>
            </w:pPr>
            <w:r/>
            <w:r>
              <w:rPr>
                <w:rFonts w:ascii="Arial" w:hAnsi="Arial" w:eastAsia="Arial"/>
                <w:b/>
                <w:i w:val="0"/>
                <w:color w:val="FFFFFF"/>
                <w:sz w:val="17"/>
              </w:rPr>
              <w:t>L</w:t>
            </w:r>
          </w:p>
        </w:tc>
        <w:tc>
          <w:tcPr>
            <w:tcW w:type="dxa" w:w="397"/>
            <w:shd w:val="clear" w:color="auto" w:fill="1F3864"/>
          </w:tcPr>
          <w:p>
            <w:pPr>
              <w:keepNext/>
            </w:pPr>
            <w:r/>
            <w:r>
              <w:rPr>
                <w:rFonts w:ascii="Arial" w:hAnsi="Arial" w:eastAsia="Arial"/>
                <w:b/>
                <w:i w:val="0"/>
                <w:color w:val="FFFFFF"/>
                <w:sz w:val="17"/>
              </w:rPr>
              <w:t>I</w:t>
            </w:r>
          </w:p>
        </w:tc>
        <w:tc>
          <w:tcPr>
            <w:tcW w:type="dxa" w:w="794"/>
            <w:shd w:val="clear" w:color="auto" w:fill="1F3864"/>
          </w:tcPr>
          <w:p>
            <w:pPr>
              <w:keepNext/>
            </w:pPr>
            <w:r/>
            <w:r>
              <w:rPr>
                <w:rFonts w:ascii="Arial" w:hAnsi="Arial" w:eastAsia="Arial"/>
                <w:b/>
                <w:i w:val="0"/>
                <w:color w:val="FFFFFF"/>
                <w:sz w:val="17"/>
              </w:rPr>
              <w:t>Score</w:t>
            </w:r>
          </w:p>
        </w:tc>
        <w:tc>
          <w:tcPr>
            <w:tcW w:type="dxa" w:w="2211"/>
            <w:shd w:val="clear" w:color="auto" w:fill="1F3864"/>
          </w:tcPr>
          <w:p>
            <w:pPr>
              <w:keepNext/>
            </w:pPr>
            <w:r/>
            <w:r>
              <w:rPr>
                <w:rFonts w:ascii="Arial" w:hAnsi="Arial" w:eastAsia="Arial"/>
                <w:b/>
                <w:i w:val="0"/>
                <w:color w:val="FFFFFF"/>
                <w:sz w:val="17"/>
              </w:rPr>
              <w:t>Early-warning indicator (trigger)</w:t>
            </w:r>
          </w:p>
        </w:tc>
        <w:tc>
          <w:tcPr>
            <w:tcW w:type="dxa" w:w="3231"/>
            <w:shd w:val="clear" w:color="auto" w:fill="1F3864"/>
          </w:tcPr>
          <w:p>
            <w:pPr>
              <w:keepNext/>
            </w:pPr>
            <w:r/>
            <w:r>
              <w:rPr>
                <w:rFonts w:ascii="Arial" w:hAnsi="Arial" w:eastAsia="Arial"/>
                <w:b/>
                <w:i w:val="0"/>
                <w:color w:val="FFFFFF"/>
                <w:sz w:val="17"/>
              </w:rPr>
              <w:t>Mitigation (in advance)</w:t>
            </w:r>
          </w:p>
        </w:tc>
        <w:tc>
          <w:tcPr>
            <w:tcW w:type="dxa" w:w="2608"/>
            <w:shd w:val="clear" w:color="auto" w:fill="1F3864"/>
          </w:tcPr>
          <w:p>
            <w:pPr>
              <w:keepNext/>
            </w:pPr>
            <w:r/>
            <w:r>
              <w:rPr>
                <w:rFonts w:ascii="Arial" w:hAnsi="Arial" w:eastAsia="Arial"/>
                <w:b/>
                <w:i w:val="0"/>
                <w:color w:val="FFFFFF"/>
                <w:sz w:val="17"/>
              </w:rPr>
              <w:t>Contingency (if it occurs)</w:t>
            </w:r>
          </w:p>
        </w:tc>
        <w:tc>
          <w:tcPr>
            <w:tcW w:type="dxa" w:w="850"/>
            <w:shd w:val="clear" w:color="auto" w:fill="1F3864"/>
          </w:tcPr>
          <w:p>
            <w:pPr>
              <w:keepNext/>
            </w:pPr>
            <w:r/>
            <w:r>
              <w:rPr>
                <w:rFonts w:ascii="Arial" w:hAnsi="Arial" w:eastAsia="Arial"/>
                <w:b/>
                <w:i w:val="0"/>
                <w:color w:val="FFFFFF"/>
                <w:sz w:val="17"/>
              </w:rPr>
              <w:t>Owner</w:t>
            </w:r>
          </w:p>
        </w:tc>
        <w:tc>
          <w:tcPr>
            <w:tcW w:type="dxa" w:w="1361"/>
            <w:shd w:val="clear" w:color="auto" w:fill="1F3864"/>
          </w:tcPr>
          <w:p>
            <w:pPr>
              <w:keepNext/>
            </w:pPr>
            <w:r/>
            <w:r>
              <w:rPr>
                <w:rFonts w:ascii="Arial" w:hAnsi="Arial" w:eastAsia="Arial"/>
                <w:b/>
                <w:i w:val="0"/>
                <w:color w:val="FFFFFF"/>
                <w:sz w:val="17"/>
              </w:rPr>
              <w:t>Residual</w:t>
            </w:r>
          </w:p>
        </w:tc>
      </w:tr>
      <w:tr>
        <w:trPr>
          <w:cantSplit/>
        </w:trPr>
        <w:tc>
          <w:tcPr>
            <w:tcW w:type="dxa" w:w="567"/>
          </w:tcPr>
          <w:p>
            <w:pPr>
              <w:keepNext/>
            </w:pPr>
            <w:r/>
            <w:r>
              <w:rPr>
                <w:rFonts w:ascii="Arial" w:hAnsi="Arial" w:eastAsia="Arial"/>
                <w:b w:val="0"/>
                <w:i w:val="0"/>
                <w:sz w:val="17"/>
              </w:rPr>
              <w:t>R4</w:t>
            </w:r>
          </w:p>
        </w:tc>
        <w:tc>
          <w:tcPr>
            <w:tcW w:type="dxa" w:w="2721"/>
          </w:tcPr>
          <w:p>
            <w:pPr>
              <w:keepNext/>
            </w:pPr>
            <w:r/>
            <w:r>
              <w:rPr>
                <w:rFonts w:ascii="Arial" w:hAnsi="Arial" w:eastAsia="Arial"/>
                <w:b w:val="0"/>
                <w:i w:val="0"/>
                <w:sz w:val="17"/>
              </w:rPr>
              <w:t>InSAR loses coherence on vegetated plains or on new port works</w:t>
            </w:r>
          </w:p>
        </w:tc>
        <w:tc>
          <w:tcPr>
            <w:tcW w:type="dxa" w:w="397"/>
          </w:tcPr>
          <w:p>
            <w:pPr>
              <w:keepNext/>
            </w:pPr>
            <w:r/>
            <w:r>
              <w:rPr>
                <w:rFonts w:ascii="Arial" w:hAnsi="Arial" w:eastAsia="Arial"/>
                <w:b w:val="0"/>
                <w:i w:val="0"/>
                <w:sz w:val="17"/>
              </w:rPr>
              <w:t>3</w:t>
            </w:r>
          </w:p>
        </w:tc>
        <w:tc>
          <w:tcPr>
            <w:tcW w:type="dxa" w:w="397"/>
          </w:tcPr>
          <w:p>
            <w:pPr>
              <w:keepNext/>
            </w:pPr>
            <w:r/>
            <w:r>
              <w:rPr>
                <w:rFonts w:ascii="Arial" w:hAnsi="Arial" w:eastAsia="Arial"/>
                <w:b w:val="0"/>
                <w:i w:val="0"/>
                <w:sz w:val="17"/>
              </w:rPr>
              <w:t>3</w:t>
            </w:r>
          </w:p>
        </w:tc>
        <w:tc>
          <w:tcPr>
            <w:tcW w:type="dxa" w:w="794"/>
            <w:shd w:val="clear" w:color="auto" w:fill="FFF1C2"/>
          </w:tcPr>
          <w:p>
            <w:pPr>
              <w:keepNext/>
            </w:pPr>
            <w:r/>
            <w:r>
              <w:rPr>
                <w:rFonts w:ascii="Arial" w:hAnsi="Arial" w:eastAsia="Arial"/>
                <w:b w:val="0"/>
                <w:i w:val="0"/>
                <w:sz w:val="17"/>
              </w:rPr>
              <w:t>9</w:t>
            </w:r>
          </w:p>
        </w:tc>
        <w:tc>
          <w:tcPr>
            <w:tcW w:type="dxa" w:w="2211"/>
          </w:tcPr>
          <w:p>
            <w:pPr>
              <w:keepNext/>
            </w:pPr>
            <w:r/>
            <w:r>
              <w:rPr>
                <w:rFonts w:ascii="Arial" w:hAnsi="Arial" w:eastAsia="Arial"/>
                <w:b w:val="0"/>
                <w:i w:val="0"/>
                <w:sz w:val="17"/>
              </w:rPr>
              <w:t>Too few coherent points at an asset after T1.1 (Month 9)</w:t>
            </w:r>
          </w:p>
        </w:tc>
        <w:tc>
          <w:tcPr>
            <w:tcW w:type="dxa" w:w="3231"/>
          </w:tcPr>
          <w:p>
            <w:pPr>
              <w:keepNext/>
            </w:pPr>
            <w:r/>
            <w:r>
              <w:rPr>
                <w:rFonts w:ascii="Arial" w:hAnsi="Arial" w:eastAsia="Arial"/>
                <w:b w:val="0"/>
                <w:i w:val="0"/>
                <w:sz w:val="17"/>
              </w:rPr>
              <w:t>Corner reflectors and GNSS at the assets (T1.2); persistent scatterers on structures; both orbit directions</w:t>
            </w:r>
          </w:p>
        </w:tc>
        <w:tc>
          <w:tcPr>
            <w:tcW w:type="dxa" w:w="2608"/>
          </w:tcPr>
          <w:p>
            <w:pPr>
              <w:keepNext/>
            </w:pPr>
            <w:r/>
            <w:r>
              <w:rPr>
                <w:rFonts w:ascii="Arial" w:hAnsi="Arial" w:eastAsia="Arial"/>
                <w:b w:val="0"/>
                <w:i w:val="0"/>
                <w:sz w:val="17"/>
              </w:rPr>
              <w:t>Use GNSS and levelling at the asset; interpolate with stated uncertainty</w:t>
            </w:r>
          </w:p>
        </w:tc>
        <w:tc>
          <w:tcPr>
            <w:tcW w:type="dxa" w:w="850"/>
          </w:tcPr>
          <w:p>
            <w:pPr>
              <w:keepNext/>
            </w:pPr>
            <w:r/>
            <w:r>
              <w:rPr>
                <w:rFonts w:ascii="Arial" w:hAnsi="Arial" w:eastAsia="Arial"/>
                <w:b w:val="0"/>
                <w:i w:val="0"/>
                <w:sz w:val="17"/>
              </w:rPr>
              <w:t>WP1</w:t>
            </w:r>
          </w:p>
        </w:tc>
        <w:tc>
          <w:tcPr>
            <w:tcW w:type="dxa" w:w="1361"/>
            <w:shd w:val="clear" w:color="auto" w:fill="DCEFE3"/>
          </w:tcPr>
          <w:p>
            <w:pPr>
              <w:keepNext/>
            </w:pPr>
            <w:r/>
            <w:r>
              <w:rPr>
                <w:rFonts w:ascii="Arial" w:hAnsi="Arial" w:eastAsia="Arial"/>
                <w:b w:val="0"/>
                <w:i w:val="0"/>
                <w:sz w:val="17"/>
              </w:rPr>
              <w:t>2×2 = 4</w:t>
            </w:r>
          </w:p>
        </w:tc>
      </w:tr>
      <w:tr>
        <w:trPr>
          <w:cantSplit/>
        </w:trPr>
        <w:tc>
          <w:tcPr>
            <w:tcW w:type="dxa" w:w="567"/>
          </w:tcPr>
          <w:p>
            <w:pPr>
              <w:keepNext/>
            </w:pPr>
            <w:r/>
            <w:r>
              <w:rPr>
                <w:rFonts w:ascii="Arial" w:hAnsi="Arial" w:eastAsia="Arial"/>
                <w:b w:val="0"/>
                <w:i w:val="0"/>
                <w:sz w:val="17"/>
              </w:rPr>
              <w:t>R5</w:t>
            </w:r>
          </w:p>
        </w:tc>
        <w:tc>
          <w:tcPr>
            <w:tcW w:type="dxa" w:w="2721"/>
          </w:tcPr>
          <w:p>
            <w:pPr>
              <w:keepNext/>
            </w:pPr>
            <w:r/>
            <w:r>
              <w:rPr>
                <w:rFonts w:ascii="Arial" w:hAnsi="Arial" w:eastAsia="Arial"/>
                <w:b w:val="0"/>
                <w:i w:val="0"/>
                <w:sz w:val="17"/>
              </w:rPr>
              <w:t>The coupled model fails its validation test on held-out data</w:t>
            </w:r>
          </w:p>
        </w:tc>
        <w:tc>
          <w:tcPr>
            <w:tcW w:type="dxa" w:w="397"/>
          </w:tcPr>
          <w:p>
            <w:pPr>
              <w:keepNext/>
            </w:pPr>
            <w:r/>
            <w:r>
              <w:rPr>
                <w:rFonts w:ascii="Arial" w:hAnsi="Arial" w:eastAsia="Arial"/>
                <w:b w:val="0"/>
                <w:i w:val="0"/>
                <w:sz w:val="17"/>
              </w:rPr>
              <w:t>3</w:t>
            </w:r>
          </w:p>
        </w:tc>
        <w:tc>
          <w:tcPr>
            <w:tcW w:type="dxa" w:w="397"/>
          </w:tcPr>
          <w:p>
            <w:pPr>
              <w:keepNext/>
            </w:pPr>
            <w:r/>
            <w:r>
              <w:rPr>
                <w:rFonts w:ascii="Arial" w:hAnsi="Arial" w:eastAsia="Arial"/>
                <w:b w:val="0"/>
                <w:i w:val="0"/>
                <w:sz w:val="17"/>
              </w:rPr>
              <w:t>4</w:t>
            </w:r>
          </w:p>
        </w:tc>
        <w:tc>
          <w:tcPr>
            <w:tcW w:type="dxa" w:w="794"/>
            <w:shd w:val="clear" w:color="auto" w:fill="F9D3B4"/>
          </w:tcPr>
          <w:p>
            <w:pPr>
              <w:keepNext/>
            </w:pPr>
            <w:r/>
            <w:r>
              <w:rPr>
                <w:rFonts w:ascii="Arial" w:hAnsi="Arial" w:eastAsia="Arial"/>
                <w:b w:val="0"/>
                <w:i w:val="0"/>
                <w:sz w:val="17"/>
              </w:rPr>
              <w:t>12</w:t>
            </w:r>
          </w:p>
        </w:tc>
        <w:tc>
          <w:tcPr>
            <w:tcW w:type="dxa" w:w="2211"/>
          </w:tcPr>
          <w:p>
            <w:pPr>
              <w:keepNext/>
            </w:pPr>
            <w:r/>
            <w:r>
              <w:rPr>
                <w:rFonts w:ascii="Arial" w:hAnsi="Arial" w:eastAsia="Arial"/>
                <w:b w:val="0"/>
                <w:i w:val="0"/>
                <w:sz w:val="17"/>
              </w:rPr>
              <w:t>Coverage of the 90% intervals below 80% at Month 18 (MS3)</w:t>
            </w:r>
          </w:p>
        </w:tc>
        <w:tc>
          <w:tcPr>
            <w:tcW w:type="dxa" w:w="3231"/>
          </w:tcPr>
          <w:p>
            <w:pPr>
              <w:keepNext/>
            </w:pPr>
            <w:r/>
            <w:r>
              <w:rPr>
                <w:rFonts w:ascii="Arial" w:hAnsi="Arial" w:eastAsia="Arial"/>
                <w:b w:val="0"/>
                <w:i w:val="0"/>
                <w:sz w:val="17"/>
              </w:rPr>
              <w:t>Build in stages (flow, then salt, then compaction and liquefaction); test each against data before coupling</w:t>
            </w:r>
          </w:p>
        </w:tc>
        <w:tc>
          <w:tcPr>
            <w:tcW w:type="dxa" w:w="2608"/>
          </w:tcPr>
          <w:p>
            <w:pPr>
              <w:keepNext/>
            </w:pPr>
            <w:r/>
            <w:r>
              <w:rPr>
                <w:rFonts w:ascii="Arial" w:hAnsi="Arial" w:eastAsia="Arial"/>
                <w:b w:val="0"/>
                <w:i w:val="0"/>
                <w:sz w:val="17"/>
              </w:rPr>
              <w:t>Two-dimensional sections through each asset; larger error bound Δₖ; report the limitation</w:t>
            </w:r>
          </w:p>
        </w:tc>
        <w:tc>
          <w:tcPr>
            <w:tcW w:type="dxa" w:w="850"/>
          </w:tcPr>
          <w:p>
            <w:pPr>
              <w:keepNext/>
            </w:pPr>
            <w:r/>
            <w:r>
              <w:rPr>
                <w:rFonts w:ascii="Arial" w:hAnsi="Arial" w:eastAsia="Arial"/>
                <w:b w:val="0"/>
                <w:i w:val="0"/>
                <w:sz w:val="17"/>
              </w:rPr>
              <w:t>WP2</w:t>
            </w:r>
          </w:p>
        </w:tc>
        <w:tc>
          <w:tcPr>
            <w:tcW w:type="dxa" w:w="1361"/>
            <w:shd w:val="clear" w:color="auto" w:fill="FFF1C2"/>
          </w:tcPr>
          <w:p>
            <w:pPr>
              <w:keepNext/>
            </w:pPr>
            <w:r/>
            <w:r>
              <w:rPr>
                <w:rFonts w:ascii="Arial" w:hAnsi="Arial" w:eastAsia="Arial"/>
                <w:b w:val="0"/>
                <w:i w:val="0"/>
                <w:sz w:val="17"/>
              </w:rPr>
              <w:t>2×3 = 6</w:t>
            </w:r>
          </w:p>
        </w:tc>
      </w:tr>
      <w:tr>
        <w:trPr>
          <w:cantSplit/>
        </w:trPr>
        <w:tc>
          <w:tcPr>
            <w:tcW w:type="dxa" w:w="567"/>
          </w:tcPr>
          <w:p>
            <w:pPr>
              <w:keepNext/>
            </w:pPr>
            <w:r/>
            <w:r>
              <w:rPr>
                <w:rFonts w:ascii="Arial" w:hAnsi="Arial" w:eastAsia="Arial"/>
                <w:b w:val="0"/>
                <w:i w:val="0"/>
                <w:sz w:val="17"/>
              </w:rPr>
              <w:t>R6</w:t>
            </w:r>
          </w:p>
        </w:tc>
        <w:tc>
          <w:tcPr>
            <w:tcW w:type="dxa" w:w="2721"/>
          </w:tcPr>
          <w:p>
            <w:pPr>
              <w:keepNext/>
            </w:pPr>
            <w:r/>
            <w:r>
              <w:rPr>
                <w:rFonts w:ascii="Arial" w:hAnsi="Arial" w:eastAsia="Arial"/>
                <w:b w:val="0"/>
                <w:i w:val="0"/>
                <w:sz w:val="17"/>
              </w:rPr>
              <w:t>The surrogate fails its error bound in part of the domain</w:t>
            </w:r>
          </w:p>
        </w:tc>
        <w:tc>
          <w:tcPr>
            <w:tcW w:type="dxa" w:w="397"/>
          </w:tcPr>
          <w:p>
            <w:pPr>
              <w:keepNext/>
            </w:pPr>
            <w:r/>
            <w:r>
              <w:rPr>
                <w:rFonts w:ascii="Arial" w:hAnsi="Arial" w:eastAsia="Arial"/>
                <w:b w:val="0"/>
                <w:i w:val="0"/>
                <w:sz w:val="17"/>
              </w:rPr>
              <w:t>2</w:t>
            </w:r>
          </w:p>
        </w:tc>
        <w:tc>
          <w:tcPr>
            <w:tcW w:type="dxa" w:w="397"/>
          </w:tcPr>
          <w:p>
            <w:pPr>
              <w:keepNext/>
            </w:pPr>
            <w:r/>
            <w:r>
              <w:rPr>
                <w:rFonts w:ascii="Arial" w:hAnsi="Arial" w:eastAsia="Arial"/>
                <w:b w:val="0"/>
                <w:i w:val="0"/>
                <w:sz w:val="17"/>
              </w:rPr>
              <w:t>3</w:t>
            </w:r>
          </w:p>
        </w:tc>
        <w:tc>
          <w:tcPr>
            <w:tcW w:type="dxa" w:w="794"/>
            <w:shd w:val="clear" w:color="auto" w:fill="FFF1C2"/>
          </w:tcPr>
          <w:p>
            <w:pPr>
              <w:keepNext/>
            </w:pPr>
            <w:r/>
            <w:r>
              <w:rPr>
                <w:rFonts w:ascii="Arial" w:hAnsi="Arial" w:eastAsia="Arial"/>
                <w:b w:val="0"/>
                <w:i w:val="0"/>
                <w:sz w:val="17"/>
              </w:rPr>
              <w:t>6</w:t>
            </w:r>
          </w:p>
        </w:tc>
        <w:tc>
          <w:tcPr>
            <w:tcW w:type="dxa" w:w="2211"/>
          </w:tcPr>
          <w:p>
            <w:pPr>
              <w:keepNext/>
            </w:pPr>
            <w:r/>
            <w:r>
              <w:rPr>
                <w:rFonts w:ascii="Arial" w:hAnsi="Arial" w:eastAsia="Arial"/>
                <w:b w:val="0"/>
                <w:i w:val="0"/>
                <w:sz w:val="17"/>
              </w:rPr>
              <w:t>Δₖ larger than half the margin for more than 5% of forecasts</w:t>
            </w:r>
          </w:p>
        </w:tc>
        <w:tc>
          <w:tcPr>
            <w:tcW w:type="dxa" w:w="3231"/>
          </w:tcPr>
          <w:p>
            <w:pPr>
              <w:keepNext/>
            </w:pPr>
            <w:r/>
            <w:r>
              <w:rPr>
                <w:rFonts w:ascii="Arial" w:hAnsi="Arial" w:eastAsia="Arial"/>
                <w:b w:val="0"/>
                <w:i w:val="0"/>
                <w:sz w:val="17"/>
              </w:rPr>
              <w:t>Training runs concentrated where the bound is large; adjoint-weighted error indicator flags weak regions</w:t>
            </w:r>
          </w:p>
        </w:tc>
        <w:tc>
          <w:tcPr>
            <w:tcW w:type="dxa" w:w="2608"/>
          </w:tcPr>
          <w:p>
            <w:pPr>
              <w:keepNext/>
            </w:pPr>
            <w:r/>
            <w:r>
              <w:rPr>
                <w:rFonts w:ascii="Arial" w:hAnsi="Arial" w:eastAsia="Arial"/>
                <w:b w:val="0"/>
                <w:i w:val="0"/>
                <w:sz w:val="17"/>
              </w:rPr>
              <w:t>Full model on a reduced domain for flagged forecasts; margin widens automatically</w:t>
            </w:r>
          </w:p>
        </w:tc>
        <w:tc>
          <w:tcPr>
            <w:tcW w:type="dxa" w:w="850"/>
          </w:tcPr>
          <w:p>
            <w:pPr>
              <w:keepNext/>
            </w:pPr>
            <w:r/>
            <w:r>
              <w:rPr>
                <w:rFonts w:ascii="Arial" w:hAnsi="Arial" w:eastAsia="Arial"/>
                <w:b w:val="0"/>
                <w:i w:val="0"/>
                <w:sz w:val="17"/>
              </w:rPr>
              <w:t>WP2</w:t>
            </w:r>
          </w:p>
        </w:tc>
        <w:tc>
          <w:tcPr>
            <w:tcW w:type="dxa" w:w="1361"/>
            <w:shd w:val="clear" w:color="auto" w:fill="DCEFE3"/>
          </w:tcPr>
          <w:p>
            <w:pPr>
              <w:keepNext/>
            </w:pPr>
            <w:r/>
            <w:r>
              <w:rPr>
                <w:rFonts w:ascii="Arial" w:hAnsi="Arial" w:eastAsia="Arial"/>
                <w:b w:val="0"/>
                <w:i w:val="0"/>
                <w:sz w:val="17"/>
              </w:rPr>
              <w:t>1×2 = 2</w:t>
            </w:r>
          </w:p>
        </w:tc>
      </w:tr>
      <w:tr>
        <w:trPr>
          <w:cantSplit/>
        </w:trPr>
        <w:tc>
          <w:tcPr>
            <w:tcW w:type="dxa" w:w="567"/>
          </w:tcPr>
          <w:p>
            <w:pPr>
              <w:keepNext/>
            </w:pPr>
            <w:r/>
            <w:r>
              <w:rPr>
                <w:rFonts w:ascii="Arial" w:hAnsi="Arial" w:eastAsia="Arial"/>
                <w:b w:val="0"/>
                <w:i w:val="0"/>
                <w:sz w:val="17"/>
              </w:rPr>
              <w:t>R7</w:t>
            </w:r>
          </w:p>
        </w:tc>
        <w:tc>
          <w:tcPr>
            <w:tcW w:type="dxa" w:w="2721"/>
          </w:tcPr>
          <w:p>
            <w:pPr>
              <w:keepNext/>
            </w:pPr>
            <w:r/>
            <w:r>
              <w:rPr>
                <w:rFonts w:ascii="Arial" w:hAnsi="Arial" w:eastAsia="Arial"/>
                <w:b w:val="0"/>
                <w:i w:val="0"/>
                <w:sz w:val="17"/>
              </w:rPr>
              <w:t>Certified alarms are too cautious: the false-alarm rate is unacceptable to the operators</w:t>
            </w:r>
          </w:p>
        </w:tc>
        <w:tc>
          <w:tcPr>
            <w:tcW w:type="dxa" w:w="397"/>
          </w:tcPr>
          <w:p>
            <w:pPr>
              <w:keepNext/>
            </w:pPr>
            <w:r/>
            <w:r>
              <w:rPr>
                <w:rFonts w:ascii="Arial" w:hAnsi="Arial" w:eastAsia="Arial"/>
                <w:b w:val="0"/>
                <w:i w:val="0"/>
                <w:sz w:val="17"/>
              </w:rPr>
              <w:t>3</w:t>
            </w:r>
          </w:p>
        </w:tc>
        <w:tc>
          <w:tcPr>
            <w:tcW w:type="dxa" w:w="397"/>
          </w:tcPr>
          <w:p>
            <w:pPr>
              <w:keepNext/>
            </w:pPr>
            <w:r/>
            <w:r>
              <w:rPr>
                <w:rFonts w:ascii="Arial" w:hAnsi="Arial" w:eastAsia="Arial"/>
                <w:b w:val="0"/>
                <w:i w:val="0"/>
                <w:sz w:val="17"/>
              </w:rPr>
              <w:t>4</w:t>
            </w:r>
          </w:p>
        </w:tc>
        <w:tc>
          <w:tcPr>
            <w:tcW w:type="dxa" w:w="794"/>
            <w:shd w:val="clear" w:color="auto" w:fill="F9D3B4"/>
          </w:tcPr>
          <w:p>
            <w:pPr>
              <w:keepNext/>
            </w:pPr>
            <w:r/>
            <w:r>
              <w:rPr>
                <w:rFonts w:ascii="Arial" w:hAnsi="Arial" w:eastAsia="Arial"/>
                <w:b w:val="0"/>
                <w:i w:val="0"/>
                <w:sz w:val="17"/>
              </w:rPr>
              <w:t>12</w:t>
            </w:r>
          </w:p>
        </w:tc>
        <w:tc>
          <w:tcPr>
            <w:tcW w:type="dxa" w:w="2211"/>
          </w:tcPr>
          <w:p>
            <w:pPr>
              <w:keepNext/>
            </w:pPr>
            <w:r/>
            <w:r>
              <w:rPr>
                <w:rFonts w:ascii="Arial" w:hAnsi="Arial" w:eastAsia="Arial"/>
                <w:b w:val="0"/>
                <w:i w:val="0"/>
                <w:sz w:val="17"/>
              </w:rPr>
              <w:t>Back-tested false-alarm rate above the level agreed in T3.1</w:t>
            </w:r>
          </w:p>
        </w:tc>
        <w:tc>
          <w:tcPr>
            <w:tcW w:type="dxa" w:w="3231"/>
          </w:tcPr>
          <w:p>
            <w:pPr>
              <w:keepNext/>
            </w:pPr>
            <w:r/>
            <w:r>
              <w:rPr>
                <w:rFonts w:ascii="Arial" w:hAnsi="Arial" w:eastAsia="Arial"/>
                <w:b w:val="0"/>
                <w:i w:val="0"/>
                <w:sz w:val="17"/>
              </w:rPr>
              <w:t>Acceptable false-alarm rate agreed with each operator at T3.1; tolerances allocated by consequence; network designed to shrink margins</w:t>
            </w:r>
          </w:p>
        </w:tc>
        <w:tc>
          <w:tcPr>
            <w:tcW w:type="dxa" w:w="2608"/>
          </w:tcPr>
          <w:p>
            <w:pPr>
              <w:keepNext/>
            </w:pPr>
            <w:r/>
            <w:r>
              <w:rPr>
                <w:rFonts w:ascii="Arial" w:hAnsi="Arial" w:eastAsia="Arial"/>
                <w:b w:val="0"/>
                <w:i w:val="0"/>
                <w:sz w:val="17"/>
              </w:rPr>
              <w:t>Longer lead-time windows; staged alerts (watch, then warning); report the trade-off to the operators</w:t>
            </w:r>
          </w:p>
        </w:tc>
        <w:tc>
          <w:tcPr>
            <w:tcW w:type="dxa" w:w="850"/>
          </w:tcPr>
          <w:p>
            <w:pPr>
              <w:keepNext/>
            </w:pPr>
            <w:r/>
            <w:r>
              <w:rPr>
                <w:rFonts w:ascii="Arial" w:hAnsi="Arial" w:eastAsia="Arial"/>
                <w:b w:val="0"/>
                <w:i w:val="0"/>
                <w:sz w:val="17"/>
              </w:rPr>
              <w:t>WP3</w:t>
            </w:r>
          </w:p>
        </w:tc>
        <w:tc>
          <w:tcPr>
            <w:tcW w:type="dxa" w:w="1361"/>
            <w:shd w:val="clear" w:color="auto" w:fill="FFF1C2"/>
          </w:tcPr>
          <w:p>
            <w:pPr>
              <w:keepNext/>
            </w:pPr>
            <w:r/>
            <w:r>
              <w:rPr>
                <w:rFonts w:ascii="Arial" w:hAnsi="Arial" w:eastAsia="Arial"/>
                <w:b w:val="0"/>
                <w:i w:val="0"/>
                <w:sz w:val="17"/>
              </w:rPr>
              <w:t>2×3 = 6</w:t>
            </w:r>
          </w:p>
        </w:tc>
      </w:tr>
      <w:tr>
        <w:trPr>
          <w:cantSplit/>
        </w:trPr>
        <w:tc>
          <w:tcPr>
            <w:tcW w:type="dxa" w:w="567"/>
          </w:tcPr>
          <w:p>
            <w:pPr>
              <w:keepNext/>
            </w:pPr>
            <w:r/>
            <w:r>
              <w:rPr>
                <w:rFonts w:ascii="Arial" w:hAnsi="Arial" w:eastAsia="Arial"/>
                <w:b w:val="0"/>
                <w:i w:val="0"/>
                <w:sz w:val="17"/>
              </w:rPr>
              <w:t>R8</w:t>
            </w:r>
          </w:p>
        </w:tc>
        <w:tc>
          <w:tcPr>
            <w:tcW w:type="dxa" w:w="2721"/>
          </w:tcPr>
          <w:p>
            <w:pPr>
              <w:keepNext/>
            </w:pPr>
            <w:r/>
            <w:r>
              <w:rPr>
                <w:rFonts w:ascii="Arial" w:hAnsi="Arial" w:eastAsia="Arial"/>
                <w:b w:val="0"/>
                <w:i w:val="0"/>
                <w:sz w:val="17"/>
              </w:rPr>
              <w:t>Conditions move beyond the observed record (drought, compound storm, post-seismic change) and weaken the guarantees</w:t>
            </w:r>
          </w:p>
        </w:tc>
        <w:tc>
          <w:tcPr>
            <w:tcW w:type="dxa" w:w="397"/>
          </w:tcPr>
          <w:p>
            <w:pPr>
              <w:keepNext/>
            </w:pPr>
            <w:r/>
            <w:r>
              <w:rPr>
                <w:rFonts w:ascii="Arial" w:hAnsi="Arial" w:eastAsia="Arial"/>
                <w:b w:val="0"/>
                <w:i w:val="0"/>
                <w:sz w:val="17"/>
              </w:rPr>
              <w:t>3</w:t>
            </w:r>
          </w:p>
        </w:tc>
        <w:tc>
          <w:tcPr>
            <w:tcW w:type="dxa" w:w="397"/>
          </w:tcPr>
          <w:p>
            <w:pPr>
              <w:keepNext/>
            </w:pPr>
            <w:r/>
            <w:r>
              <w:rPr>
                <w:rFonts w:ascii="Arial" w:hAnsi="Arial" w:eastAsia="Arial"/>
                <w:b w:val="0"/>
                <w:i w:val="0"/>
                <w:sz w:val="17"/>
              </w:rPr>
              <w:t>4</w:t>
            </w:r>
          </w:p>
        </w:tc>
        <w:tc>
          <w:tcPr>
            <w:tcW w:type="dxa" w:w="794"/>
            <w:shd w:val="clear" w:color="auto" w:fill="F9D3B4"/>
          </w:tcPr>
          <w:p>
            <w:pPr>
              <w:keepNext/>
            </w:pPr>
            <w:r/>
            <w:r>
              <w:rPr>
                <w:rFonts w:ascii="Arial" w:hAnsi="Arial" w:eastAsia="Arial"/>
                <w:b w:val="0"/>
                <w:i w:val="0"/>
                <w:sz w:val="17"/>
              </w:rPr>
              <w:t>12</w:t>
            </w:r>
          </w:p>
        </w:tc>
        <w:tc>
          <w:tcPr>
            <w:tcW w:type="dxa" w:w="2211"/>
          </w:tcPr>
          <w:p>
            <w:pPr>
              <w:keepNext/>
            </w:pPr>
            <w:r/>
            <w:r>
              <w:rPr>
                <w:rFonts w:ascii="Arial" w:hAnsi="Arial" w:eastAsia="Arial"/>
                <w:b w:val="0"/>
                <w:i w:val="0"/>
                <w:sz w:val="17"/>
              </w:rPr>
              <w:t>Growing share of issue times outside the observed record</w:t>
            </w:r>
          </w:p>
        </w:tc>
        <w:tc>
          <w:tcPr>
            <w:tcW w:type="dxa" w:w="3231"/>
          </w:tcPr>
          <w:p>
            <w:pPr>
              <w:keepNext/>
            </w:pPr>
            <w:r/>
            <w:r>
              <w:rPr>
                <w:rFonts w:ascii="Arial" w:hAnsi="Arial" w:eastAsia="Arial"/>
                <w:b w:val="0"/>
                <w:i w:val="0"/>
                <w:sz w:val="17"/>
              </w:rPr>
              <w:t>Extreme-aware margin term; storylines beyond the record in back-testing (T3.4); nonstationary extremes with land motion</w:t>
            </w:r>
          </w:p>
        </w:tc>
        <w:tc>
          <w:tcPr>
            <w:tcW w:type="dxa" w:w="2608"/>
          </w:tcPr>
          <w:p>
            <w:pPr>
              <w:keepNext/>
            </w:pPr>
            <w:r/>
            <w:r>
              <w:rPr>
                <w:rFonts w:ascii="Arial" w:hAnsi="Arial" w:eastAsia="Arial"/>
                <w:b w:val="0"/>
                <w:i w:val="0"/>
                <w:sz w:val="17"/>
              </w:rPr>
              <w:t>Bulletins flag "outside record"; margins widen; result reported to the operators and civil protection</w:t>
            </w:r>
          </w:p>
        </w:tc>
        <w:tc>
          <w:tcPr>
            <w:tcW w:type="dxa" w:w="850"/>
          </w:tcPr>
          <w:p>
            <w:pPr>
              <w:keepNext/>
            </w:pPr>
            <w:r/>
            <w:r>
              <w:rPr>
                <w:rFonts w:ascii="Arial" w:hAnsi="Arial" w:eastAsia="Arial"/>
                <w:b w:val="0"/>
                <w:i w:val="0"/>
                <w:sz w:val="17"/>
              </w:rPr>
              <w:t>WP3</w:t>
            </w:r>
          </w:p>
        </w:tc>
        <w:tc>
          <w:tcPr>
            <w:tcW w:type="dxa" w:w="1361"/>
            <w:shd w:val="clear" w:color="auto" w:fill="FFF1C2"/>
          </w:tcPr>
          <w:p>
            <w:pPr>
              <w:keepNext/>
            </w:pPr>
            <w:r/>
            <w:r>
              <w:rPr>
                <w:rFonts w:ascii="Arial" w:hAnsi="Arial" w:eastAsia="Arial"/>
                <w:b w:val="0"/>
                <w:i w:val="0"/>
                <w:sz w:val="17"/>
              </w:rPr>
              <w:t>3×2 = 6</w:t>
            </w:r>
          </w:p>
        </w:tc>
      </w:tr>
      <w:tr>
        <w:trPr>
          <w:cantSplit/>
        </w:trPr>
        <w:tc>
          <w:tcPr>
            <w:tcW w:type="dxa" w:w="567"/>
          </w:tcPr>
          <w:p>
            <w:r/>
            <w:r>
              <w:rPr>
                <w:rFonts w:ascii="Arial" w:hAnsi="Arial" w:eastAsia="Arial"/>
                <w:b w:val="0"/>
                <w:i w:val="0"/>
                <w:sz w:val="17"/>
              </w:rPr>
              <w:t>R9</w:t>
            </w:r>
          </w:p>
        </w:tc>
        <w:tc>
          <w:tcPr>
            <w:tcW w:type="dxa" w:w="2721"/>
          </w:tcPr>
          <w:p>
            <w:r/>
            <w:r>
              <w:rPr>
                <w:rFonts w:ascii="Arial" w:hAnsi="Arial" w:eastAsia="Arial"/>
                <w:b w:val="0"/>
                <w:i w:val="0"/>
                <w:sz w:val="17"/>
              </w:rPr>
              <w:t>Fibre-optic access is not granted, or seismic velocity responds too weakly to the water table</w:t>
            </w:r>
          </w:p>
        </w:tc>
        <w:tc>
          <w:tcPr>
            <w:tcW w:type="dxa" w:w="397"/>
          </w:tcPr>
          <w:p>
            <w:r/>
            <w:r>
              <w:rPr>
                <w:rFonts w:ascii="Arial" w:hAnsi="Arial" w:eastAsia="Arial"/>
                <w:b w:val="0"/>
                <w:i w:val="0"/>
                <w:sz w:val="17"/>
              </w:rPr>
              <w:t>3</w:t>
            </w:r>
          </w:p>
        </w:tc>
        <w:tc>
          <w:tcPr>
            <w:tcW w:type="dxa" w:w="397"/>
          </w:tcPr>
          <w:p>
            <w:r/>
            <w:r>
              <w:rPr>
                <w:rFonts w:ascii="Arial" w:hAnsi="Arial" w:eastAsia="Arial"/>
                <w:b w:val="0"/>
                <w:i w:val="0"/>
                <w:sz w:val="17"/>
              </w:rPr>
              <w:t>2</w:t>
            </w:r>
          </w:p>
        </w:tc>
        <w:tc>
          <w:tcPr>
            <w:tcW w:type="dxa" w:w="794"/>
            <w:shd w:val="clear" w:color="auto" w:fill="FFF1C2"/>
          </w:tcPr>
          <w:p>
            <w:r/>
            <w:r>
              <w:rPr>
                <w:rFonts w:ascii="Arial" w:hAnsi="Arial" w:eastAsia="Arial"/>
                <w:b w:val="0"/>
                <w:i w:val="0"/>
                <w:sz w:val="17"/>
              </w:rPr>
              <w:t>6</w:t>
            </w:r>
          </w:p>
        </w:tc>
        <w:tc>
          <w:tcPr>
            <w:tcW w:type="dxa" w:w="2211"/>
          </w:tcPr>
          <w:p>
            <w:r/>
            <w:r>
              <w:rPr>
                <w:rFonts w:ascii="Arial" w:hAnsi="Arial" w:eastAsia="Arial"/>
                <w:b w:val="0"/>
                <w:i w:val="0"/>
                <w:sz w:val="17"/>
              </w:rPr>
              <w:t>No fibre agreement by Month 9; no significant relation with piezometers by Month 20</w:t>
            </w:r>
          </w:p>
        </w:tc>
        <w:tc>
          <w:tcPr>
            <w:tcW w:type="dxa" w:w="3231"/>
          </w:tcPr>
          <w:p>
            <w:r/>
            <w:r>
              <w:rPr>
                <w:rFonts w:ascii="Arial" w:hAnsi="Arial" w:eastAsia="Arial"/>
                <w:b w:val="0"/>
                <w:i w:val="0"/>
                <w:sz w:val="17"/>
              </w:rPr>
              <w:t>Seismic stations and temporary nodes give the same velocity signal at lower resolution</w:t>
            </w:r>
          </w:p>
        </w:tc>
        <w:tc>
          <w:tcPr>
            <w:tcW w:type="dxa" w:w="2608"/>
          </w:tcPr>
          <w:p>
            <w:r/>
            <w:r>
              <w:rPr>
                <w:rFonts w:ascii="Arial" w:hAnsi="Arial" w:eastAsia="Arial"/>
                <w:b w:val="0"/>
                <w:i w:val="0"/>
                <w:sz w:val="17"/>
              </w:rPr>
              <w:t>Water table from piezometers alone; seismic velocity kept for post-event damage</w:t>
            </w:r>
          </w:p>
        </w:tc>
        <w:tc>
          <w:tcPr>
            <w:tcW w:type="dxa" w:w="850"/>
          </w:tcPr>
          <w:p>
            <w:r/>
            <w:r>
              <w:rPr>
                <w:rFonts w:ascii="Arial" w:hAnsi="Arial" w:eastAsia="Arial"/>
                <w:b w:val="0"/>
                <w:i w:val="0"/>
                <w:sz w:val="17"/>
              </w:rPr>
              <w:t>WP4</w:t>
            </w:r>
          </w:p>
        </w:tc>
        <w:tc>
          <w:tcPr>
            <w:tcW w:type="dxa" w:w="1361"/>
            <w:shd w:val="clear" w:color="auto" w:fill="DCEFE3"/>
          </w:tcPr>
          <w:p>
            <w:r/>
            <w:r>
              <w:rPr>
                <w:rFonts w:ascii="Arial" w:hAnsi="Arial" w:eastAsia="Arial"/>
                <w:b w:val="0"/>
                <w:i w:val="0"/>
                <w:sz w:val="17"/>
              </w:rPr>
              <w:t>2×1 = 2</w:t>
            </w:r>
          </w:p>
        </w:tc>
      </w:tr>
    </w:tbl>
    <w:p>
      <w:pPr>
        <w:keepNext/>
        <w:spacing w:after="120" w:before="120"/>
      </w:pPr>
      <w:r>
        <w:rPr>
          <w:rFonts w:ascii="Arial" w:hAnsi="Arial" w:eastAsia="Arial"/>
          <w:b/>
          <w:i w:val="0"/>
          <w:color w:val="2E6DB4"/>
          <w:sz w:val="23"/>
        </w:rPr>
        <w:t>C. Field work and equipment</w:t>
      </w:r>
    </w:p>
    <w:tbl>
      <w:tblPr>
        <w:tblStyle w:val="TableGrid"/>
        <w:tblW w:type="auto" w:w="0"/>
        <w:jc w:val="center"/>
        <w:tblLayout w:type="fixed"/>
        <w:tblLook w:firstColumn="1" w:firstRow="1" w:lastColumn="0" w:lastRow="0" w:noHBand="0" w:noVBand="1" w:val="04A0"/>
        <w:tblLayout w:type="fixed"/>
      </w:tblPr>
      <w:tblGrid>
        <w:gridCol w:w="567"/>
        <w:gridCol w:w="2721"/>
        <w:gridCol w:w="397"/>
        <w:gridCol w:w="397"/>
        <w:gridCol w:w="794"/>
        <w:gridCol w:w="2211"/>
        <w:gridCol w:w="3231"/>
        <w:gridCol w:w="2608"/>
        <w:gridCol w:w="850"/>
        <w:gridCol w:w="1361"/>
      </w:tblGrid>
      <w:tr>
        <w:trPr>
          <w:cantSplit/>
          <w:tblHeader/>
        </w:trPr>
        <w:tc>
          <w:tcPr>
            <w:tcW w:type="dxa" w:w="567"/>
            <w:shd w:val="clear" w:color="auto" w:fill="1F3864"/>
          </w:tcPr>
          <w:p>
            <w:pPr>
              <w:keepNext/>
            </w:pPr>
            <w:r/>
            <w:r>
              <w:rPr>
                <w:rFonts w:ascii="Arial" w:hAnsi="Arial" w:eastAsia="Arial"/>
                <w:b/>
                <w:i w:val="0"/>
                <w:color w:val="FFFFFF"/>
                <w:sz w:val="17"/>
              </w:rPr>
              <w:t>ID</w:t>
            </w:r>
          </w:p>
        </w:tc>
        <w:tc>
          <w:tcPr>
            <w:tcW w:type="dxa" w:w="2721"/>
            <w:shd w:val="clear" w:color="auto" w:fill="1F3864"/>
          </w:tcPr>
          <w:p>
            <w:pPr>
              <w:keepNext/>
            </w:pPr>
            <w:r/>
            <w:r>
              <w:rPr>
                <w:rFonts w:ascii="Arial" w:hAnsi="Arial" w:eastAsia="Arial"/>
                <w:b/>
                <w:i w:val="0"/>
                <w:color w:val="FFFFFF"/>
                <w:sz w:val="17"/>
              </w:rPr>
              <w:t>Risk and consequence</w:t>
            </w:r>
          </w:p>
        </w:tc>
        <w:tc>
          <w:tcPr>
            <w:tcW w:type="dxa" w:w="397"/>
            <w:shd w:val="clear" w:color="auto" w:fill="1F3864"/>
          </w:tcPr>
          <w:p>
            <w:pPr>
              <w:keepNext/>
            </w:pPr>
            <w:r/>
            <w:r>
              <w:rPr>
                <w:rFonts w:ascii="Arial" w:hAnsi="Arial" w:eastAsia="Arial"/>
                <w:b/>
                <w:i w:val="0"/>
                <w:color w:val="FFFFFF"/>
                <w:sz w:val="17"/>
              </w:rPr>
              <w:t>L</w:t>
            </w:r>
          </w:p>
        </w:tc>
        <w:tc>
          <w:tcPr>
            <w:tcW w:type="dxa" w:w="397"/>
            <w:shd w:val="clear" w:color="auto" w:fill="1F3864"/>
          </w:tcPr>
          <w:p>
            <w:pPr>
              <w:keepNext/>
            </w:pPr>
            <w:r/>
            <w:r>
              <w:rPr>
                <w:rFonts w:ascii="Arial" w:hAnsi="Arial" w:eastAsia="Arial"/>
                <w:b/>
                <w:i w:val="0"/>
                <w:color w:val="FFFFFF"/>
                <w:sz w:val="17"/>
              </w:rPr>
              <w:t>I</w:t>
            </w:r>
          </w:p>
        </w:tc>
        <w:tc>
          <w:tcPr>
            <w:tcW w:type="dxa" w:w="794"/>
            <w:shd w:val="clear" w:color="auto" w:fill="1F3864"/>
          </w:tcPr>
          <w:p>
            <w:pPr>
              <w:keepNext/>
            </w:pPr>
            <w:r/>
            <w:r>
              <w:rPr>
                <w:rFonts w:ascii="Arial" w:hAnsi="Arial" w:eastAsia="Arial"/>
                <w:b/>
                <w:i w:val="0"/>
                <w:color w:val="FFFFFF"/>
                <w:sz w:val="17"/>
              </w:rPr>
              <w:t>Score</w:t>
            </w:r>
          </w:p>
        </w:tc>
        <w:tc>
          <w:tcPr>
            <w:tcW w:type="dxa" w:w="2211"/>
            <w:shd w:val="clear" w:color="auto" w:fill="1F3864"/>
          </w:tcPr>
          <w:p>
            <w:pPr>
              <w:keepNext/>
            </w:pPr>
            <w:r/>
            <w:r>
              <w:rPr>
                <w:rFonts w:ascii="Arial" w:hAnsi="Arial" w:eastAsia="Arial"/>
                <w:b/>
                <w:i w:val="0"/>
                <w:color w:val="FFFFFF"/>
                <w:sz w:val="17"/>
              </w:rPr>
              <w:t>Early-warning indicator (trigger)</w:t>
            </w:r>
          </w:p>
        </w:tc>
        <w:tc>
          <w:tcPr>
            <w:tcW w:type="dxa" w:w="3231"/>
            <w:shd w:val="clear" w:color="auto" w:fill="1F3864"/>
          </w:tcPr>
          <w:p>
            <w:pPr>
              <w:keepNext/>
            </w:pPr>
            <w:r/>
            <w:r>
              <w:rPr>
                <w:rFonts w:ascii="Arial" w:hAnsi="Arial" w:eastAsia="Arial"/>
                <w:b/>
                <w:i w:val="0"/>
                <w:color w:val="FFFFFF"/>
                <w:sz w:val="17"/>
              </w:rPr>
              <w:t>Mitigation (in advance)</w:t>
            </w:r>
          </w:p>
        </w:tc>
        <w:tc>
          <w:tcPr>
            <w:tcW w:type="dxa" w:w="2608"/>
            <w:shd w:val="clear" w:color="auto" w:fill="1F3864"/>
          </w:tcPr>
          <w:p>
            <w:pPr>
              <w:keepNext/>
            </w:pPr>
            <w:r/>
            <w:r>
              <w:rPr>
                <w:rFonts w:ascii="Arial" w:hAnsi="Arial" w:eastAsia="Arial"/>
                <w:b/>
                <w:i w:val="0"/>
                <w:color w:val="FFFFFF"/>
                <w:sz w:val="17"/>
              </w:rPr>
              <w:t>Contingency (if it occurs)</w:t>
            </w:r>
          </w:p>
        </w:tc>
        <w:tc>
          <w:tcPr>
            <w:tcW w:type="dxa" w:w="850"/>
            <w:shd w:val="clear" w:color="auto" w:fill="1F3864"/>
          </w:tcPr>
          <w:p>
            <w:pPr>
              <w:keepNext/>
            </w:pPr>
            <w:r/>
            <w:r>
              <w:rPr>
                <w:rFonts w:ascii="Arial" w:hAnsi="Arial" w:eastAsia="Arial"/>
                <w:b/>
                <w:i w:val="0"/>
                <w:color w:val="FFFFFF"/>
                <w:sz w:val="17"/>
              </w:rPr>
              <w:t>Owner</w:t>
            </w:r>
          </w:p>
        </w:tc>
        <w:tc>
          <w:tcPr>
            <w:tcW w:type="dxa" w:w="1361"/>
            <w:shd w:val="clear" w:color="auto" w:fill="1F3864"/>
          </w:tcPr>
          <w:p>
            <w:pPr>
              <w:keepNext/>
            </w:pPr>
            <w:r/>
            <w:r>
              <w:rPr>
                <w:rFonts w:ascii="Arial" w:hAnsi="Arial" w:eastAsia="Arial"/>
                <w:b/>
                <w:i w:val="0"/>
                <w:color w:val="FFFFFF"/>
                <w:sz w:val="17"/>
              </w:rPr>
              <w:t>Residual</w:t>
            </w:r>
          </w:p>
        </w:tc>
      </w:tr>
      <w:tr>
        <w:trPr>
          <w:cantSplit/>
        </w:trPr>
        <w:tc>
          <w:tcPr>
            <w:tcW w:type="dxa" w:w="567"/>
          </w:tcPr>
          <w:p>
            <w:pPr>
              <w:keepNext/>
            </w:pPr>
            <w:r/>
            <w:r>
              <w:rPr>
                <w:rFonts w:ascii="Arial" w:hAnsi="Arial" w:eastAsia="Arial"/>
                <w:b w:val="0"/>
                <w:i w:val="0"/>
                <w:sz w:val="17"/>
              </w:rPr>
              <w:t>R10</w:t>
            </w:r>
          </w:p>
        </w:tc>
        <w:tc>
          <w:tcPr>
            <w:tcW w:type="dxa" w:w="2721"/>
          </w:tcPr>
          <w:p>
            <w:pPr>
              <w:keepNext/>
            </w:pPr>
            <w:r/>
            <w:r>
              <w:rPr>
                <w:rFonts w:ascii="Arial" w:hAnsi="Arial" w:eastAsia="Arial"/>
                <w:b w:val="0"/>
                <w:i w:val="0"/>
                <w:sz w:val="17"/>
              </w:rPr>
              <w:t>Procurement or customs delays for sensors and loggers</w:t>
            </w:r>
          </w:p>
        </w:tc>
        <w:tc>
          <w:tcPr>
            <w:tcW w:type="dxa" w:w="397"/>
          </w:tcPr>
          <w:p>
            <w:pPr>
              <w:keepNext/>
            </w:pPr>
            <w:r/>
            <w:r>
              <w:rPr>
                <w:rFonts w:ascii="Arial" w:hAnsi="Arial" w:eastAsia="Arial"/>
                <w:b w:val="0"/>
                <w:i w:val="0"/>
                <w:sz w:val="17"/>
              </w:rPr>
              <w:t>3</w:t>
            </w:r>
          </w:p>
        </w:tc>
        <w:tc>
          <w:tcPr>
            <w:tcW w:type="dxa" w:w="397"/>
          </w:tcPr>
          <w:p>
            <w:pPr>
              <w:keepNext/>
            </w:pPr>
            <w:r/>
            <w:r>
              <w:rPr>
                <w:rFonts w:ascii="Arial" w:hAnsi="Arial" w:eastAsia="Arial"/>
                <w:b w:val="0"/>
                <w:i w:val="0"/>
                <w:sz w:val="17"/>
              </w:rPr>
              <w:t>3</w:t>
            </w:r>
          </w:p>
        </w:tc>
        <w:tc>
          <w:tcPr>
            <w:tcW w:type="dxa" w:w="794"/>
            <w:shd w:val="clear" w:color="auto" w:fill="FFF1C2"/>
          </w:tcPr>
          <w:p>
            <w:pPr>
              <w:keepNext/>
            </w:pPr>
            <w:r/>
            <w:r>
              <w:rPr>
                <w:rFonts w:ascii="Arial" w:hAnsi="Arial" w:eastAsia="Arial"/>
                <w:b w:val="0"/>
                <w:i w:val="0"/>
                <w:sz w:val="17"/>
              </w:rPr>
              <w:t>9</w:t>
            </w:r>
          </w:p>
        </w:tc>
        <w:tc>
          <w:tcPr>
            <w:tcW w:type="dxa" w:w="2211"/>
          </w:tcPr>
          <w:p>
            <w:pPr>
              <w:keepNext/>
            </w:pPr>
            <w:r/>
            <w:r>
              <w:rPr>
                <w:rFonts w:ascii="Arial" w:hAnsi="Arial" w:eastAsia="Arial"/>
                <w:b w:val="0"/>
                <w:i w:val="0"/>
                <w:sz w:val="17"/>
              </w:rPr>
              <w:t>Delivery more than 8 weeks after the order</w:t>
            </w:r>
          </w:p>
        </w:tc>
        <w:tc>
          <w:tcPr>
            <w:tcW w:type="dxa" w:w="3231"/>
          </w:tcPr>
          <w:p>
            <w:pPr>
              <w:keepNext/>
            </w:pPr>
            <w:r/>
            <w:r>
              <w:rPr>
                <w:rFonts w:ascii="Arial" w:hAnsi="Arial" w:eastAsia="Arial"/>
                <w:b w:val="0"/>
                <w:i w:val="0"/>
                <w:sz w:val="17"/>
              </w:rPr>
              <w:t>Orders placed in Month 4; installation window to Month 12; sensors ranked highest in D4.1 installed first</w:t>
            </w:r>
          </w:p>
        </w:tc>
        <w:tc>
          <w:tcPr>
            <w:tcW w:type="dxa" w:w="2608"/>
          </w:tcPr>
          <w:p>
            <w:pPr>
              <w:keepNext/>
            </w:pPr>
            <w:r/>
            <w:r>
              <w:rPr>
                <w:rFonts w:ascii="Arial" w:hAnsi="Arial" w:eastAsia="Arial"/>
                <w:b w:val="0"/>
                <w:i w:val="0"/>
                <w:sz w:val="17"/>
              </w:rPr>
              <w:t>Install in order of value; borrow partner equipment for the first months</w:t>
            </w:r>
          </w:p>
        </w:tc>
        <w:tc>
          <w:tcPr>
            <w:tcW w:type="dxa" w:w="850"/>
          </w:tcPr>
          <w:p>
            <w:pPr>
              <w:keepNext/>
            </w:pPr>
            <w:r/>
            <w:r>
              <w:rPr>
                <w:rFonts w:ascii="Arial" w:hAnsi="Arial" w:eastAsia="Arial"/>
                <w:b w:val="0"/>
                <w:i w:val="0"/>
                <w:sz w:val="17"/>
              </w:rPr>
              <w:t>WP4</w:t>
            </w:r>
          </w:p>
        </w:tc>
        <w:tc>
          <w:tcPr>
            <w:tcW w:type="dxa" w:w="1361"/>
            <w:shd w:val="clear" w:color="auto" w:fill="DCEFE3"/>
          </w:tcPr>
          <w:p>
            <w:pPr>
              <w:keepNext/>
            </w:pPr>
            <w:r/>
            <w:r>
              <w:rPr>
                <w:rFonts w:ascii="Arial" w:hAnsi="Arial" w:eastAsia="Arial"/>
                <w:b w:val="0"/>
                <w:i w:val="0"/>
                <w:sz w:val="17"/>
              </w:rPr>
              <w:t>2×2 = 4</w:t>
            </w:r>
          </w:p>
        </w:tc>
      </w:tr>
      <w:tr>
        <w:trPr>
          <w:cantSplit/>
        </w:trPr>
        <w:tc>
          <w:tcPr>
            <w:tcW w:type="dxa" w:w="567"/>
          </w:tcPr>
          <w:p>
            <w:pPr>
              <w:keepNext/>
            </w:pPr>
            <w:r/>
            <w:r>
              <w:rPr>
                <w:rFonts w:ascii="Arial" w:hAnsi="Arial" w:eastAsia="Arial"/>
                <w:b w:val="0"/>
                <w:i w:val="0"/>
                <w:sz w:val="17"/>
              </w:rPr>
              <w:t>R11</w:t>
            </w:r>
          </w:p>
        </w:tc>
        <w:tc>
          <w:tcPr>
            <w:tcW w:type="dxa" w:w="2721"/>
          </w:tcPr>
          <w:p>
            <w:pPr>
              <w:keepNext/>
            </w:pPr>
            <w:r/>
            <w:r>
              <w:rPr>
                <w:rFonts w:ascii="Arial" w:hAnsi="Arial" w:eastAsia="Arial"/>
                <w:b w:val="0"/>
                <w:i w:val="0"/>
                <w:sz w:val="17"/>
              </w:rPr>
              <w:t>Theft, vandalism or damage of field equipment</w:t>
            </w:r>
          </w:p>
        </w:tc>
        <w:tc>
          <w:tcPr>
            <w:tcW w:type="dxa" w:w="397"/>
          </w:tcPr>
          <w:p>
            <w:pPr>
              <w:keepNext/>
            </w:pPr>
            <w:r/>
            <w:r>
              <w:rPr>
                <w:rFonts w:ascii="Arial" w:hAnsi="Arial" w:eastAsia="Arial"/>
                <w:b w:val="0"/>
                <w:i w:val="0"/>
                <w:sz w:val="17"/>
              </w:rPr>
              <w:t>3</w:t>
            </w:r>
          </w:p>
        </w:tc>
        <w:tc>
          <w:tcPr>
            <w:tcW w:type="dxa" w:w="397"/>
          </w:tcPr>
          <w:p>
            <w:pPr>
              <w:keepNext/>
            </w:pPr>
            <w:r/>
            <w:r>
              <w:rPr>
                <w:rFonts w:ascii="Arial" w:hAnsi="Arial" w:eastAsia="Arial"/>
                <w:b w:val="0"/>
                <w:i w:val="0"/>
                <w:sz w:val="17"/>
              </w:rPr>
              <w:t>2</w:t>
            </w:r>
          </w:p>
        </w:tc>
        <w:tc>
          <w:tcPr>
            <w:tcW w:type="dxa" w:w="794"/>
            <w:shd w:val="clear" w:color="auto" w:fill="FFF1C2"/>
          </w:tcPr>
          <w:p>
            <w:pPr>
              <w:keepNext/>
            </w:pPr>
            <w:r/>
            <w:r>
              <w:rPr>
                <w:rFonts w:ascii="Arial" w:hAnsi="Arial" w:eastAsia="Arial"/>
                <w:b w:val="0"/>
                <w:i w:val="0"/>
                <w:sz w:val="17"/>
              </w:rPr>
              <w:t>6</w:t>
            </w:r>
          </w:p>
        </w:tc>
        <w:tc>
          <w:tcPr>
            <w:tcW w:type="dxa" w:w="2211"/>
          </w:tcPr>
          <w:p>
            <w:pPr>
              <w:keepNext/>
            </w:pPr>
            <w:r/>
            <w:r>
              <w:rPr>
                <w:rFonts w:ascii="Arial" w:hAnsi="Arial" w:eastAsia="Arial"/>
                <w:b w:val="0"/>
                <w:i w:val="0"/>
                <w:sz w:val="17"/>
              </w:rPr>
              <w:t>Telemetry gap or tamper alert at a station</w:t>
            </w:r>
          </w:p>
        </w:tc>
        <w:tc>
          <w:tcPr>
            <w:tcW w:type="dxa" w:w="3231"/>
          </w:tcPr>
          <w:p>
            <w:pPr>
              <w:keepNext/>
            </w:pPr>
            <w:r/>
            <w:r>
              <w:rPr>
                <w:rFonts w:ascii="Arial" w:hAnsi="Arial" w:eastAsia="Arial"/>
                <w:b w:val="0"/>
                <w:i w:val="0"/>
                <w:sz w:val="17"/>
              </w:rPr>
              <w:t>Sites inside operator premises where possible; locked enclosures; telemetry alerts; spare loggers</w:t>
            </w:r>
          </w:p>
        </w:tc>
        <w:tc>
          <w:tcPr>
            <w:tcW w:type="dxa" w:w="2608"/>
          </w:tcPr>
          <w:p>
            <w:pPr>
              <w:keepNext/>
            </w:pPr>
            <w:r/>
            <w:r>
              <w:rPr>
                <w:rFonts w:ascii="Arial" w:hAnsi="Arial" w:eastAsia="Arial"/>
                <w:b w:val="0"/>
                <w:i w:val="0"/>
                <w:sz w:val="17"/>
              </w:rPr>
              <w:t>Replace from spares within two weeks; fill the gap from neighbouring sensors</w:t>
            </w:r>
          </w:p>
        </w:tc>
        <w:tc>
          <w:tcPr>
            <w:tcW w:type="dxa" w:w="850"/>
          </w:tcPr>
          <w:p>
            <w:pPr>
              <w:keepNext/>
            </w:pPr>
            <w:r/>
            <w:r>
              <w:rPr>
                <w:rFonts w:ascii="Arial" w:hAnsi="Arial" w:eastAsia="Arial"/>
                <w:b w:val="0"/>
                <w:i w:val="0"/>
                <w:sz w:val="17"/>
              </w:rPr>
              <w:t>WP4</w:t>
            </w:r>
          </w:p>
        </w:tc>
        <w:tc>
          <w:tcPr>
            <w:tcW w:type="dxa" w:w="1361"/>
            <w:shd w:val="clear" w:color="auto" w:fill="DCEFE3"/>
          </w:tcPr>
          <w:p>
            <w:pPr>
              <w:keepNext/>
            </w:pPr>
            <w:r/>
            <w:r>
              <w:rPr>
                <w:rFonts w:ascii="Arial" w:hAnsi="Arial" w:eastAsia="Arial"/>
                <w:b w:val="0"/>
                <w:i w:val="0"/>
                <w:sz w:val="17"/>
              </w:rPr>
              <w:t>2×1 = 2</w:t>
            </w:r>
          </w:p>
        </w:tc>
      </w:tr>
      <w:tr>
        <w:trPr>
          <w:cantSplit/>
        </w:trPr>
        <w:tc>
          <w:tcPr>
            <w:tcW w:type="dxa" w:w="567"/>
          </w:tcPr>
          <w:p>
            <w:pPr>
              <w:keepNext/>
            </w:pPr>
            <w:r/>
            <w:r>
              <w:rPr>
                <w:rFonts w:ascii="Arial" w:hAnsi="Arial" w:eastAsia="Arial"/>
                <w:b w:val="0"/>
                <w:i w:val="0"/>
                <w:sz w:val="17"/>
              </w:rPr>
              <w:t>R12</w:t>
            </w:r>
          </w:p>
        </w:tc>
        <w:tc>
          <w:tcPr>
            <w:tcW w:type="dxa" w:w="2721"/>
          </w:tcPr>
          <w:p>
            <w:pPr>
              <w:keepNext/>
            </w:pPr>
            <w:r/>
            <w:r>
              <w:rPr>
                <w:rFonts w:ascii="Arial" w:hAnsi="Arial" w:eastAsia="Arial"/>
                <w:b w:val="0"/>
                <w:i w:val="0"/>
                <w:sz w:val="17"/>
              </w:rPr>
              <w:t>A new borehole connects fresh and saline layers and lets seawater move between them</w:t>
            </w:r>
          </w:p>
        </w:tc>
        <w:tc>
          <w:tcPr>
            <w:tcW w:type="dxa" w:w="397"/>
          </w:tcPr>
          <w:p>
            <w:pPr>
              <w:keepNext/>
            </w:pPr>
            <w:r/>
            <w:r>
              <w:rPr>
                <w:rFonts w:ascii="Arial" w:hAnsi="Arial" w:eastAsia="Arial"/>
                <w:b w:val="0"/>
                <w:i w:val="0"/>
                <w:sz w:val="17"/>
              </w:rPr>
              <w:t>2</w:t>
            </w:r>
          </w:p>
        </w:tc>
        <w:tc>
          <w:tcPr>
            <w:tcW w:type="dxa" w:w="397"/>
          </w:tcPr>
          <w:p>
            <w:pPr>
              <w:keepNext/>
            </w:pPr>
            <w:r/>
            <w:r>
              <w:rPr>
                <w:rFonts w:ascii="Arial" w:hAnsi="Arial" w:eastAsia="Arial"/>
                <w:b w:val="0"/>
                <w:i w:val="0"/>
                <w:sz w:val="17"/>
              </w:rPr>
              <w:t>4</w:t>
            </w:r>
          </w:p>
        </w:tc>
        <w:tc>
          <w:tcPr>
            <w:tcW w:type="dxa" w:w="794"/>
            <w:shd w:val="clear" w:color="auto" w:fill="FFF1C2"/>
          </w:tcPr>
          <w:p>
            <w:pPr>
              <w:keepNext/>
            </w:pPr>
            <w:r/>
            <w:r>
              <w:rPr>
                <w:rFonts w:ascii="Arial" w:hAnsi="Arial" w:eastAsia="Arial"/>
                <w:b w:val="0"/>
                <w:i w:val="0"/>
                <w:sz w:val="17"/>
              </w:rPr>
              <w:t>8</w:t>
            </w:r>
          </w:p>
        </w:tc>
        <w:tc>
          <w:tcPr>
            <w:tcW w:type="dxa" w:w="2211"/>
          </w:tcPr>
          <w:p>
            <w:pPr>
              <w:keepNext/>
            </w:pPr>
            <w:r/>
            <w:r>
              <w:rPr>
                <w:rFonts w:ascii="Arial" w:hAnsi="Arial" w:eastAsia="Arial"/>
                <w:b w:val="0"/>
                <w:i w:val="0"/>
                <w:sz w:val="17"/>
              </w:rPr>
              <w:t>Change in conductivity or vertical flow in the borehole after installation</w:t>
            </w:r>
          </w:p>
        </w:tc>
        <w:tc>
          <w:tcPr>
            <w:tcW w:type="dxa" w:w="3231"/>
          </w:tcPr>
          <w:p>
            <w:pPr>
              <w:keepNext/>
            </w:pPr>
            <w:r/>
            <w:r>
              <w:rPr>
                <w:rFonts w:ascii="Arial" w:hAnsi="Arial" w:eastAsia="Arial"/>
                <w:b w:val="0"/>
                <w:i w:val="0"/>
                <w:sz w:val="17"/>
              </w:rPr>
              <w:t>Licensed driller; screens and seals designed by the project hydrogeologist; grouting checked; conductivity logged before and after</w:t>
            </w:r>
          </w:p>
        </w:tc>
        <w:tc>
          <w:tcPr>
            <w:tcW w:type="dxa" w:w="2608"/>
          </w:tcPr>
          <w:p>
            <w:pPr>
              <w:keepNext/>
            </w:pPr>
            <w:r/>
            <w:r>
              <w:rPr>
                <w:rFonts w:ascii="Arial" w:hAnsi="Arial" w:eastAsia="Arial"/>
                <w:b w:val="0"/>
                <w:i w:val="0"/>
                <w:sz w:val="17"/>
              </w:rPr>
              <w:t>Seal or decommission the borehole to standard; report to the utility</w:t>
            </w:r>
          </w:p>
        </w:tc>
        <w:tc>
          <w:tcPr>
            <w:tcW w:type="dxa" w:w="850"/>
          </w:tcPr>
          <w:p>
            <w:pPr>
              <w:keepNext/>
            </w:pPr>
            <w:r/>
            <w:r>
              <w:rPr>
                <w:rFonts w:ascii="Arial" w:hAnsi="Arial" w:eastAsia="Arial"/>
                <w:b w:val="0"/>
                <w:i w:val="0"/>
                <w:sz w:val="17"/>
              </w:rPr>
              <w:t>WP4</w:t>
            </w:r>
          </w:p>
        </w:tc>
        <w:tc>
          <w:tcPr>
            <w:tcW w:type="dxa" w:w="1361"/>
            <w:shd w:val="clear" w:color="auto" w:fill="DCEFE3"/>
          </w:tcPr>
          <w:p>
            <w:pPr>
              <w:keepNext/>
            </w:pPr>
            <w:r/>
            <w:r>
              <w:rPr>
                <w:rFonts w:ascii="Arial" w:hAnsi="Arial" w:eastAsia="Arial"/>
                <w:b w:val="0"/>
                <w:i w:val="0"/>
                <w:sz w:val="17"/>
              </w:rPr>
              <w:t>1×3 = 3</w:t>
            </w:r>
          </w:p>
        </w:tc>
      </w:tr>
      <w:tr>
        <w:trPr>
          <w:cantSplit/>
        </w:trPr>
        <w:tc>
          <w:tcPr>
            <w:tcW w:type="dxa" w:w="567"/>
          </w:tcPr>
          <w:p>
            <w:r/>
            <w:r>
              <w:rPr>
                <w:rFonts w:ascii="Arial" w:hAnsi="Arial" w:eastAsia="Arial"/>
                <w:b w:val="0"/>
                <w:i w:val="0"/>
                <w:sz w:val="17"/>
              </w:rPr>
              <w:t>R13</w:t>
            </w:r>
          </w:p>
        </w:tc>
        <w:tc>
          <w:tcPr>
            <w:tcW w:type="dxa" w:w="2721"/>
          </w:tcPr>
          <w:p>
            <w:r/>
            <w:r>
              <w:rPr>
                <w:rFonts w:ascii="Arial" w:hAnsi="Arial" w:eastAsia="Arial"/>
                <w:b w:val="0"/>
                <w:i w:val="0"/>
                <w:sz w:val="17"/>
              </w:rPr>
              <w:t>Injury during field work (port traffic, storms, inspections after an earthquake)</w:t>
            </w:r>
          </w:p>
        </w:tc>
        <w:tc>
          <w:tcPr>
            <w:tcW w:type="dxa" w:w="397"/>
          </w:tcPr>
          <w:p>
            <w:r/>
            <w:r>
              <w:rPr>
                <w:rFonts w:ascii="Arial" w:hAnsi="Arial" w:eastAsia="Arial"/>
                <w:b w:val="0"/>
                <w:i w:val="0"/>
                <w:sz w:val="17"/>
              </w:rPr>
              <w:t>2</w:t>
            </w:r>
          </w:p>
        </w:tc>
        <w:tc>
          <w:tcPr>
            <w:tcW w:type="dxa" w:w="397"/>
          </w:tcPr>
          <w:p>
            <w:r/>
            <w:r>
              <w:rPr>
                <w:rFonts w:ascii="Arial" w:hAnsi="Arial" w:eastAsia="Arial"/>
                <w:b w:val="0"/>
                <w:i w:val="0"/>
                <w:sz w:val="17"/>
              </w:rPr>
              <w:t>5</w:t>
            </w:r>
          </w:p>
        </w:tc>
        <w:tc>
          <w:tcPr>
            <w:tcW w:type="dxa" w:w="794"/>
            <w:shd w:val="clear" w:color="auto" w:fill="F9D3B4"/>
          </w:tcPr>
          <w:p>
            <w:r/>
            <w:r>
              <w:rPr>
                <w:rFonts w:ascii="Arial" w:hAnsi="Arial" w:eastAsia="Arial"/>
                <w:b w:val="0"/>
                <w:i w:val="0"/>
                <w:sz w:val="17"/>
              </w:rPr>
              <w:t>10</w:t>
            </w:r>
          </w:p>
        </w:tc>
        <w:tc>
          <w:tcPr>
            <w:tcW w:type="dxa" w:w="2211"/>
          </w:tcPr>
          <w:p>
            <w:r/>
            <w:r>
              <w:rPr>
                <w:rFonts w:ascii="Arial" w:hAnsi="Arial" w:eastAsia="Arial"/>
                <w:b w:val="0"/>
                <w:i w:val="0"/>
                <w:sz w:val="17"/>
              </w:rPr>
              <w:t>Near-miss report; active storm or post-earthquake warning</w:t>
            </w:r>
          </w:p>
        </w:tc>
        <w:tc>
          <w:tcPr>
            <w:tcW w:type="dxa" w:w="3231"/>
          </w:tcPr>
          <w:p>
            <w:r/>
            <w:r>
              <w:rPr>
                <w:rFonts w:ascii="Arial" w:hAnsi="Arial" w:eastAsia="Arial"/>
                <w:b w:val="0"/>
                <w:i w:val="0"/>
                <w:sz w:val="17"/>
              </w:rPr>
              <w:t>Safety plan and operator inductions; two-person rule; no field work during active warnings; post-event visits only after clearance</w:t>
            </w:r>
          </w:p>
        </w:tc>
        <w:tc>
          <w:tcPr>
            <w:tcW w:type="dxa" w:w="2608"/>
          </w:tcPr>
          <w:p>
            <w:r/>
            <w:r>
              <w:rPr>
                <w:rFonts w:ascii="Arial" w:hAnsi="Arial" w:eastAsia="Arial"/>
                <w:b w:val="0"/>
                <w:i w:val="0"/>
                <w:sz w:val="17"/>
              </w:rPr>
              <w:t>Stop field work; incident review; revise the safety plan</w:t>
            </w:r>
          </w:p>
        </w:tc>
        <w:tc>
          <w:tcPr>
            <w:tcW w:type="dxa" w:w="850"/>
          </w:tcPr>
          <w:p>
            <w:r/>
            <w:r>
              <w:rPr>
                <w:rFonts w:ascii="Arial" w:hAnsi="Arial" w:eastAsia="Arial"/>
                <w:b w:val="0"/>
                <w:i w:val="0"/>
                <w:sz w:val="17"/>
              </w:rPr>
              <w:t>WP7</w:t>
            </w:r>
          </w:p>
        </w:tc>
        <w:tc>
          <w:tcPr>
            <w:tcW w:type="dxa" w:w="1361"/>
            <w:shd w:val="clear" w:color="auto" w:fill="DCEFE3"/>
          </w:tcPr>
          <w:p>
            <w:r/>
            <w:r>
              <w:rPr>
                <w:rFonts w:ascii="Arial" w:hAnsi="Arial" w:eastAsia="Arial"/>
                <w:b w:val="0"/>
                <w:i w:val="0"/>
                <w:sz w:val="17"/>
              </w:rPr>
              <w:t>1×4 = 4</w:t>
            </w:r>
          </w:p>
        </w:tc>
      </w:tr>
    </w:tbl>
    <w:p>
      <w:pPr>
        <w:keepNext/>
        <w:spacing w:after="120" w:before="120"/>
      </w:pPr>
      <w:r>
        <w:rPr>
          <w:rFonts w:ascii="Arial" w:hAnsi="Arial" w:eastAsia="Arial"/>
          <w:b/>
          <w:i w:val="0"/>
          <w:color w:val="2E6DB4"/>
          <w:sz w:val="23"/>
        </w:rPr>
        <w:t>D. The warning service in operation</w:t>
      </w:r>
    </w:p>
    <w:tbl>
      <w:tblPr>
        <w:tblStyle w:val="TableGrid"/>
        <w:tblW w:type="auto" w:w="0"/>
        <w:jc w:val="center"/>
        <w:tblLayout w:type="fixed"/>
        <w:tblLook w:firstColumn="1" w:firstRow="1" w:lastColumn="0" w:lastRow="0" w:noHBand="0" w:noVBand="1" w:val="04A0"/>
        <w:tblLayout w:type="fixed"/>
      </w:tblPr>
      <w:tblGrid>
        <w:gridCol w:w="567"/>
        <w:gridCol w:w="2721"/>
        <w:gridCol w:w="397"/>
        <w:gridCol w:w="397"/>
        <w:gridCol w:w="794"/>
        <w:gridCol w:w="2211"/>
        <w:gridCol w:w="3231"/>
        <w:gridCol w:w="2608"/>
        <w:gridCol w:w="850"/>
        <w:gridCol w:w="1361"/>
      </w:tblGrid>
      <w:tr>
        <w:trPr>
          <w:cantSplit/>
          <w:tblHeader/>
        </w:trPr>
        <w:tc>
          <w:tcPr>
            <w:tcW w:type="dxa" w:w="567"/>
            <w:shd w:val="clear" w:color="auto" w:fill="1F3864"/>
          </w:tcPr>
          <w:p>
            <w:pPr>
              <w:keepNext/>
            </w:pPr>
            <w:r/>
            <w:r>
              <w:rPr>
                <w:rFonts w:ascii="Arial" w:hAnsi="Arial" w:eastAsia="Arial"/>
                <w:b/>
                <w:i w:val="0"/>
                <w:color w:val="FFFFFF"/>
                <w:sz w:val="17"/>
              </w:rPr>
              <w:t>ID</w:t>
            </w:r>
          </w:p>
        </w:tc>
        <w:tc>
          <w:tcPr>
            <w:tcW w:type="dxa" w:w="2721"/>
            <w:shd w:val="clear" w:color="auto" w:fill="1F3864"/>
          </w:tcPr>
          <w:p>
            <w:pPr>
              <w:keepNext/>
            </w:pPr>
            <w:r/>
            <w:r>
              <w:rPr>
                <w:rFonts w:ascii="Arial" w:hAnsi="Arial" w:eastAsia="Arial"/>
                <w:b/>
                <w:i w:val="0"/>
                <w:color w:val="FFFFFF"/>
                <w:sz w:val="17"/>
              </w:rPr>
              <w:t>Risk and consequence</w:t>
            </w:r>
          </w:p>
        </w:tc>
        <w:tc>
          <w:tcPr>
            <w:tcW w:type="dxa" w:w="397"/>
            <w:shd w:val="clear" w:color="auto" w:fill="1F3864"/>
          </w:tcPr>
          <w:p>
            <w:pPr>
              <w:keepNext/>
            </w:pPr>
            <w:r/>
            <w:r>
              <w:rPr>
                <w:rFonts w:ascii="Arial" w:hAnsi="Arial" w:eastAsia="Arial"/>
                <w:b/>
                <w:i w:val="0"/>
                <w:color w:val="FFFFFF"/>
                <w:sz w:val="17"/>
              </w:rPr>
              <w:t>L</w:t>
            </w:r>
          </w:p>
        </w:tc>
        <w:tc>
          <w:tcPr>
            <w:tcW w:type="dxa" w:w="397"/>
            <w:shd w:val="clear" w:color="auto" w:fill="1F3864"/>
          </w:tcPr>
          <w:p>
            <w:pPr>
              <w:keepNext/>
            </w:pPr>
            <w:r/>
            <w:r>
              <w:rPr>
                <w:rFonts w:ascii="Arial" w:hAnsi="Arial" w:eastAsia="Arial"/>
                <w:b/>
                <w:i w:val="0"/>
                <w:color w:val="FFFFFF"/>
                <w:sz w:val="17"/>
              </w:rPr>
              <w:t>I</w:t>
            </w:r>
          </w:p>
        </w:tc>
        <w:tc>
          <w:tcPr>
            <w:tcW w:type="dxa" w:w="794"/>
            <w:shd w:val="clear" w:color="auto" w:fill="1F3864"/>
          </w:tcPr>
          <w:p>
            <w:pPr>
              <w:keepNext/>
            </w:pPr>
            <w:r/>
            <w:r>
              <w:rPr>
                <w:rFonts w:ascii="Arial" w:hAnsi="Arial" w:eastAsia="Arial"/>
                <w:b/>
                <w:i w:val="0"/>
                <w:color w:val="FFFFFF"/>
                <w:sz w:val="17"/>
              </w:rPr>
              <w:t>Score</w:t>
            </w:r>
          </w:p>
        </w:tc>
        <w:tc>
          <w:tcPr>
            <w:tcW w:type="dxa" w:w="2211"/>
            <w:shd w:val="clear" w:color="auto" w:fill="1F3864"/>
          </w:tcPr>
          <w:p>
            <w:pPr>
              <w:keepNext/>
            </w:pPr>
            <w:r/>
            <w:r>
              <w:rPr>
                <w:rFonts w:ascii="Arial" w:hAnsi="Arial" w:eastAsia="Arial"/>
                <w:b/>
                <w:i w:val="0"/>
                <w:color w:val="FFFFFF"/>
                <w:sz w:val="17"/>
              </w:rPr>
              <w:t>Early-warning indicator (trigger)</w:t>
            </w:r>
          </w:p>
        </w:tc>
        <w:tc>
          <w:tcPr>
            <w:tcW w:type="dxa" w:w="3231"/>
            <w:shd w:val="clear" w:color="auto" w:fill="1F3864"/>
          </w:tcPr>
          <w:p>
            <w:pPr>
              <w:keepNext/>
            </w:pPr>
            <w:r/>
            <w:r>
              <w:rPr>
                <w:rFonts w:ascii="Arial" w:hAnsi="Arial" w:eastAsia="Arial"/>
                <w:b/>
                <w:i w:val="0"/>
                <w:color w:val="FFFFFF"/>
                <w:sz w:val="17"/>
              </w:rPr>
              <w:t>Mitigation (in advance)</w:t>
            </w:r>
          </w:p>
        </w:tc>
        <w:tc>
          <w:tcPr>
            <w:tcW w:type="dxa" w:w="2608"/>
            <w:shd w:val="clear" w:color="auto" w:fill="1F3864"/>
          </w:tcPr>
          <w:p>
            <w:pPr>
              <w:keepNext/>
            </w:pPr>
            <w:r/>
            <w:r>
              <w:rPr>
                <w:rFonts w:ascii="Arial" w:hAnsi="Arial" w:eastAsia="Arial"/>
                <w:b/>
                <w:i w:val="0"/>
                <w:color w:val="FFFFFF"/>
                <w:sz w:val="17"/>
              </w:rPr>
              <w:t>Contingency (if it occurs)</w:t>
            </w:r>
          </w:p>
        </w:tc>
        <w:tc>
          <w:tcPr>
            <w:tcW w:type="dxa" w:w="850"/>
            <w:shd w:val="clear" w:color="auto" w:fill="1F3864"/>
          </w:tcPr>
          <w:p>
            <w:pPr>
              <w:keepNext/>
            </w:pPr>
            <w:r/>
            <w:r>
              <w:rPr>
                <w:rFonts w:ascii="Arial" w:hAnsi="Arial" w:eastAsia="Arial"/>
                <w:b/>
                <w:i w:val="0"/>
                <w:color w:val="FFFFFF"/>
                <w:sz w:val="17"/>
              </w:rPr>
              <w:t>Owner</w:t>
            </w:r>
          </w:p>
        </w:tc>
        <w:tc>
          <w:tcPr>
            <w:tcW w:type="dxa" w:w="1361"/>
            <w:shd w:val="clear" w:color="auto" w:fill="1F3864"/>
          </w:tcPr>
          <w:p>
            <w:pPr>
              <w:keepNext/>
            </w:pPr>
            <w:r/>
            <w:r>
              <w:rPr>
                <w:rFonts w:ascii="Arial" w:hAnsi="Arial" w:eastAsia="Arial"/>
                <w:b/>
                <w:i w:val="0"/>
                <w:color w:val="FFFFFF"/>
                <w:sz w:val="17"/>
              </w:rPr>
              <w:t>Residual</w:t>
            </w:r>
          </w:p>
        </w:tc>
      </w:tr>
      <w:tr>
        <w:trPr>
          <w:cantSplit/>
        </w:trPr>
        <w:tc>
          <w:tcPr>
            <w:tcW w:type="dxa" w:w="567"/>
          </w:tcPr>
          <w:p>
            <w:pPr>
              <w:keepNext/>
            </w:pPr>
            <w:r/>
            <w:r>
              <w:rPr>
                <w:rFonts w:ascii="Arial" w:hAnsi="Arial" w:eastAsia="Arial"/>
                <w:b w:val="0"/>
                <w:i w:val="0"/>
                <w:sz w:val="17"/>
              </w:rPr>
              <w:t>R14</w:t>
            </w:r>
          </w:p>
        </w:tc>
        <w:tc>
          <w:tcPr>
            <w:tcW w:type="dxa" w:w="2721"/>
          </w:tcPr>
          <w:p>
            <w:pPr>
              <w:keepNext/>
            </w:pPr>
            <w:r/>
            <w:r>
              <w:rPr>
                <w:rFonts w:ascii="Arial" w:hAnsi="Arial" w:eastAsia="Arial"/>
                <w:b w:val="0"/>
                <w:i w:val="0"/>
                <w:sz w:val="17"/>
              </w:rPr>
              <w:t>No strong earthquake or surge occurs during the demonstration, so the guarantees are not tested on such events</w:t>
            </w:r>
          </w:p>
        </w:tc>
        <w:tc>
          <w:tcPr>
            <w:tcW w:type="dxa" w:w="397"/>
          </w:tcPr>
          <w:p>
            <w:pPr>
              <w:keepNext/>
            </w:pPr>
            <w:r/>
            <w:r>
              <w:rPr>
                <w:rFonts w:ascii="Arial" w:hAnsi="Arial" w:eastAsia="Arial"/>
                <w:b w:val="0"/>
                <w:i w:val="0"/>
                <w:sz w:val="17"/>
              </w:rPr>
              <w:t>4</w:t>
            </w:r>
          </w:p>
        </w:tc>
        <w:tc>
          <w:tcPr>
            <w:tcW w:type="dxa" w:w="397"/>
          </w:tcPr>
          <w:p>
            <w:pPr>
              <w:keepNext/>
            </w:pPr>
            <w:r/>
            <w:r>
              <w:rPr>
                <w:rFonts w:ascii="Arial" w:hAnsi="Arial" w:eastAsia="Arial"/>
                <w:b w:val="0"/>
                <w:i w:val="0"/>
                <w:sz w:val="17"/>
              </w:rPr>
              <w:t>3</w:t>
            </w:r>
          </w:p>
        </w:tc>
        <w:tc>
          <w:tcPr>
            <w:tcW w:type="dxa" w:w="794"/>
            <w:shd w:val="clear" w:color="auto" w:fill="F9D3B4"/>
          </w:tcPr>
          <w:p>
            <w:pPr>
              <w:keepNext/>
            </w:pPr>
            <w:r/>
            <w:r>
              <w:rPr>
                <w:rFonts w:ascii="Arial" w:hAnsi="Arial" w:eastAsia="Arial"/>
                <w:b w:val="0"/>
                <w:i w:val="0"/>
                <w:sz w:val="17"/>
              </w:rPr>
              <w:t>12</w:t>
            </w:r>
          </w:p>
        </w:tc>
        <w:tc>
          <w:tcPr>
            <w:tcW w:type="dxa" w:w="2211"/>
          </w:tcPr>
          <w:p>
            <w:pPr>
              <w:keepNext/>
            </w:pPr>
            <w:r/>
            <w:r>
              <w:rPr>
                <w:rFonts w:ascii="Arial" w:hAnsi="Arial" w:eastAsia="Arial"/>
                <w:b w:val="0"/>
                <w:i w:val="0"/>
                <w:sz w:val="17"/>
              </w:rPr>
              <w:t>No triggering event by Month 30</w:t>
            </w:r>
          </w:p>
        </w:tc>
        <w:tc>
          <w:tcPr>
            <w:tcW w:type="dxa" w:w="3231"/>
          </w:tcPr>
          <w:p>
            <w:pPr>
              <w:keepNext/>
            </w:pPr>
            <w:r/>
            <w:r>
              <w:rPr>
                <w:rFonts w:ascii="Arial" w:hAnsi="Arial" w:eastAsia="Arial"/>
                <w:b w:val="0"/>
                <w:i w:val="0"/>
                <w:sz w:val="17"/>
              </w:rPr>
              <w:t>Back-testing over the historical record, including the 2019 earthquake, and on storylines beyond it (T3.4)</w:t>
            </w:r>
          </w:p>
        </w:tc>
        <w:tc>
          <w:tcPr>
            <w:tcW w:type="dxa" w:w="2608"/>
          </w:tcPr>
          <w:p>
            <w:pPr>
              <w:keepNext/>
            </w:pPr>
            <w:r/>
            <w:r>
              <w:rPr>
                <w:rFonts w:ascii="Arial" w:hAnsi="Arial" w:eastAsia="Arial"/>
                <w:b w:val="0"/>
                <w:i w:val="0"/>
                <w:sz w:val="17"/>
              </w:rPr>
              <w:t>Report event-based verification as back-testing only; continue the bulletin log after hand-over</w:t>
            </w:r>
          </w:p>
        </w:tc>
        <w:tc>
          <w:tcPr>
            <w:tcW w:type="dxa" w:w="850"/>
          </w:tcPr>
          <w:p>
            <w:pPr>
              <w:keepNext/>
            </w:pPr>
            <w:r/>
            <w:r>
              <w:rPr>
                <w:rFonts w:ascii="Arial" w:hAnsi="Arial" w:eastAsia="Arial"/>
                <w:b w:val="0"/>
                <w:i w:val="0"/>
                <w:sz w:val="17"/>
              </w:rPr>
              <w:t>WP3</w:t>
            </w:r>
          </w:p>
        </w:tc>
        <w:tc>
          <w:tcPr>
            <w:tcW w:type="dxa" w:w="1361"/>
            <w:shd w:val="clear" w:color="auto" w:fill="FFF1C2"/>
          </w:tcPr>
          <w:p>
            <w:pPr>
              <w:keepNext/>
            </w:pPr>
            <w:r/>
            <w:r>
              <w:rPr>
                <w:rFonts w:ascii="Arial" w:hAnsi="Arial" w:eastAsia="Arial"/>
                <w:b w:val="0"/>
                <w:i w:val="0"/>
                <w:sz w:val="17"/>
              </w:rPr>
              <w:t>4×2 = 8</w:t>
            </w:r>
          </w:p>
        </w:tc>
      </w:tr>
      <w:tr>
        <w:trPr>
          <w:cantSplit/>
        </w:trPr>
        <w:tc>
          <w:tcPr>
            <w:tcW w:type="dxa" w:w="567"/>
          </w:tcPr>
          <w:p>
            <w:pPr>
              <w:keepNext/>
            </w:pPr>
            <w:r/>
            <w:r>
              <w:rPr>
                <w:rFonts w:ascii="Arial" w:hAnsi="Arial" w:eastAsia="Arial"/>
                <w:b w:val="0"/>
                <w:i w:val="0"/>
                <w:sz w:val="17"/>
              </w:rPr>
              <w:t>R15</w:t>
            </w:r>
          </w:p>
        </w:tc>
        <w:tc>
          <w:tcPr>
            <w:tcW w:type="dxa" w:w="2721"/>
          </w:tcPr>
          <w:p>
            <w:pPr>
              <w:keepNext/>
            </w:pPr>
            <w:r/>
            <w:r>
              <w:rPr>
                <w:rFonts w:ascii="Arial" w:hAnsi="Arial" w:eastAsia="Arial"/>
                <w:b w:val="0"/>
                <w:i w:val="0"/>
                <w:sz w:val="17"/>
              </w:rPr>
              <w:t>A missed alarm coincides with damage; trust and responsibilities are questioned</w:t>
            </w:r>
          </w:p>
        </w:tc>
        <w:tc>
          <w:tcPr>
            <w:tcW w:type="dxa" w:w="397"/>
          </w:tcPr>
          <w:p>
            <w:pPr>
              <w:keepNext/>
            </w:pPr>
            <w:r/>
            <w:r>
              <w:rPr>
                <w:rFonts w:ascii="Arial" w:hAnsi="Arial" w:eastAsia="Arial"/>
                <w:b w:val="0"/>
                <w:i w:val="0"/>
                <w:sz w:val="17"/>
              </w:rPr>
              <w:t>2</w:t>
            </w:r>
          </w:p>
        </w:tc>
        <w:tc>
          <w:tcPr>
            <w:tcW w:type="dxa" w:w="397"/>
          </w:tcPr>
          <w:p>
            <w:pPr>
              <w:keepNext/>
            </w:pPr>
            <w:r/>
            <w:r>
              <w:rPr>
                <w:rFonts w:ascii="Arial" w:hAnsi="Arial" w:eastAsia="Arial"/>
                <w:b w:val="0"/>
                <w:i w:val="0"/>
                <w:sz w:val="17"/>
              </w:rPr>
              <w:t>5</w:t>
            </w:r>
          </w:p>
        </w:tc>
        <w:tc>
          <w:tcPr>
            <w:tcW w:type="dxa" w:w="794"/>
            <w:shd w:val="clear" w:color="auto" w:fill="F9D3B4"/>
          </w:tcPr>
          <w:p>
            <w:pPr>
              <w:keepNext/>
            </w:pPr>
            <w:r/>
            <w:r>
              <w:rPr>
                <w:rFonts w:ascii="Arial" w:hAnsi="Arial" w:eastAsia="Arial"/>
                <w:b w:val="0"/>
                <w:i w:val="0"/>
                <w:sz w:val="17"/>
              </w:rPr>
              <w:t>10</w:t>
            </w:r>
          </w:p>
        </w:tc>
        <w:tc>
          <w:tcPr>
            <w:tcW w:type="dxa" w:w="2211"/>
          </w:tcPr>
          <w:p>
            <w:pPr>
              <w:keepNext/>
            </w:pPr>
            <w:r/>
            <w:r>
              <w:rPr>
                <w:rFonts w:ascii="Arial" w:hAnsi="Arial" w:eastAsia="Arial"/>
                <w:b w:val="0"/>
                <w:i w:val="0"/>
                <w:sz w:val="17"/>
              </w:rPr>
              <w:t>Any missed exceedance during live operation</w:t>
            </w:r>
          </w:p>
        </w:tc>
        <w:tc>
          <w:tcPr>
            <w:tcW w:type="dxa" w:w="3231"/>
          </w:tcPr>
          <w:p>
            <w:pPr>
              <w:keepNext/>
            </w:pPr>
            <w:r/>
            <w:r>
              <w:rPr>
                <w:rFonts w:ascii="Arial" w:hAnsi="Arial" w:eastAsia="Arial"/>
                <w:b w:val="0"/>
                <w:i w:val="0"/>
                <w:sz w:val="17"/>
              </w:rPr>
              <w:t>Every bulletin states its certified miss rate; decisions stay with the operators; roles written into the bulletin protocol (T5.1)</w:t>
            </w:r>
          </w:p>
        </w:tc>
        <w:tc>
          <w:tcPr>
            <w:tcW w:type="dxa" w:w="2608"/>
          </w:tcPr>
          <w:p>
            <w:pPr>
              <w:keepNext/>
            </w:pPr>
            <w:r/>
            <w:r>
              <w:rPr>
                <w:rFonts w:ascii="Arial" w:hAnsi="Arial" w:eastAsia="Arial"/>
                <w:b w:val="0"/>
                <w:i w:val="0"/>
                <w:sz w:val="17"/>
              </w:rPr>
              <w:t>Review within one week; margins recalibrated; findings shared with the operators and civil protection</w:t>
            </w:r>
          </w:p>
        </w:tc>
        <w:tc>
          <w:tcPr>
            <w:tcW w:type="dxa" w:w="850"/>
          </w:tcPr>
          <w:p>
            <w:pPr>
              <w:keepNext/>
            </w:pPr>
            <w:r/>
            <w:r>
              <w:rPr>
                <w:rFonts w:ascii="Arial" w:hAnsi="Arial" w:eastAsia="Arial"/>
                <w:b w:val="0"/>
                <w:i w:val="0"/>
                <w:sz w:val="17"/>
              </w:rPr>
              <w:t>WP5</w:t>
            </w:r>
          </w:p>
        </w:tc>
        <w:tc>
          <w:tcPr>
            <w:tcW w:type="dxa" w:w="1361"/>
            <w:shd w:val="clear" w:color="auto" w:fill="FFF1C2"/>
          </w:tcPr>
          <w:p>
            <w:pPr>
              <w:keepNext/>
            </w:pPr>
            <w:r/>
            <w:r>
              <w:rPr>
                <w:rFonts w:ascii="Arial" w:hAnsi="Arial" w:eastAsia="Arial"/>
                <w:b w:val="0"/>
                <w:i w:val="0"/>
                <w:sz w:val="17"/>
              </w:rPr>
              <w:t>2×3 = 6</w:t>
            </w:r>
          </w:p>
        </w:tc>
      </w:tr>
      <w:tr>
        <w:trPr>
          <w:cantSplit/>
        </w:trPr>
        <w:tc>
          <w:tcPr>
            <w:tcW w:type="dxa" w:w="567"/>
          </w:tcPr>
          <w:p>
            <w:pPr>
              <w:keepNext/>
            </w:pPr>
            <w:r/>
            <w:r>
              <w:rPr>
                <w:rFonts w:ascii="Arial" w:hAnsi="Arial" w:eastAsia="Arial"/>
                <w:b w:val="0"/>
                <w:i w:val="0"/>
                <w:sz w:val="17"/>
              </w:rPr>
              <w:t>R16</w:t>
            </w:r>
          </w:p>
        </w:tc>
        <w:tc>
          <w:tcPr>
            <w:tcW w:type="dxa" w:w="2721"/>
          </w:tcPr>
          <w:p>
            <w:pPr>
              <w:keepNext/>
            </w:pPr>
            <w:r/>
            <w:r>
              <w:rPr>
                <w:rFonts w:ascii="Arial" w:hAnsi="Arial" w:eastAsia="Arial"/>
                <w:b w:val="0"/>
                <w:i w:val="0"/>
                <w:sz w:val="17"/>
              </w:rPr>
              <w:t>Over-reliance: operators drop their own checks and rely on the bulletins alone</w:t>
            </w:r>
          </w:p>
        </w:tc>
        <w:tc>
          <w:tcPr>
            <w:tcW w:type="dxa" w:w="397"/>
          </w:tcPr>
          <w:p>
            <w:pPr>
              <w:keepNext/>
            </w:pPr>
            <w:r/>
            <w:r>
              <w:rPr>
                <w:rFonts w:ascii="Arial" w:hAnsi="Arial" w:eastAsia="Arial"/>
                <w:b w:val="0"/>
                <w:i w:val="0"/>
                <w:sz w:val="17"/>
              </w:rPr>
              <w:t>2</w:t>
            </w:r>
          </w:p>
        </w:tc>
        <w:tc>
          <w:tcPr>
            <w:tcW w:type="dxa" w:w="397"/>
          </w:tcPr>
          <w:p>
            <w:pPr>
              <w:keepNext/>
            </w:pPr>
            <w:r/>
            <w:r>
              <w:rPr>
                <w:rFonts w:ascii="Arial" w:hAnsi="Arial" w:eastAsia="Arial"/>
                <w:b w:val="0"/>
                <w:i w:val="0"/>
                <w:sz w:val="17"/>
              </w:rPr>
              <w:t>4</w:t>
            </w:r>
          </w:p>
        </w:tc>
        <w:tc>
          <w:tcPr>
            <w:tcW w:type="dxa" w:w="794"/>
            <w:shd w:val="clear" w:color="auto" w:fill="FFF1C2"/>
          </w:tcPr>
          <w:p>
            <w:pPr>
              <w:keepNext/>
            </w:pPr>
            <w:r/>
            <w:r>
              <w:rPr>
                <w:rFonts w:ascii="Arial" w:hAnsi="Arial" w:eastAsia="Arial"/>
                <w:b w:val="0"/>
                <w:i w:val="0"/>
                <w:sz w:val="17"/>
              </w:rPr>
              <w:t>8</w:t>
            </w:r>
          </w:p>
        </w:tc>
        <w:tc>
          <w:tcPr>
            <w:tcW w:type="dxa" w:w="2211"/>
          </w:tcPr>
          <w:p>
            <w:pPr>
              <w:keepNext/>
            </w:pPr>
            <w:r/>
            <w:r>
              <w:rPr>
                <w:rFonts w:ascii="Arial" w:hAnsi="Arial" w:eastAsia="Arial"/>
                <w:b w:val="0"/>
                <w:i w:val="0"/>
                <w:sz w:val="17"/>
              </w:rPr>
              <w:t>Decisions recorded without the operator's own measurements</w:t>
            </w:r>
          </w:p>
        </w:tc>
        <w:tc>
          <w:tcPr>
            <w:tcW w:type="dxa" w:w="3231"/>
          </w:tcPr>
          <w:p>
            <w:pPr>
              <w:keepNext/>
            </w:pPr>
            <w:r/>
            <w:r>
              <w:rPr>
                <w:rFonts w:ascii="Arial" w:hAnsi="Arial" w:eastAsia="Arial"/>
                <w:b w:val="0"/>
                <w:i w:val="0"/>
                <w:sz w:val="17"/>
              </w:rPr>
              <w:t>System advisory alongside existing procedures; training on what the miss rate means (T6.2)</w:t>
            </w:r>
          </w:p>
        </w:tc>
        <w:tc>
          <w:tcPr>
            <w:tcW w:type="dxa" w:w="2608"/>
          </w:tcPr>
          <w:p>
            <w:pPr>
              <w:keepNext/>
            </w:pPr>
            <w:r/>
            <w:r>
              <w:rPr>
                <w:rFonts w:ascii="Arial" w:hAnsi="Arial" w:eastAsia="Arial"/>
                <w:b w:val="0"/>
                <w:i w:val="0"/>
                <w:sz w:val="17"/>
              </w:rPr>
              <w:t>Joint review with the operator; procedures restated in D6.2</w:t>
            </w:r>
          </w:p>
        </w:tc>
        <w:tc>
          <w:tcPr>
            <w:tcW w:type="dxa" w:w="850"/>
          </w:tcPr>
          <w:p>
            <w:pPr>
              <w:keepNext/>
            </w:pPr>
            <w:r/>
            <w:r>
              <w:rPr>
                <w:rFonts w:ascii="Arial" w:hAnsi="Arial" w:eastAsia="Arial"/>
                <w:b w:val="0"/>
                <w:i w:val="0"/>
                <w:sz w:val="17"/>
              </w:rPr>
              <w:t>WP6</w:t>
            </w:r>
          </w:p>
        </w:tc>
        <w:tc>
          <w:tcPr>
            <w:tcW w:type="dxa" w:w="1361"/>
            <w:shd w:val="clear" w:color="auto" w:fill="DCEFE3"/>
          </w:tcPr>
          <w:p>
            <w:pPr>
              <w:keepNext/>
            </w:pPr>
            <w:r/>
            <w:r>
              <w:rPr>
                <w:rFonts w:ascii="Arial" w:hAnsi="Arial" w:eastAsia="Arial"/>
                <w:b w:val="0"/>
                <w:i w:val="0"/>
                <w:sz w:val="17"/>
              </w:rPr>
              <w:t>1×3 = 3</w:t>
            </w:r>
          </w:p>
        </w:tc>
      </w:tr>
      <w:tr>
        <w:trPr>
          <w:cantSplit/>
        </w:trPr>
        <w:tc>
          <w:tcPr>
            <w:tcW w:type="dxa" w:w="567"/>
          </w:tcPr>
          <w:p>
            <w:r/>
            <w:r>
              <w:rPr>
                <w:rFonts w:ascii="Arial" w:hAnsi="Arial" w:eastAsia="Arial"/>
                <w:b w:val="0"/>
                <w:i w:val="0"/>
                <w:sz w:val="17"/>
              </w:rPr>
              <w:t>R17</w:t>
            </w:r>
          </w:p>
        </w:tc>
        <w:tc>
          <w:tcPr>
            <w:tcW w:type="dxa" w:w="2721"/>
          </w:tcPr>
          <w:p>
            <w:r/>
            <w:r>
              <w:rPr>
                <w:rFonts w:ascii="Arial" w:hAnsi="Arial" w:eastAsia="Arial"/>
                <w:b w:val="0"/>
                <w:i w:val="0"/>
                <w:sz w:val="17"/>
              </w:rPr>
              <w:t>IT or cyber failure interrupts data streams or bulletins</w:t>
            </w:r>
          </w:p>
        </w:tc>
        <w:tc>
          <w:tcPr>
            <w:tcW w:type="dxa" w:w="397"/>
          </w:tcPr>
          <w:p>
            <w:r/>
            <w:r>
              <w:rPr>
                <w:rFonts w:ascii="Arial" w:hAnsi="Arial" w:eastAsia="Arial"/>
                <w:b w:val="0"/>
                <w:i w:val="0"/>
                <w:sz w:val="17"/>
              </w:rPr>
              <w:t>3</w:t>
            </w:r>
          </w:p>
        </w:tc>
        <w:tc>
          <w:tcPr>
            <w:tcW w:type="dxa" w:w="397"/>
          </w:tcPr>
          <w:p>
            <w:r/>
            <w:r>
              <w:rPr>
                <w:rFonts w:ascii="Arial" w:hAnsi="Arial" w:eastAsia="Arial"/>
                <w:b w:val="0"/>
                <w:i w:val="0"/>
                <w:sz w:val="17"/>
              </w:rPr>
              <w:t>3</w:t>
            </w:r>
          </w:p>
        </w:tc>
        <w:tc>
          <w:tcPr>
            <w:tcW w:type="dxa" w:w="794"/>
            <w:shd w:val="clear" w:color="auto" w:fill="FFF1C2"/>
          </w:tcPr>
          <w:p>
            <w:r/>
            <w:r>
              <w:rPr>
                <w:rFonts w:ascii="Arial" w:hAnsi="Arial" w:eastAsia="Arial"/>
                <w:b w:val="0"/>
                <w:i w:val="0"/>
                <w:sz w:val="17"/>
              </w:rPr>
              <w:t>9</w:t>
            </w:r>
          </w:p>
        </w:tc>
        <w:tc>
          <w:tcPr>
            <w:tcW w:type="dxa" w:w="2211"/>
          </w:tcPr>
          <w:p>
            <w:r/>
            <w:r>
              <w:rPr>
                <w:rFonts w:ascii="Arial" w:hAnsi="Arial" w:eastAsia="Arial"/>
                <w:b w:val="0"/>
                <w:i w:val="0"/>
                <w:sz w:val="17"/>
              </w:rPr>
              <w:t>Data latency above the cadence of a hazard; failed backup</w:t>
            </w:r>
          </w:p>
        </w:tc>
        <w:tc>
          <w:tcPr>
            <w:tcW w:type="dxa" w:w="3231"/>
          </w:tcPr>
          <w:p>
            <w:r/>
            <w:r>
              <w:rPr>
                <w:rFonts w:ascii="Arial" w:hAnsi="Arial" w:eastAsia="Arial"/>
                <w:b w:val="0"/>
                <w:i w:val="0"/>
                <w:sz w:val="17"/>
              </w:rPr>
              <w:t>Redundant server and storage; offline copy of the surrogate at each operator; access control and updates</w:t>
            </w:r>
          </w:p>
        </w:tc>
        <w:tc>
          <w:tcPr>
            <w:tcW w:type="dxa" w:w="2608"/>
          </w:tcPr>
          <w:p>
            <w:r/>
            <w:r>
              <w:rPr>
                <w:rFonts w:ascii="Arial" w:hAnsi="Arial" w:eastAsia="Arial"/>
                <w:b w:val="0"/>
                <w:i w:val="0"/>
                <w:sz w:val="17"/>
              </w:rPr>
              <w:t>Manual bulletin from the last valid forecast with a wider margin; restore from backup</w:t>
            </w:r>
          </w:p>
        </w:tc>
        <w:tc>
          <w:tcPr>
            <w:tcW w:type="dxa" w:w="850"/>
          </w:tcPr>
          <w:p>
            <w:r/>
            <w:r>
              <w:rPr>
                <w:rFonts w:ascii="Arial" w:hAnsi="Arial" w:eastAsia="Arial"/>
                <w:b w:val="0"/>
                <w:i w:val="0"/>
                <w:sz w:val="17"/>
              </w:rPr>
              <w:t>WP5</w:t>
            </w:r>
          </w:p>
        </w:tc>
        <w:tc>
          <w:tcPr>
            <w:tcW w:type="dxa" w:w="1361"/>
            <w:shd w:val="clear" w:color="auto" w:fill="DCEFE3"/>
          </w:tcPr>
          <w:p>
            <w:r/>
            <w:r>
              <w:rPr>
                <w:rFonts w:ascii="Arial" w:hAnsi="Arial" w:eastAsia="Arial"/>
                <w:b w:val="0"/>
                <w:i w:val="0"/>
                <w:sz w:val="17"/>
              </w:rPr>
              <w:t>2×2 = 4</w:t>
            </w:r>
          </w:p>
        </w:tc>
      </w:tr>
    </w:tbl>
    <w:p>
      <w:pPr>
        <w:keepNext/>
        <w:spacing w:after="120" w:before="120"/>
      </w:pPr>
      <w:r>
        <w:rPr>
          <w:rFonts w:ascii="Arial" w:hAnsi="Arial" w:eastAsia="Arial"/>
          <w:b/>
          <w:i w:val="0"/>
          <w:color w:val="2E6DB4"/>
          <w:sz w:val="23"/>
        </w:rPr>
        <w:t>E. People, partners and budget</w:t>
      </w:r>
    </w:p>
    <w:tbl>
      <w:tblPr>
        <w:tblStyle w:val="TableGrid"/>
        <w:tblW w:type="auto" w:w="0"/>
        <w:jc w:val="center"/>
        <w:tblLayout w:type="fixed"/>
        <w:tblLook w:firstColumn="1" w:firstRow="1" w:lastColumn="0" w:lastRow="0" w:noHBand="0" w:noVBand="1" w:val="04A0"/>
        <w:tblLayout w:type="fixed"/>
      </w:tblPr>
      <w:tblGrid>
        <w:gridCol w:w="567"/>
        <w:gridCol w:w="2721"/>
        <w:gridCol w:w="397"/>
        <w:gridCol w:w="397"/>
        <w:gridCol w:w="794"/>
        <w:gridCol w:w="2211"/>
        <w:gridCol w:w="3231"/>
        <w:gridCol w:w="2608"/>
        <w:gridCol w:w="850"/>
        <w:gridCol w:w="1361"/>
      </w:tblGrid>
      <w:tr>
        <w:trPr>
          <w:cantSplit/>
          <w:tblHeader/>
        </w:trPr>
        <w:tc>
          <w:tcPr>
            <w:tcW w:type="dxa" w:w="567"/>
            <w:shd w:val="clear" w:color="auto" w:fill="1F3864"/>
          </w:tcPr>
          <w:p>
            <w:pPr>
              <w:keepNext/>
            </w:pPr>
            <w:r/>
            <w:r>
              <w:rPr>
                <w:rFonts w:ascii="Arial" w:hAnsi="Arial" w:eastAsia="Arial"/>
                <w:b/>
                <w:i w:val="0"/>
                <w:color w:val="FFFFFF"/>
                <w:sz w:val="17"/>
              </w:rPr>
              <w:t>ID</w:t>
            </w:r>
          </w:p>
        </w:tc>
        <w:tc>
          <w:tcPr>
            <w:tcW w:type="dxa" w:w="2721"/>
            <w:shd w:val="clear" w:color="auto" w:fill="1F3864"/>
          </w:tcPr>
          <w:p>
            <w:pPr>
              <w:keepNext/>
            </w:pPr>
            <w:r/>
            <w:r>
              <w:rPr>
                <w:rFonts w:ascii="Arial" w:hAnsi="Arial" w:eastAsia="Arial"/>
                <w:b/>
                <w:i w:val="0"/>
                <w:color w:val="FFFFFF"/>
                <w:sz w:val="17"/>
              </w:rPr>
              <w:t>Risk and consequence</w:t>
            </w:r>
          </w:p>
        </w:tc>
        <w:tc>
          <w:tcPr>
            <w:tcW w:type="dxa" w:w="397"/>
            <w:shd w:val="clear" w:color="auto" w:fill="1F3864"/>
          </w:tcPr>
          <w:p>
            <w:pPr>
              <w:keepNext/>
            </w:pPr>
            <w:r/>
            <w:r>
              <w:rPr>
                <w:rFonts w:ascii="Arial" w:hAnsi="Arial" w:eastAsia="Arial"/>
                <w:b/>
                <w:i w:val="0"/>
                <w:color w:val="FFFFFF"/>
                <w:sz w:val="17"/>
              </w:rPr>
              <w:t>L</w:t>
            </w:r>
          </w:p>
        </w:tc>
        <w:tc>
          <w:tcPr>
            <w:tcW w:type="dxa" w:w="397"/>
            <w:shd w:val="clear" w:color="auto" w:fill="1F3864"/>
          </w:tcPr>
          <w:p>
            <w:pPr>
              <w:keepNext/>
            </w:pPr>
            <w:r/>
            <w:r>
              <w:rPr>
                <w:rFonts w:ascii="Arial" w:hAnsi="Arial" w:eastAsia="Arial"/>
                <w:b/>
                <w:i w:val="0"/>
                <w:color w:val="FFFFFF"/>
                <w:sz w:val="17"/>
              </w:rPr>
              <w:t>I</w:t>
            </w:r>
          </w:p>
        </w:tc>
        <w:tc>
          <w:tcPr>
            <w:tcW w:type="dxa" w:w="794"/>
            <w:shd w:val="clear" w:color="auto" w:fill="1F3864"/>
          </w:tcPr>
          <w:p>
            <w:pPr>
              <w:keepNext/>
            </w:pPr>
            <w:r/>
            <w:r>
              <w:rPr>
                <w:rFonts w:ascii="Arial" w:hAnsi="Arial" w:eastAsia="Arial"/>
                <w:b/>
                <w:i w:val="0"/>
                <w:color w:val="FFFFFF"/>
                <w:sz w:val="17"/>
              </w:rPr>
              <w:t>Score</w:t>
            </w:r>
          </w:p>
        </w:tc>
        <w:tc>
          <w:tcPr>
            <w:tcW w:type="dxa" w:w="2211"/>
            <w:shd w:val="clear" w:color="auto" w:fill="1F3864"/>
          </w:tcPr>
          <w:p>
            <w:pPr>
              <w:keepNext/>
            </w:pPr>
            <w:r/>
            <w:r>
              <w:rPr>
                <w:rFonts w:ascii="Arial" w:hAnsi="Arial" w:eastAsia="Arial"/>
                <w:b/>
                <w:i w:val="0"/>
                <w:color w:val="FFFFFF"/>
                <w:sz w:val="17"/>
              </w:rPr>
              <w:t>Early-warning indicator (trigger)</w:t>
            </w:r>
          </w:p>
        </w:tc>
        <w:tc>
          <w:tcPr>
            <w:tcW w:type="dxa" w:w="3231"/>
            <w:shd w:val="clear" w:color="auto" w:fill="1F3864"/>
          </w:tcPr>
          <w:p>
            <w:pPr>
              <w:keepNext/>
            </w:pPr>
            <w:r/>
            <w:r>
              <w:rPr>
                <w:rFonts w:ascii="Arial" w:hAnsi="Arial" w:eastAsia="Arial"/>
                <w:b/>
                <w:i w:val="0"/>
                <w:color w:val="FFFFFF"/>
                <w:sz w:val="17"/>
              </w:rPr>
              <w:t>Mitigation (in advance)</w:t>
            </w:r>
          </w:p>
        </w:tc>
        <w:tc>
          <w:tcPr>
            <w:tcW w:type="dxa" w:w="2608"/>
            <w:shd w:val="clear" w:color="auto" w:fill="1F3864"/>
          </w:tcPr>
          <w:p>
            <w:pPr>
              <w:keepNext/>
            </w:pPr>
            <w:r/>
            <w:r>
              <w:rPr>
                <w:rFonts w:ascii="Arial" w:hAnsi="Arial" w:eastAsia="Arial"/>
                <w:b/>
                <w:i w:val="0"/>
                <w:color w:val="FFFFFF"/>
                <w:sz w:val="17"/>
              </w:rPr>
              <w:t>Contingency (if it occurs)</w:t>
            </w:r>
          </w:p>
        </w:tc>
        <w:tc>
          <w:tcPr>
            <w:tcW w:type="dxa" w:w="850"/>
            <w:shd w:val="clear" w:color="auto" w:fill="1F3864"/>
          </w:tcPr>
          <w:p>
            <w:pPr>
              <w:keepNext/>
            </w:pPr>
            <w:r/>
            <w:r>
              <w:rPr>
                <w:rFonts w:ascii="Arial" w:hAnsi="Arial" w:eastAsia="Arial"/>
                <w:b/>
                <w:i w:val="0"/>
                <w:color w:val="FFFFFF"/>
                <w:sz w:val="17"/>
              </w:rPr>
              <w:t>Owner</w:t>
            </w:r>
          </w:p>
        </w:tc>
        <w:tc>
          <w:tcPr>
            <w:tcW w:type="dxa" w:w="1361"/>
            <w:shd w:val="clear" w:color="auto" w:fill="1F3864"/>
          </w:tcPr>
          <w:p>
            <w:pPr>
              <w:keepNext/>
            </w:pPr>
            <w:r/>
            <w:r>
              <w:rPr>
                <w:rFonts w:ascii="Arial" w:hAnsi="Arial" w:eastAsia="Arial"/>
                <w:b/>
                <w:i w:val="0"/>
                <w:color w:val="FFFFFF"/>
                <w:sz w:val="17"/>
              </w:rPr>
              <w:t>Residual</w:t>
            </w:r>
          </w:p>
        </w:tc>
      </w:tr>
      <w:tr>
        <w:trPr>
          <w:cantSplit/>
        </w:trPr>
        <w:tc>
          <w:tcPr>
            <w:tcW w:type="dxa" w:w="567"/>
          </w:tcPr>
          <w:p>
            <w:pPr>
              <w:keepNext/>
            </w:pPr>
            <w:r/>
            <w:r>
              <w:rPr>
                <w:rFonts w:ascii="Arial" w:hAnsi="Arial" w:eastAsia="Arial"/>
                <w:b w:val="0"/>
                <w:i w:val="0"/>
                <w:sz w:val="17"/>
              </w:rPr>
              <w:t>R18</w:t>
            </w:r>
          </w:p>
        </w:tc>
        <w:tc>
          <w:tcPr>
            <w:tcW w:type="dxa" w:w="2721"/>
          </w:tcPr>
          <w:p>
            <w:pPr>
              <w:keepNext/>
            </w:pPr>
            <w:r/>
            <w:r>
              <w:rPr>
                <w:rFonts w:ascii="Arial" w:hAnsi="Arial" w:eastAsia="Arial"/>
                <w:b w:val="0"/>
                <w:i w:val="0"/>
                <w:sz w:val="17"/>
              </w:rPr>
              <w:t>Loss of key researchers or of trained operator staff</w:t>
            </w:r>
          </w:p>
        </w:tc>
        <w:tc>
          <w:tcPr>
            <w:tcW w:type="dxa" w:w="397"/>
          </w:tcPr>
          <w:p>
            <w:pPr>
              <w:keepNext/>
            </w:pPr>
            <w:r/>
            <w:r>
              <w:rPr>
                <w:rFonts w:ascii="Arial" w:hAnsi="Arial" w:eastAsia="Arial"/>
                <w:b w:val="0"/>
                <w:i w:val="0"/>
                <w:sz w:val="17"/>
              </w:rPr>
              <w:t>3</w:t>
            </w:r>
          </w:p>
        </w:tc>
        <w:tc>
          <w:tcPr>
            <w:tcW w:type="dxa" w:w="397"/>
          </w:tcPr>
          <w:p>
            <w:pPr>
              <w:keepNext/>
            </w:pPr>
            <w:r/>
            <w:r>
              <w:rPr>
                <w:rFonts w:ascii="Arial" w:hAnsi="Arial" w:eastAsia="Arial"/>
                <w:b w:val="0"/>
                <w:i w:val="0"/>
                <w:sz w:val="17"/>
              </w:rPr>
              <w:t>3</w:t>
            </w:r>
          </w:p>
        </w:tc>
        <w:tc>
          <w:tcPr>
            <w:tcW w:type="dxa" w:w="794"/>
            <w:shd w:val="clear" w:color="auto" w:fill="FFF1C2"/>
          </w:tcPr>
          <w:p>
            <w:pPr>
              <w:keepNext/>
            </w:pPr>
            <w:r/>
            <w:r>
              <w:rPr>
                <w:rFonts w:ascii="Arial" w:hAnsi="Arial" w:eastAsia="Arial"/>
                <w:b w:val="0"/>
                <w:i w:val="0"/>
                <w:sz w:val="17"/>
              </w:rPr>
              <w:t>9</w:t>
            </w:r>
          </w:p>
        </w:tc>
        <w:tc>
          <w:tcPr>
            <w:tcW w:type="dxa" w:w="2211"/>
          </w:tcPr>
          <w:p>
            <w:pPr>
              <w:keepNext/>
            </w:pPr>
            <w:r/>
            <w:r>
              <w:rPr>
                <w:rFonts w:ascii="Arial" w:hAnsi="Arial" w:eastAsia="Arial"/>
                <w:b w:val="0"/>
                <w:i w:val="0"/>
                <w:sz w:val="17"/>
              </w:rPr>
              <w:t>Fewer than two trained people per operator; departure of a WP lead</w:t>
            </w:r>
          </w:p>
        </w:tc>
        <w:tc>
          <w:tcPr>
            <w:tcW w:type="dxa" w:w="3231"/>
          </w:tcPr>
          <w:p>
            <w:pPr>
              <w:keepNext/>
            </w:pPr>
            <w:r/>
            <w:r>
              <w:rPr>
                <w:rFonts w:ascii="Arial" w:hAnsi="Arial" w:eastAsia="Arial"/>
                <w:b w:val="0"/>
                <w:i w:val="0"/>
                <w:sz w:val="17"/>
              </w:rPr>
              <w:t>Several staff trained per operator; documented procedures and software; early-career researchers paired with seniors</w:t>
            </w:r>
          </w:p>
        </w:tc>
        <w:tc>
          <w:tcPr>
            <w:tcW w:type="dxa" w:w="2608"/>
          </w:tcPr>
          <w:p>
            <w:pPr>
              <w:keepNext/>
            </w:pPr>
            <w:r/>
            <w:r>
              <w:rPr>
                <w:rFonts w:ascii="Arial" w:hAnsi="Arial" w:eastAsia="Arial"/>
                <w:b w:val="0"/>
                <w:i w:val="0"/>
                <w:sz w:val="17"/>
              </w:rPr>
              <w:t>Reassign tasks within the consortium; extra training session</w:t>
            </w:r>
          </w:p>
        </w:tc>
        <w:tc>
          <w:tcPr>
            <w:tcW w:type="dxa" w:w="850"/>
          </w:tcPr>
          <w:p>
            <w:pPr>
              <w:keepNext/>
            </w:pPr>
            <w:r/>
            <w:r>
              <w:rPr>
                <w:rFonts w:ascii="Arial" w:hAnsi="Arial" w:eastAsia="Arial"/>
                <w:b w:val="0"/>
                <w:i w:val="0"/>
                <w:sz w:val="17"/>
              </w:rPr>
              <w:t>WP7</w:t>
            </w:r>
          </w:p>
        </w:tc>
        <w:tc>
          <w:tcPr>
            <w:tcW w:type="dxa" w:w="1361"/>
            <w:shd w:val="clear" w:color="auto" w:fill="DCEFE3"/>
          </w:tcPr>
          <w:p>
            <w:pPr>
              <w:keepNext/>
            </w:pPr>
            <w:r/>
            <w:r>
              <w:rPr>
                <w:rFonts w:ascii="Arial" w:hAnsi="Arial" w:eastAsia="Arial"/>
                <w:b w:val="0"/>
                <w:i w:val="0"/>
                <w:sz w:val="17"/>
              </w:rPr>
              <w:t>2×2 = 4</w:t>
            </w:r>
          </w:p>
        </w:tc>
      </w:tr>
      <w:tr>
        <w:trPr>
          <w:cantSplit/>
        </w:trPr>
        <w:tc>
          <w:tcPr>
            <w:tcW w:type="dxa" w:w="567"/>
          </w:tcPr>
          <w:p>
            <w:r/>
            <w:r>
              <w:rPr>
                <w:rFonts w:ascii="Arial" w:hAnsi="Arial" w:eastAsia="Arial"/>
                <w:b w:val="0"/>
                <w:i w:val="0"/>
                <w:sz w:val="17"/>
              </w:rPr>
              <w:t>R19</w:t>
            </w:r>
          </w:p>
        </w:tc>
        <w:tc>
          <w:tcPr>
            <w:tcW w:type="dxa" w:w="2721"/>
          </w:tcPr>
          <w:p>
            <w:r/>
            <w:r>
              <w:rPr>
                <w:rFonts w:ascii="Arial" w:hAnsi="Arial" w:eastAsia="Arial"/>
                <w:b w:val="0"/>
                <w:i w:val="0"/>
                <w:sz w:val="17"/>
              </w:rPr>
              <w:t>Equipment prices rise above the budget lines</w:t>
            </w:r>
          </w:p>
        </w:tc>
        <w:tc>
          <w:tcPr>
            <w:tcW w:type="dxa" w:w="397"/>
          </w:tcPr>
          <w:p>
            <w:r/>
            <w:r>
              <w:rPr>
                <w:rFonts w:ascii="Arial" w:hAnsi="Arial" w:eastAsia="Arial"/>
                <w:b w:val="0"/>
                <w:i w:val="0"/>
                <w:sz w:val="17"/>
              </w:rPr>
              <w:t>3</w:t>
            </w:r>
          </w:p>
        </w:tc>
        <w:tc>
          <w:tcPr>
            <w:tcW w:type="dxa" w:w="397"/>
          </w:tcPr>
          <w:p>
            <w:r/>
            <w:r>
              <w:rPr>
                <w:rFonts w:ascii="Arial" w:hAnsi="Arial" w:eastAsia="Arial"/>
                <w:b w:val="0"/>
                <w:i w:val="0"/>
                <w:sz w:val="17"/>
              </w:rPr>
              <w:t>3</w:t>
            </w:r>
          </w:p>
        </w:tc>
        <w:tc>
          <w:tcPr>
            <w:tcW w:type="dxa" w:w="794"/>
            <w:shd w:val="clear" w:color="auto" w:fill="FFF1C2"/>
          </w:tcPr>
          <w:p>
            <w:r/>
            <w:r>
              <w:rPr>
                <w:rFonts w:ascii="Arial" w:hAnsi="Arial" w:eastAsia="Arial"/>
                <w:b w:val="0"/>
                <w:i w:val="0"/>
                <w:sz w:val="17"/>
              </w:rPr>
              <w:t>9</w:t>
            </w:r>
          </w:p>
        </w:tc>
        <w:tc>
          <w:tcPr>
            <w:tcW w:type="dxa" w:w="2211"/>
          </w:tcPr>
          <w:p>
            <w:r/>
            <w:r>
              <w:rPr>
                <w:rFonts w:ascii="Arial" w:hAnsi="Arial" w:eastAsia="Arial"/>
                <w:b w:val="0"/>
                <w:i w:val="0"/>
                <w:sz w:val="17"/>
              </w:rPr>
              <w:t>Quotes more than 10% above the budget line</w:t>
            </w:r>
          </w:p>
        </w:tc>
        <w:tc>
          <w:tcPr>
            <w:tcW w:type="dxa" w:w="3231"/>
          </w:tcPr>
          <w:p>
            <w:r/>
            <w:r>
              <w:rPr>
                <w:rFonts w:ascii="Arial" w:hAnsi="Arial" w:eastAsia="Arial"/>
                <w:b w:val="0"/>
                <w:i w:val="0"/>
                <w:sz w:val="17"/>
              </w:rPr>
              <w:t>Quotes at proposal stage; prices fixed at order; network design ranked by value per cost</w:t>
            </w:r>
          </w:p>
        </w:tc>
        <w:tc>
          <w:tcPr>
            <w:tcW w:type="dxa" w:w="2608"/>
          </w:tcPr>
          <w:p>
            <w:r/>
            <w:r>
              <w:rPr>
                <w:rFonts w:ascii="Arial" w:hAnsi="Arial" w:eastAsia="Arial"/>
                <w:b w:val="0"/>
                <w:i w:val="0"/>
                <w:sz w:val="17"/>
              </w:rPr>
              <w:t>Drop the lowest-value sensors first (D4.1 ranking); report to the steering committee</w:t>
            </w:r>
          </w:p>
        </w:tc>
        <w:tc>
          <w:tcPr>
            <w:tcW w:type="dxa" w:w="850"/>
          </w:tcPr>
          <w:p>
            <w:r/>
            <w:r>
              <w:rPr>
                <w:rFonts w:ascii="Arial" w:hAnsi="Arial" w:eastAsia="Arial"/>
                <w:b w:val="0"/>
                <w:i w:val="0"/>
                <w:sz w:val="17"/>
              </w:rPr>
              <w:t>WP7</w:t>
            </w:r>
          </w:p>
        </w:tc>
        <w:tc>
          <w:tcPr>
            <w:tcW w:type="dxa" w:w="1361"/>
            <w:shd w:val="clear" w:color="auto" w:fill="DCEFE3"/>
          </w:tcPr>
          <w:p>
            <w:r/>
            <w:r>
              <w:rPr>
                <w:rFonts w:ascii="Arial" w:hAnsi="Arial" w:eastAsia="Arial"/>
                <w:b w:val="0"/>
                <w:i w:val="0"/>
                <w:sz w:val="17"/>
              </w:rPr>
              <w:t>2×2 = 4</w:t>
            </w:r>
          </w:p>
        </w:tc>
      </w:tr>
    </w:tbl>
    <w:p>
      <w:pPr>
        <w:keepNext/>
        <w:spacing w:after="120" w:before="120"/>
      </w:pPr>
      <w:r>
        <w:rPr>
          <w:rFonts w:ascii="Arial" w:hAnsi="Arial" w:eastAsia="Arial"/>
          <w:b/>
          <w:i w:val="0"/>
          <w:color w:val="2E6DB4"/>
          <w:sz w:val="23"/>
        </w:rPr>
        <w:t>F. Security of information</w:t>
      </w:r>
    </w:p>
    <w:tbl>
      <w:tblPr>
        <w:tblStyle w:val="TableGrid"/>
        <w:tblW w:type="auto" w:w="0"/>
        <w:jc w:val="center"/>
        <w:tblLayout w:type="fixed"/>
        <w:tblLook w:firstColumn="1" w:firstRow="1" w:lastColumn="0" w:lastRow="0" w:noHBand="0" w:noVBand="1" w:val="04A0"/>
        <w:tblLayout w:type="fixed"/>
      </w:tblPr>
      <w:tblGrid>
        <w:gridCol w:w="567"/>
        <w:gridCol w:w="2721"/>
        <w:gridCol w:w="397"/>
        <w:gridCol w:w="397"/>
        <w:gridCol w:w="794"/>
        <w:gridCol w:w="2211"/>
        <w:gridCol w:w="3231"/>
        <w:gridCol w:w="2608"/>
        <w:gridCol w:w="850"/>
        <w:gridCol w:w="1361"/>
      </w:tblGrid>
      <w:tr>
        <w:trPr>
          <w:cantSplit/>
          <w:tblHeader/>
        </w:trPr>
        <w:tc>
          <w:tcPr>
            <w:tcW w:type="dxa" w:w="567"/>
            <w:shd w:val="clear" w:color="auto" w:fill="1F3864"/>
          </w:tcPr>
          <w:p>
            <w:pPr>
              <w:keepNext/>
            </w:pPr>
            <w:r/>
            <w:r>
              <w:rPr>
                <w:rFonts w:ascii="Arial" w:hAnsi="Arial" w:eastAsia="Arial"/>
                <w:b/>
                <w:i w:val="0"/>
                <w:color w:val="FFFFFF"/>
                <w:sz w:val="17"/>
              </w:rPr>
              <w:t>ID</w:t>
            </w:r>
          </w:p>
        </w:tc>
        <w:tc>
          <w:tcPr>
            <w:tcW w:type="dxa" w:w="2721"/>
            <w:shd w:val="clear" w:color="auto" w:fill="1F3864"/>
          </w:tcPr>
          <w:p>
            <w:pPr>
              <w:keepNext/>
            </w:pPr>
            <w:r/>
            <w:r>
              <w:rPr>
                <w:rFonts w:ascii="Arial" w:hAnsi="Arial" w:eastAsia="Arial"/>
                <w:b/>
                <w:i w:val="0"/>
                <w:color w:val="FFFFFF"/>
                <w:sz w:val="17"/>
              </w:rPr>
              <w:t>Risk and consequence</w:t>
            </w:r>
          </w:p>
        </w:tc>
        <w:tc>
          <w:tcPr>
            <w:tcW w:type="dxa" w:w="397"/>
            <w:shd w:val="clear" w:color="auto" w:fill="1F3864"/>
          </w:tcPr>
          <w:p>
            <w:pPr>
              <w:keepNext/>
            </w:pPr>
            <w:r/>
            <w:r>
              <w:rPr>
                <w:rFonts w:ascii="Arial" w:hAnsi="Arial" w:eastAsia="Arial"/>
                <w:b/>
                <w:i w:val="0"/>
                <w:color w:val="FFFFFF"/>
                <w:sz w:val="17"/>
              </w:rPr>
              <w:t>L</w:t>
            </w:r>
          </w:p>
        </w:tc>
        <w:tc>
          <w:tcPr>
            <w:tcW w:type="dxa" w:w="397"/>
            <w:shd w:val="clear" w:color="auto" w:fill="1F3864"/>
          </w:tcPr>
          <w:p>
            <w:pPr>
              <w:keepNext/>
            </w:pPr>
            <w:r/>
            <w:r>
              <w:rPr>
                <w:rFonts w:ascii="Arial" w:hAnsi="Arial" w:eastAsia="Arial"/>
                <w:b/>
                <w:i w:val="0"/>
                <w:color w:val="FFFFFF"/>
                <w:sz w:val="17"/>
              </w:rPr>
              <w:t>I</w:t>
            </w:r>
          </w:p>
        </w:tc>
        <w:tc>
          <w:tcPr>
            <w:tcW w:type="dxa" w:w="794"/>
            <w:shd w:val="clear" w:color="auto" w:fill="1F3864"/>
          </w:tcPr>
          <w:p>
            <w:pPr>
              <w:keepNext/>
            </w:pPr>
            <w:r/>
            <w:r>
              <w:rPr>
                <w:rFonts w:ascii="Arial" w:hAnsi="Arial" w:eastAsia="Arial"/>
                <w:b/>
                <w:i w:val="0"/>
                <w:color w:val="FFFFFF"/>
                <w:sz w:val="17"/>
              </w:rPr>
              <w:t>Score</w:t>
            </w:r>
          </w:p>
        </w:tc>
        <w:tc>
          <w:tcPr>
            <w:tcW w:type="dxa" w:w="2211"/>
            <w:shd w:val="clear" w:color="auto" w:fill="1F3864"/>
          </w:tcPr>
          <w:p>
            <w:pPr>
              <w:keepNext/>
            </w:pPr>
            <w:r/>
            <w:r>
              <w:rPr>
                <w:rFonts w:ascii="Arial" w:hAnsi="Arial" w:eastAsia="Arial"/>
                <w:b/>
                <w:i w:val="0"/>
                <w:color w:val="FFFFFF"/>
                <w:sz w:val="17"/>
              </w:rPr>
              <w:t>Early-warning indicator (trigger)</w:t>
            </w:r>
          </w:p>
        </w:tc>
        <w:tc>
          <w:tcPr>
            <w:tcW w:type="dxa" w:w="3231"/>
            <w:shd w:val="clear" w:color="auto" w:fill="1F3864"/>
          </w:tcPr>
          <w:p>
            <w:pPr>
              <w:keepNext/>
            </w:pPr>
            <w:r/>
            <w:r>
              <w:rPr>
                <w:rFonts w:ascii="Arial" w:hAnsi="Arial" w:eastAsia="Arial"/>
                <w:b/>
                <w:i w:val="0"/>
                <w:color w:val="FFFFFF"/>
                <w:sz w:val="17"/>
              </w:rPr>
              <w:t>Mitigation (in advance)</w:t>
            </w:r>
          </w:p>
        </w:tc>
        <w:tc>
          <w:tcPr>
            <w:tcW w:type="dxa" w:w="2608"/>
            <w:shd w:val="clear" w:color="auto" w:fill="1F3864"/>
          </w:tcPr>
          <w:p>
            <w:pPr>
              <w:keepNext/>
            </w:pPr>
            <w:r/>
            <w:r>
              <w:rPr>
                <w:rFonts w:ascii="Arial" w:hAnsi="Arial" w:eastAsia="Arial"/>
                <w:b/>
                <w:i w:val="0"/>
                <w:color w:val="FFFFFF"/>
                <w:sz w:val="17"/>
              </w:rPr>
              <w:t>Contingency (if it occurs)</w:t>
            </w:r>
          </w:p>
        </w:tc>
        <w:tc>
          <w:tcPr>
            <w:tcW w:type="dxa" w:w="850"/>
            <w:shd w:val="clear" w:color="auto" w:fill="1F3864"/>
          </w:tcPr>
          <w:p>
            <w:pPr>
              <w:keepNext/>
            </w:pPr>
            <w:r/>
            <w:r>
              <w:rPr>
                <w:rFonts w:ascii="Arial" w:hAnsi="Arial" w:eastAsia="Arial"/>
                <w:b/>
                <w:i w:val="0"/>
                <w:color w:val="FFFFFF"/>
                <w:sz w:val="17"/>
              </w:rPr>
              <w:t>Owner</w:t>
            </w:r>
          </w:p>
        </w:tc>
        <w:tc>
          <w:tcPr>
            <w:tcW w:type="dxa" w:w="1361"/>
            <w:shd w:val="clear" w:color="auto" w:fill="1F3864"/>
          </w:tcPr>
          <w:p>
            <w:pPr>
              <w:keepNext/>
            </w:pPr>
            <w:r/>
            <w:r>
              <w:rPr>
                <w:rFonts w:ascii="Arial" w:hAnsi="Arial" w:eastAsia="Arial"/>
                <w:b/>
                <w:i w:val="0"/>
                <w:color w:val="FFFFFF"/>
                <w:sz w:val="17"/>
              </w:rPr>
              <w:t>Residual</w:t>
            </w:r>
          </w:p>
        </w:tc>
      </w:tr>
      <w:tr>
        <w:trPr>
          <w:cantSplit/>
        </w:trPr>
        <w:tc>
          <w:tcPr>
            <w:tcW w:type="dxa" w:w="567"/>
          </w:tcPr>
          <w:p>
            <w:r/>
            <w:r>
              <w:rPr>
                <w:rFonts w:ascii="Arial" w:hAnsi="Arial" w:eastAsia="Arial"/>
                <w:b w:val="0"/>
                <w:i w:val="0"/>
                <w:sz w:val="17"/>
              </w:rPr>
              <w:t>R20</w:t>
            </w:r>
          </w:p>
        </w:tc>
        <w:tc>
          <w:tcPr>
            <w:tcW w:type="dxa" w:w="2721"/>
          </w:tcPr>
          <w:p>
            <w:r/>
            <w:r>
              <w:rPr>
                <w:rFonts w:ascii="Arial" w:hAnsi="Arial" w:eastAsia="Arial"/>
                <w:b w:val="0"/>
                <w:i w:val="0"/>
                <w:sz w:val="17"/>
              </w:rPr>
              <w:t>Sensitive information on critical-infrastructure vulnerability is disclosed through open data or publications</w:t>
            </w:r>
          </w:p>
        </w:tc>
        <w:tc>
          <w:tcPr>
            <w:tcW w:type="dxa" w:w="397"/>
          </w:tcPr>
          <w:p>
            <w:r/>
            <w:r>
              <w:rPr>
                <w:rFonts w:ascii="Arial" w:hAnsi="Arial" w:eastAsia="Arial"/>
                <w:b w:val="0"/>
                <w:i w:val="0"/>
                <w:sz w:val="17"/>
              </w:rPr>
              <w:t>3</w:t>
            </w:r>
          </w:p>
        </w:tc>
        <w:tc>
          <w:tcPr>
            <w:tcW w:type="dxa" w:w="397"/>
          </w:tcPr>
          <w:p>
            <w:r/>
            <w:r>
              <w:rPr>
                <w:rFonts w:ascii="Arial" w:hAnsi="Arial" w:eastAsia="Arial"/>
                <w:b w:val="0"/>
                <w:i w:val="0"/>
                <w:sz w:val="17"/>
              </w:rPr>
              <w:t>5</w:t>
            </w:r>
          </w:p>
        </w:tc>
        <w:tc>
          <w:tcPr>
            <w:tcW w:type="dxa" w:w="794"/>
            <w:shd w:val="clear" w:color="auto" w:fill="F2B8B5"/>
          </w:tcPr>
          <w:p>
            <w:r/>
            <w:r>
              <w:rPr>
                <w:rFonts w:ascii="Arial" w:hAnsi="Arial" w:eastAsia="Arial"/>
                <w:b w:val="0"/>
                <w:i w:val="0"/>
                <w:sz w:val="17"/>
              </w:rPr>
              <w:t>15</w:t>
            </w:r>
          </w:p>
        </w:tc>
        <w:tc>
          <w:tcPr>
            <w:tcW w:type="dxa" w:w="2211"/>
          </w:tcPr>
          <w:p>
            <w:r/>
            <w:r>
              <w:rPr>
                <w:rFonts w:ascii="Arial" w:hAnsi="Arial" w:eastAsia="Arial"/>
                <w:b w:val="0"/>
                <w:i w:val="0"/>
                <w:sz w:val="17"/>
              </w:rPr>
              <w:t>A planned release contains asset-level vulnerability results</w:t>
            </w:r>
          </w:p>
        </w:tc>
        <w:tc>
          <w:tcPr>
            <w:tcW w:type="dxa" w:w="3231"/>
          </w:tcPr>
          <w:p>
            <w:r/>
            <w:r>
              <w:rPr>
                <w:rFonts w:ascii="Arial" w:hAnsi="Arial" w:eastAsia="Arial"/>
                <w:b w:val="0"/>
                <w:i w:val="0"/>
                <w:sz w:val="17"/>
              </w:rPr>
              <w:t>Data classification in the data plan (T7.2); asset-level results shared only with operators and authorities; open release of methods, code and non-sensitive aggregated data; operators review publications before submission</w:t>
            </w:r>
          </w:p>
        </w:tc>
        <w:tc>
          <w:tcPr>
            <w:tcW w:type="dxa" w:w="2608"/>
          </w:tcPr>
          <w:p>
            <w:r/>
            <w:r>
              <w:rPr>
                <w:rFonts w:ascii="Arial" w:hAnsi="Arial" w:eastAsia="Arial"/>
                <w:b w:val="0"/>
                <w:i w:val="0"/>
                <w:sz w:val="17"/>
              </w:rPr>
              <w:t>Withdraw or redact the release; notify the operators; review the data plan</w:t>
            </w:r>
          </w:p>
        </w:tc>
        <w:tc>
          <w:tcPr>
            <w:tcW w:type="dxa" w:w="850"/>
          </w:tcPr>
          <w:p>
            <w:r/>
            <w:r>
              <w:rPr>
                <w:rFonts w:ascii="Arial" w:hAnsi="Arial" w:eastAsia="Arial"/>
                <w:b w:val="0"/>
                <w:i w:val="0"/>
                <w:sz w:val="17"/>
              </w:rPr>
              <w:t>WP7</w:t>
            </w:r>
          </w:p>
        </w:tc>
        <w:tc>
          <w:tcPr>
            <w:tcW w:type="dxa" w:w="1361"/>
            <w:shd w:val="clear" w:color="auto" w:fill="DCEFE3"/>
          </w:tcPr>
          <w:p>
            <w:r/>
            <w:r>
              <w:rPr>
                <w:rFonts w:ascii="Arial" w:hAnsi="Arial" w:eastAsia="Arial"/>
                <w:b w:val="0"/>
                <w:i w:val="0"/>
                <w:sz w:val="17"/>
              </w:rPr>
              <w:t>1×4 = 4</w:t>
            </w:r>
          </w:p>
        </w:tc>
      </w:tr>
    </w:tbl>
    <w:p>
      <w:pPr>
        <w:keepNext/>
        <w:spacing w:after="120" w:before="120"/>
      </w:pPr>
      <w:r>
        <w:rPr>
          <w:rFonts w:ascii="Arial" w:hAnsi="Arial" w:eastAsia="Arial"/>
          <w:b/>
          <w:i w:val="0"/>
          <w:color w:val="2E6DB4"/>
          <w:sz w:val="23"/>
        </w:rPr>
        <w:t>G. External events</w:t>
      </w:r>
    </w:p>
    <w:tbl>
      <w:tblPr>
        <w:tblStyle w:val="TableGrid"/>
        <w:tblW w:type="auto" w:w="0"/>
        <w:jc w:val="center"/>
        <w:tblLayout w:type="fixed"/>
        <w:tblLook w:firstColumn="1" w:firstRow="1" w:lastColumn="0" w:lastRow="0" w:noHBand="0" w:noVBand="1" w:val="04A0"/>
        <w:tblLayout w:type="fixed"/>
      </w:tblPr>
      <w:tblGrid>
        <w:gridCol w:w="567"/>
        <w:gridCol w:w="2721"/>
        <w:gridCol w:w="397"/>
        <w:gridCol w:w="397"/>
        <w:gridCol w:w="794"/>
        <w:gridCol w:w="2211"/>
        <w:gridCol w:w="3231"/>
        <w:gridCol w:w="2608"/>
        <w:gridCol w:w="850"/>
        <w:gridCol w:w="1361"/>
      </w:tblGrid>
      <w:tr>
        <w:trPr>
          <w:cantSplit/>
          <w:tblHeader/>
        </w:trPr>
        <w:tc>
          <w:tcPr>
            <w:tcW w:type="dxa" w:w="567"/>
            <w:shd w:val="clear" w:color="auto" w:fill="1F3864"/>
          </w:tcPr>
          <w:p>
            <w:pPr>
              <w:keepNext/>
            </w:pPr>
            <w:r/>
            <w:r>
              <w:rPr>
                <w:rFonts w:ascii="Arial" w:hAnsi="Arial" w:eastAsia="Arial"/>
                <w:b/>
                <w:i w:val="0"/>
                <w:color w:val="FFFFFF"/>
                <w:sz w:val="17"/>
              </w:rPr>
              <w:t>ID</w:t>
            </w:r>
          </w:p>
        </w:tc>
        <w:tc>
          <w:tcPr>
            <w:tcW w:type="dxa" w:w="2721"/>
            <w:shd w:val="clear" w:color="auto" w:fill="1F3864"/>
          </w:tcPr>
          <w:p>
            <w:pPr>
              <w:keepNext/>
            </w:pPr>
            <w:r/>
            <w:r>
              <w:rPr>
                <w:rFonts w:ascii="Arial" w:hAnsi="Arial" w:eastAsia="Arial"/>
                <w:b/>
                <w:i w:val="0"/>
                <w:color w:val="FFFFFF"/>
                <w:sz w:val="17"/>
              </w:rPr>
              <w:t>Risk and consequence</w:t>
            </w:r>
          </w:p>
        </w:tc>
        <w:tc>
          <w:tcPr>
            <w:tcW w:type="dxa" w:w="397"/>
            <w:shd w:val="clear" w:color="auto" w:fill="1F3864"/>
          </w:tcPr>
          <w:p>
            <w:pPr>
              <w:keepNext/>
            </w:pPr>
            <w:r/>
            <w:r>
              <w:rPr>
                <w:rFonts w:ascii="Arial" w:hAnsi="Arial" w:eastAsia="Arial"/>
                <w:b/>
                <w:i w:val="0"/>
                <w:color w:val="FFFFFF"/>
                <w:sz w:val="17"/>
              </w:rPr>
              <w:t>L</w:t>
            </w:r>
          </w:p>
        </w:tc>
        <w:tc>
          <w:tcPr>
            <w:tcW w:type="dxa" w:w="397"/>
            <w:shd w:val="clear" w:color="auto" w:fill="1F3864"/>
          </w:tcPr>
          <w:p>
            <w:pPr>
              <w:keepNext/>
            </w:pPr>
            <w:r/>
            <w:r>
              <w:rPr>
                <w:rFonts w:ascii="Arial" w:hAnsi="Arial" w:eastAsia="Arial"/>
                <w:b/>
                <w:i w:val="0"/>
                <w:color w:val="FFFFFF"/>
                <w:sz w:val="17"/>
              </w:rPr>
              <w:t>I</w:t>
            </w:r>
          </w:p>
        </w:tc>
        <w:tc>
          <w:tcPr>
            <w:tcW w:type="dxa" w:w="794"/>
            <w:shd w:val="clear" w:color="auto" w:fill="1F3864"/>
          </w:tcPr>
          <w:p>
            <w:pPr>
              <w:keepNext/>
            </w:pPr>
            <w:r/>
            <w:r>
              <w:rPr>
                <w:rFonts w:ascii="Arial" w:hAnsi="Arial" w:eastAsia="Arial"/>
                <w:b/>
                <w:i w:val="0"/>
                <w:color w:val="FFFFFF"/>
                <w:sz w:val="17"/>
              </w:rPr>
              <w:t>Score</w:t>
            </w:r>
          </w:p>
        </w:tc>
        <w:tc>
          <w:tcPr>
            <w:tcW w:type="dxa" w:w="2211"/>
            <w:shd w:val="clear" w:color="auto" w:fill="1F3864"/>
          </w:tcPr>
          <w:p>
            <w:pPr>
              <w:keepNext/>
            </w:pPr>
            <w:r/>
            <w:r>
              <w:rPr>
                <w:rFonts w:ascii="Arial" w:hAnsi="Arial" w:eastAsia="Arial"/>
                <w:b/>
                <w:i w:val="0"/>
                <w:color w:val="FFFFFF"/>
                <w:sz w:val="17"/>
              </w:rPr>
              <w:t>Early-warning indicator (trigger)</w:t>
            </w:r>
          </w:p>
        </w:tc>
        <w:tc>
          <w:tcPr>
            <w:tcW w:type="dxa" w:w="3231"/>
            <w:shd w:val="clear" w:color="auto" w:fill="1F3864"/>
          </w:tcPr>
          <w:p>
            <w:pPr>
              <w:keepNext/>
            </w:pPr>
            <w:r/>
            <w:r>
              <w:rPr>
                <w:rFonts w:ascii="Arial" w:hAnsi="Arial" w:eastAsia="Arial"/>
                <w:b/>
                <w:i w:val="0"/>
                <w:color w:val="FFFFFF"/>
                <w:sz w:val="17"/>
              </w:rPr>
              <w:t>Mitigation (in advance)</w:t>
            </w:r>
          </w:p>
        </w:tc>
        <w:tc>
          <w:tcPr>
            <w:tcW w:type="dxa" w:w="2608"/>
            <w:shd w:val="clear" w:color="auto" w:fill="1F3864"/>
          </w:tcPr>
          <w:p>
            <w:pPr>
              <w:keepNext/>
            </w:pPr>
            <w:r/>
            <w:r>
              <w:rPr>
                <w:rFonts w:ascii="Arial" w:hAnsi="Arial" w:eastAsia="Arial"/>
                <w:b/>
                <w:i w:val="0"/>
                <w:color w:val="FFFFFF"/>
                <w:sz w:val="17"/>
              </w:rPr>
              <w:t>Contingency (if it occurs)</w:t>
            </w:r>
          </w:p>
        </w:tc>
        <w:tc>
          <w:tcPr>
            <w:tcW w:type="dxa" w:w="850"/>
            <w:shd w:val="clear" w:color="auto" w:fill="1F3864"/>
          </w:tcPr>
          <w:p>
            <w:pPr>
              <w:keepNext/>
            </w:pPr>
            <w:r/>
            <w:r>
              <w:rPr>
                <w:rFonts w:ascii="Arial" w:hAnsi="Arial" w:eastAsia="Arial"/>
                <w:b/>
                <w:i w:val="0"/>
                <w:color w:val="FFFFFF"/>
                <w:sz w:val="17"/>
              </w:rPr>
              <w:t>Owner</w:t>
            </w:r>
          </w:p>
        </w:tc>
        <w:tc>
          <w:tcPr>
            <w:tcW w:type="dxa" w:w="1361"/>
            <w:shd w:val="clear" w:color="auto" w:fill="1F3864"/>
          </w:tcPr>
          <w:p>
            <w:pPr>
              <w:keepNext/>
            </w:pPr>
            <w:r/>
            <w:r>
              <w:rPr>
                <w:rFonts w:ascii="Arial" w:hAnsi="Arial" w:eastAsia="Arial"/>
                <w:b/>
                <w:i w:val="0"/>
                <w:color w:val="FFFFFF"/>
                <w:sz w:val="17"/>
              </w:rPr>
              <w:t>Residual</w:t>
            </w:r>
          </w:p>
        </w:tc>
      </w:tr>
      <w:tr>
        <w:trPr>
          <w:cantSplit/>
        </w:trPr>
        <w:tc>
          <w:tcPr>
            <w:tcW w:type="dxa" w:w="567"/>
          </w:tcPr>
          <w:p>
            <w:r/>
            <w:r>
              <w:rPr>
                <w:rFonts w:ascii="Arial" w:hAnsi="Arial" w:eastAsia="Arial"/>
                <w:b w:val="0"/>
                <w:i w:val="0"/>
                <w:sz w:val="17"/>
              </w:rPr>
              <w:t>R21</w:t>
            </w:r>
          </w:p>
        </w:tc>
        <w:tc>
          <w:tcPr>
            <w:tcW w:type="dxa" w:w="2721"/>
          </w:tcPr>
          <w:p>
            <w:r/>
            <w:r>
              <w:rPr>
                <w:rFonts w:ascii="Arial" w:hAnsi="Arial" w:eastAsia="Arial"/>
                <w:b w:val="0"/>
                <w:i w:val="0"/>
                <w:sz w:val="17"/>
              </w:rPr>
              <w:t>A strong earthquake or storm damages the network or disrupts the project</w:t>
            </w:r>
          </w:p>
        </w:tc>
        <w:tc>
          <w:tcPr>
            <w:tcW w:type="dxa" w:w="397"/>
          </w:tcPr>
          <w:p>
            <w:r/>
            <w:r>
              <w:rPr>
                <w:rFonts w:ascii="Arial" w:hAnsi="Arial" w:eastAsia="Arial"/>
                <w:b w:val="0"/>
                <w:i w:val="0"/>
                <w:sz w:val="17"/>
              </w:rPr>
              <w:t>2</w:t>
            </w:r>
          </w:p>
        </w:tc>
        <w:tc>
          <w:tcPr>
            <w:tcW w:type="dxa" w:w="397"/>
          </w:tcPr>
          <w:p>
            <w:r/>
            <w:r>
              <w:rPr>
                <w:rFonts w:ascii="Arial" w:hAnsi="Arial" w:eastAsia="Arial"/>
                <w:b w:val="0"/>
                <w:i w:val="0"/>
                <w:sz w:val="17"/>
              </w:rPr>
              <w:t>4</w:t>
            </w:r>
          </w:p>
        </w:tc>
        <w:tc>
          <w:tcPr>
            <w:tcW w:type="dxa" w:w="794"/>
            <w:shd w:val="clear" w:color="auto" w:fill="FFF1C2"/>
          </w:tcPr>
          <w:p>
            <w:r/>
            <w:r>
              <w:rPr>
                <w:rFonts w:ascii="Arial" w:hAnsi="Arial" w:eastAsia="Arial"/>
                <w:b w:val="0"/>
                <w:i w:val="0"/>
                <w:sz w:val="17"/>
              </w:rPr>
              <w:t>8</w:t>
            </w:r>
          </w:p>
        </w:tc>
        <w:tc>
          <w:tcPr>
            <w:tcW w:type="dxa" w:w="2211"/>
          </w:tcPr>
          <w:p>
            <w:r/>
            <w:r>
              <w:rPr>
                <w:rFonts w:ascii="Arial" w:hAnsi="Arial" w:eastAsia="Arial"/>
                <w:b w:val="0"/>
                <w:i w:val="0"/>
                <w:sz w:val="17"/>
              </w:rPr>
              <w:t>Event above the post-event triggers</w:t>
            </w:r>
          </w:p>
        </w:tc>
        <w:tc>
          <w:tcPr>
            <w:tcW w:type="dxa" w:w="3231"/>
          </w:tcPr>
          <w:p>
            <w:r/>
            <w:r>
              <w:rPr>
                <w:rFonts w:ascii="Arial" w:hAnsi="Arial" w:eastAsia="Arial"/>
                <w:b w:val="0"/>
                <w:i w:val="0"/>
                <w:sz w:val="17"/>
              </w:rPr>
              <w:t>Spare sensors; robust mounting; data stored off site; the post-event protocol (T5.4) turns the event into data</w:t>
            </w:r>
          </w:p>
        </w:tc>
        <w:tc>
          <w:tcPr>
            <w:tcW w:type="dxa" w:w="2608"/>
          </w:tcPr>
          <w:p>
            <w:r/>
            <w:r>
              <w:rPr>
                <w:rFonts w:ascii="Arial" w:hAnsi="Arial" w:eastAsia="Arial"/>
                <w:b w:val="0"/>
                <w:i w:val="0"/>
                <w:sz w:val="17"/>
              </w:rPr>
              <w:t>Re-plan the affected tasks; repair from spares; report to the SPS Programme</w:t>
            </w:r>
          </w:p>
        </w:tc>
        <w:tc>
          <w:tcPr>
            <w:tcW w:type="dxa" w:w="850"/>
          </w:tcPr>
          <w:p>
            <w:r/>
            <w:r>
              <w:rPr>
                <w:rFonts w:ascii="Arial" w:hAnsi="Arial" w:eastAsia="Arial"/>
                <w:b w:val="0"/>
                <w:i w:val="0"/>
                <w:sz w:val="17"/>
              </w:rPr>
              <w:t>WP5</w:t>
            </w:r>
          </w:p>
        </w:tc>
        <w:tc>
          <w:tcPr>
            <w:tcW w:type="dxa" w:w="1361"/>
            <w:shd w:val="clear" w:color="auto" w:fill="DCEFE3"/>
          </w:tcPr>
          <w:p>
            <w:r/>
            <w:r>
              <w:rPr>
                <w:rFonts w:ascii="Arial" w:hAnsi="Arial" w:eastAsia="Arial"/>
                <w:b w:val="0"/>
                <w:i w:val="0"/>
                <w:sz w:val="17"/>
              </w:rPr>
              <w:t>2×2 = 4</w:t>
            </w:r>
          </w:p>
        </w:tc>
      </w:tr>
    </w:tbl>
    <w:p>
      <w:pPr>
        <w:sectPr>
          <w:pgSz w:w="16838" w:h="11906" w:orient="landscape"/>
          <w:pgMar w:top="850" w:right="850" w:bottom="850" w:left="850" w:header="720" w:footer="720" w:gutter="0"/>
          <w:cols w:space="720"/>
          <w:docGrid w:linePitch="360"/>
        </w:sectPr>
      </w:pPr>
    </w:p>
    <w:p>
      <w:pPr>
        <w:keepNext/>
        <w:spacing w:after="120" w:before="0"/>
      </w:pPr>
      <w:r>
        <w:rPr>
          <w:rFonts w:ascii="Arial" w:hAnsi="Arial" w:eastAsia="Arial"/>
          <w:b/>
          <w:i w:val="0"/>
          <w:color w:val="1F3864"/>
          <w:sz w:val="27"/>
        </w:rPr>
        <w:t>4. Risks the warning service itself could create</w:t>
      </w:r>
    </w:p>
    <w:p>
      <w:pPr>
        <w:spacing w:after="100" w:before="0"/>
        <w:jc w:val="both"/>
      </w:pPr>
      <w:r>
        <w:rPr>
          <w:rFonts w:ascii="Arial" w:hAnsi="Arial" w:eastAsia="Arial"/>
          <w:b w:val="0"/>
          <w:i w:val="0"/>
          <w:sz w:val="22"/>
        </w:rPr>
        <w:t>A warning system for critical infrastructure changes how people decide, and it produces information that has value beyond its users. These risks are part of the register, not an afterthought:</w:t>
      </w:r>
    </w:p>
    <w:p>
      <w:pPr>
        <w:spacing w:after="60" w:before="0"/>
        <w:ind w:left="283"/>
      </w:pPr>
      <w:r>
        <w:rPr>
          <w:rFonts w:ascii="Arial" w:hAnsi="Arial" w:eastAsia="Arial"/>
          <w:b/>
          <w:i w:val="0"/>
          <w:sz w:val="22"/>
        </w:rPr>
        <w:t xml:space="preserve">• </w:t>
      </w:r>
      <w:r>
        <w:rPr>
          <w:rFonts w:ascii="Arial" w:hAnsi="Arial" w:eastAsia="Arial"/>
          <w:b/>
          <w:i w:val="0"/>
          <w:sz w:val="22"/>
        </w:rPr>
        <w:t>False alarms that wear out trust.</w:t>
      </w:r>
      <w:r>
        <w:rPr>
          <w:rFonts w:ascii="Arial" w:hAnsi="Arial" w:eastAsia="Arial"/>
          <w:b w:val="0"/>
          <w:i w:val="0"/>
          <w:sz w:val="22"/>
        </w:rPr>
        <w:t xml:space="preserve"> Every guarantee on misses is paid for in false alarms. The acceptable false-alarm rate is agreed with each operator before the alarms are designed (T3.1), so the cost of caution is a decision, not a surprise (R7).</w:t>
      </w:r>
    </w:p>
    <w:p>
      <w:pPr>
        <w:spacing w:after="60" w:before="0"/>
        <w:ind w:left="283"/>
      </w:pPr>
      <w:r>
        <w:rPr>
          <w:rFonts w:ascii="Arial" w:hAnsi="Arial" w:eastAsia="Arial"/>
          <w:b/>
          <w:i w:val="0"/>
          <w:sz w:val="22"/>
        </w:rPr>
        <w:t xml:space="preserve">• </w:t>
      </w:r>
      <w:r>
        <w:rPr>
          <w:rFonts w:ascii="Arial" w:hAnsi="Arial" w:eastAsia="Arial"/>
          <w:b/>
          <w:i w:val="0"/>
          <w:sz w:val="22"/>
        </w:rPr>
        <w:t>A miss that matters.</w:t>
      </w:r>
      <w:r>
        <w:rPr>
          <w:rFonts w:ascii="Arial" w:hAnsi="Arial" w:eastAsia="Arial"/>
          <w:b w:val="0"/>
          <w:i w:val="0"/>
          <w:sz w:val="22"/>
        </w:rPr>
        <w:t xml:space="preserve"> A certified miss rate of 5–10% means misses will happen. Each bulletin says so, responsibilities are written down, and every miss is reviewed and used to recalibrate (R15).</w:t>
      </w:r>
    </w:p>
    <w:p>
      <w:pPr>
        <w:spacing w:after="60" w:before="0"/>
        <w:ind w:left="283"/>
      </w:pPr>
      <w:r>
        <w:rPr>
          <w:rFonts w:ascii="Arial" w:hAnsi="Arial" w:eastAsia="Arial"/>
          <w:b/>
          <w:i w:val="0"/>
          <w:sz w:val="22"/>
        </w:rPr>
        <w:t xml:space="preserve">• </w:t>
      </w:r>
      <w:r>
        <w:rPr>
          <w:rFonts w:ascii="Arial" w:hAnsi="Arial" w:eastAsia="Arial"/>
          <w:b/>
          <w:i w:val="0"/>
          <w:sz w:val="22"/>
        </w:rPr>
        <w:t>Over-reliance.</w:t>
      </w:r>
      <w:r>
        <w:rPr>
          <w:rFonts w:ascii="Arial" w:hAnsi="Arial" w:eastAsia="Arial"/>
          <w:b w:val="0"/>
          <w:i w:val="0"/>
          <w:sz w:val="22"/>
        </w:rPr>
        <w:t xml:space="preserve"> A trusted system can replace the checks it was meant to support. The bulletins are advisory, and training explains what a miss rate means in practice (R16).</w:t>
      </w:r>
    </w:p>
    <w:p>
      <w:pPr>
        <w:spacing w:after="60" w:before="0"/>
        <w:ind w:left="283"/>
      </w:pPr>
      <w:r>
        <w:rPr>
          <w:rFonts w:ascii="Arial" w:hAnsi="Arial" w:eastAsia="Arial"/>
          <w:b/>
          <w:i w:val="0"/>
          <w:sz w:val="22"/>
        </w:rPr>
        <w:t xml:space="preserve">• </w:t>
      </w:r>
      <w:r>
        <w:rPr>
          <w:rFonts w:ascii="Arial" w:hAnsi="Arial" w:eastAsia="Arial"/>
          <w:b/>
          <w:i w:val="0"/>
          <w:sz w:val="22"/>
        </w:rPr>
        <w:t>Disclosure.</w:t>
      </w:r>
      <w:r>
        <w:rPr>
          <w:rFonts w:ascii="Arial" w:hAnsi="Arial" w:eastAsia="Arial"/>
          <w:b w:val="0"/>
          <w:i w:val="0"/>
          <w:sz w:val="22"/>
        </w:rPr>
        <w:t xml:space="preserve"> A map of where the port or the landfall would liquefy is useful to an operator and to an adversary. Methods and code are open; asset-level vulnerability results are not (R20).</w:t>
      </w:r>
    </w:p>
    <w:p>
      <w:pPr>
        <w:spacing w:after="60" w:before="0"/>
        <w:ind w:left="283"/>
      </w:pPr>
      <w:r>
        <w:rPr>
          <w:rFonts w:ascii="Arial" w:hAnsi="Arial" w:eastAsia="Arial"/>
          <w:b/>
          <w:i w:val="0"/>
          <w:sz w:val="22"/>
        </w:rPr>
        <w:t xml:space="preserve">• </w:t>
      </w:r>
      <w:r>
        <w:rPr>
          <w:rFonts w:ascii="Arial" w:hAnsi="Arial" w:eastAsia="Arial"/>
          <w:b/>
          <w:i w:val="0"/>
          <w:sz w:val="22"/>
        </w:rPr>
        <w:t>New pathways for seawater.</w:t>
      </w:r>
      <w:r>
        <w:rPr>
          <w:rFonts w:ascii="Arial" w:hAnsi="Arial" w:eastAsia="Arial"/>
          <w:b w:val="0"/>
          <w:i w:val="0"/>
          <w:sz w:val="22"/>
        </w:rPr>
        <w:t xml:space="preserve"> A badly sealed monitoring borehole can let seawater move between layers. Drilling and sealing follow a written design and are checked by logging conductivity before and after (R12).</w:t>
      </w:r>
    </w:p>
    <w:p>
      <w:pPr>
        <w:keepNext/>
        <w:spacing w:after="120" w:before="160"/>
      </w:pPr>
      <w:r>
        <w:rPr>
          <w:rFonts w:ascii="Arial" w:hAnsi="Arial" w:eastAsia="Arial"/>
          <w:b/>
          <w:i w:val="0"/>
          <w:color w:val="1F3864"/>
          <w:sz w:val="27"/>
        </w:rPr>
        <w:t>5. Monitoring, escalation and reporting (T7.3)</w:t>
      </w:r>
    </w:p>
    <w:p>
      <w:pPr>
        <w:spacing w:after="60" w:before="0"/>
        <w:ind w:left="283"/>
      </w:pPr>
      <w:r>
        <w:rPr>
          <w:rFonts w:ascii="Arial" w:hAnsi="Arial" w:eastAsia="Arial"/>
          <w:b/>
          <w:i w:val="0"/>
          <w:sz w:val="22"/>
        </w:rPr>
        <w:t xml:space="preserve">• </w:t>
      </w:r>
      <w:r>
        <w:rPr>
          <w:rFonts w:ascii="Arial" w:hAnsi="Arial" w:eastAsia="Arial"/>
          <w:b/>
          <w:i w:val="0"/>
          <w:sz w:val="22"/>
        </w:rPr>
        <w:t>Owner and indicator.</w:t>
      </w:r>
      <w:r>
        <w:rPr>
          <w:rFonts w:ascii="Arial" w:hAnsi="Arial" w:eastAsia="Arial"/>
          <w:b w:val="0"/>
          <w:i w:val="0"/>
          <w:sz w:val="22"/>
        </w:rPr>
        <w:t xml:space="preserve"> Each risk has an owner (the leader of the work package named in the register) and an early-warning indicator with a numeric trigger.</w:t>
      </w:r>
    </w:p>
    <w:p>
      <w:pPr>
        <w:spacing w:after="60" w:before="0"/>
        <w:ind w:left="283"/>
      </w:pPr>
      <w:r>
        <w:rPr>
          <w:rFonts w:ascii="Arial" w:hAnsi="Arial" w:eastAsia="Arial"/>
          <w:b/>
          <w:i w:val="0"/>
          <w:sz w:val="22"/>
        </w:rPr>
        <w:t xml:space="preserve">• </w:t>
      </w:r>
      <w:r>
        <w:rPr>
          <w:rFonts w:ascii="Arial" w:hAnsi="Arial" w:eastAsia="Arial"/>
          <w:b/>
          <w:i w:val="0"/>
          <w:sz w:val="22"/>
        </w:rPr>
        <w:t>Monthly review.</w:t>
      </w:r>
      <w:r>
        <w:rPr>
          <w:rFonts w:ascii="Arial" w:hAnsi="Arial" w:eastAsia="Arial"/>
          <w:b w:val="0"/>
          <w:i w:val="0"/>
          <w:sz w:val="22"/>
        </w:rPr>
        <w:t xml:space="preserve"> The coordinator and the work-package leaders review the indicators every month and update the scores (T7.3).</w:t>
      </w:r>
    </w:p>
    <w:p>
      <w:pPr>
        <w:spacing w:after="60" w:before="0"/>
        <w:ind w:left="283"/>
      </w:pPr>
      <w:r>
        <w:rPr>
          <w:rFonts w:ascii="Arial" w:hAnsi="Arial" w:eastAsia="Arial"/>
          <w:b/>
          <w:i w:val="0"/>
          <w:sz w:val="22"/>
        </w:rPr>
        <w:t xml:space="preserve">• </w:t>
      </w:r>
      <w:r>
        <w:rPr>
          <w:rFonts w:ascii="Arial" w:hAnsi="Arial" w:eastAsia="Arial"/>
          <w:b/>
          <w:i w:val="0"/>
          <w:sz w:val="22"/>
        </w:rPr>
        <w:t>Escalation.</w:t>
      </w:r>
      <w:r>
        <w:rPr>
          <w:rFonts w:ascii="Arial" w:hAnsi="Arial" w:eastAsia="Arial"/>
          <w:b w:val="0"/>
          <w:i w:val="0"/>
          <w:sz w:val="22"/>
        </w:rPr>
        <w:t xml:space="preserve"> A risk is escalated to the steering committee when its indicator crosses its trigger or its score reaches 10 or more; the committee decides on the contingency within two weeks.</w:t>
      </w:r>
    </w:p>
    <w:p>
      <w:pPr>
        <w:spacing w:after="60" w:before="0"/>
        <w:ind w:left="283"/>
      </w:pPr>
      <w:r>
        <w:rPr>
          <w:rFonts w:ascii="Arial" w:hAnsi="Arial" w:eastAsia="Arial"/>
          <w:b/>
          <w:i w:val="0"/>
          <w:sz w:val="22"/>
        </w:rPr>
        <w:t xml:space="preserve">• </w:t>
      </w:r>
      <w:r>
        <w:rPr>
          <w:rFonts w:ascii="Arial" w:hAnsi="Arial" w:eastAsia="Arial"/>
          <w:b/>
          <w:i w:val="0"/>
          <w:sz w:val="22"/>
        </w:rPr>
        <w:t>Milestone gates.</w:t>
      </w:r>
      <w:r>
        <w:rPr>
          <w:rFonts w:ascii="Arial" w:hAnsi="Arial" w:eastAsia="Arial"/>
          <w:b w:val="0"/>
          <w:i w:val="0"/>
          <w:sz w:val="22"/>
        </w:rPr>
        <w:t xml:space="preserve"> MS3 (Month 18, model calibrated) and MS4 (Month 22, go or no-go for live operation) are formal checkpoints: live operation starts only if the surrogate meets its error bound and the alarm prototype passes a dry run.</w:t>
      </w:r>
    </w:p>
    <w:p>
      <w:pPr>
        <w:spacing w:after="60" w:before="0"/>
        <w:ind w:left="283"/>
      </w:pPr>
      <w:r>
        <w:rPr>
          <w:rFonts w:ascii="Arial" w:hAnsi="Arial" w:eastAsia="Arial"/>
          <w:b/>
          <w:i w:val="0"/>
          <w:sz w:val="22"/>
        </w:rPr>
        <w:t xml:space="preserve">• </w:t>
      </w:r>
      <w:r>
        <w:rPr>
          <w:rFonts w:ascii="Arial" w:hAnsi="Arial" w:eastAsia="Arial"/>
          <w:b/>
          <w:i w:val="0"/>
          <w:sz w:val="22"/>
        </w:rPr>
        <w:t>Reporting.</w:t>
      </w:r>
      <w:r>
        <w:rPr>
          <w:rFonts w:ascii="Arial" w:hAnsi="Arial" w:eastAsia="Arial"/>
          <w:b w:val="0"/>
          <w:i w:val="0"/>
          <w:sz w:val="22"/>
        </w:rPr>
        <w:t xml:space="preserve"> The register, with changes since the last report, is part of every progress report to the SPS Programme.</w:t>
      </w:r>
    </w:p>
    <w:p>
      <w:pPr>
        <w:keepNext/>
        <w:spacing w:after="120" w:before="160"/>
      </w:pPr>
      <w:r>
        <w:rPr>
          <w:rFonts w:ascii="Arial" w:hAnsi="Arial" w:eastAsia="Arial"/>
          <w:b/>
          <w:i w:val="0"/>
          <w:color w:val="1F3864"/>
          <w:sz w:val="27"/>
        </w:rPr>
        <w:t>6. What is new in this risk assessment</w:t>
      </w:r>
    </w:p>
    <w:p>
      <w:pPr>
        <w:spacing w:after="60" w:before="0"/>
        <w:ind w:left="283"/>
      </w:pPr>
      <w:r>
        <w:rPr>
          <w:rFonts w:ascii="Arial" w:hAnsi="Arial" w:eastAsia="Arial"/>
          <w:b/>
          <w:i w:val="0"/>
          <w:sz w:val="22"/>
        </w:rPr>
        <w:t xml:space="preserve">• </w:t>
      </w:r>
      <w:r>
        <w:rPr>
          <w:rFonts w:ascii="Arial" w:hAnsi="Arial" w:eastAsia="Arial"/>
          <w:b/>
          <w:i w:val="0"/>
          <w:sz w:val="22"/>
        </w:rPr>
        <w:t>The main operational risk has a measured bound.</w:t>
      </w:r>
      <w:r>
        <w:rPr>
          <w:rFonts w:ascii="Arial" w:hAnsi="Arial" w:eastAsia="Arial"/>
          <w:b w:val="0"/>
          <w:i w:val="0"/>
          <w:sz w:val="22"/>
        </w:rPr>
        <w:t xml:space="preserve"> The risk that a hazard is missed is not only listed: it is bounded by the certified miss rates and checked against the bulletin log (Methodology, Section 5).</w:t>
      </w:r>
    </w:p>
    <w:p>
      <w:pPr>
        <w:spacing w:after="60" w:before="0"/>
        <w:ind w:left="283"/>
      </w:pPr>
      <w:r>
        <w:rPr>
          <w:rFonts w:ascii="Arial" w:hAnsi="Arial" w:eastAsia="Arial"/>
          <w:b/>
          <w:i w:val="0"/>
          <w:sz w:val="22"/>
        </w:rPr>
        <w:t xml:space="preserve">• </w:t>
      </w:r>
      <w:r>
        <w:rPr>
          <w:rFonts w:ascii="Arial" w:hAnsi="Arial" w:eastAsia="Arial"/>
          <w:b/>
          <w:i w:val="0"/>
          <w:sz w:val="22"/>
        </w:rPr>
        <w:t>Risks the service itself creates are in the register.</w:t>
      </w:r>
      <w:r>
        <w:rPr>
          <w:rFonts w:ascii="Arial" w:hAnsi="Arial" w:eastAsia="Arial"/>
          <w:b w:val="0"/>
          <w:i w:val="0"/>
          <w:sz w:val="22"/>
        </w:rPr>
        <w:t xml:space="preserve"> False-alarm fatigue, over-reliance, disclosure and new seawater pathways are treated as project risks, with owners and triggers, not left to after the project.</w:t>
      </w:r>
    </w:p>
    <w:p>
      <w:pPr>
        <w:spacing w:after="60" w:before="0"/>
        <w:ind w:left="283"/>
      </w:pPr>
      <w:r>
        <w:rPr>
          <w:rFonts w:ascii="Arial" w:hAnsi="Arial" w:eastAsia="Arial"/>
          <w:b/>
          <w:i w:val="0"/>
          <w:sz w:val="22"/>
        </w:rPr>
        <w:t xml:space="preserve">• </w:t>
      </w:r>
      <w:r>
        <w:rPr>
          <w:rFonts w:ascii="Arial" w:hAnsi="Arial" w:eastAsia="Arial"/>
          <w:b/>
          <w:i w:val="0"/>
          <w:sz w:val="22"/>
        </w:rPr>
        <w:t>Numeric triggers, watched like the hazards.</w:t>
      </w:r>
      <w:r>
        <w:rPr>
          <w:rFonts w:ascii="Arial" w:hAnsi="Arial" w:eastAsia="Arial"/>
          <w:b w:val="0"/>
          <w:i w:val="0"/>
          <w:sz w:val="22"/>
        </w:rPr>
        <w:t xml:space="preserve"> Each risk has an indicator and a threshold, reviewed monthly, so escalation is a rule rather than a judgement call.</w:t>
      </w:r>
    </w:p>
    <w:p>
      <w:pPr>
        <w:spacing w:after="60" w:before="0"/>
        <w:ind w:left="283"/>
      </w:pPr>
      <w:r>
        <w:rPr>
          <w:rFonts w:ascii="Arial" w:hAnsi="Arial" w:eastAsia="Arial"/>
          <w:b/>
          <w:i w:val="0"/>
          <w:sz w:val="22"/>
        </w:rPr>
        <w:t xml:space="preserve">• </w:t>
      </w:r>
      <w:r>
        <w:rPr>
          <w:rFonts w:ascii="Arial" w:hAnsi="Arial" w:eastAsia="Arial"/>
          <w:b/>
          <w:i w:val="0"/>
          <w:sz w:val="22"/>
        </w:rPr>
        <w:t>The miss–false-alarm trade-off is agreed in advance.</w:t>
      </w:r>
      <w:r>
        <w:rPr>
          <w:rFonts w:ascii="Arial" w:hAnsi="Arial" w:eastAsia="Arial"/>
          <w:b w:val="0"/>
          <w:i w:val="0"/>
          <w:sz w:val="22"/>
        </w:rPr>
        <w:t xml:space="preserve"> The operators set the acceptable false-alarm rate before the alarms are built, so the largest scientific risk (R7) becomes a negotiated parameter.</w:t>
      </w:r>
    </w:p>
    <w:p>
      <w:pPr>
        <w:spacing w:after="60" w:before="0"/>
        <w:ind w:left="283"/>
      </w:pPr>
      <w:r>
        <w:rPr>
          <w:rFonts w:ascii="Arial" w:hAnsi="Arial" w:eastAsia="Arial"/>
          <w:b/>
          <w:i w:val="0"/>
          <w:sz w:val="22"/>
        </w:rPr>
        <w:t xml:space="preserve">• </w:t>
      </w:r>
      <w:r>
        <w:rPr>
          <w:rFonts w:ascii="Arial" w:hAnsi="Arial" w:eastAsia="Arial"/>
          <w:b/>
          <w:i w:val="0"/>
          <w:sz w:val="22"/>
        </w:rPr>
        <w:t>Security by design.</w:t>
      </w:r>
      <w:r>
        <w:rPr>
          <w:rFonts w:ascii="Arial" w:hAnsi="Arial" w:eastAsia="Arial"/>
          <w:b w:val="0"/>
          <w:i w:val="0"/>
          <w:sz w:val="22"/>
        </w:rPr>
        <w:t xml:space="preserve"> The data plan separates open methods from sensitive asset-level results from the start, so openness and protection of critical infrastructure do not conflict.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