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300"/>
      </w:pPr>
      <w:r>
        <w:rPr>
          <w:b/>
          <w:bCs/>
          <w:color w:val="D97706"/>
          <w:spacing w:val="40"/>
          <w:sz w:val="22"/>
          <w:szCs w:val="22"/>
        </w:rPr>
        <w:t xml:space="preserve">SCIENTIFIC LITERATURE SEARCH</w:t>
      </w:r>
    </w:p>
    <w:p>
      <w:pPr>
        <w:pBdr>
          <w:bottom w:val="single" w:color="1F3864" w:sz="12" w:space="8"/>
        </w:pBdr>
        <w:spacing w:after="240"/>
      </w:pPr>
      <w:r>
        <w:rPr>
          <w:b/>
          <w:bCs/>
          <w:color w:val="1F3864"/>
          <w:sz w:val="52"/>
          <w:szCs w:val="52"/>
        </w:rPr>
        <w:t xml:space="preserve">Assembling the equations, placing the wells: twenty papers from Oxford, Caltech, Harvard and MIT</w:t>
      </w:r>
    </w:p>
    <w:p>
      <w:pPr>
        <w:spacing w:after="360"/>
      </w:pPr>
      <w:r>
        <w:rPr>
          <w:color w:val="3A4350"/>
          <w:sz w:val="26"/>
          <w:szCs w:val="26"/>
        </w:rPr>
        <w:t xml:space="preserve">Solving the coupled equations of a coastal aquifer as one system, and optimising where to place recharge and pumping wells on it (2020–2026), none used before in this series. With a theoretical introduction to the assembled system and the placement problem, and a proposed innovation for the assembly</w:t>
      </w:r>
    </w:p>
    <w:p>
      <w:pPr>
        <w:spacing w:after="360"/>
      </w:pPr>
      <w:r>
        <w:rPr>
          <w:b/>
          <w:bCs/>
          <w:color w:val="002147"/>
          <w:sz w:val="24"/>
          <w:szCs w:val="24"/>
        </w:rPr>
        <w:t xml:space="preserve">Oxford</w:t>
      </w:r>
      <w:r>
        <w:rPr>
          <w:color w:val="5B6573"/>
          <w:sz w:val="22"/>
          <w:szCs w:val="22"/>
        </w:rPr>
        <w:t xml:space="preserve">   ·   </w:t>
      </w:r>
      <w:r>
        <w:rPr>
          <w:b/>
          <w:bCs/>
          <w:color w:val="B4410C"/>
          <w:sz w:val="24"/>
          <w:szCs w:val="24"/>
        </w:rPr>
        <w:t xml:space="preserve">Caltech</w:t>
      </w:r>
      <w:r>
        <w:rPr>
          <w:color w:val="5B6573"/>
          <w:sz w:val="22"/>
          <w:szCs w:val="22"/>
        </w:rPr>
        <w:t xml:space="preserve">   ·   </w:t>
      </w:r>
      <w:r>
        <w:rPr>
          <w:b/>
          <w:bCs/>
          <w:color w:val="A51C30"/>
          <w:sz w:val="24"/>
          <w:szCs w:val="24"/>
        </w:rPr>
        <w:t xml:space="preserve">Harvard</w:t>
      </w:r>
      <w:r>
        <w:rPr>
          <w:color w:val="5B6573"/>
          <w:sz w:val="22"/>
          <w:szCs w:val="22"/>
        </w:rPr>
        <w:t xml:space="preserve">   ·   </w:t>
      </w:r>
      <w:r>
        <w:rPr>
          <w:b/>
          <w:bCs/>
          <w:color w:val="4D4D4F"/>
          <w:sz w:val="24"/>
          <w:szCs w:val="24"/>
        </w:rPr>
        <w:t xml:space="preserve">MIT</w:t>
      </w:r>
    </w:p>
    <w:p>
      <w:pPr>
        <w:pBdr>
          <w:left w:val="single" w:color="1F3864" w:sz="24" w:space="6"/>
        </w:pBdr>
        <w:shd w:fill="EEF3FA" w:color="auto" w:val="clear"/>
        <w:spacing w:after="220" w:before="120" w:line="276" w:lineRule="auto"/>
        <w:ind w:left="140" w:right="60"/>
        <w:jc w:val="both"/>
      </w:pPr>
      <w:r>
        <w:rPr>
          <w:b/>
          <w:bCs/>
          <w:color w:val="1F3864"/>
        </w:rPr>
        <w:t xml:space="preserve">CONTENTS  </w:t>
      </w:r>
      <w:r>
        <w:rPr>
          <w:b/>
          <w:bCs/>
        </w:rPr>
        <w:t xml:space="preserve">Part I:</w:t>
      </w:r>
      <w:r>
        <w:t xml:space="preserve"> a short theoretical introduction: the assembled forward system (variable-density flow, multi-species transport, aquitard memory, the seven boundary classes), the wells as mixed-integer controls, data and assimilation, the placement of recharge and pumping wells as a chance-constrained, PDE-constrained optimisation, and what is open. </w:t>
      </w:r>
      <w:r>
        <w:rPr>
          <w:b/>
          <w:bCs/>
        </w:rPr>
        <w:t xml:space="preserve">Part II:</w:t>
      </w:r>
      <w:r>
        <w:t xml:space="preserve"> 20 papers of 2020–2026, five each from Oxford (O1–O5), Caltech (C1–C5), Harvard (H1–H5) and MIT (M1–M5), none used before in the series, each with a key equation in OMML, a box on </w:t>
      </w:r>
      <w:r>
        <w:rPr>
          <w:b/>
          <w:bCs/>
        </w:rPr>
        <w:t xml:space="preserve">why it is among the best</w:t>
      </w:r>
      <w:r>
        <w:t xml:space="preserve">, the </w:t>
      </w:r>
      <w:r>
        <w:rPr>
          <w:b/>
          <w:bCs/>
        </w:rPr>
        <w:t xml:space="preserve">open problem</w:t>
      </w:r>
      <w:r>
        <w:t xml:space="preserve"> it leaves and an innovation for the assembly and the wells. </w:t>
      </w:r>
      <w:r>
        <w:rPr>
          <w:b/>
          <w:bCs/>
        </w:rPr>
        <w:t xml:space="preserve">Part III:</w:t>
      </w:r>
      <w:r>
        <w:t xml:space="preserve"> synthesis, a map of opportunities, and the proposed innovation: an assembly whose final goal is the placement of the wells.</w:t>
      </w:r>
    </w:p>
    <w:p>
      <w:pPr>
        <w:spacing w:after="80" w:before="240"/>
      </w:pPr>
      <w:r>
        <w:rPr>
          <w:b/>
          <w:bCs/>
          <w:color w:val="1F3864"/>
        </w:rPr>
        <w:t xml:space="preserve">Structure of each card</w:t>
      </w:r>
    </w:p>
    <w:p>
      <w:pPr>
        <w:pStyle w:val="ListParagraph"/>
        <w:numPr>
          <w:ilvl w:val="0"/>
          <w:numId w:val="2"/>
        </w:numPr>
        <w:spacing w:after="60"/>
        <w:jc w:val="both"/>
      </w:pPr>
      <w:r>
        <w:rPr>
          <w:b/>
          <w:bCs/>
        </w:rPr>
        <w:t xml:space="preserve">Bibliographic data:</w:t>
      </w:r>
      <w:r>
        <w:t xml:space="preserve"> authors, venue, DOI or official link, the Oxford, Caltech, Harvard or MIT affiliation that was confirmed, topic and the rating of depth and rigour (★ 1–5).</w:t>
      </w:r>
    </w:p>
    <w:p>
      <w:pPr>
        <w:pStyle w:val="ListParagraph"/>
        <w:numPr>
          <w:ilvl w:val="0"/>
          <w:numId w:val="2"/>
        </w:numPr>
        <w:spacing w:after="60"/>
        <w:jc w:val="both"/>
      </w:pPr>
      <w:r>
        <w:rPr>
          <w:b/>
          <w:bCs/>
        </w:rPr>
        <w:t xml:space="preserve">Summary</w:t>
      </w:r>
      <w:r>
        <w:t xml:space="preserve"> of the problem, the method and the main results, and the </w:t>
      </w:r>
      <w:r>
        <w:rPr>
          <w:b/>
          <w:bCs/>
        </w:rPr>
        <w:t xml:space="preserve">key equation</w:t>
      </w:r>
      <w:r>
        <w:t xml:space="preserve"> as a Word equation (OMML); equations are representative formulations unless the card says otherwise, since no full text was read.</w:t>
      </w:r>
    </w:p>
    <w:p>
      <w:pPr>
        <w:pStyle w:val="ListParagraph"/>
        <w:numPr>
          <w:ilvl w:val="0"/>
          <w:numId w:val="2"/>
        </w:numPr>
        <w:spacing w:after="60"/>
        <w:jc w:val="both"/>
      </w:pPr>
      <w:r>
        <w:rPr>
          <w:b/>
          <w:bCs/>
        </w:rPr>
        <w:t xml:space="preserve">Why it is among the best</w:t>
      </w:r>
      <w:r>
        <w:t xml:space="preserve">, the </w:t>
      </w:r>
      <w:r>
        <w:rPr>
          <w:b/>
          <w:bCs/>
        </w:rPr>
        <w:t xml:space="preserve">open problem</w:t>
      </w:r>
      <w:r>
        <w:t xml:space="preserve"> it leaves for the assembly and the placement of the wells, and a concrete </w:t>
      </w:r>
      <w:r>
        <w:rPr>
          <w:b/>
          <w:bCs/>
        </w:rPr>
        <w:t xml:space="preserve">innovation</w:t>
      </w:r>
      <w:r>
        <w:t xml:space="preserve"> for the coastal aquifer.</w:t>
      </w:r>
    </w:p>
    <w:p>
      <w:pPr>
        <w:spacing w:before="360"/>
      </w:pPr>
      <w:r>
        <w:rPr>
          <w:color w:val="5B6573"/>
          <w:sz w:val="20"/>
          <w:szCs w:val="20"/>
        </w:rPr>
        <w:t xml:space="preserve">Search date: 27 October 2026  ·  Period covered: 2020–2026</w:t>
      </w:r>
    </w:p>
    <w:p>
      <w:pPr>
        <w:pStyle w:val="Heading1"/>
        <w:pageBreakBefore/>
      </w:pPr>
      <w:r>
        <w:rPr>
          <w:color w:val="1F3864"/>
        </w:rPr>
        <w:t xml:space="preserve">1. Theoretical introduction: the assembled system and the placement of the wells</w:t>
      </w:r>
    </w:p>
    <w:p>
      <w:pPr>
        <w:spacing w:after="120"/>
      </w:pPr>
      <w:r>
        <w:rPr>
          <w:i/>
          <w:iCs/>
          <w:color w:val="5B6573"/>
          <w:sz w:val="18"/>
          <w:szCs w:val="18"/>
        </w:rPr>
        <w:t xml:space="preserve">Theoretical introduction written for this document. Statements attributed to classical works [B…] are standard results; forms simplified for this document are marked as such.</w:t>
      </w:r>
    </w:p>
    <w:p>
      <w:pPr>
        <w:spacing w:after="120"/>
        <w:jc w:val="both"/>
      </w:pPr>
      <w:r>
        <w:rPr>
          <w:b/>
          <w:bCs/>
        </w:rPr>
        <w:t xml:space="preserve">Why assemble, and assemble for what.</w:t>
      </w:r>
      <w:r>
        <w:t xml:space="preserve"> The earlier reports of this series built the pieces of a coastal-aquifer model one at a time: variable-density flow, the transport of seven ions with exchange and reactions, the memory of the aquitards, the classes of boundary and initial conditions, the observation of heads and chloride, and the assimilation that updates all of them. The decision they serve was always the same: where to put managed-aquifer-recharge wells and supply wells, and how hard to run them, so that chloride in the supply screens stays below the drinking-water standard. Assembling the equations means writing all the pieces as one system with one state, one set of unknowns and one set of controls, so that a single solver, a single adjoint and a single assimilation act on it, and so that the placement of the wells is not an afterthought but the variable the whole system is built to optimise. Part I sets out the assembled forward system (1.1), the wells as controls (1.2), the data and the assimilation (1.3), the placement problem as the final goal (1.4), and what is open (1.5). Part II gives 20 papers of 2020–2026 from Oxford, Caltech, Harvard and MIT, none used before in this series, chosen for what they bring to this assembly and to placing the wells.</w:t>
      </w:r>
    </w:p>
    <w:p>
      <w:pPr>
        <w:pStyle w:val="Heading3"/>
      </w:pPr>
      <w:r>
        <w:rPr>
          <w:color w:val="1F3864"/>
        </w:rPr>
        <w:t xml:space="preserve">1.1 The assembled forward system</w:t>
      </w:r>
    </w:p>
    <w:p>
      <w:pPr>
        <w:spacing w:after="120"/>
        <w:jc w:val="both"/>
      </w:pPr>
      <w:r>
        <w:t xml:space="preserve">Flow of a fluid whose density depends on the salt it carries obeys Darcy's law with a buoyancy term and the conservation of fluid mass [B1, B2]:</w:t>
      </w:r>
    </w:p>
    <w:p>
      <w:pPr>
        <w:pStyle w:val="Equation"/>
      </w:pPr>
      <m:oMathPara>
        <m:oMathParaPr>
          <m:jc m:val="center"/>
        </m:oMathParaPr>
        <m:oMath>
          <m:r>
            <m:rPr>
              <m:sty m:val="b"/>
            </m:rPr>
            <m:t>q</m:t>
          </m:r>
          <m:r>
            <m:rPr>
              <m:sty m:val="p"/>
            </m:rPr>
            <m:t>=</m:t>
          </m:r>
          <m:r>
            <m:rPr>
              <m:sty m:val="p"/>
            </m:rPr>
            <m:t>−</m:t>
          </m:r>
          <m:f>
            <m:fPr>
              <m:type m:val="bar"/>
            </m:fPr>
            <m:num>
              <m:r>
                <m:rPr>
                  <m:sty m:val="b"/>
                </m:rPr>
                <m:t>k</m:t>
              </m:r>
            </m:num>
            <m:den>
              <m:r>
                <m:t>μ</m:t>
              </m:r>
            </m:den>
          </m:f>
          <m:d>
            <m:dPr>
              <m:begChr m:val="("/>
              <m:sepChr m:val=""/>
              <m:endChr m:val=")"/>
              <m:grow/>
            </m:dPr>
            <m:e>
              <m:r>
                <m:rPr>
                  <m:sty m:val="p"/>
                </m:rPr>
                <m:t>∇</m:t>
              </m:r>
              <m:r>
                <m:t>p</m:t>
              </m:r>
              <m:r>
                <m:rPr>
                  <m:sty m:val="p"/>
                </m:rPr>
                <m:t>+</m:t>
              </m:r>
              <m:r>
                <m:t>ρ</m:t>
              </m:r>
              <m:d>
                <m:dPr>
                  <m:begChr m:val="("/>
                  <m:sepChr m:val=""/>
                  <m:endChr m:val=")"/>
                  <m:grow/>
                </m:dPr>
                <m:e>
                  <m:r>
                    <m:t>c</m:t>
                  </m:r>
                </m:e>
              </m:d>
              <m:r>
                <m:t> </m:t>
              </m:r>
              <m:r>
                <m:t>g</m:t>
              </m:r>
              <m:r>
                <m:t> </m:t>
              </m:r>
              <m:r>
                <m:rPr>
                  <m:sty m:val="p"/>
                </m:rPr>
                <m:t>∇</m:t>
              </m:r>
              <m:r>
                <m:t>z</m:t>
              </m:r>
            </m:e>
          </m:d>
          <m:r>
            <m:rPr>
              <m:sty m:val="p"/>
            </m:rPr>
            <m:t>,</m:t>
          </m:r>
          <m:r>
            <m:t>  </m:t>
          </m:r>
          <m:f>
            <m:fPr>
              <m:type m:val="bar"/>
            </m:fPr>
            <m:num>
              <m:r>
                <m:rPr>
                  <m:sty m:val="p"/>
                </m:rPr>
                <m:t>∂</m:t>
              </m:r>
              <m:d>
                <m:dPr>
                  <m:begChr m:val="("/>
                  <m:sepChr m:val=""/>
                  <m:endChr m:val=")"/>
                  <m:grow/>
                </m:dPr>
                <m:e>
                  <m:r>
                    <m:t>n</m:t>
                  </m:r>
                  <m:r>
                    <m:t>ρ</m:t>
                  </m:r>
                </m:e>
              </m:d>
            </m:num>
            <m:den>
              <m:r>
                <m:rPr>
                  <m:sty m:val="p"/>
                </m:rPr>
                <m:t>∂</m:t>
              </m:r>
              <m:r>
                <m:t>t</m:t>
              </m:r>
            </m:den>
          </m:f>
          <m:r>
            <m:rPr>
              <m:sty m:val="p"/>
            </m:rPr>
            <m:t>+</m:t>
          </m:r>
          <m:r>
            <m:rPr>
              <m:sty m:val="p"/>
            </m:rPr>
            <m:t>∇</m:t>
          </m:r>
          <m:r>
            <m:rPr>
              <m:sty m:val="p"/>
            </m:rPr>
            <m:t>⋅</m:t>
          </m:r>
          <m:d>
            <m:dPr>
              <m:begChr m:val="("/>
              <m:sepChr m:val=""/>
              <m:endChr m:val=")"/>
              <m:grow/>
            </m:dPr>
            <m:e>
              <m:r>
                <m:t>ρ</m:t>
              </m:r>
              <m:r>
                <m:t> </m:t>
              </m:r>
              <m:r>
                <m:rPr>
                  <m:sty m:val="b"/>
                </m:rPr>
                <m:t>q</m:t>
              </m:r>
            </m:e>
          </m:d>
          <m:r>
            <m:rPr>
              <m:sty m:val="p"/>
            </m:rPr>
            <m:t>=</m:t>
          </m:r>
          <m:sSub>
            <m:e>
              <m:r>
                <m:t>ρ</m:t>
              </m:r>
            </m:e>
            <m:sub>
              <m:r>
                <m:rPr>
                  <m:sty m:val="p"/>
                </m:rPr>
                <m:t>i</m:t>
              </m:r>
              <m:r>
                <m:rPr>
                  <m:sty m:val="p"/>
                </m:rPr>
                <m:t>n</m:t>
              </m:r>
            </m:sub>
          </m:sSub>
          <m:r>
            <m:t> </m:t>
          </m:r>
          <m:r>
            <m:t>Q</m:t>
          </m:r>
        </m:oMath>
      </m:oMathPara>
    </w:p>
    <w:p>
      <w:pPr>
        <w:spacing w:after="120"/>
        <w:jc w:val="both"/>
      </w:pPr>
      <w:r>
        <w:t xml:space="preserve">and each dissolved species </w:t>
      </w:r>
      <m:oMath>
        <m:r>
          <m:t>i</m:t>
        </m:r>
        <m:r>
          <m:rPr>
            <m:sty m:val="p"/>
          </m:rPr>
          <m:t>=</m:t>
        </m:r>
        <m:r>
          <m:t>1</m:t>
        </m:r>
        <m:r>
          <m:rPr>
            <m:sty m:val="p"/>
          </m:rPr>
          <m:t>,</m:t>
        </m:r>
        <m:r>
          <m:rPr>
            <m:sty m:val="p"/>
          </m:rPr>
          <m:t>…</m:t>
        </m:r>
        <m:r>
          <m:rPr>
            <m:sty m:val="p"/>
          </m:rPr>
          <m:t>,</m:t>
        </m:r>
        <m:sSub>
          <m:e>
            <m:r>
              <m:t>N</m:t>
            </m:r>
          </m:e>
          <m:sub>
            <m:r>
              <m:t>s</m:t>
            </m:r>
          </m:sub>
        </m:sSub>
      </m:oMath>
      <w:r>
        <w:t xml:space="preserve"> is advected, dispersed and exchanged or reacted:</w:t>
      </w:r>
    </w:p>
    <w:p>
      <w:pPr>
        <w:pStyle w:val="Equation"/>
      </w:pPr>
      <m:oMathPara>
        <m:oMathParaPr>
          <m:jc m:val="center"/>
        </m:oMathParaPr>
        <m:oMath>
          <m:f>
            <m:fPr>
              <m:type m:val="bar"/>
            </m:fPr>
            <m:num>
              <m:r>
                <m:rPr>
                  <m:sty m:val="p"/>
                </m:rPr>
                <m:t>∂</m:t>
              </m:r>
              <m:d>
                <m:dPr>
                  <m:begChr m:val="("/>
                  <m:sepChr m:val=""/>
                  <m:endChr m:val=")"/>
                  <m:grow/>
                </m:dPr>
                <m:e>
                  <m:r>
                    <m:t>n</m:t>
                  </m:r>
                  <m:r>
                    <m:t> </m:t>
                  </m:r>
                  <m:sSub>
                    <m:e>
                      <m:r>
                        <m:t>c</m:t>
                      </m:r>
                    </m:e>
                    <m:sub>
                      <m:r>
                        <m:t>i</m:t>
                      </m:r>
                    </m:sub>
                  </m:sSub>
                </m:e>
              </m:d>
            </m:num>
            <m:den>
              <m:r>
                <m:rPr>
                  <m:sty m:val="p"/>
                </m:rPr>
                <m:t>∂</m:t>
              </m:r>
              <m:r>
                <m:t>t</m:t>
              </m:r>
            </m:den>
          </m:f>
          <m:r>
            <m:rPr>
              <m:sty m:val="p"/>
            </m:rPr>
            <m:t>+</m:t>
          </m:r>
          <m:r>
            <m:rPr>
              <m:sty m:val="p"/>
            </m:rPr>
            <m:t>∇</m:t>
          </m:r>
          <m:r>
            <m:rPr>
              <m:sty m:val="p"/>
            </m:rPr>
            <m:t>⋅</m:t>
          </m:r>
          <m:d>
            <m:dPr>
              <m:begChr m:val="("/>
              <m:sepChr m:val=""/>
              <m:endChr m:val=")"/>
              <m:grow/>
            </m:dPr>
            <m:e>
              <m:r>
                <m:rPr>
                  <m:sty m:val="b"/>
                </m:rPr>
                <m:t>q</m:t>
              </m:r>
              <m:r>
                <m:t> </m:t>
              </m:r>
              <m:sSub>
                <m:e>
                  <m:r>
                    <m:t>c</m:t>
                  </m:r>
                </m:e>
                <m:sub>
                  <m:r>
                    <m:t>i</m:t>
                  </m:r>
                </m:sub>
              </m:sSub>
            </m:e>
          </m:d>
          <m:r>
            <m:rPr>
              <m:sty m:val="p"/>
            </m:rPr>
            <m:t>−</m:t>
          </m:r>
          <m:r>
            <m:rPr>
              <m:sty m:val="p"/>
            </m:rPr>
            <m:t>∇</m:t>
          </m:r>
          <m:r>
            <m:rPr>
              <m:sty m:val="p"/>
            </m:rPr>
            <m:t>⋅</m:t>
          </m:r>
          <m:d>
            <m:dPr>
              <m:begChr m:val="("/>
              <m:sepChr m:val=""/>
              <m:endChr m:val=")"/>
              <m:grow/>
            </m:dPr>
            <m:e>
              <m:r>
                <m:t>n</m:t>
              </m:r>
              <m:r>
                <m:t> </m:t>
              </m:r>
              <m:r>
                <m:rPr>
                  <m:sty m:val="b"/>
                </m:rPr>
                <m:t>D</m:t>
              </m:r>
              <m:d>
                <m:dPr>
                  <m:begChr m:val="("/>
                  <m:sepChr m:val=""/>
                  <m:endChr m:val=")"/>
                  <m:grow/>
                </m:dPr>
                <m:e>
                  <m:r>
                    <m:rPr>
                      <m:sty m:val="b"/>
                    </m:rPr>
                    <m:t>q</m:t>
                  </m:r>
                </m:e>
              </m:d>
              <m:r>
                <m:t> </m:t>
              </m:r>
              <m:r>
                <m:rPr>
                  <m:sty m:val="p"/>
                </m:rPr>
                <m:t>∇</m:t>
              </m:r>
              <m:sSub>
                <m:e>
                  <m:r>
                    <m:t>c</m:t>
                  </m:r>
                </m:e>
                <m:sub>
                  <m:r>
                    <m:t>i</m:t>
                  </m:r>
                </m:sub>
              </m:sSub>
            </m:e>
          </m:d>
          <m:r>
            <m:rPr>
              <m:sty m:val="p"/>
            </m:rPr>
            <m:t>=</m:t>
          </m:r>
          <m:sSub>
            <m:e>
              <m:r>
                <m:t>r</m:t>
              </m:r>
            </m:e>
            <m:sub>
              <m:r>
                <m:t>i</m:t>
              </m:r>
            </m:sub>
          </m:sSub>
          <m:d>
            <m:dPr>
              <m:begChr m:val="("/>
              <m:sepChr m:val=""/>
              <m:endChr m:val=")"/>
              <m:grow/>
            </m:dPr>
            <m:e>
              <m:r>
                <m:rPr>
                  <m:sty m:val="b"/>
                </m:rPr>
                <m:t>c</m:t>
              </m:r>
            </m:e>
          </m:d>
          <m:r>
            <m:rPr>
              <m:sty m:val="p"/>
            </m:rPr>
            <m:t>+</m:t>
          </m:r>
          <m:r>
            <m:t>Q</m:t>
          </m:r>
          <m:r>
            <m:t> </m:t>
          </m:r>
          <m:sSub>
            <m:e>
              <m:r>
                <m:t>c</m:t>
              </m:r>
            </m:e>
            <m:sub>
              <m:r>
                <m:t>i</m:t>
              </m:r>
              <m:r>
                <m:rPr>
                  <m:sty m:val="p"/>
                </m:rPr>
                <m:t>,</m:t>
              </m:r>
              <m:r>
                <m:rPr>
                  <m:sty m:val="p"/>
                </m:rPr>
                <m:t>i</m:t>
              </m:r>
              <m:r>
                <m:rPr>
                  <m:sty m:val="p"/>
                </m:rPr>
                <m:t>n</m:t>
              </m:r>
            </m:sub>
          </m:sSub>
        </m:oMath>
      </m:oMathPara>
    </w:p>
    <w:p>
      <w:pPr>
        <w:spacing w:after="120"/>
        <w:jc w:val="both"/>
      </w:pPr>
      <w:r>
        <w:t xml:space="preserve">with the dispersion tensor </w:t>
      </w:r>
      <m:oMath>
        <m:r>
          <m:rPr>
            <m:sty m:val="b"/>
          </m:rPr>
          <m:t>D</m:t>
        </m:r>
      </m:oMath>
      <w:r>
        <w:t xml:space="preserve"> of longitudinal and transverse dispersivity and the exchange and reaction terms </w:t>
      </w:r>
      <m:oMath>
        <m:sSub>
          <m:e>
            <m:r>
              <m:t>r</m:t>
            </m:r>
          </m:e>
          <m:sub>
            <m:r>
              <m:t>i</m:t>
            </m:r>
          </m:sub>
        </m:sSub>
      </m:oMath>
      <w:r>
        <w:t xml:space="preserve">. Aquitards with memory are written, as in earlier reports, as extra Markovian states that exchange water with the aquifer. After discretisation in space every piece becomes a block of one differential–algebraic system for the state </w:t>
      </w:r>
      <m:oMath>
        <m:r>
          <m:rPr>
            <m:sty m:val="b"/>
          </m:rPr>
          <m:t>y</m:t>
        </m:r>
        <m:r>
          <m:rPr>
            <m:sty m:val="p"/>
          </m:rPr>
          <m:t>=</m:t>
        </m:r>
        <m:d>
          <m:dPr>
            <m:begChr m:val="("/>
            <m:sepChr m:val=""/>
            <m:endChr m:val=")"/>
            <m:grow/>
          </m:dPr>
          <m:e>
            <m:r>
              <m:rPr>
                <m:sty m:val="b"/>
              </m:rPr>
              <m:t>h</m:t>
            </m:r>
            <m:r>
              <m:rPr>
                <m:sty m:val="p"/>
              </m:rPr>
              <m:t>,</m:t>
            </m:r>
            <m:sSub>
              <m:e>
                <m:r>
                  <m:rPr>
                    <m:sty m:val="b"/>
                  </m:rPr>
                  <m:t>c</m:t>
                </m:r>
              </m:e>
              <m:sub>
                <m:r>
                  <m:t>1</m:t>
                </m:r>
              </m:sub>
            </m:sSub>
            <m:r>
              <m:rPr>
                <m:sty m:val="p"/>
              </m:rPr>
              <m:t>,</m:t>
            </m:r>
            <m:r>
              <m:rPr>
                <m:sty m:val="p"/>
              </m:rPr>
              <m:t>…</m:t>
            </m:r>
            <m:r>
              <m:rPr>
                <m:sty m:val="p"/>
              </m:rPr>
              <m:t>,</m:t>
            </m:r>
            <m:sSub>
              <m:e>
                <m:r>
                  <m:rPr>
                    <m:sty m:val="b"/>
                  </m:rPr>
                  <m:t>c</m:t>
                </m:r>
              </m:e>
              <m:sub>
                <m:sSub>
                  <m:e>
                    <m:r>
                      <m:t>N</m:t>
                    </m:r>
                  </m:e>
                  <m:sub>
                    <m:r>
                      <m:t>s</m:t>
                    </m:r>
                  </m:sub>
                </m:sSub>
              </m:sub>
            </m:sSub>
            <m:r>
              <m:rPr>
                <m:sty m:val="p"/>
              </m:rPr>
              <m:t>,</m:t>
            </m:r>
            <m:sSub>
              <m:e>
                <m:r>
                  <m:rPr>
                    <m:sty m:val="b"/>
                  </m:rPr>
                  <m:t>h</m:t>
                </m:r>
              </m:e>
              <m:sub>
                <m:r>
                  <m:rPr>
                    <m:sty m:val="p"/>
                  </m:rPr>
                  <m:t>a</m:t>
                </m:r>
                <m:r>
                  <m:rPr>
                    <m:sty m:val="p"/>
                  </m:rPr>
                  <m:t>q</m:t>
                </m:r>
              </m:sub>
            </m:sSub>
          </m:e>
        </m:d>
      </m:oMath>
      <w:r>
        <w:t xml:space="preserve">:</w:t>
      </w:r>
    </w:p>
    <w:p>
      <w:pPr>
        <w:pStyle w:val="Equation"/>
      </w:pPr>
      <m:oMathPara>
        <m:oMathParaPr>
          <m:jc m:val="center"/>
        </m:oMathParaPr>
        <m:oMath>
          <m:r>
            <m:rPr>
              <m:sty m:val="b"/>
            </m:rPr>
            <m:t>M</m:t>
          </m:r>
          <m:d>
            <m:dPr>
              <m:begChr m:val="("/>
              <m:sepChr m:val=""/>
              <m:endChr m:val=")"/>
              <m:grow/>
            </m:dPr>
            <m:e>
              <m:r>
                <m:rPr>
                  <m:sty m:val="b"/>
                </m:rPr>
                <m:t>y</m:t>
              </m:r>
            </m:e>
          </m:d>
          <m:r>
            <m:t> </m:t>
          </m:r>
          <m:acc>
            <m:accPr>
              <m:chr m:val="̇"/>
            </m:accPr>
            <m:e>
              <m:r>
                <m:rPr>
                  <m:sty m:val="b"/>
                </m:rPr>
                <m:t>y</m:t>
              </m:r>
            </m:e>
          </m:acc>
          <m:r>
            <m:rPr>
              <m:sty m:val="p"/>
            </m:rPr>
            <m:t>=</m:t>
          </m:r>
          <m:r>
            <m:rPr>
              <m:sty m:val="b"/>
            </m:rPr>
            <m:t>F</m:t>
          </m:r>
          <m:d>
            <m:dPr>
              <m:begChr m:val="("/>
              <m:sepChr m:val=""/>
              <m:endChr m:val=")"/>
              <m:grow/>
            </m:dPr>
            <m:e>
              <m:r>
                <m:rPr>
                  <m:sty m:val="b"/>
                </m:rPr>
                <m:t>y</m:t>
              </m:r>
              <m:r>
                <m:rPr>
                  <m:sty m:val="p"/>
                </m:rPr>
                <m:t>;</m:t>
              </m:r>
              <m:r>
                <m:t> </m:t>
              </m:r>
              <m:r>
                <m:rPr>
                  <m:sty m:val="b"/>
                </m:rPr>
                <m:t>θ</m:t>
              </m:r>
              <m:r>
                <m:rPr>
                  <m:sty m:val="p"/>
                </m:rPr>
                <m:t>,</m:t>
              </m:r>
              <m:r>
                <m:t> </m:t>
              </m:r>
              <m:r>
                <m:rPr>
                  <m:sty m:val="b"/>
                </m:rPr>
                <m:t>b</m:t>
              </m:r>
              <m:d>
                <m:dPr>
                  <m:begChr m:val="("/>
                  <m:sepChr m:val=""/>
                  <m:endChr m:val=")"/>
                  <m:grow/>
                </m:dPr>
                <m:e>
                  <m:r>
                    <m:t>t</m:t>
                  </m:r>
                </m:e>
              </m:d>
              <m:r>
                <m:rPr>
                  <m:sty m:val="p"/>
                </m:rPr>
                <m:t>,</m:t>
              </m:r>
              <m:r>
                <m:t> </m:t>
              </m:r>
              <m:r>
                <m:rPr>
                  <m:sty m:val="b"/>
                </m:rPr>
                <m:t>u</m:t>
              </m:r>
              <m:d>
                <m:dPr>
                  <m:begChr m:val="("/>
                  <m:sepChr m:val=""/>
                  <m:endChr m:val=")"/>
                  <m:grow/>
                </m:dPr>
                <m:e>
                  <m:r>
                    <m:t>t</m:t>
                  </m:r>
                </m:e>
              </m:d>
            </m:e>
          </m:d>
          <m:r>
            <m:rPr>
              <m:sty m:val="p"/>
            </m:rPr>
            <m:t>,</m:t>
          </m:r>
          <m:r>
            <m:t>  </m:t>
          </m:r>
          <m:r>
            <m:rPr>
              <m:sty m:val="b"/>
            </m:rPr>
            <m:t>y</m:t>
          </m:r>
          <m:d>
            <m:dPr>
              <m:begChr m:val="("/>
              <m:sepChr m:val=""/>
              <m:endChr m:val=")"/>
              <m:grow/>
            </m:dPr>
            <m:e>
              <m:sSub>
                <m:e>
                  <m:r>
                    <m:t>t</m:t>
                  </m:r>
                </m:e>
                <m:sub>
                  <m:r>
                    <m:t>0</m:t>
                  </m:r>
                </m:sub>
              </m:sSub>
            </m:e>
          </m:d>
          <m:r>
            <m:rPr>
              <m:sty m:val="p"/>
            </m:rPr>
            <m:t>=</m:t>
          </m:r>
          <m:sSub>
            <m:e>
              <m:r>
                <m:rPr>
                  <m:sty m:val="b"/>
                </m:rPr>
                <m:t>y</m:t>
              </m:r>
            </m:e>
            <m:sub>
              <m:r>
                <m:t>0</m:t>
              </m:r>
            </m:sub>
          </m:sSub>
        </m:oMath>
      </m:oMathPara>
    </w:p>
    <w:p>
      <w:pPr>
        <w:spacing w:after="120"/>
        <w:jc w:val="both"/>
      </w:pPr>
      <w:r>
        <w:t xml:space="preserve">where </w:t>
      </w:r>
      <m:oMath>
        <m:r>
          <m:rPr>
            <m:sty m:val="b"/>
          </m:rPr>
          <m:t>θ</m:t>
        </m:r>
      </m:oMath>
      <w:r>
        <w:t xml:space="preserve"> are the uncertain parameters (conductivity field, dispersivities, exchange capacities, the sea contact), </w:t>
      </w:r>
      <m:oMath>
        <m:r>
          <m:rPr>
            <m:sty m:val="b"/>
          </m:rPr>
          <m:t>b</m:t>
        </m:r>
        <m:d>
          <m:dPr>
            <m:begChr m:val="("/>
            <m:sepChr m:val=""/>
            <m:endChr m:val=")"/>
            <m:grow/>
          </m:dPr>
          <m:e>
            <m:r>
              <m:t>t</m:t>
            </m:r>
          </m:e>
        </m:d>
      </m:oMath>
      <w:r>
        <w:t xml:space="preserve"> the boundary forcings of the seven classes (sea level, recharge, rivers, drains, inland inflow, base, unlicensed abstraction) and </w:t>
      </w:r>
      <m:oMath>
        <m:r>
          <m:rPr>
            <m:sty m:val="b"/>
          </m:rPr>
          <m:t>u</m:t>
        </m:r>
        <m:d>
          <m:dPr>
            <m:begChr m:val="("/>
            <m:sepChr m:val=""/>
            <m:endChr m:val=")"/>
            <m:grow/>
          </m:dPr>
          <m:e>
            <m:r>
              <m:t>t</m:t>
            </m:r>
          </m:e>
        </m:d>
      </m:oMath>
      <w:r>
        <w:t xml:space="preserve"> the controls. Its Jacobian has a block structure, flow–flow, flow–transport through the density, transport–flow through the velocity, and transport–transport through exchange, which decides whether the system is solved monolithically or split, and how it is preconditioned. A sharp-interface model with one potential is the simplest member of this family and, in this series, the cheap model on which placement was first optimised [B3].</w:t>
      </w:r>
    </w:p>
    <w:p>
      <w:pPr>
        <w:pStyle w:val="Heading3"/>
      </w:pPr>
      <w:r>
        <w:rPr>
          <w:color w:val="1F3864"/>
        </w:rPr>
        <w:t xml:space="preserve">1.2 The wells as controls</w:t>
      </w:r>
    </w:p>
    <w:p>
      <w:pPr>
        <w:spacing w:after="120"/>
        <w:jc w:val="both"/>
      </w:pPr>
      <w:r>
        <w:t xml:space="preserve">A well enters the equations as a source or sink at its location </w:t>
      </w:r>
      <m:oMath>
        <m:sSub>
          <m:e>
            <m:r>
              <m:rPr>
                <m:sty m:val="b"/>
              </m:rPr>
              <m:t>x</m:t>
            </m:r>
          </m:e>
          <m:sub>
            <m:r>
              <m:t>j</m:t>
            </m:r>
          </m:sub>
        </m:sSub>
      </m:oMath>
      <w:r>
        <w:t xml:space="preserve">, spread over the cell that contains it and corrected for the difference between the cell pressure and the pressure at the well radius [B4]:</w:t>
      </w:r>
    </w:p>
    <w:p>
      <w:pPr>
        <w:pStyle w:val="Equation"/>
      </w:pPr>
      <m:oMathPara>
        <m:oMathParaPr>
          <m:jc m:val="center"/>
        </m:oMathParaPr>
        <m:oMath>
          <m:r>
            <m:t>Q</m:t>
          </m:r>
          <m:d>
            <m:dPr>
              <m:begChr m:val="("/>
              <m:sepChr m:val=""/>
              <m:endChr m:val=")"/>
              <m:grow/>
            </m:dPr>
            <m:e>
              <m:r>
                <m:rPr>
                  <m:sty m:val="b"/>
                </m:rPr>
                <m:t>x</m:t>
              </m:r>
              <m:r>
                <m:rPr>
                  <m:sty m:val="p"/>
                </m:rPr>
                <m:t>,</m:t>
              </m:r>
              <m:r>
                <m:t>t</m:t>
              </m:r>
            </m:e>
          </m:d>
          <m:r>
            <m:rPr>
              <m:sty m:val="p"/>
            </m:rPr>
            <m:t>=</m:t>
          </m:r>
          <m:nary>
            <m:naryPr>
              <m:chr m:val="∑"/>
              <m:limLoc m:val="undOvr"/>
              <m:subHide m:val="off"/>
              <m:supHide m:val="off"/>
            </m:naryPr>
            <m:sub>
              <m:r>
                <m:t>j</m:t>
              </m:r>
              <m:r>
                <m:rPr>
                  <m:sty m:val="p"/>
                </m:rPr>
                <m:t>=</m:t>
              </m:r>
              <m:r>
                <m:t>1</m:t>
              </m:r>
            </m:sub>
            <m:sup>
              <m:r>
                <m:t>J</m:t>
              </m:r>
            </m:sup>
            <m:e>
              <m:sSub>
                <m:e>
                  <m:r>
                    <m:t>q</m:t>
                  </m:r>
                </m:e>
                <m:sub>
                  <m:r>
                    <m:t>j</m:t>
                  </m:r>
                </m:sub>
              </m:sSub>
            </m:e>
          </m:nary>
          <m:d>
            <m:dPr>
              <m:begChr m:val="("/>
              <m:sepChr m:val=""/>
              <m:endChr m:val=")"/>
              <m:grow/>
            </m:dPr>
            <m:e>
              <m:r>
                <m:t>t</m:t>
              </m:r>
            </m:e>
          </m:d>
          <m:r>
            <m:t> </m:t>
          </m:r>
          <m:sSub>
            <m:e>
              <m:r>
                <m:t>δ</m:t>
              </m:r>
            </m:e>
            <m:sub>
              <m:r>
                <m:t>ϵ</m:t>
              </m:r>
            </m:sub>
          </m:sSub>
          <m:d>
            <m:dPr>
              <m:begChr m:val="("/>
              <m:sepChr m:val=""/>
              <m:endChr m:val=")"/>
              <m:grow/>
            </m:dPr>
            <m:e>
              <m:r>
                <m:rPr>
                  <m:sty m:val="b"/>
                </m:rPr>
                <m:t>x</m:t>
              </m:r>
              <m:r>
                <m:rPr>
                  <m:sty m:val="p"/>
                </m:rPr>
                <m:t>−</m:t>
              </m:r>
              <m:sSub>
                <m:e>
                  <m:r>
                    <m:rPr>
                      <m:sty m:val="b"/>
                    </m:rPr>
                    <m:t>x</m:t>
                  </m:r>
                </m:e>
                <m:sub>
                  <m:r>
                    <m:t>j</m:t>
                  </m:r>
                </m:sub>
              </m:sSub>
            </m:e>
          </m:d>
          <m:r>
            <m:rPr>
              <m:sty m:val="p"/>
            </m:rPr>
            <m:t>,</m:t>
          </m:r>
          <m:r>
            <m:t>  </m:t>
          </m:r>
          <m:sSub>
            <m:e>
              <m:r>
                <m:t>q</m:t>
              </m:r>
            </m:e>
            <m:sub>
              <m:r>
                <m:t>j</m:t>
              </m:r>
            </m:sub>
          </m:sSub>
          <m:r>
            <m:rPr>
              <m:sty m:val="p"/>
            </m:rPr>
            <m:t>=</m:t>
          </m:r>
          <m:f>
            <m:fPr>
              <m:type m:val="bar"/>
            </m:fPr>
            <m:num>
              <m:r>
                <m:t>2</m:t>
              </m:r>
              <m:r>
                <m:t>π</m:t>
              </m:r>
              <m:r>
                <m:t>k</m:t>
              </m:r>
              <m:r>
                <m:t> </m:t>
              </m:r>
              <m:r>
                <m:t>b</m:t>
              </m:r>
            </m:num>
            <m:den>
              <m:r>
                <m:t>μ</m:t>
              </m:r>
              <m:r>
                <m:t> </m:t>
              </m:r>
              <m:r>
                <m:rPr>
                  <m:sty m:val="p"/>
                </m:rPr>
                <m:t>ln</m:t>
              </m:r>
              <m:d>
                <m:dPr>
                  <m:begChr m:val="("/>
                  <m:sepChr m:val=""/>
                  <m:endChr m:val=")"/>
                  <m:grow/>
                </m:dPr>
                <m:e>
                  <m:sSub>
                    <m:e>
                      <m:r>
                        <m:t>r</m:t>
                      </m:r>
                    </m:e>
                    <m:sub>
                      <m:r>
                        <m:t>o</m:t>
                      </m:r>
                    </m:sub>
                  </m:sSub>
                  <m:r>
                    <m:rPr>
                      <m:sty m:val="p"/>
                    </m:rPr>
                    <m:t>/</m:t>
                  </m:r>
                  <m:sSub>
                    <m:e>
                      <m:r>
                        <m:t>r</m:t>
                      </m:r>
                    </m:e>
                    <m:sub>
                      <m:r>
                        <m:t>w</m:t>
                      </m:r>
                    </m:sub>
                  </m:sSub>
                </m:e>
              </m:d>
            </m:den>
          </m:f>
          <m:d>
            <m:dPr>
              <m:begChr m:val="("/>
              <m:sepChr m:val=""/>
              <m:endChr m:val=")"/>
              <m:grow/>
            </m:dPr>
            <m:e>
              <m:sSub>
                <m:e>
                  <m:r>
                    <m:t>p</m:t>
                  </m:r>
                </m:e>
                <m:sub>
                  <m:r>
                    <m:rPr>
                      <m:sty m:val="p"/>
                    </m:rPr>
                    <m:t>c</m:t>
                  </m:r>
                  <m:r>
                    <m:rPr>
                      <m:sty m:val="p"/>
                    </m:rPr>
                    <m:t>e</m:t>
                  </m:r>
                  <m:r>
                    <m:rPr>
                      <m:sty m:val="p"/>
                    </m:rPr>
                    <m:t>l</m:t>
                  </m:r>
                  <m:r>
                    <m:rPr>
                      <m:sty m:val="p"/>
                    </m:rPr>
                    <m:t>l</m:t>
                  </m:r>
                </m:sub>
              </m:sSub>
              <m:r>
                <m:rPr>
                  <m:sty m:val="p"/>
                </m:rPr>
                <m:t>−</m:t>
              </m:r>
              <m:sSub>
                <m:e>
                  <m:r>
                    <m:t>p</m:t>
                  </m:r>
                </m:e>
                <m:sub>
                  <m:r>
                    <m:t>w</m:t>
                  </m:r>
                </m:sub>
              </m:sSub>
            </m:e>
          </m:d>
        </m:oMath>
      </m:oMathPara>
    </w:p>
    <w:p>
      <w:pPr>
        <w:spacing w:after="120"/>
        <w:jc w:val="both"/>
      </w:pPr>
      <w:r>
        <w:t xml:space="preserve">Placing wells among </w:t>
      </w:r>
      <m:oMath>
        <m:r>
          <m:t>J</m:t>
        </m:r>
      </m:oMath>
      <w:r>
        <w:t xml:space="preserve"> candidate sites makes the controls mixed integer: a binary </w:t>
      </w:r>
      <m:oMath>
        <m:sSub>
          <m:e>
            <m:r>
              <m:t>z</m:t>
            </m:r>
          </m:e>
          <m:sub>
            <m:r>
              <m:t>j</m:t>
            </m:r>
          </m:sub>
        </m:sSub>
      </m:oMath>
      <w:r>
        <w:t xml:space="preserve"> opens site </w:t>
      </w:r>
      <m:oMath>
        <m:r>
          <m:t>j</m:t>
        </m:r>
      </m:oMath>
      <w:r>
        <w:t xml:space="preserve">, and its rate (positive for recharge, negative for pumping) is allowed only if it is open [B5, B6]:</w:t>
      </w:r>
    </w:p>
    <w:p>
      <w:pPr>
        <w:pStyle w:val="Equation"/>
      </w:pPr>
      <m:oMathPara>
        <m:oMathParaPr>
          <m:jc m:val="center"/>
        </m:oMathParaPr>
        <m:oMath>
          <m:r>
            <m:rPr>
              <m:sty m:val="b"/>
            </m:rPr>
            <m:t>u</m:t>
          </m:r>
          <m:r>
            <m:rPr>
              <m:sty m:val="p"/>
            </m:rPr>
            <m:t>=</m:t>
          </m:r>
          <m:d>
            <m:dPr>
              <m:begChr m:val="("/>
              <m:sepChr m:val=""/>
              <m:endChr m:val=")"/>
              <m:grow/>
            </m:dPr>
            <m:e>
              <m:r>
                <m:rPr>
                  <m:sty m:val="b"/>
                </m:rPr>
                <m:t>z</m:t>
              </m:r>
              <m:r>
                <m:rPr>
                  <m:sty m:val="p"/>
                </m:rPr>
                <m:t>,</m:t>
              </m:r>
              <m:r>
                <m:t> </m:t>
              </m:r>
              <m:r>
                <m:rPr>
                  <m:sty m:val="b"/>
                </m:rPr>
                <m:t>q</m:t>
              </m:r>
              <m:d>
                <m:dPr>
                  <m:begChr m:val="("/>
                  <m:sepChr m:val=""/>
                  <m:endChr m:val=")"/>
                  <m:grow/>
                </m:dPr>
                <m:e>
                  <m:r>
                    <m:t>t</m:t>
                  </m:r>
                </m:e>
              </m:d>
            </m:e>
          </m:d>
          <m:r>
            <m:rPr>
              <m:sty m:val="p"/>
            </m:rPr>
            <m:t>,</m:t>
          </m:r>
          <m:r>
            <m:t>  </m:t>
          </m:r>
          <m:sSub>
            <m:e>
              <m:r>
                <m:t>z</m:t>
              </m:r>
            </m:e>
            <m:sub>
              <m:r>
                <m:t>j</m:t>
              </m:r>
            </m:sub>
          </m:sSub>
          <m:r>
            <m:rPr>
              <m:sty m:val="p"/>
            </m:rPr>
            <m:t>∈</m:t>
          </m:r>
          <m:r>
            <m:rPr>
              <m:sty m:val="p"/>
            </m:rPr>
            <m:t>{</m:t>
          </m:r>
          <m:r>
            <m:t>0</m:t>
          </m:r>
          <m:r>
            <m:rPr>
              <m:sty m:val="p"/>
            </m:rPr>
            <m:t>,</m:t>
          </m:r>
          <m:r>
            <m:t>1</m:t>
          </m:r>
          <m:r>
            <m:rPr>
              <m:sty m:val="p"/>
            </m:rPr>
            <m:t>}</m:t>
          </m:r>
          <m:r>
            <m:rPr>
              <m:sty m:val="p"/>
            </m:rPr>
            <m:t>,</m:t>
          </m:r>
          <m:r>
            <m:t>  </m:t>
          </m:r>
          <m:sSubSup>
            <m:e>
              <m:r>
                <m:t>q</m:t>
              </m:r>
            </m:e>
            <m:sub>
              <m:r>
                <m:t>j</m:t>
              </m:r>
            </m:sub>
            <m:sup>
              <m:r>
                <m:rPr>
                  <m:sty m:val="p"/>
                </m:rPr>
                <m:t>min</m:t>
              </m:r>
            </m:sup>
          </m:sSubSup>
          <m:sSub>
            <m:e>
              <m:r>
                <m:t>z</m:t>
              </m:r>
            </m:e>
            <m:sub>
              <m:r>
                <m:t>j</m:t>
              </m:r>
            </m:sub>
          </m:sSub>
          <m:r>
            <m:rPr>
              <m:sty m:val="p"/>
            </m:rPr>
            <m:t>≤</m:t>
          </m:r>
          <m:sSub>
            <m:e>
              <m:r>
                <m:t>q</m:t>
              </m:r>
            </m:e>
            <m:sub>
              <m:r>
                <m:t>j</m:t>
              </m:r>
            </m:sub>
          </m:sSub>
          <m:d>
            <m:dPr>
              <m:begChr m:val="("/>
              <m:sepChr m:val=""/>
              <m:endChr m:val=")"/>
              <m:grow/>
            </m:dPr>
            <m:e>
              <m:r>
                <m:t>t</m:t>
              </m:r>
            </m:e>
          </m:d>
          <m:r>
            <m:rPr>
              <m:sty m:val="p"/>
            </m:rPr>
            <m:t>≤</m:t>
          </m:r>
          <m:sSubSup>
            <m:e>
              <m:r>
                <m:t>q</m:t>
              </m:r>
            </m:e>
            <m:sub>
              <m:r>
                <m:t>j</m:t>
              </m:r>
            </m:sub>
            <m:sup>
              <m:r>
                <m:rPr>
                  <m:sty m:val="p"/>
                </m:rPr>
                <m:t>max</m:t>
              </m:r>
            </m:sup>
          </m:sSubSup>
          <m:sSub>
            <m:e>
              <m:r>
                <m:t>z</m:t>
              </m:r>
            </m:e>
            <m:sub>
              <m:r>
                <m:t>j</m:t>
              </m:r>
            </m:sub>
          </m:sSub>
          <m:r>
            <m:rPr>
              <m:sty m:val="p"/>
            </m:rPr>
            <m:t>,</m:t>
          </m:r>
          <m:r>
            <m:t>  </m:t>
          </m:r>
          <m:nary>
            <m:naryPr>
              <m:chr m:val="∑"/>
              <m:limLoc m:val="undOvr"/>
              <m:subHide m:val="off"/>
              <m:supHide m:val="on"/>
            </m:naryPr>
            <m:sub>
              <m:r>
                <m:t>j</m:t>
              </m:r>
            </m:sub>
            <m:sup>
              <m:r>
                <m:t>​</m:t>
              </m:r>
            </m:sup>
            <m:e>
              <m:sSub>
                <m:e>
                  <m:r>
                    <m:t>z</m:t>
                  </m:r>
                </m:e>
                <m:sub>
                  <m:r>
                    <m:t>j</m:t>
                  </m:r>
                </m:sub>
              </m:sSub>
            </m:e>
          </m:nary>
          <m:r>
            <m:rPr>
              <m:sty m:val="p"/>
            </m:rPr>
            <m:t>≤</m:t>
          </m:r>
          <m:r>
            <m:t>K</m:t>
          </m:r>
        </m:oMath>
      </m:oMathPara>
    </w:p>
    <w:p>
      <w:pPr>
        <w:spacing w:after="120"/>
        <w:jc w:val="both"/>
      </w:pPr>
      <w:r>
        <w:t xml:space="preserve">Recharge wells raise the head between the sea and the supply wells and push the interface seaward; pumping wells lower it. Both enter </w:t>
      </w:r>
      <m:oMath>
        <m:r>
          <m:rPr>
            <m:sty m:val="b"/>
          </m:rPr>
          <m:t>F</m:t>
        </m:r>
      </m:oMath>
      <w:r>
        <w:t xml:space="preserve"> linearly through </w:t>
      </w:r>
      <m:oMath>
        <m:r>
          <m:t>Q</m:t>
        </m:r>
      </m:oMath>
      <w:r>
        <w:t xml:space="preserve">, which is why placement problems for the one-potential model were linear in the rates and cheap to solve, and why the full variable-density system, where </w:t>
      </w:r>
      <m:oMath>
        <m:r>
          <m:t>Q</m:t>
        </m:r>
      </m:oMath>
      <w:r>
        <w:t xml:space="preserve"> also changes the density field, is not.</w:t>
      </w:r>
    </w:p>
    <w:p>
      <w:pPr>
        <w:pStyle w:val="Heading3"/>
      </w:pPr>
      <w:r>
        <w:rPr>
          <w:color w:val="1F3864"/>
        </w:rPr>
        <w:t xml:space="preserve">1.3 Data and assimilation</w:t>
      </w:r>
    </w:p>
    <w:p>
      <w:pPr>
        <w:spacing w:after="120"/>
        <w:jc w:val="both"/>
      </w:pPr>
      <w:r>
        <w:t xml:space="preserve">Heads, chloride and electrical conductivity at monitoring wells observe the assembled state through an observation operator, and the assimilation updates states and parameters together [B7]:</w:t>
      </w:r>
    </w:p>
    <w:p>
      <w:pPr>
        <w:pStyle w:val="Equation"/>
      </w:pPr>
      <m:oMathPara>
        <m:oMathParaPr>
          <m:jc m:val="center"/>
        </m:oMathParaPr>
        <m:oMath>
          <m:sSub>
            <m:e>
              <m:r>
                <m:rPr>
                  <m:sty m:val="b"/>
                </m:rPr>
                <m:t>d</m:t>
              </m:r>
            </m:e>
            <m:sub>
              <m:r>
                <m:t>k</m:t>
              </m:r>
            </m:sub>
          </m:sSub>
          <m:r>
            <m:rPr>
              <m:sty m:val="p"/>
            </m:rPr>
            <m:t>=</m:t>
          </m:r>
          <m:r>
            <m:rPr>
              <m:scr m:val="script"/>
              <m:sty m:val="p"/>
            </m:rPr>
            <m:t>H</m:t>
          </m:r>
          <m:d>
            <m:dPr>
              <m:begChr m:val="("/>
              <m:sepChr m:val=""/>
              <m:endChr m:val=")"/>
              <m:grow/>
            </m:dPr>
            <m:e>
              <m:r>
                <m:rPr>
                  <m:sty m:val="b"/>
                </m:rPr>
                <m:t>y</m:t>
              </m:r>
              <m:d>
                <m:dPr>
                  <m:begChr m:val="("/>
                  <m:sepChr m:val=""/>
                  <m:endChr m:val=")"/>
                  <m:grow/>
                </m:dPr>
                <m:e>
                  <m:sSub>
                    <m:e>
                      <m:r>
                        <m:t>t</m:t>
                      </m:r>
                    </m:e>
                    <m:sub>
                      <m:r>
                        <m:t>k</m:t>
                      </m:r>
                    </m:sub>
                  </m:sSub>
                </m:e>
              </m:d>
            </m:e>
          </m:d>
          <m:r>
            <m:rPr>
              <m:sty m:val="p"/>
            </m:rPr>
            <m:t>+</m:t>
          </m:r>
          <m:sSub>
            <m:e>
              <m:r>
                <m:rPr>
                  <m:sty m:val="b"/>
                </m:rPr>
                <m:t>ε</m:t>
              </m:r>
            </m:e>
            <m:sub>
              <m:r>
                <m:t>k</m:t>
              </m:r>
            </m:sub>
          </m:sSub>
          <m:r>
            <m:rPr>
              <m:sty m:val="p"/>
            </m:rPr>
            <m:t>,</m:t>
          </m:r>
          <m:r>
            <m:t>  </m:t>
          </m:r>
          <m:r>
            <m:t>p</m:t>
          </m:r>
          <m:d>
            <m:dPr>
              <m:begChr m:val="("/>
              <m:sepChr m:val=""/>
              <m:endChr m:val=")"/>
              <m:grow/>
            </m:dPr>
            <m:e>
              <m:r>
                <m:rPr>
                  <m:sty m:val="b"/>
                </m:rPr>
                <m:t>θ</m:t>
              </m:r>
              <m:r>
                <m:rPr>
                  <m:sty m:val="p"/>
                </m:rPr>
                <m:t>,</m:t>
              </m:r>
              <m:sSub>
                <m:e>
                  <m:r>
                    <m:rPr>
                      <m:sty m:val="b"/>
                    </m:rPr>
                    <m:t>y</m:t>
                  </m:r>
                </m:e>
                <m:sub>
                  <m:r>
                    <m:t>0</m:t>
                  </m:r>
                </m:sub>
              </m:sSub>
              <m:r>
                <m:rPr>
                  <m:sty m:val="p"/>
                </m:rPr>
                <m:t>∣</m:t>
              </m:r>
              <m:sSub>
                <m:e>
                  <m:r>
                    <m:rPr>
                      <m:sty m:val="b"/>
                    </m:rPr>
                    <m:t>d</m:t>
                  </m:r>
                </m:e>
                <m:sub>
                  <m:r>
                    <m:t>1</m:t>
                  </m:r>
                  <m:r>
                    <m:rPr>
                      <m:sty m:val="p"/>
                    </m:rPr>
                    <m:t>:</m:t>
                  </m:r>
                  <m:r>
                    <m:t>K</m:t>
                  </m:r>
                </m:sub>
              </m:sSub>
            </m:e>
          </m:d>
          <m:r>
            <m:rPr>
              <m:sty m:val="p"/>
            </m:rPr>
            <m:t>∝</m:t>
          </m:r>
          <m:r>
            <m:t>p</m:t>
          </m:r>
          <m:d>
            <m:dPr>
              <m:begChr m:val="("/>
              <m:sepChr m:val=""/>
              <m:endChr m:val=")"/>
              <m:grow/>
            </m:dPr>
            <m:e>
              <m:sSub>
                <m:e>
                  <m:r>
                    <m:rPr>
                      <m:sty m:val="b"/>
                    </m:rPr>
                    <m:t>d</m:t>
                  </m:r>
                </m:e>
                <m:sub>
                  <m:r>
                    <m:t>1</m:t>
                  </m:r>
                  <m:r>
                    <m:rPr>
                      <m:sty m:val="p"/>
                    </m:rPr>
                    <m:t>:</m:t>
                  </m:r>
                  <m:r>
                    <m:t>K</m:t>
                  </m:r>
                </m:sub>
              </m:sSub>
              <m:r>
                <m:rPr>
                  <m:sty m:val="p"/>
                </m:rPr>
                <m:t>∣</m:t>
              </m:r>
              <m:r>
                <m:rPr>
                  <m:sty m:val="b"/>
                </m:rPr>
                <m:t>θ</m:t>
              </m:r>
              <m:r>
                <m:rPr>
                  <m:sty m:val="p"/>
                </m:rPr>
                <m:t>,</m:t>
              </m:r>
              <m:sSub>
                <m:e>
                  <m:r>
                    <m:rPr>
                      <m:sty m:val="b"/>
                    </m:rPr>
                    <m:t>y</m:t>
                  </m:r>
                </m:e>
                <m:sub>
                  <m:r>
                    <m:t>0</m:t>
                  </m:r>
                </m:sub>
              </m:sSub>
            </m:e>
          </m:d>
          <m:r>
            <m:t>p</m:t>
          </m:r>
          <m:d>
            <m:dPr>
              <m:begChr m:val="("/>
              <m:sepChr m:val=""/>
              <m:endChr m:val=")"/>
              <m:grow/>
            </m:dPr>
            <m:e>
              <m:r>
                <m:rPr>
                  <m:sty m:val="b"/>
                </m:rPr>
                <m:t>θ</m:t>
              </m:r>
              <m:r>
                <m:rPr>
                  <m:sty m:val="p"/>
                </m:rPr>
                <m:t>,</m:t>
              </m:r>
              <m:sSub>
                <m:e>
                  <m:r>
                    <m:rPr>
                      <m:sty m:val="b"/>
                    </m:rPr>
                    <m:t>y</m:t>
                  </m:r>
                </m:e>
                <m:sub>
                  <m:r>
                    <m:t>0</m:t>
                  </m:r>
                </m:sub>
              </m:sSub>
            </m:e>
          </m:d>
        </m:oMath>
      </m:oMathPara>
    </w:p>
    <w:p>
      <w:pPr>
        <w:spacing w:after="120"/>
        <w:jc w:val="both"/>
      </w:pPr>
      <w:r>
        <w:t xml:space="preserve">Because the assembled system has one state, the same ensemble or adjoint serves the assimilation, the design of the monitoring network and the placement of the wells. The posterior is what the placement problem must be robust to.</w:t>
      </w:r>
    </w:p>
    <w:p>
      <w:pPr>
        <w:pStyle w:val="Heading3"/>
      </w:pPr>
      <w:r>
        <w:rPr>
          <w:color w:val="1F3864"/>
        </w:rPr>
        <w:t xml:space="preserve">1.4 The final goal: placing recharge and pumping wells</w:t>
      </w:r>
    </w:p>
    <w:p>
      <w:pPr>
        <w:spacing w:after="120"/>
        <w:jc w:val="both"/>
      </w:pPr>
      <w:r>
        <w:t xml:space="preserve">The placement problem is a chance-constrained, mixed-integer optimisation constrained by the assembled system: maximise the expected water delivered, net of the cost of recharge and of opening sites, while the probability that chloride in any supply screen exceeds the standard stays at or below </w:t>
      </w:r>
      <m:oMath>
        <m:r>
          <m:t>α</m:t>
        </m:r>
      </m:oMath>
      <w:r>
        <w:t xml:space="preserve"> [B8, B9]:</w:t>
      </w:r>
    </w:p>
    <w:p>
      <w:pPr>
        <w:pStyle w:val="Equation"/>
      </w:pPr>
      <m:oMathPara>
        <m:oMathParaPr>
          <m:jc m:val="center"/>
        </m:oMathParaPr>
        <m:oMath>
          <m:limLow>
            <m:e>
              <m:r>
                <m:rPr>
                  <m:sty m:val="p"/>
                </m:rPr>
                <m:t>max</m:t>
              </m:r>
            </m:e>
            <m:lim>
              <m:r>
                <m:rPr>
                  <m:sty m:val="b"/>
                </m:rPr>
                <m:t>z</m:t>
              </m:r>
              <m:r>
                <m:rPr>
                  <m:sty m:val="p"/>
                </m:rPr>
                <m:t>,</m:t>
              </m:r>
              <m:r>
                <m:t> </m:t>
              </m:r>
              <m:r>
                <m:rPr>
                  <m:sty m:val="b"/>
                </m:rPr>
                <m:t>q</m:t>
              </m:r>
            </m:lim>
          </m:limLow>
          <m:r>
            <m:t> </m:t>
          </m:r>
          <m:r>
            <m:rPr>
              <m:scr m:val="double-struck"/>
              <m:sty m:val="p"/>
            </m:rPr>
            <m:t>E</m:t>
          </m:r>
          <m:d>
            <m:dPr>
              <m:begChr m:val="["/>
              <m:sepChr m:val=""/>
              <m:endChr m:val="]"/>
              <m:grow/>
            </m:dPr>
            <m:e>
              <m:r>
                <m:t>W</m:t>
              </m:r>
              <m:d>
                <m:dPr>
                  <m:begChr m:val="("/>
                  <m:sepChr m:val=""/>
                  <m:endChr m:val=")"/>
                  <m:grow/>
                </m:dPr>
                <m:e>
                  <m:r>
                    <m:rPr>
                      <m:sty m:val="b"/>
                    </m:rPr>
                    <m:t>z</m:t>
                  </m:r>
                  <m:r>
                    <m:rPr>
                      <m:sty m:val="p"/>
                    </m:rPr>
                    <m:t>,</m:t>
                  </m:r>
                  <m:r>
                    <m:rPr>
                      <m:sty m:val="b"/>
                    </m:rPr>
                    <m:t>q</m:t>
                  </m:r>
                </m:e>
              </m:d>
            </m:e>
          </m:d>
          <m:r>
            <m:t> </m:t>
          </m:r>
          <m:r>
            <m:rPr>
              <m:nor/>
            </m:rPr>
            <m:t>s.t.</m:t>
          </m:r>
          <m:r>
            <m:t> </m:t>
          </m:r>
          <m:r>
            <m:rPr>
              <m:sty m:val="b"/>
            </m:rPr>
            <m:t>M</m:t>
          </m:r>
          <m:acc>
            <m:accPr>
              <m:chr m:val="̇"/>
            </m:accPr>
            <m:e>
              <m:r>
                <m:rPr>
                  <m:sty m:val="b"/>
                </m:rPr>
                <m:t>y</m:t>
              </m:r>
            </m:e>
          </m:acc>
          <m:r>
            <m:rPr>
              <m:sty m:val="p"/>
            </m:rPr>
            <m:t>=</m:t>
          </m:r>
          <m:r>
            <m:rPr>
              <m:sty m:val="b"/>
            </m:rPr>
            <m:t>F</m:t>
          </m:r>
          <m:d>
            <m:dPr>
              <m:begChr m:val="("/>
              <m:sepChr m:val=""/>
              <m:endChr m:val=")"/>
              <m:grow/>
            </m:dPr>
            <m:e>
              <m:r>
                <m:rPr>
                  <m:sty m:val="b"/>
                </m:rPr>
                <m:t>y</m:t>
              </m:r>
              <m:r>
                <m:rPr>
                  <m:sty m:val="p"/>
                </m:rPr>
                <m:t>;</m:t>
              </m:r>
              <m:r>
                <m:rPr>
                  <m:sty m:val="b"/>
                </m:rPr>
                <m:t>θ</m:t>
              </m:r>
              <m:r>
                <m:rPr>
                  <m:sty m:val="p"/>
                </m:rPr>
                <m:t>,</m:t>
              </m:r>
              <m:r>
                <m:rPr>
                  <m:sty m:val="b"/>
                </m:rPr>
                <m:t>b</m:t>
              </m:r>
              <m:r>
                <m:rPr>
                  <m:sty m:val="p"/>
                </m:rPr>
                <m:t>,</m:t>
              </m:r>
              <m:r>
                <m:rPr>
                  <m:sty m:val="b"/>
                </m:rPr>
                <m:t>z</m:t>
              </m:r>
              <m:r>
                <m:rPr>
                  <m:sty m:val="p"/>
                </m:rPr>
                <m:t>,</m:t>
              </m:r>
              <m:r>
                <m:rPr>
                  <m:sty m:val="b"/>
                </m:rPr>
                <m:t>q</m:t>
              </m:r>
            </m:e>
          </m:d>
          <m:r>
            <m:rPr>
              <m:sty m:val="p"/>
            </m:rPr>
            <m:t>,</m:t>
          </m:r>
          <m:r>
            <m:t>  </m:t>
          </m:r>
          <m:limLow>
            <m:e>
              <m:r>
                <m:rPr>
                  <m:sty m:val="p"/>
                </m:rPr>
                <m:t>max</m:t>
              </m:r>
            </m:e>
            <m:lim>
              <m:r>
                <m:t>w</m:t>
              </m:r>
            </m:lim>
          </m:limLow>
          <m:r>
            <m:t> </m:t>
          </m:r>
          <m:r>
            <m:t>P</m:t>
          </m:r>
          <m:d>
            <m:dPr>
              <m:begChr m:val="("/>
              <m:sepChr m:val=""/>
              <m:endChr m:val=")"/>
              <m:grow/>
            </m:dPr>
            <m:e>
              <m:sSub>
                <m:e>
                  <m:r>
                    <m:rPr>
                      <m:sty m:val="p"/>
                    </m:rPr>
                    <m:t>C</m:t>
                  </m:r>
                  <m:r>
                    <m:rPr>
                      <m:sty m:val="p"/>
                    </m:rPr>
                    <m:t>l</m:t>
                  </m:r>
                </m:e>
                <m:sub>
                  <m:r>
                    <m:t>w</m:t>
                  </m:r>
                </m:sub>
              </m:sSub>
              <m:d>
                <m:dPr>
                  <m:begChr m:val="("/>
                  <m:sepChr m:val=""/>
                  <m:endChr m:val=")"/>
                  <m:grow/>
                </m:dPr>
                <m:e>
                  <m:r>
                    <m:rPr>
                      <m:sty m:val="b"/>
                    </m:rPr>
                    <m:t>y</m:t>
                  </m:r>
                </m:e>
              </m:d>
              <m:r>
                <m:rPr>
                  <m:sty m:val="p"/>
                </m:rPr>
                <m:t>&gt;</m:t>
              </m:r>
              <m:r>
                <m:t>250</m:t>
              </m:r>
              <m:r>
                <m:t> </m:t>
              </m:r>
              <m:r>
                <m:rPr>
                  <m:sty m:val="p"/>
                </m:rPr>
                <m:t>m</m:t>
              </m:r>
              <m:r>
                <m:rPr>
                  <m:sty m:val="p"/>
                </m:rPr>
                <m:t>g</m:t>
              </m:r>
              <m:r>
                <m:rPr>
                  <m:sty m:val="p"/>
                </m:rPr>
                <m:t>/</m:t>
              </m:r>
              <m:r>
                <m:rPr>
                  <m:sty m:val="p"/>
                </m:rPr>
                <m:t>L</m:t>
              </m:r>
              <m:r>
                <m:rPr>
                  <m:sty m:val="p"/>
                </m:rPr>
                <m:t>∣</m:t>
              </m:r>
              <m:r>
                <m:rPr>
                  <m:sty m:val="b"/>
                </m:rPr>
                <m:t>d</m:t>
              </m:r>
            </m:e>
          </m:d>
          <m:r>
            <m:rPr>
              <m:sty m:val="p"/>
            </m:rPr>
            <m:t>≤</m:t>
          </m:r>
          <m:r>
            <m:t>α</m:t>
          </m:r>
        </m:oMath>
      </m:oMathPara>
    </w:p>
    <w:p>
      <w:pPr>
        <w:spacing w:after="120"/>
        <w:jc w:val="both"/>
      </w:pPr>
      <w:r>
        <w:t xml:space="preserve">Gradients with respect to the rates come from one adjoint solve per objective, whatever the number of candidate sites [B10, B12]:</w:t>
      </w:r>
    </w:p>
    <w:p>
      <w:pPr>
        <w:pStyle w:val="Equation"/>
      </w:pPr>
      <m:oMathPara>
        <m:oMathParaPr>
          <m:jc m:val="center"/>
        </m:oMathParaPr>
        <m:oMath>
          <m:sSup>
            <m:e>
              <m:d>
                <m:dPr>
                  <m:begChr m:val="("/>
                  <m:sepChr m:val=""/>
                  <m:endChr m:val=")"/>
                  <m:grow/>
                </m:dPr>
                <m:e>
                  <m:f>
                    <m:fPr>
                      <m:type m:val="bar"/>
                    </m:fPr>
                    <m:num>
                      <m:r>
                        <m:rPr>
                          <m:sty m:val="p"/>
                        </m:rPr>
                        <m:t>∂</m:t>
                      </m:r>
                      <m:r>
                        <m:rPr>
                          <m:sty m:val="b"/>
                        </m:rPr>
                        <m:t>F</m:t>
                      </m:r>
                    </m:num>
                    <m:den>
                      <m:r>
                        <m:rPr>
                          <m:sty m:val="p"/>
                        </m:rPr>
                        <m:t>∂</m:t>
                      </m:r>
                      <m:r>
                        <m:rPr>
                          <m:sty m:val="b"/>
                        </m:rPr>
                        <m:t>y</m:t>
                      </m:r>
                    </m:den>
                  </m:f>
                </m:e>
              </m:d>
            </m:e>
            <m:sup>
              <m:r>
                <m:rPr>
                  <m:sty m:val="p"/>
                </m:rPr>
                <m:t>⊤</m:t>
              </m:r>
            </m:sup>
          </m:sSup>
          <m:r>
            <m:rPr>
              <m:sty m:val="b"/>
            </m:rPr>
            <m:t>λ</m:t>
          </m:r>
          <m:r>
            <m:rPr>
              <m:sty m:val="p"/>
            </m:rPr>
            <m:t>=</m:t>
          </m:r>
          <m:r>
            <m:rPr>
              <m:sty m:val="p"/>
            </m:rPr>
            <m:t>−</m:t>
          </m:r>
          <m:sSup>
            <m:e>
              <m:d>
                <m:dPr>
                  <m:begChr m:val="("/>
                  <m:sepChr m:val=""/>
                  <m:endChr m:val=")"/>
                  <m:grow/>
                </m:dPr>
                <m:e>
                  <m:f>
                    <m:fPr>
                      <m:type m:val="bar"/>
                    </m:fPr>
                    <m:num>
                      <m:r>
                        <m:rPr>
                          <m:sty m:val="p"/>
                        </m:rPr>
                        <m:t>∂</m:t>
                      </m:r>
                      <m:r>
                        <m:t>J</m:t>
                      </m:r>
                    </m:num>
                    <m:den>
                      <m:r>
                        <m:rPr>
                          <m:sty m:val="p"/>
                        </m:rPr>
                        <m:t>∂</m:t>
                      </m:r>
                      <m:r>
                        <m:rPr>
                          <m:sty m:val="b"/>
                        </m:rPr>
                        <m:t>y</m:t>
                      </m:r>
                    </m:den>
                  </m:f>
                </m:e>
              </m:d>
            </m:e>
            <m:sup>
              <m:r>
                <m:rPr>
                  <m:sty m:val="p"/>
                </m:rPr>
                <m:t>⊤</m:t>
              </m:r>
            </m:sup>
          </m:sSup>
          <m:r>
            <m:rPr>
              <m:sty m:val="p"/>
            </m:rPr>
            <m:t>,</m:t>
          </m:r>
          <m:r>
            <m:t>  </m:t>
          </m:r>
          <m:f>
            <m:fPr>
              <m:type m:val="bar"/>
            </m:fPr>
            <m:num>
              <m:r>
                <m:t>d</m:t>
              </m:r>
              <m:r>
                <m:t>J</m:t>
              </m:r>
            </m:num>
            <m:den>
              <m:r>
                <m:t>d</m:t>
              </m:r>
              <m:r>
                <m:rPr>
                  <m:sty m:val="b"/>
                </m:rPr>
                <m:t>q</m:t>
              </m:r>
            </m:den>
          </m:f>
          <m:r>
            <m:rPr>
              <m:sty m:val="p"/>
            </m:rPr>
            <m:t>=</m:t>
          </m:r>
          <m:f>
            <m:fPr>
              <m:type m:val="bar"/>
            </m:fPr>
            <m:num>
              <m:r>
                <m:rPr>
                  <m:sty m:val="p"/>
                </m:rPr>
                <m:t>∂</m:t>
              </m:r>
              <m:r>
                <m:t>J</m:t>
              </m:r>
            </m:num>
            <m:den>
              <m:r>
                <m:rPr>
                  <m:sty m:val="p"/>
                </m:rPr>
                <m:t>∂</m:t>
              </m:r>
              <m:r>
                <m:rPr>
                  <m:sty m:val="b"/>
                </m:rPr>
                <m:t>q</m:t>
              </m:r>
            </m:den>
          </m:f>
          <m:r>
            <m:rPr>
              <m:sty m:val="p"/>
            </m:rPr>
            <m:t>+</m:t>
          </m:r>
          <m:sSup>
            <m:e>
              <m:r>
                <m:rPr>
                  <m:sty m:val="b"/>
                </m:rPr>
                <m:t>λ</m:t>
              </m:r>
            </m:e>
            <m:sup>
              <m:r>
                <m:rPr>
                  <m:sty m:val="p"/>
                </m:rPr>
                <m:t>⊤</m:t>
              </m:r>
            </m:sup>
          </m:sSup>
          <m:f>
            <m:fPr>
              <m:type m:val="bar"/>
            </m:fPr>
            <m:num>
              <m:r>
                <m:rPr>
                  <m:sty m:val="p"/>
                </m:rPr>
                <m:t>∂</m:t>
              </m:r>
              <m:r>
                <m:rPr>
                  <m:sty m:val="b"/>
                </m:rPr>
                <m:t>F</m:t>
              </m:r>
            </m:num>
            <m:den>
              <m:r>
                <m:rPr>
                  <m:sty m:val="p"/>
                </m:rPr>
                <m:t>∂</m:t>
              </m:r>
              <m:r>
                <m:rPr>
                  <m:sty m:val="b"/>
                </m:rPr>
                <m:t>q</m:t>
              </m:r>
            </m:den>
          </m:f>
        </m:oMath>
      </m:oMathPara>
    </w:p>
    <w:p>
      <w:pPr>
        <w:spacing w:after="120"/>
        <w:jc w:val="both"/>
      </w:pPr>
      <w:r>
        <w:t xml:space="preserve">while the binary choices need branch-and-bound, relaxation, greedy or learning-based search [B6]. Groundwater management has used linked simulation–optimisation of this kind for decades [B5, B11], but almost always on a simplified model and without the assimilation. Part II brings the tools for each of these steps: learned constraints inside mixed-integer programs [M1], two-stage robust decisions in which sites are fixed first and rates adapt [M2], learned large-neighbourhood search for large integer programs [C4], Bayesian optimisation over mixed categorical and continuous spaces [O4], design through differentiable surrogates and solvers [C3, H1], and a field-validated precedent for operating wells with a calibrated coupled model [M3], set in the frame of risk-based water planning [O5].</w:t>
      </w:r>
    </w:p>
    <w:p>
      <w:pPr>
        <w:pStyle w:val="Heading3"/>
      </w:pPr>
      <w:r>
        <w:rPr>
          <w:color w:val="1F3864"/>
        </w:rPr>
        <w:t xml:space="preserve">1.5 What is open</w:t>
      </w:r>
    </w:p>
    <w:p>
      <w:pPr>
        <w:spacing w:after="120"/>
        <w:jc w:val="both"/>
      </w:pPr>
      <w:r>
        <w:t xml:space="preserve">Three questions remain for the assembly. Which parts of the coupled system must be solved together and which can be split without losing the chloride in the supply screens? How can the placement be optimised on the full variable-density, multi-species system when each solve is expensive, and with which surrogate, adjoint or learned operator? And how can the placement stay safe for every aquifer the data allow, without becoming so cautious that it pumps nothing? The 20 papers of Part II supply the tools; the assembly itself is the next document of this series.</w:t>
      </w:r>
    </w:p>
    <w:p>
      <w:pPr>
        <w:spacing w:after="200"/>
      </w:pPr>
    </w:p>
    <w:p>
      <w:pPr>
        <w:pStyle w:val="Heading1"/>
      </w:pPr>
      <w:r>
        <w:rPr>
          <w:color w:val="1F3864"/>
        </w:rPr>
        <w:t xml:space="preserve">2. Search methodology</w:t>
      </w:r>
    </w:p>
    <w:p>
      <w:pPr>
        <w:pStyle w:val="ListParagraph"/>
        <w:numPr>
          <w:ilvl w:val="0"/>
          <w:numId w:val="2"/>
        </w:numPr>
        <w:spacing w:after="60"/>
        <w:jc w:val="both"/>
      </w:pPr>
      <w:r>
        <w:rPr>
          <w:b/>
          <w:bCs/>
        </w:rPr>
        <w:t xml:space="preserve">Request and themes:</w:t>
      </w:r>
      <w:r>
        <w:t xml:space="preserve"> the 20 best papers of 2020–2026 from Oxford, Caltech, Harvard and MIT (five each) for assembling the equations of a coastal aquifer into one system, with the placement of managed-recharge and pumping wells as the final goal. Four themes: (1) assembling and solving coupled systems (automated assembly, coupled and monolithic solvers, adjoints, differentiable solvers); (2) surrogates and learned operators that make the assembled system cheap enough to optimise; (3) data, assimilation and the design of monitoring on the assembled system; (4) placing and operating wells: PDE-constrained, mixed-integer and robust optimisation, and learning-based placement. Each card states its theme at the start of its link to the assembly. Every paper has at least one author at the named institution at the time of the work, confirmed from the publisher page, an institutional page or another reliable source.</w:t>
      </w:r>
    </w:p>
    <w:p>
      <w:pPr>
        <w:pStyle w:val="ListParagraph"/>
        <w:numPr>
          <w:ilvl w:val="0"/>
          <w:numId w:val="2"/>
        </w:numPr>
        <w:spacing w:after="60"/>
        <w:jc w:val="both"/>
      </w:pPr>
      <w:r>
        <w:rPr>
          <w:b/>
          <w:bCs/>
        </w:rPr>
        <w:t xml:space="preserve">What "best" means, in this order:</w:t>
      </w:r>
      <w:r>
        <w:t xml:space="preserve"> depth and rigour (theorems, methods with guarantees, or methods tested on real subsurface problems); recognition (journals and proceedings of the first rank and influence on the field); and usefulness for the assembly and for placing the wells.</w:t>
      </w:r>
    </w:p>
    <w:p>
      <w:pPr>
        <w:pStyle w:val="ListParagraph"/>
        <w:numPr>
          <w:ilvl w:val="0"/>
          <w:numId w:val="2"/>
        </w:numPr>
        <w:spacing w:after="60"/>
        <w:jc w:val="both"/>
      </w:pPr>
      <w:r>
        <w:rPr>
          <w:b/>
          <w:bCs/>
        </w:rPr>
        <w:t xml:space="preserve">No repetition, verification:</w:t>
      </w:r>
      <w:r>
        <w:t xml:space="preserve"> every candidate was checked against the 809 DOIs and against the titles of the cards of the 59 earlier reviews of the series; seven strong candidates that had already been cards (several without a DOI in the earlier lists) were replaced, and [O4] had appeared only as further reading. Four agents searched the four institutions in parallel and verified title, authors, venue, year and DOI on publisher pages, Crossref, arXiv or proceedings pages, and the affiliation on the paper or an institutional page; no full text could be read, so key equations are </w:t>
      </w:r>
      <w:r>
        <w:rPr>
          <w:i/>
          <w:iCs/>
        </w:rPr>
        <w:t xml:space="preserve">representative formulations</w:t>
      </w:r>
      <w:r>
        <w:t xml:space="preserve"> unless a card says otherwise, and unverified fields are marked "(not verified)". ★ rates depth and rigour.</w:t>
      </w:r>
    </w:p>
    <w:p>
      <w:pPr>
        <w:pStyle w:val="ListParagraph"/>
        <w:numPr>
          <w:ilvl w:val="0"/>
          <w:numId w:val="2"/>
        </w:numPr>
        <w:spacing w:after="60"/>
        <w:jc w:val="both"/>
      </w:pPr>
      <w:r>
        <w:rPr>
          <w:b/>
          <w:bCs/>
        </w:rPr>
        <w:t xml:space="preserve">Recency:</w:t>
      </w:r>
      <w:r>
        <w:t xml:space="preserve"> two from 2020, five from 2021, four from 2022, one from 2023, three from 2024, four from 2025, and one from 2026; nine of the 20 are from 2023 or later. </w:t>
      </w:r>
      <w:r>
        <w:rPr>
          <w:b/>
          <w:bCs/>
        </w:rPr>
        <w:t xml:space="preserve">Themes:</w:t>
      </w:r>
      <w:r>
        <w:t xml:space="preserve"> 5 cards on theme 1, 3 on theme 2, 2 on theme 3 and 10 on theme 4.</w:t>
      </w:r>
    </w:p>
    <w:p>
      <w:pPr>
        <w:pStyle w:val="Heading1"/>
      </w:pPr>
      <w:r>
        <w:rPr>
          <w:color w:val="1F3864"/>
        </w:rPr>
        <w:t xml:space="preserve">3. The 20 articles at a glance</w:t>
      </w:r>
    </w:p>
    <w:p>
      <w:pPr>
        <w:spacing w:after="120"/>
        <w:jc w:val="both"/>
      </w:pPr>
      <w:r>
        <w:t xml:space="preserve">The table is ordered by institution (O = Oxford, C = Caltech, H = Harvard, M = MIT) and, within each institution, by the order of the cards; the last column gives the affiliations.</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600"/>
        <w:gridCol w:w="3300"/>
        <w:gridCol w:w="3900"/>
        <w:gridCol w:w="1838"/>
      </w:tblGrid>
      <w:tr>
        <w:trPr>
          <w:cantSplit/>
          <w:tblHeader/>
        </w:trPr>
        <w:tc>
          <w:tcPr>
            <w:tcW w:type="dxa" w:w="600"/>
            <w:shd w:fill="1F3864" w:color="auto" w:val="clear"/>
            <w:tcMar>
              <w:top w:type="dxa" w:w="15"/>
              <w:left w:type="dxa" w:w="80"/>
              <w:bottom w:type="dxa" w:w="15"/>
              <w:right w:type="dxa" w:w="80"/>
            </w:tcMar>
            <w:vAlign w:val="top"/>
          </w:tcPr>
          <w:p>
            <w:r>
              <w:rPr>
                <w:b/>
                <w:bCs/>
                <w:color w:val="FFFFFF"/>
                <w:sz w:val="15"/>
                <w:szCs w:val="15"/>
              </w:rPr>
              <w:t xml:space="preserve">Code</w:t>
            </w:r>
          </w:p>
        </w:tc>
        <w:tc>
          <w:tcPr>
            <w:tcW w:type="dxa" w:w="3300"/>
            <w:shd w:fill="1F3864" w:color="auto" w:val="clear"/>
            <w:tcMar>
              <w:top w:type="dxa" w:w="15"/>
              <w:left w:type="dxa" w:w="80"/>
              <w:bottom w:type="dxa" w:w="15"/>
              <w:right w:type="dxa" w:w="80"/>
            </w:tcMar>
            <w:vAlign w:val="top"/>
          </w:tcPr>
          <w:p>
            <w:r>
              <w:rPr>
                <w:b/>
                <w:bCs/>
                <w:color w:val="FFFFFF"/>
                <w:sz w:val="15"/>
                <w:szCs w:val="15"/>
              </w:rPr>
              <w:t xml:space="preserve">Authors (year)</w:t>
            </w:r>
          </w:p>
        </w:tc>
        <w:tc>
          <w:tcPr>
            <w:tcW w:type="dxa" w:w="3900"/>
            <w:shd w:fill="1F3864" w:color="auto" w:val="clear"/>
            <w:tcMar>
              <w:top w:type="dxa" w:w="15"/>
              <w:left w:type="dxa" w:w="80"/>
              <w:bottom w:type="dxa" w:w="15"/>
              <w:right w:type="dxa" w:w="80"/>
            </w:tcMar>
            <w:vAlign w:val="top"/>
          </w:tcPr>
          <w:p>
            <w:r>
              <w:rPr>
                <w:b/>
                <w:bCs/>
                <w:color w:val="FFFFFF"/>
                <w:sz w:val="15"/>
                <w:szCs w:val="15"/>
              </w:rPr>
              <w:t xml:space="preserve">Venue</w:t>
            </w:r>
          </w:p>
        </w:tc>
        <w:tc>
          <w:tcPr>
            <w:tcW w:type="dxa" w:w="1838"/>
            <w:shd w:fill="1F3864" w:color="auto" w:val="clear"/>
            <w:tcMar>
              <w:top w:type="dxa" w:w="15"/>
              <w:left w:type="dxa" w:w="80"/>
              <w:bottom w:type="dxa" w:w="15"/>
              <w:right w:type="dxa" w:w="80"/>
            </w:tcMar>
            <w:vAlign w:val="top"/>
          </w:tcPr>
          <w:p>
            <w:r>
              <w:rPr>
                <w:b/>
                <w:bCs/>
                <w:color w:val="FFFFFF"/>
                <w:sz w:val="15"/>
                <w:szCs w:val="15"/>
              </w:rPr>
              <w:t xml:space="preserve">Affiliation</w:t>
            </w:r>
          </w:p>
        </w:tc>
      </w:tr>
      <w:tr>
        <w:trPr>
          <w:cantSplit/>
        </w:trPr>
        <w:tc>
          <w:tcPr>
            <w:tcW w:type="dxa" w:w="600"/>
            <w:tcMar>
              <w:top w:type="dxa" w:w="15"/>
              <w:left w:type="dxa" w:w="80"/>
              <w:bottom w:type="dxa" w:w="15"/>
              <w:right w:type="dxa" w:w="80"/>
            </w:tcMar>
            <w:vAlign w:val="top"/>
          </w:tcPr>
          <w:p>
            <w:r>
              <w:rPr>
                <w:b/>
                <w:bCs/>
                <w:color w:val="002147"/>
                <w:sz w:val="15"/>
                <w:szCs w:val="15"/>
              </w:rPr>
              <w:t xml:space="preserve">O1</w:t>
            </w:r>
          </w:p>
        </w:tc>
        <w:tc>
          <w:tcPr>
            <w:tcW w:type="dxa" w:w="3300"/>
            <w:tcMar>
              <w:top w:type="dxa" w:w="15"/>
              <w:left w:type="dxa" w:w="80"/>
              <w:bottom w:type="dxa" w:w="15"/>
              <w:right w:type="dxa" w:w="80"/>
            </w:tcMar>
            <w:vAlign w:val="top"/>
          </w:tcPr>
          <w:p>
            <w:r>
              <w:rPr>
                <w:sz w:val="15"/>
                <w:szCs w:val="15"/>
              </w:rPr>
              <w:t xml:space="preserve">Farrell, Kirby &amp; Marchena-Menéndez (2021)</w:t>
            </w:r>
          </w:p>
        </w:tc>
        <w:tc>
          <w:tcPr>
            <w:tcW w:type="dxa" w:w="3900"/>
            <w:tcMar>
              <w:top w:type="dxa" w:w="15"/>
              <w:left w:type="dxa" w:w="80"/>
              <w:bottom w:type="dxa" w:w="15"/>
              <w:right w:type="dxa" w:w="80"/>
            </w:tcMar>
            <w:vAlign w:val="top"/>
          </w:tcPr>
          <w:p>
            <w:r>
              <w:rPr>
                <w:sz w:val="15"/>
                <w:szCs w:val="15"/>
              </w:rPr>
              <w:t xml:space="preserve">ACM TOMS 2021</w:t>
            </w:r>
          </w:p>
        </w:tc>
        <w:tc>
          <w:tcPr>
            <w:tcW w:type="dxa" w:w="1838"/>
            <w:tcMar>
              <w:top w:type="dxa" w:w="15"/>
              <w:left w:type="dxa" w:w="80"/>
              <w:bottom w:type="dxa" w:w="15"/>
              <w:right w:type="dxa" w:w="80"/>
            </w:tcMar>
            <w:vAlign w:val="top"/>
          </w:tcPr>
          <w:p>
            <w:r>
              <w:rPr>
                <w:b/>
                <w:bCs/>
                <w:color w:val="002147"/>
                <w:sz w:val="15"/>
                <w:szCs w:val="15"/>
              </w:rPr>
              <w:t xml:space="preserve">Oxford · Baylor</w:t>
            </w:r>
          </w:p>
        </w:tc>
      </w:tr>
      <w:tr>
        <w:trPr>
          <w:cantSplit/>
        </w:trPr>
        <w:tc>
          <w:tcPr>
            <w:tcW w:type="dxa" w:w="600"/>
            <w:shd w:fill="F7F9FC" w:color="auto" w:val="clear"/>
            <w:tcMar>
              <w:top w:type="dxa" w:w="15"/>
              <w:left w:type="dxa" w:w="80"/>
              <w:bottom w:type="dxa" w:w="15"/>
              <w:right w:type="dxa" w:w="80"/>
            </w:tcMar>
            <w:vAlign w:val="top"/>
          </w:tcPr>
          <w:p>
            <w:r>
              <w:rPr>
                <w:b/>
                <w:bCs/>
                <w:color w:val="002147"/>
                <w:sz w:val="15"/>
                <w:szCs w:val="15"/>
              </w:rPr>
              <w:t xml:space="preserve">O2</w:t>
            </w:r>
          </w:p>
        </w:tc>
        <w:tc>
          <w:tcPr>
            <w:tcW w:type="dxa" w:w="3300"/>
            <w:shd w:fill="F7F9FC" w:color="auto" w:val="clear"/>
            <w:tcMar>
              <w:top w:type="dxa" w:w="15"/>
              <w:left w:type="dxa" w:w="80"/>
              <w:bottom w:type="dxa" w:w="15"/>
              <w:right w:type="dxa" w:w="80"/>
            </w:tcMar>
            <w:vAlign w:val="top"/>
          </w:tcPr>
          <w:p>
            <w:r>
              <w:rPr>
                <w:sz w:val="15"/>
                <w:szCs w:val="15"/>
              </w:rPr>
              <w:t xml:space="preserve">Farrell, Knepley, Mitchell &amp; Wechsung (2021)</w:t>
            </w:r>
          </w:p>
        </w:tc>
        <w:tc>
          <w:tcPr>
            <w:tcW w:type="dxa" w:w="3900"/>
            <w:shd w:fill="F7F9FC" w:color="auto" w:val="clear"/>
            <w:tcMar>
              <w:top w:type="dxa" w:w="15"/>
              <w:left w:type="dxa" w:w="80"/>
              <w:bottom w:type="dxa" w:w="15"/>
              <w:right w:type="dxa" w:w="80"/>
            </w:tcMar>
            <w:vAlign w:val="top"/>
          </w:tcPr>
          <w:p>
            <w:r>
              <w:rPr>
                <w:sz w:val="15"/>
                <w:szCs w:val="15"/>
              </w:rPr>
              <w:t xml:space="preserve">ACM TOMS 2021</w:t>
            </w:r>
          </w:p>
        </w:tc>
        <w:tc>
          <w:tcPr>
            <w:tcW w:type="dxa" w:w="1838"/>
            <w:shd w:fill="F7F9FC" w:color="auto" w:val="clear"/>
            <w:tcMar>
              <w:top w:type="dxa" w:w="15"/>
              <w:left w:type="dxa" w:w="80"/>
              <w:bottom w:type="dxa" w:w="15"/>
              <w:right w:type="dxa" w:w="80"/>
            </w:tcMar>
            <w:vAlign w:val="top"/>
          </w:tcPr>
          <w:p>
            <w:r>
              <w:rPr>
                <w:b/>
                <w:bCs/>
                <w:color w:val="002147"/>
                <w:sz w:val="15"/>
                <w:szCs w:val="15"/>
              </w:rPr>
              <w:t xml:space="preserve">Oxford · others</w:t>
            </w:r>
          </w:p>
        </w:tc>
      </w:tr>
      <w:tr>
        <w:trPr>
          <w:cantSplit/>
        </w:trPr>
        <w:tc>
          <w:tcPr>
            <w:tcW w:type="dxa" w:w="600"/>
            <w:tcMar>
              <w:top w:type="dxa" w:w="15"/>
              <w:left w:type="dxa" w:w="80"/>
              <w:bottom w:type="dxa" w:w="15"/>
              <w:right w:type="dxa" w:w="80"/>
            </w:tcMar>
            <w:vAlign w:val="top"/>
          </w:tcPr>
          <w:p>
            <w:r>
              <w:rPr>
                <w:b/>
                <w:bCs/>
                <w:color w:val="002147"/>
                <w:sz w:val="15"/>
                <w:szCs w:val="15"/>
              </w:rPr>
              <w:t xml:space="preserve">O3</w:t>
            </w:r>
          </w:p>
        </w:tc>
        <w:tc>
          <w:tcPr>
            <w:tcW w:type="dxa" w:w="3300"/>
            <w:tcMar>
              <w:top w:type="dxa" w:w="15"/>
              <w:left w:type="dxa" w:w="80"/>
              <w:bottom w:type="dxa" w:w="15"/>
              <w:right w:type="dxa" w:w="80"/>
            </w:tcMar>
            <w:vAlign w:val="top"/>
          </w:tcPr>
          <w:p>
            <w:r>
              <w:rPr>
                <w:sz w:val="15"/>
                <w:szCs w:val="15"/>
              </w:rPr>
              <w:t xml:space="preserve">Brubeck &amp; Farrell (2022)</w:t>
            </w:r>
          </w:p>
        </w:tc>
        <w:tc>
          <w:tcPr>
            <w:tcW w:type="dxa" w:w="3900"/>
            <w:tcMar>
              <w:top w:type="dxa" w:w="15"/>
              <w:left w:type="dxa" w:w="80"/>
              <w:bottom w:type="dxa" w:w="15"/>
              <w:right w:type="dxa" w:w="80"/>
            </w:tcMar>
            <w:vAlign w:val="top"/>
          </w:tcPr>
          <w:p>
            <w:r>
              <w:rPr>
                <w:sz w:val="15"/>
                <w:szCs w:val="15"/>
              </w:rPr>
              <w:t xml:space="preserve">SIAM J. Sci. Comput. 2022</w:t>
            </w:r>
          </w:p>
        </w:tc>
        <w:tc>
          <w:tcPr>
            <w:tcW w:type="dxa" w:w="1838"/>
            <w:tcMar>
              <w:top w:type="dxa" w:w="15"/>
              <w:left w:type="dxa" w:w="80"/>
              <w:bottom w:type="dxa" w:w="15"/>
              <w:right w:type="dxa" w:w="80"/>
            </w:tcMar>
            <w:vAlign w:val="top"/>
          </w:tcPr>
          <w:p>
            <w:r>
              <w:rPr>
                <w:b/>
                <w:bCs/>
                <w:color w:val="002147"/>
                <w:sz w:val="15"/>
                <w:szCs w:val="15"/>
              </w:rPr>
              <w:t xml:space="preserve">Oxford</w:t>
            </w:r>
          </w:p>
        </w:tc>
      </w:tr>
      <w:tr>
        <w:trPr>
          <w:cantSplit/>
        </w:trPr>
        <w:tc>
          <w:tcPr>
            <w:tcW w:type="dxa" w:w="600"/>
            <w:shd w:fill="F7F9FC" w:color="auto" w:val="clear"/>
            <w:tcMar>
              <w:top w:type="dxa" w:w="15"/>
              <w:left w:type="dxa" w:w="80"/>
              <w:bottom w:type="dxa" w:w="15"/>
              <w:right w:type="dxa" w:w="80"/>
            </w:tcMar>
            <w:vAlign w:val="top"/>
          </w:tcPr>
          <w:p>
            <w:r>
              <w:rPr>
                <w:b/>
                <w:bCs/>
                <w:color w:val="002147"/>
                <w:sz w:val="15"/>
                <w:szCs w:val="15"/>
              </w:rPr>
              <w:t xml:space="preserve">O4</w:t>
            </w:r>
          </w:p>
        </w:tc>
        <w:tc>
          <w:tcPr>
            <w:tcW w:type="dxa" w:w="3300"/>
            <w:shd w:fill="F7F9FC" w:color="auto" w:val="clear"/>
            <w:tcMar>
              <w:top w:type="dxa" w:w="15"/>
              <w:left w:type="dxa" w:w="80"/>
              <w:bottom w:type="dxa" w:w="15"/>
              <w:right w:type="dxa" w:w="80"/>
            </w:tcMar>
            <w:vAlign w:val="top"/>
          </w:tcPr>
          <w:p>
            <w:r>
              <w:rPr>
                <w:sz w:val="15"/>
                <w:szCs w:val="15"/>
              </w:rPr>
              <w:t xml:space="preserve">Wan, Nguyen, Ha, Ru, Lu &amp; Osborne (2021)</w:t>
            </w:r>
          </w:p>
        </w:tc>
        <w:tc>
          <w:tcPr>
            <w:tcW w:type="dxa" w:w="3900"/>
            <w:shd w:fill="F7F9FC" w:color="auto" w:val="clear"/>
            <w:tcMar>
              <w:top w:type="dxa" w:w="15"/>
              <w:left w:type="dxa" w:w="80"/>
              <w:bottom w:type="dxa" w:w="15"/>
              <w:right w:type="dxa" w:w="80"/>
            </w:tcMar>
            <w:vAlign w:val="top"/>
          </w:tcPr>
          <w:p>
            <w:r>
              <w:rPr>
                <w:sz w:val="15"/>
                <w:szCs w:val="15"/>
              </w:rPr>
              <w:t xml:space="preserve">ICML 2021</w:t>
            </w:r>
          </w:p>
        </w:tc>
        <w:tc>
          <w:tcPr>
            <w:tcW w:type="dxa" w:w="1838"/>
            <w:shd w:fill="F7F9FC" w:color="auto" w:val="clear"/>
            <w:tcMar>
              <w:top w:type="dxa" w:w="15"/>
              <w:left w:type="dxa" w:w="80"/>
              <w:bottom w:type="dxa" w:w="15"/>
              <w:right w:type="dxa" w:w="80"/>
            </w:tcMar>
            <w:vAlign w:val="top"/>
          </w:tcPr>
          <w:p>
            <w:r>
              <w:rPr>
                <w:b/>
                <w:bCs/>
                <w:color w:val="002147"/>
                <w:sz w:val="15"/>
                <w:szCs w:val="15"/>
              </w:rPr>
              <w:t xml:space="preserve">Oxford</w:t>
            </w:r>
          </w:p>
        </w:tc>
      </w:tr>
      <w:tr>
        <w:trPr>
          <w:cantSplit/>
        </w:trPr>
        <w:tc>
          <w:tcPr>
            <w:tcW w:type="dxa" w:w="600"/>
            <w:tcMar>
              <w:top w:type="dxa" w:w="15"/>
              <w:left w:type="dxa" w:w="80"/>
              <w:bottom w:type="dxa" w:w="15"/>
              <w:right w:type="dxa" w:w="80"/>
            </w:tcMar>
            <w:vAlign w:val="top"/>
          </w:tcPr>
          <w:p>
            <w:r>
              <w:rPr>
                <w:b/>
                <w:bCs/>
                <w:color w:val="002147"/>
                <w:sz w:val="15"/>
                <w:szCs w:val="15"/>
              </w:rPr>
              <w:t xml:space="preserve">O5</w:t>
            </w:r>
          </w:p>
        </w:tc>
        <w:tc>
          <w:tcPr>
            <w:tcW w:type="dxa" w:w="3300"/>
            <w:tcMar>
              <w:top w:type="dxa" w:w="15"/>
              <w:left w:type="dxa" w:w="80"/>
              <w:bottom w:type="dxa" w:w="15"/>
              <w:right w:type="dxa" w:w="80"/>
            </w:tcMar>
            <w:vAlign w:val="top"/>
          </w:tcPr>
          <w:p>
            <w:r>
              <w:rPr>
                <w:sz w:val="15"/>
                <w:szCs w:val="15"/>
              </w:rPr>
              <w:t xml:space="preserve">Hall, Mortazavi-Naeini, Borgomeo et al. (2020)</w:t>
            </w:r>
          </w:p>
        </w:tc>
        <w:tc>
          <w:tcPr>
            <w:tcW w:type="dxa" w:w="3900"/>
            <w:tcMar>
              <w:top w:type="dxa" w:w="15"/>
              <w:left w:type="dxa" w:w="80"/>
              <w:bottom w:type="dxa" w:w="15"/>
              <w:right w:type="dxa" w:w="80"/>
            </w:tcMar>
            <w:vAlign w:val="top"/>
          </w:tcPr>
          <w:p>
            <w:r>
              <w:rPr>
                <w:sz w:val="15"/>
                <w:szCs w:val="15"/>
              </w:rPr>
              <w:t xml:space="preserve">Water Environ. J. 2020</w:t>
            </w:r>
          </w:p>
        </w:tc>
        <w:tc>
          <w:tcPr>
            <w:tcW w:type="dxa" w:w="1838"/>
            <w:tcMar>
              <w:top w:type="dxa" w:w="15"/>
              <w:left w:type="dxa" w:w="80"/>
              <w:bottom w:type="dxa" w:w="15"/>
              <w:right w:type="dxa" w:w="80"/>
            </w:tcMar>
            <w:vAlign w:val="top"/>
          </w:tcPr>
          <w:p>
            <w:r>
              <w:rPr>
                <w:b/>
                <w:bCs/>
                <w:color w:val="002147"/>
                <w:sz w:val="15"/>
                <w:szCs w:val="15"/>
              </w:rPr>
              <w:t xml:space="preserve">Oxford · others</w:t>
            </w:r>
          </w:p>
        </w:tc>
      </w:tr>
      <w:tr>
        <w:trPr>
          <w:cantSplit/>
        </w:trPr>
        <w:tc>
          <w:tcPr>
            <w:tcW w:type="dxa" w:w="600"/>
            <w:shd w:fill="F7F9FC" w:color="auto" w:val="clear"/>
            <w:tcMar>
              <w:top w:type="dxa" w:w="15"/>
              <w:left w:type="dxa" w:w="80"/>
              <w:bottom w:type="dxa" w:w="15"/>
              <w:right w:type="dxa" w:w="80"/>
            </w:tcMar>
            <w:vAlign w:val="top"/>
          </w:tcPr>
          <w:p>
            <w:r>
              <w:rPr>
                <w:b/>
                <w:bCs/>
                <w:color w:val="B4410C"/>
                <w:sz w:val="15"/>
                <w:szCs w:val="15"/>
              </w:rPr>
              <w:t xml:space="preserve">C1</w:t>
            </w:r>
          </w:p>
        </w:tc>
        <w:tc>
          <w:tcPr>
            <w:tcW w:type="dxa" w:w="3300"/>
            <w:shd w:fill="F7F9FC" w:color="auto" w:val="clear"/>
            <w:tcMar>
              <w:top w:type="dxa" w:w="15"/>
              <w:left w:type="dxa" w:w="80"/>
              <w:bottom w:type="dxa" w:w="15"/>
              <w:right w:type="dxa" w:w="80"/>
            </w:tcMar>
            <w:vAlign w:val="top"/>
          </w:tcPr>
          <w:p>
            <w:r>
              <w:rPr>
                <w:sz w:val="15"/>
                <w:szCs w:val="15"/>
              </w:rPr>
              <w:t xml:space="preserve">Azizzadenesheli, Kovachki, Li, Liu-Schiaffini, Kossaifi &amp; Anandkumar (2024)</w:t>
            </w:r>
          </w:p>
        </w:tc>
        <w:tc>
          <w:tcPr>
            <w:tcW w:type="dxa" w:w="3900"/>
            <w:shd w:fill="F7F9FC" w:color="auto" w:val="clear"/>
            <w:tcMar>
              <w:top w:type="dxa" w:w="15"/>
              <w:left w:type="dxa" w:w="80"/>
              <w:bottom w:type="dxa" w:w="15"/>
              <w:right w:type="dxa" w:w="80"/>
            </w:tcMar>
            <w:vAlign w:val="top"/>
          </w:tcPr>
          <w:p>
            <w:r>
              <w:rPr>
                <w:sz w:val="15"/>
                <w:szCs w:val="15"/>
              </w:rPr>
              <w:t xml:space="preserve">Nat. Rev. Phys. 2024</w:t>
            </w:r>
          </w:p>
        </w:tc>
        <w:tc>
          <w:tcPr>
            <w:tcW w:type="dxa" w:w="1838"/>
            <w:shd w:fill="F7F9FC" w:color="auto" w:val="clear"/>
            <w:tcMar>
              <w:top w:type="dxa" w:w="15"/>
              <w:left w:type="dxa" w:w="80"/>
              <w:bottom w:type="dxa" w:w="15"/>
              <w:right w:type="dxa" w:w="80"/>
            </w:tcMar>
            <w:vAlign w:val="top"/>
          </w:tcPr>
          <w:p>
            <w:r>
              <w:rPr>
                <w:b/>
                <w:bCs/>
                <w:color w:val="B4410C"/>
                <w:sz w:val="15"/>
                <w:szCs w:val="15"/>
              </w:rPr>
              <w:t xml:space="preserve">Caltech · NVIDIA</w:t>
            </w:r>
          </w:p>
        </w:tc>
      </w:tr>
      <w:tr>
        <w:trPr>
          <w:cantSplit/>
        </w:trPr>
        <w:tc>
          <w:tcPr>
            <w:tcW w:type="dxa" w:w="600"/>
            <w:tcMar>
              <w:top w:type="dxa" w:w="15"/>
              <w:left w:type="dxa" w:w="80"/>
              <w:bottom w:type="dxa" w:w="15"/>
              <w:right w:type="dxa" w:w="80"/>
            </w:tcMar>
            <w:vAlign w:val="top"/>
          </w:tcPr>
          <w:p>
            <w:r>
              <w:rPr>
                <w:b/>
                <w:bCs/>
                <w:color w:val="B4410C"/>
                <w:sz w:val="15"/>
                <w:szCs w:val="15"/>
              </w:rPr>
              <w:t xml:space="preserve">C2</w:t>
            </w:r>
          </w:p>
        </w:tc>
        <w:tc>
          <w:tcPr>
            <w:tcW w:type="dxa" w:w="3300"/>
            <w:tcMar>
              <w:top w:type="dxa" w:w="15"/>
              <w:left w:type="dxa" w:w="80"/>
              <w:bottom w:type="dxa" w:w="15"/>
              <w:right w:type="dxa" w:w="80"/>
            </w:tcMar>
            <w:vAlign w:val="top"/>
          </w:tcPr>
          <w:p>
            <w:r>
              <w:rPr>
                <w:sz w:val="15"/>
                <w:szCs w:val="15"/>
              </w:rPr>
              <w:t xml:space="preserve">Chandra, Koch, Pawar, … , Anandkumar &amp; Hohl (2026)</w:t>
            </w:r>
          </w:p>
        </w:tc>
        <w:tc>
          <w:tcPr>
            <w:tcW w:type="dxa" w:w="3900"/>
            <w:tcMar>
              <w:top w:type="dxa" w:w="15"/>
              <w:left w:type="dxa" w:w="80"/>
              <w:bottom w:type="dxa" w:w="15"/>
              <w:right w:type="dxa" w:w="80"/>
            </w:tcMar>
            <w:vAlign w:val="top"/>
          </w:tcPr>
          <w:p>
            <w:r>
              <w:rPr>
                <w:sz w:val="15"/>
                <w:szCs w:val="15"/>
              </w:rPr>
              <w:t xml:space="preserve">Adv. Theory Simul. 2026</w:t>
            </w:r>
          </w:p>
        </w:tc>
        <w:tc>
          <w:tcPr>
            <w:tcW w:type="dxa" w:w="1838"/>
            <w:tcMar>
              <w:top w:type="dxa" w:w="15"/>
              <w:left w:type="dxa" w:w="80"/>
              <w:bottom w:type="dxa" w:w="15"/>
              <w:right w:type="dxa" w:w="80"/>
            </w:tcMar>
            <w:vAlign w:val="top"/>
          </w:tcPr>
          <w:p>
            <w:r>
              <w:rPr>
                <w:b/>
                <w:bCs/>
                <w:color w:val="B4410C"/>
                <w:sz w:val="15"/>
                <w:szCs w:val="15"/>
              </w:rPr>
              <w:t xml:space="preserve">Caltech · Shell · NVIDIA</w:t>
            </w:r>
          </w:p>
        </w:tc>
      </w:tr>
      <w:tr>
        <w:trPr>
          <w:cantSplit/>
        </w:trPr>
        <w:tc>
          <w:tcPr>
            <w:tcW w:type="dxa" w:w="600"/>
            <w:shd w:fill="F7F9FC" w:color="auto" w:val="clear"/>
            <w:tcMar>
              <w:top w:type="dxa" w:w="15"/>
              <w:left w:type="dxa" w:w="80"/>
              <w:bottom w:type="dxa" w:w="15"/>
              <w:right w:type="dxa" w:w="80"/>
            </w:tcMar>
            <w:vAlign w:val="top"/>
          </w:tcPr>
          <w:p>
            <w:r>
              <w:rPr>
                <w:b/>
                <w:bCs/>
                <w:color w:val="B4410C"/>
                <w:sz w:val="15"/>
                <w:szCs w:val="15"/>
              </w:rPr>
              <w:t xml:space="preserve">C3</w:t>
            </w:r>
          </w:p>
        </w:tc>
        <w:tc>
          <w:tcPr>
            <w:tcW w:type="dxa" w:w="3300"/>
            <w:shd w:fill="F7F9FC" w:color="auto" w:val="clear"/>
            <w:tcMar>
              <w:top w:type="dxa" w:w="15"/>
              <w:left w:type="dxa" w:w="80"/>
              <w:bottom w:type="dxa" w:w="15"/>
              <w:right w:type="dxa" w:w="80"/>
            </w:tcMar>
            <w:vAlign w:val="top"/>
          </w:tcPr>
          <w:p>
            <w:r>
              <w:rPr>
                <w:sz w:val="15"/>
                <w:szCs w:val="15"/>
              </w:rPr>
              <w:t xml:space="preserve">Zhou, Wan, Huang, Li, Peng, Anandkumar, Brady, Sternberg &amp; Daraio (2024)</w:t>
            </w:r>
          </w:p>
        </w:tc>
        <w:tc>
          <w:tcPr>
            <w:tcW w:type="dxa" w:w="3900"/>
            <w:shd w:fill="F7F9FC" w:color="auto" w:val="clear"/>
            <w:tcMar>
              <w:top w:type="dxa" w:w="15"/>
              <w:left w:type="dxa" w:w="80"/>
              <w:bottom w:type="dxa" w:w="15"/>
              <w:right w:type="dxa" w:w="80"/>
            </w:tcMar>
            <w:vAlign w:val="top"/>
          </w:tcPr>
          <w:p>
            <w:r>
              <w:rPr>
                <w:sz w:val="15"/>
                <w:szCs w:val="15"/>
              </w:rPr>
              <w:t xml:space="preserve">Sci. Adv. 2024</w:t>
            </w:r>
          </w:p>
        </w:tc>
        <w:tc>
          <w:tcPr>
            <w:tcW w:type="dxa" w:w="1838"/>
            <w:shd w:fill="F7F9FC" w:color="auto" w:val="clear"/>
            <w:tcMar>
              <w:top w:type="dxa" w:w="15"/>
              <w:left w:type="dxa" w:w="80"/>
              <w:bottom w:type="dxa" w:w="15"/>
              <w:right w:type="dxa" w:w="80"/>
            </w:tcMar>
            <w:vAlign w:val="top"/>
          </w:tcPr>
          <w:p>
            <w:r>
              <w:rPr>
                <w:b/>
                <w:bCs/>
                <w:color w:val="B4410C"/>
                <w:sz w:val="15"/>
                <w:szCs w:val="15"/>
              </w:rPr>
              <w:t xml:space="preserve">Caltech</w:t>
            </w:r>
          </w:p>
        </w:tc>
      </w:tr>
      <w:tr>
        <w:trPr>
          <w:cantSplit/>
        </w:trPr>
        <w:tc>
          <w:tcPr>
            <w:tcW w:type="dxa" w:w="600"/>
            <w:tcMar>
              <w:top w:type="dxa" w:w="15"/>
              <w:left w:type="dxa" w:w="80"/>
              <w:bottom w:type="dxa" w:w="15"/>
              <w:right w:type="dxa" w:w="80"/>
            </w:tcMar>
            <w:vAlign w:val="top"/>
          </w:tcPr>
          <w:p>
            <w:r>
              <w:rPr>
                <w:b/>
                <w:bCs/>
                <w:color w:val="B4410C"/>
                <w:sz w:val="15"/>
                <w:szCs w:val="15"/>
              </w:rPr>
              <w:t xml:space="preserve">C4</w:t>
            </w:r>
          </w:p>
        </w:tc>
        <w:tc>
          <w:tcPr>
            <w:tcW w:type="dxa" w:w="3300"/>
            <w:tcMar>
              <w:top w:type="dxa" w:w="15"/>
              <w:left w:type="dxa" w:w="80"/>
              <w:bottom w:type="dxa" w:w="15"/>
              <w:right w:type="dxa" w:w="80"/>
            </w:tcMar>
            <w:vAlign w:val="top"/>
          </w:tcPr>
          <w:p>
            <w:r>
              <w:rPr>
                <w:sz w:val="15"/>
                <w:szCs w:val="15"/>
              </w:rPr>
              <w:t xml:space="preserve">Song, Lanka, Yue &amp; Dilkina (2020)</w:t>
            </w:r>
          </w:p>
        </w:tc>
        <w:tc>
          <w:tcPr>
            <w:tcW w:type="dxa" w:w="3900"/>
            <w:tcMar>
              <w:top w:type="dxa" w:w="15"/>
              <w:left w:type="dxa" w:w="80"/>
              <w:bottom w:type="dxa" w:w="15"/>
              <w:right w:type="dxa" w:w="80"/>
            </w:tcMar>
            <w:vAlign w:val="top"/>
          </w:tcPr>
          <w:p>
            <w:r>
              <w:rPr>
                <w:sz w:val="15"/>
                <w:szCs w:val="15"/>
              </w:rPr>
              <w:t xml:space="preserve">NeurIPS 2020</w:t>
            </w:r>
          </w:p>
        </w:tc>
        <w:tc>
          <w:tcPr>
            <w:tcW w:type="dxa" w:w="1838"/>
            <w:tcMar>
              <w:top w:type="dxa" w:w="15"/>
              <w:left w:type="dxa" w:w="80"/>
              <w:bottom w:type="dxa" w:w="15"/>
              <w:right w:type="dxa" w:w="80"/>
            </w:tcMar>
            <w:vAlign w:val="top"/>
          </w:tcPr>
          <w:p>
            <w:r>
              <w:rPr>
                <w:b/>
                <w:bCs/>
                <w:color w:val="B4410C"/>
                <w:sz w:val="15"/>
                <w:szCs w:val="15"/>
              </w:rPr>
              <w:t xml:space="preserve">Caltech · USC</w:t>
            </w:r>
          </w:p>
        </w:tc>
      </w:tr>
      <w:tr>
        <w:trPr>
          <w:cantSplit/>
        </w:trPr>
        <w:tc>
          <w:tcPr>
            <w:tcW w:type="dxa" w:w="600"/>
            <w:shd w:fill="F7F9FC" w:color="auto" w:val="clear"/>
            <w:tcMar>
              <w:top w:type="dxa" w:w="15"/>
              <w:left w:type="dxa" w:w="80"/>
              <w:bottom w:type="dxa" w:w="15"/>
              <w:right w:type="dxa" w:w="80"/>
            </w:tcMar>
            <w:vAlign w:val="top"/>
          </w:tcPr>
          <w:p>
            <w:r>
              <w:rPr>
                <w:b/>
                <w:bCs/>
                <w:color w:val="B4410C"/>
                <w:sz w:val="15"/>
                <w:szCs w:val="15"/>
              </w:rPr>
              <w:t xml:space="preserve">C5</w:t>
            </w:r>
          </w:p>
        </w:tc>
        <w:tc>
          <w:tcPr>
            <w:tcW w:type="dxa" w:w="3300"/>
            <w:shd w:fill="F7F9FC" w:color="auto" w:val="clear"/>
            <w:tcMar>
              <w:top w:type="dxa" w:w="15"/>
              <w:left w:type="dxa" w:w="80"/>
              <w:bottom w:type="dxa" w:w="15"/>
              <w:right w:type="dxa" w:w="80"/>
            </w:tcMar>
            <w:vAlign w:val="top"/>
          </w:tcPr>
          <w:p>
            <w:r>
              <w:rPr>
                <w:sz w:val="15"/>
                <w:szCs w:val="15"/>
              </w:rPr>
              <w:t xml:space="preserve">Lale, Renn, Azizzadenesheli, Hassibi, Gharib &amp; Anandkumar (2024)</w:t>
            </w:r>
          </w:p>
        </w:tc>
        <w:tc>
          <w:tcPr>
            <w:tcW w:type="dxa" w:w="3900"/>
            <w:shd w:fill="F7F9FC" w:color="auto" w:val="clear"/>
            <w:tcMar>
              <w:top w:type="dxa" w:w="15"/>
              <w:left w:type="dxa" w:w="80"/>
              <w:bottom w:type="dxa" w:w="15"/>
              <w:right w:type="dxa" w:w="80"/>
            </w:tcMar>
            <w:vAlign w:val="top"/>
          </w:tcPr>
          <w:p>
            <w:r>
              <w:rPr>
                <w:sz w:val="15"/>
                <w:szCs w:val="15"/>
              </w:rPr>
              <w:t xml:space="preserve">npj Robotics 2024</w:t>
            </w:r>
          </w:p>
        </w:tc>
        <w:tc>
          <w:tcPr>
            <w:tcW w:type="dxa" w:w="1838"/>
            <w:shd w:fill="F7F9FC" w:color="auto" w:val="clear"/>
            <w:tcMar>
              <w:top w:type="dxa" w:w="15"/>
              <w:left w:type="dxa" w:w="80"/>
              <w:bottom w:type="dxa" w:w="15"/>
              <w:right w:type="dxa" w:w="80"/>
            </w:tcMar>
            <w:vAlign w:val="top"/>
          </w:tcPr>
          <w:p>
            <w:r>
              <w:rPr>
                <w:b/>
                <w:bCs/>
                <w:color w:val="B4410C"/>
                <w:sz w:val="15"/>
                <w:szCs w:val="15"/>
              </w:rPr>
              <w:t xml:space="preserve">Caltech · NVIDIA</w:t>
            </w:r>
          </w:p>
        </w:tc>
      </w:tr>
      <w:tr>
        <w:trPr>
          <w:cantSplit/>
        </w:trPr>
        <w:tc>
          <w:tcPr>
            <w:tcW w:type="dxa" w:w="600"/>
            <w:tcMar>
              <w:top w:type="dxa" w:w="15"/>
              <w:left w:type="dxa" w:w="80"/>
              <w:bottom w:type="dxa" w:w="15"/>
              <w:right w:type="dxa" w:w="80"/>
            </w:tcMar>
            <w:vAlign w:val="top"/>
          </w:tcPr>
          <w:p>
            <w:r>
              <w:rPr>
                <w:b/>
                <w:bCs/>
                <w:color w:val="A51C30"/>
                <w:sz w:val="15"/>
                <w:szCs w:val="15"/>
              </w:rPr>
              <w:t xml:space="preserve">H1</w:t>
            </w:r>
          </w:p>
        </w:tc>
        <w:tc>
          <w:tcPr>
            <w:tcW w:type="dxa" w:w="3300"/>
            <w:tcMar>
              <w:top w:type="dxa" w:w="15"/>
              <w:left w:type="dxa" w:w="80"/>
              <w:bottom w:type="dxa" w:w="15"/>
              <w:right w:type="dxa" w:w="80"/>
            </w:tcMar>
            <w:vAlign w:val="top"/>
          </w:tcPr>
          <w:p>
            <w:r>
              <w:rPr>
                <w:sz w:val="15"/>
                <w:szCs w:val="15"/>
              </w:rPr>
              <w:t xml:space="preserve">Alhashim, Hausknecht &amp; Brenner (2025)</w:t>
            </w:r>
          </w:p>
        </w:tc>
        <w:tc>
          <w:tcPr>
            <w:tcW w:type="dxa" w:w="3900"/>
            <w:tcMar>
              <w:top w:type="dxa" w:w="15"/>
              <w:left w:type="dxa" w:w="80"/>
              <w:bottom w:type="dxa" w:w="15"/>
              <w:right w:type="dxa" w:w="80"/>
            </w:tcMar>
            <w:vAlign w:val="top"/>
          </w:tcPr>
          <w:p>
            <w:r>
              <w:rPr>
                <w:sz w:val="15"/>
                <w:szCs w:val="15"/>
              </w:rPr>
              <w:t xml:space="preserve">PNAS 2025</w:t>
            </w:r>
          </w:p>
        </w:tc>
        <w:tc>
          <w:tcPr>
            <w:tcW w:type="dxa" w:w="1838"/>
            <w:tcMar>
              <w:top w:type="dxa" w:w="15"/>
              <w:left w:type="dxa" w:w="80"/>
              <w:bottom w:type="dxa" w:w="15"/>
              <w:right w:type="dxa" w:w="80"/>
            </w:tcMar>
            <w:vAlign w:val="top"/>
          </w:tcPr>
          <w:p>
            <w:r>
              <w:rPr>
                <w:b/>
                <w:bCs/>
                <w:color w:val="A51C30"/>
                <w:sz w:val="15"/>
                <w:szCs w:val="15"/>
              </w:rPr>
              <w:t xml:space="preserve">Harvard · Saudi Aramco</w:t>
            </w:r>
          </w:p>
        </w:tc>
      </w:tr>
      <w:tr>
        <w:trPr>
          <w:cantSplit/>
        </w:trPr>
        <w:tc>
          <w:tcPr>
            <w:tcW w:type="dxa" w:w="600"/>
            <w:shd w:fill="F7F9FC" w:color="auto" w:val="clear"/>
            <w:tcMar>
              <w:top w:type="dxa" w:w="15"/>
              <w:left w:type="dxa" w:w="80"/>
              <w:bottom w:type="dxa" w:w="15"/>
              <w:right w:type="dxa" w:w="80"/>
            </w:tcMar>
            <w:vAlign w:val="top"/>
          </w:tcPr>
          <w:p>
            <w:r>
              <w:rPr>
                <w:b/>
                <w:bCs/>
                <w:color w:val="A51C30"/>
                <w:sz w:val="15"/>
                <w:szCs w:val="15"/>
              </w:rPr>
              <w:t xml:space="preserve">H2</w:t>
            </w:r>
          </w:p>
        </w:tc>
        <w:tc>
          <w:tcPr>
            <w:tcW w:type="dxa" w:w="3300"/>
            <w:shd w:fill="F7F9FC" w:color="auto" w:val="clear"/>
            <w:tcMar>
              <w:top w:type="dxa" w:w="15"/>
              <w:left w:type="dxa" w:w="80"/>
              <w:bottom w:type="dxa" w:w="15"/>
              <w:right w:type="dxa" w:w="80"/>
            </w:tcMar>
            <w:vAlign w:val="top"/>
          </w:tcPr>
          <w:p>
            <w:r>
              <w:rPr>
                <w:sz w:val="15"/>
                <w:szCs w:val="15"/>
              </w:rPr>
              <w:t xml:space="preserve">Amoudruz, Karnakov &amp; Koumoutsakos (2025)</w:t>
            </w:r>
          </w:p>
        </w:tc>
        <w:tc>
          <w:tcPr>
            <w:tcW w:type="dxa" w:w="3900"/>
            <w:shd w:fill="F7F9FC" w:color="auto" w:val="clear"/>
            <w:tcMar>
              <w:top w:type="dxa" w:w="15"/>
              <w:left w:type="dxa" w:w="80"/>
              <w:bottom w:type="dxa" w:w="15"/>
              <w:right w:type="dxa" w:w="80"/>
            </w:tcMar>
            <w:vAlign w:val="top"/>
          </w:tcPr>
          <w:p>
            <w:r>
              <w:rPr>
                <w:sz w:val="15"/>
                <w:szCs w:val="15"/>
              </w:rPr>
              <w:t xml:space="preserve">J. Fluid Mech. 2025</w:t>
            </w:r>
          </w:p>
        </w:tc>
        <w:tc>
          <w:tcPr>
            <w:tcW w:type="dxa" w:w="1838"/>
            <w:shd w:fill="F7F9FC" w:color="auto" w:val="clear"/>
            <w:tcMar>
              <w:top w:type="dxa" w:w="15"/>
              <w:left w:type="dxa" w:w="80"/>
              <w:bottom w:type="dxa" w:w="15"/>
              <w:right w:type="dxa" w:w="80"/>
            </w:tcMar>
            <w:vAlign w:val="top"/>
          </w:tcPr>
          <w:p>
            <w:r>
              <w:rPr>
                <w:b/>
                <w:bCs/>
                <w:color w:val="A51C30"/>
                <w:sz w:val="15"/>
                <w:szCs w:val="15"/>
              </w:rPr>
              <w:t xml:space="preserve">Harvard</w:t>
            </w:r>
          </w:p>
        </w:tc>
      </w:tr>
      <w:tr>
        <w:trPr>
          <w:cantSplit/>
        </w:trPr>
        <w:tc>
          <w:tcPr>
            <w:tcW w:type="dxa" w:w="600"/>
            <w:tcMar>
              <w:top w:type="dxa" w:w="15"/>
              <w:left w:type="dxa" w:w="80"/>
              <w:bottom w:type="dxa" w:w="15"/>
              <w:right w:type="dxa" w:w="80"/>
            </w:tcMar>
            <w:vAlign w:val="top"/>
          </w:tcPr>
          <w:p>
            <w:r>
              <w:rPr>
                <w:b/>
                <w:bCs/>
                <w:color w:val="A51C30"/>
                <w:sz w:val="15"/>
                <w:szCs w:val="15"/>
              </w:rPr>
              <w:t xml:space="preserve">H3</w:t>
            </w:r>
          </w:p>
        </w:tc>
        <w:tc>
          <w:tcPr>
            <w:tcW w:type="dxa" w:w="3300"/>
            <w:tcMar>
              <w:top w:type="dxa" w:w="15"/>
              <w:left w:type="dxa" w:w="80"/>
              <w:bottom w:type="dxa" w:w="15"/>
              <w:right w:type="dxa" w:w="80"/>
            </w:tcMar>
            <w:vAlign w:val="top"/>
          </w:tcPr>
          <w:p>
            <w:r>
              <w:rPr>
                <w:sz w:val="15"/>
                <w:szCs w:val="15"/>
              </w:rPr>
              <w:t xml:space="preserve">Kelp, Fargiano, Lin, Liu, Turner, Kutz &amp; Mickley (2023)</w:t>
            </w:r>
          </w:p>
        </w:tc>
        <w:tc>
          <w:tcPr>
            <w:tcW w:type="dxa" w:w="3900"/>
            <w:tcMar>
              <w:top w:type="dxa" w:w="15"/>
              <w:left w:type="dxa" w:w="80"/>
              <w:bottom w:type="dxa" w:w="15"/>
              <w:right w:type="dxa" w:w="80"/>
            </w:tcMar>
            <w:vAlign w:val="top"/>
          </w:tcPr>
          <w:p>
            <w:r>
              <w:rPr>
                <w:sz w:val="15"/>
                <w:szCs w:val="15"/>
              </w:rPr>
              <w:t xml:space="preserve">GeoHealth 2023</w:t>
            </w:r>
          </w:p>
        </w:tc>
        <w:tc>
          <w:tcPr>
            <w:tcW w:type="dxa" w:w="1838"/>
            <w:tcMar>
              <w:top w:type="dxa" w:w="15"/>
              <w:left w:type="dxa" w:w="80"/>
              <w:bottom w:type="dxa" w:w="15"/>
              <w:right w:type="dxa" w:w="80"/>
            </w:tcMar>
            <w:vAlign w:val="top"/>
          </w:tcPr>
          <w:p>
            <w:r>
              <w:rPr>
                <w:b/>
                <w:bCs/>
                <w:color w:val="A51C30"/>
                <w:sz w:val="15"/>
                <w:szCs w:val="15"/>
              </w:rPr>
              <w:t xml:space="preserve">Harvard · others</w:t>
            </w:r>
          </w:p>
        </w:tc>
      </w:tr>
      <w:tr>
        <w:trPr>
          <w:cantSplit/>
        </w:trPr>
        <w:tc>
          <w:tcPr>
            <w:tcW w:type="dxa" w:w="600"/>
            <w:shd w:fill="F7F9FC" w:color="auto" w:val="clear"/>
            <w:tcMar>
              <w:top w:type="dxa" w:w="15"/>
              <w:left w:type="dxa" w:w="80"/>
              <w:bottom w:type="dxa" w:w="15"/>
              <w:right w:type="dxa" w:w="80"/>
            </w:tcMar>
            <w:vAlign w:val="top"/>
          </w:tcPr>
          <w:p>
            <w:r>
              <w:rPr>
                <w:b/>
                <w:bCs/>
                <w:color w:val="A51C30"/>
                <w:sz w:val="15"/>
                <w:szCs w:val="15"/>
              </w:rPr>
              <w:t xml:space="preserve">H4</w:t>
            </w:r>
          </w:p>
        </w:tc>
        <w:tc>
          <w:tcPr>
            <w:tcW w:type="dxa" w:w="3300"/>
            <w:shd w:fill="F7F9FC" w:color="auto" w:val="clear"/>
            <w:tcMar>
              <w:top w:type="dxa" w:w="15"/>
              <w:left w:type="dxa" w:w="80"/>
              <w:bottom w:type="dxa" w:w="15"/>
              <w:right w:type="dxa" w:w="80"/>
            </w:tcMar>
            <w:vAlign w:val="top"/>
          </w:tcPr>
          <w:p>
            <w:r>
              <w:rPr>
                <w:sz w:val="15"/>
                <w:szCs w:val="15"/>
              </w:rPr>
              <w:t xml:space="preserve">Martin, Wälchli, Arampatzis, Economides, Karnakov &amp; Koumoutsakos (2022)</w:t>
            </w:r>
          </w:p>
        </w:tc>
        <w:tc>
          <w:tcPr>
            <w:tcW w:type="dxa" w:w="3900"/>
            <w:shd w:fill="F7F9FC" w:color="auto" w:val="clear"/>
            <w:tcMar>
              <w:top w:type="dxa" w:w="15"/>
              <w:left w:type="dxa" w:w="80"/>
              <w:bottom w:type="dxa" w:w="15"/>
              <w:right w:type="dxa" w:w="80"/>
            </w:tcMar>
            <w:vAlign w:val="top"/>
          </w:tcPr>
          <w:p>
            <w:r>
              <w:rPr>
                <w:sz w:val="15"/>
                <w:szCs w:val="15"/>
              </w:rPr>
              <w:t xml:space="preserve">Comput. Methods Appl. Mech. Eng. 2022</w:t>
            </w:r>
          </w:p>
        </w:tc>
        <w:tc>
          <w:tcPr>
            <w:tcW w:type="dxa" w:w="1838"/>
            <w:shd w:fill="F7F9FC" w:color="auto" w:val="clear"/>
            <w:tcMar>
              <w:top w:type="dxa" w:w="15"/>
              <w:left w:type="dxa" w:w="80"/>
              <w:bottom w:type="dxa" w:w="15"/>
              <w:right w:type="dxa" w:w="80"/>
            </w:tcMar>
            <w:vAlign w:val="top"/>
          </w:tcPr>
          <w:p>
            <w:r>
              <w:rPr>
                <w:b/>
                <w:bCs/>
                <w:color w:val="A51C30"/>
                <w:sz w:val="15"/>
                <w:szCs w:val="15"/>
              </w:rPr>
              <w:t xml:space="preserve">Harvard · ETH Zürich</w:t>
            </w:r>
          </w:p>
        </w:tc>
      </w:tr>
      <w:tr>
        <w:trPr>
          <w:cantSplit/>
        </w:trPr>
        <w:tc>
          <w:tcPr>
            <w:tcW w:type="dxa" w:w="600"/>
            <w:tcMar>
              <w:top w:type="dxa" w:w="15"/>
              <w:left w:type="dxa" w:w="80"/>
              <w:bottom w:type="dxa" w:w="15"/>
              <w:right w:type="dxa" w:w="80"/>
            </w:tcMar>
            <w:vAlign w:val="top"/>
          </w:tcPr>
          <w:p>
            <w:r>
              <w:rPr>
                <w:b/>
                <w:bCs/>
                <w:color w:val="A51C30"/>
                <w:sz w:val="15"/>
                <w:szCs w:val="15"/>
              </w:rPr>
              <w:t xml:space="preserve">H5</w:t>
            </w:r>
          </w:p>
        </w:tc>
        <w:tc>
          <w:tcPr>
            <w:tcW w:type="dxa" w:w="3300"/>
            <w:tcMar>
              <w:top w:type="dxa" w:w="15"/>
              <w:left w:type="dxa" w:w="80"/>
              <w:bottom w:type="dxa" w:w="15"/>
              <w:right w:type="dxa" w:w="80"/>
            </w:tcMar>
            <w:vAlign w:val="top"/>
          </w:tcPr>
          <w:p>
            <w:r>
              <w:rPr>
                <w:sz w:val="15"/>
                <w:szCs w:val="15"/>
              </w:rPr>
              <w:t xml:space="preserve">Zhuang, Kochkov, Bar-Sinai, Brenner &amp; Hoyer (2021)</w:t>
            </w:r>
          </w:p>
        </w:tc>
        <w:tc>
          <w:tcPr>
            <w:tcW w:type="dxa" w:w="3900"/>
            <w:tcMar>
              <w:top w:type="dxa" w:w="15"/>
              <w:left w:type="dxa" w:w="80"/>
              <w:bottom w:type="dxa" w:w="15"/>
              <w:right w:type="dxa" w:w="80"/>
            </w:tcMar>
            <w:vAlign w:val="top"/>
          </w:tcPr>
          <w:p>
            <w:r>
              <w:rPr>
                <w:sz w:val="15"/>
                <w:szCs w:val="15"/>
              </w:rPr>
              <w:t xml:space="preserve">Phys. Rev. Fluids 2021</w:t>
            </w:r>
          </w:p>
        </w:tc>
        <w:tc>
          <w:tcPr>
            <w:tcW w:type="dxa" w:w="1838"/>
            <w:tcMar>
              <w:top w:type="dxa" w:w="15"/>
              <w:left w:type="dxa" w:w="80"/>
              <w:bottom w:type="dxa" w:w="15"/>
              <w:right w:type="dxa" w:w="80"/>
            </w:tcMar>
            <w:vAlign w:val="top"/>
          </w:tcPr>
          <w:p>
            <w:r>
              <w:rPr>
                <w:b/>
                <w:bCs/>
                <w:color w:val="A51C30"/>
                <w:sz w:val="15"/>
                <w:szCs w:val="15"/>
              </w:rPr>
              <w:t xml:space="preserve">Harvard · Google Research</w:t>
            </w:r>
          </w:p>
        </w:tc>
      </w:tr>
      <w:tr>
        <w:trPr>
          <w:cantSplit/>
        </w:trPr>
        <w:tc>
          <w:tcPr>
            <w:tcW w:type="dxa" w:w="600"/>
            <w:shd w:fill="F7F9FC" w:color="auto" w:val="clear"/>
            <w:tcMar>
              <w:top w:type="dxa" w:w="15"/>
              <w:left w:type="dxa" w:w="80"/>
              <w:bottom w:type="dxa" w:w="15"/>
              <w:right w:type="dxa" w:w="80"/>
            </w:tcMar>
            <w:vAlign w:val="top"/>
          </w:tcPr>
          <w:p>
            <w:r>
              <w:rPr>
                <w:b/>
                <w:bCs/>
                <w:color w:val="4D4D4F"/>
                <w:sz w:val="15"/>
                <w:szCs w:val="15"/>
              </w:rPr>
              <w:t xml:space="preserve">M1</w:t>
            </w:r>
          </w:p>
        </w:tc>
        <w:tc>
          <w:tcPr>
            <w:tcW w:type="dxa" w:w="3300"/>
            <w:shd w:fill="F7F9FC" w:color="auto" w:val="clear"/>
            <w:tcMar>
              <w:top w:type="dxa" w:w="15"/>
              <w:left w:type="dxa" w:w="80"/>
              <w:bottom w:type="dxa" w:w="15"/>
              <w:right w:type="dxa" w:w="80"/>
            </w:tcMar>
            <w:vAlign w:val="top"/>
          </w:tcPr>
          <w:p>
            <w:r>
              <w:rPr>
                <w:sz w:val="15"/>
                <w:szCs w:val="15"/>
              </w:rPr>
              <w:t xml:space="preserve">Maragno, Wiberg, Bertsimas, Birbil, den Hertog &amp; Fajemisin (2025)</w:t>
            </w:r>
          </w:p>
        </w:tc>
        <w:tc>
          <w:tcPr>
            <w:tcW w:type="dxa" w:w="3900"/>
            <w:shd w:fill="F7F9FC" w:color="auto" w:val="clear"/>
            <w:tcMar>
              <w:top w:type="dxa" w:w="15"/>
              <w:left w:type="dxa" w:w="80"/>
              <w:bottom w:type="dxa" w:w="15"/>
              <w:right w:type="dxa" w:w="80"/>
            </w:tcMar>
            <w:vAlign w:val="top"/>
          </w:tcPr>
          <w:p>
            <w:r>
              <w:rPr>
                <w:sz w:val="15"/>
                <w:szCs w:val="15"/>
              </w:rPr>
              <w:t xml:space="preserve">Oper. Res. 2025</w:t>
            </w:r>
          </w:p>
        </w:tc>
        <w:tc>
          <w:tcPr>
            <w:tcW w:type="dxa" w:w="1838"/>
            <w:shd w:fill="F7F9FC" w:color="auto" w:val="clear"/>
            <w:tcMar>
              <w:top w:type="dxa" w:w="15"/>
              <w:left w:type="dxa" w:w="80"/>
              <w:bottom w:type="dxa" w:w="15"/>
              <w:right w:type="dxa" w:w="80"/>
            </w:tcMar>
            <w:vAlign w:val="top"/>
          </w:tcPr>
          <w:p>
            <w:r>
              <w:rPr>
                <w:b/>
                <w:bCs/>
                <w:color w:val="4D4D4F"/>
                <w:sz w:val="15"/>
                <w:szCs w:val="15"/>
              </w:rPr>
              <w:t xml:space="preserve">MIT · others</w:t>
            </w:r>
          </w:p>
        </w:tc>
      </w:tr>
      <w:tr>
        <w:trPr>
          <w:cantSplit/>
        </w:trPr>
        <w:tc>
          <w:tcPr>
            <w:tcW w:type="dxa" w:w="600"/>
            <w:tcMar>
              <w:top w:type="dxa" w:w="15"/>
              <w:left w:type="dxa" w:w="80"/>
              <w:bottom w:type="dxa" w:w="15"/>
              <w:right w:type="dxa" w:w="80"/>
            </w:tcMar>
            <w:vAlign w:val="top"/>
          </w:tcPr>
          <w:p>
            <w:r>
              <w:rPr>
                <w:b/>
                <w:bCs/>
                <w:color w:val="4D4D4F"/>
                <w:sz w:val="15"/>
                <w:szCs w:val="15"/>
              </w:rPr>
              <w:t xml:space="preserve">M2</w:t>
            </w:r>
          </w:p>
        </w:tc>
        <w:tc>
          <w:tcPr>
            <w:tcW w:type="dxa" w:w="3300"/>
            <w:tcMar>
              <w:top w:type="dxa" w:w="15"/>
              <w:left w:type="dxa" w:w="80"/>
              <w:bottom w:type="dxa" w:w="15"/>
              <w:right w:type="dxa" w:w="80"/>
            </w:tcMar>
            <w:vAlign w:val="top"/>
          </w:tcPr>
          <w:p>
            <w:r>
              <w:rPr>
                <w:sz w:val="15"/>
                <w:szCs w:val="15"/>
              </w:rPr>
              <w:t xml:space="preserve">Bertsimas, Shtern &amp; Sturt (2022)</w:t>
            </w:r>
          </w:p>
        </w:tc>
        <w:tc>
          <w:tcPr>
            <w:tcW w:type="dxa" w:w="3900"/>
            <w:tcMar>
              <w:top w:type="dxa" w:w="15"/>
              <w:left w:type="dxa" w:w="80"/>
              <w:bottom w:type="dxa" w:w="15"/>
              <w:right w:type="dxa" w:w="80"/>
            </w:tcMar>
            <w:vAlign w:val="top"/>
          </w:tcPr>
          <w:p>
            <w:r>
              <w:rPr>
                <w:sz w:val="15"/>
                <w:szCs w:val="15"/>
              </w:rPr>
              <w:t xml:space="preserve">Oper. Res. 2022</w:t>
            </w:r>
          </w:p>
        </w:tc>
        <w:tc>
          <w:tcPr>
            <w:tcW w:type="dxa" w:w="1838"/>
            <w:tcMar>
              <w:top w:type="dxa" w:w="15"/>
              <w:left w:type="dxa" w:w="80"/>
              <w:bottom w:type="dxa" w:w="15"/>
              <w:right w:type="dxa" w:w="80"/>
            </w:tcMar>
            <w:vAlign w:val="top"/>
          </w:tcPr>
          <w:p>
            <w:r>
              <w:rPr>
                <w:b/>
                <w:bCs/>
                <w:color w:val="4D4D4F"/>
                <w:sz w:val="15"/>
                <w:szCs w:val="15"/>
              </w:rPr>
              <w:t xml:space="preserve">MIT · others</w:t>
            </w:r>
          </w:p>
        </w:tc>
      </w:tr>
      <w:tr>
        <w:trPr>
          <w:cantSplit/>
        </w:trPr>
        <w:tc>
          <w:tcPr>
            <w:tcW w:type="dxa" w:w="600"/>
            <w:shd w:fill="F7F9FC" w:color="auto" w:val="clear"/>
            <w:tcMar>
              <w:top w:type="dxa" w:w="15"/>
              <w:left w:type="dxa" w:w="80"/>
              <w:bottom w:type="dxa" w:w="15"/>
              <w:right w:type="dxa" w:w="80"/>
            </w:tcMar>
            <w:vAlign w:val="top"/>
          </w:tcPr>
          <w:p>
            <w:r>
              <w:rPr>
                <w:b/>
                <w:bCs/>
                <w:color w:val="4D4D4F"/>
                <w:sz w:val="15"/>
                <w:szCs w:val="15"/>
              </w:rPr>
              <w:t xml:space="preserve">M3</w:t>
            </w:r>
          </w:p>
        </w:tc>
        <w:tc>
          <w:tcPr>
            <w:tcW w:type="dxa" w:w="3300"/>
            <w:shd w:fill="F7F9FC" w:color="auto" w:val="clear"/>
            <w:tcMar>
              <w:top w:type="dxa" w:w="15"/>
              <w:left w:type="dxa" w:w="80"/>
              <w:bottom w:type="dxa" w:w="15"/>
              <w:right w:type="dxa" w:w="80"/>
            </w:tcMar>
            <w:vAlign w:val="top"/>
          </w:tcPr>
          <w:p>
            <w:r>
              <w:rPr>
                <w:sz w:val="15"/>
                <w:szCs w:val="15"/>
              </w:rPr>
              <w:t xml:space="preserve">Hager, Dieterich, Frohlich, Juanes, Mantica, Shaw et al. (2021)</w:t>
            </w:r>
          </w:p>
        </w:tc>
        <w:tc>
          <w:tcPr>
            <w:tcW w:type="dxa" w:w="3900"/>
            <w:shd w:fill="F7F9FC" w:color="auto" w:val="clear"/>
            <w:tcMar>
              <w:top w:type="dxa" w:w="15"/>
              <w:left w:type="dxa" w:w="80"/>
              <w:bottom w:type="dxa" w:w="15"/>
              <w:right w:type="dxa" w:w="80"/>
            </w:tcMar>
            <w:vAlign w:val="top"/>
          </w:tcPr>
          <w:p>
            <w:r>
              <w:rPr>
                <w:sz w:val="15"/>
                <w:szCs w:val="15"/>
              </w:rPr>
              <w:t xml:space="preserve">Nature 2021</w:t>
            </w:r>
          </w:p>
        </w:tc>
        <w:tc>
          <w:tcPr>
            <w:tcW w:type="dxa" w:w="1838"/>
            <w:shd w:fill="F7F9FC" w:color="auto" w:val="clear"/>
            <w:tcMar>
              <w:top w:type="dxa" w:w="15"/>
              <w:left w:type="dxa" w:w="80"/>
              <w:bottom w:type="dxa" w:w="15"/>
              <w:right w:type="dxa" w:w="80"/>
            </w:tcMar>
            <w:vAlign w:val="top"/>
          </w:tcPr>
          <w:p>
            <w:r>
              <w:rPr>
                <w:b/>
                <w:bCs/>
                <w:color w:val="4D4D4F"/>
                <w:sz w:val="15"/>
                <w:szCs w:val="15"/>
              </w:rPr>
              <w:t xml:space="preserve">MIT · UC Riverside · UT Austin · Harvard · Eni</w:t>
            </w:r>
          </w:p>
        </w:tc>
      </w:tr>
      <w:tr>
        <w:trPr>
          <w:cantSplit/>
        </w:trPr>
        <w:tc>
          <w:tcPr>
            <w:tcW w:type="dxa" w:w="600"/>
            <w:tcMar>
              <w:top w:type="dxa" w:w="15"/>
              <w:left w:type="dxa" w:w="80"/>
              <w:bottom w:type="dxa" w:w="15"/>
              <w:right w:type="dxa" w:w="80"/>
            </w:tcMar>
            <w:vAlign w:val="top"/>
          </w:tcPr>
          <w:p>
            <w:r>
              <w:rPr>
                <w:b/>
                <w:bCs/>
                <w:color w:val="4D4D4F"/>
                <w:sz w:val="15"/>
                <w:szCs w:val="15"/>
              </w:rPr>
              <w:t xml:space="preserve">M4</w:t>
            </w:r>
          </w:p>
        </w:tc>
        <w:tc>
          <w:tcPr>
            <w:tcW w:type="dxa" w:w="3300"/>
            <w:tcMar>
              <w:top w:type="dxa" w:w="15"/>
              <w:left w:type="dxa" w:w="80"/>
              <w:bottom w:type="dxa" w:w="15"/>
              <w:right w:type="dxa" w:w="80"/>
            </w:tcMar>
            <w:vAlign w:val="top"/>
          </w:tcPr>
          <w:p>
            <w:r>
              <w:rPr>
                <w:sz w:val="15"/>
                <w:szCs w:val="15"/>
              </w:rPr>
              <w:t xml:space="preserve">Haghighat, Amini &amp; Juanes (2022)</w:t>
            </w:r>
          </w:p>
        </w:tc>
        <w:tc>
          <w:tcPr>
            <w:tcW w:type="dxa" w:w="3900"/>
            <w:tcMar>
              <w:top w:type="dxa" w:w="15"/>
              <w:left w:type="dxa" w:w="80"/>
              <w:bottom w:type="dxa" w:w="15"/>
              <w:right w:type="dxa" w:w="80"/>
            </w:tcMar>
            <w:vAlign w:val="top"/>
          </w:tcPr>
          <w:p>
            <w:r>
              <w:rPr>
                <w:sz w:val="15"/>
                <w:szCs w:val="15"/>
              </w:rPr>
              <w:t xml:space="preserve">Comput. Methods Appl. Mech. Eng. 2022</w:t>
            </w:r>
          </w:p>
        </w:tc>
        <w:tc>
          <w:tcPr>
            <w:tcW w:type="dxa" w:w="1838"/>
            <w:tcMar>
              <w:top w:type="dxa" w:w="15"/>
              <w:left w:type="dxa" w:w="80"/>
              <w:bottom w:type="dxa" w:w="15"/>
              <w:right w:type="dxa" w:w="80"/>
            </w:tcMar>
            <w:vAlign w:val="top"/>
          </w:tcPr>
          <w:p>
            <w:r>
              <w:rPr>
                <w:b/>
                <w:bCs/>
                <w:color w:val="4D4D4F"/>
                <w:sz w:val="15"/>
                <w:szCs w:val="15"/>
              </w:rPr>
              <w:t xml:space="preserve">MIT</w:t>
            </w:r>
          </w:p>
        </w:tc>
      </w:tr>
      <w:tr>
        <w:trPr>
          <w:cantSplit/>
        </w:trPr>
        <w:tc>
          <w:tcPr>
            <w:tcW w:type="dxa" w:w="600"/>
            <w:shd w:fill="F7F9FC" w:color="auto" w:val="clear"/>
            <w:tcMar>
              <w:top w:type="dxa" w:w="15"/>
              <w:left w:type="dxa" w:w="80"/>
              <w:bottom w:type="dxa" w:w="15"/>
              <w:right w:type="dxa" w:w="80"/>
            </w:tcMar>
            <w:vAlign w:val="top"/>
          </w:tcPr>
          <w:p>
            <w:r>
              <w:rPr>
                <w:b/>
                <w:bCs/>
                <w:color w:val="4D4D4F"/>
                <w:sz w:val="15"/>
                <w:szCs w:val="15"/>
              </w:rPr>
              <w:t xml:space="preserve">M5</w:t>
            </w:r>
          </w:p>
        </w:tc>
        <w:tc>
          <w:tcPr>
            <w:tcW w:type="dxa" w:w="3300"/>
            <w:shd w:fill="F7F9FC" w:color="auto" w:val="clear"/>
            <w:tcMar>
              <w:top w:type="dxa" w:w="15"/>
              <w:left w:type="dxa" w:w="80"/>
              <w:bottom w:type="dxa" w:w="15"/>
              <w:right w:type="dxa" w:w="80"/>
            </w:tcMar>
            <w:vAlign w:val="top"/>
          </w:tcPr>
          <w:p>
            <w:r>
              <w:rPr>
                <w:sz w:val="15"/>
                <w:szCs w:val="15"/>
              </w:rPr>
              <w:t xml:space="preserve">Lu, Saló-Salgado, Marzouk &amp; Juanes (2025)</w:t>
            </w:r>
          </w:p>
        </w:tc>
        <w:tc>
          <w:tcPr>
            <w:tcW w:type="dxa" w:w="3900"/>
            <w:shd w:fill="F7F9FC" w:color="auto" w:val="clear"/>
            <w:tcMar>
              <w:top w:type="dxa" w:w="15"/>
              <w:left w:type="dxa" w:w="80"/>
              <w:bottom w:type="dxa" w:w="15"/>
              <w:right w:type="dxa" w:w="80"/>
            </w:tcMar>
            <w:vAlign w:val="top"/>
          </w:tcPr>
          <w:p>
            <w:r>
              <w:rPr>
                <w:sz w:val="15"/>
                <w:szCs w:val="15"/>
              </w:rPr>
              <w:t xml:space="preserve">Water Resour. Res. 2025</w:t>
            </w:r>
          </w:p>
        </w:tc>
        <w:tc>
          <w:tcPr>
            <w:tcW w:type="dxa" w:w="1838"/>
            <w:shd w:fill="F7F9FC" w:color="auto" w:val="clear"/>
            <w:tcMar>
              <w:top w:type="dxa" w:w="15"/>
              <w:left w:type="dxa" w:w="80"/>
              <w:bottom w:type="dxa" w:w="15"/>
              <w:right w:type="dxa" w:w="80"/>
            </w:tcMar>
            <w:vAlign w:val="top"/>
          </w:tcPr>
          <w:p>
            <w:r>
              <w:rPr>
                <w:b/>
                <w:bCs/>
                <w:color w:val="4D4D4F"/>
                <w:sz w:val="15"/>
                <w:szCs w:val="15"/>
              </w:rPr>
              <w:t xml:space="preserve">MIT</w:t>
            </w:r>
          </w:p>
        </w:tc>
      </w:tr>
    </w:tbl>
    <w:p>
      <w:pPr>
        <w:spacing w:after="160"/>
      </w:pPr>
    </w:p>
    <w:p>
      <w:pPr>
        <w:pStyle w:val="Heading1"/>
      </w:pPr>
      <w:r>
        <w:rPr>
          <w:color w:val="002147"/>
        </w:rPr>
        <w:t xml:space="preserve">4. University of Oxford</w:t>
      </w:r>
    </w:p>
    <w:p>
      <w:pPr>
        <w:spacing w:after="120"/>
        <w:jc w:val="both"/>
      </w:pPr>
      <w:r>
        <w:t xml:space="preserve">Five Oxford papers. Patrick Farrell, Robert Kirby and Jorge Marchena-Menéndez generate the stage equations of any implicit Runge–Kutta method from a single weak form [O1]; Farrell, Matthew Knepley, Lawrence Mitchell and Florian Wechsung build patch smoothers that make multigrid robust for coupled systems [O2]; Pablo Brubeck and Farrell give a relaxation whose cost is optimal in the polynomial degree [O3]; Xingchen Wan, Michael Osborne and co-authors optimise expensive black boxes over mixed categorical and continuous inputs with a convergence guarantee [O4]; and Jim Hall and co-authors set out risk-based planning for the water industry in England [O5].</w:t>
      </w:r>
    </w:p>
    <w:p>
      <w:pPr>
        <w:keepNext/>
        <w:pBdr>
          <w:top w:val="single" w:color="002147" w:sz="6" w:space="4"/>
        </w:pBdr>
        <w:spacing w:after="60" w:before="220"/>
      </w:pPr>
      <w:r>
        <w:rPr>
          <w:b/>
          <w:bCs/>
          <w:color w:val="002147"/>
          <w:sz w:val="23"/>
          <w:szCs w:val="23"/>
        </w:rPr>
        <w:t xml:space="preserve">O1  </w:t>
      </w:r>
      <w:r>
        <w:rPr>
          <w:b/>
          <w:bCs/>
          <w:color w:val="1F3864"/>
          <w:sz w:val="23"/>
          <w:szCs w:val="23"/>
        </w:rPr>
        <w:t xml:space="preserve">Irksome: Automating Runge–Kutta Time-stepping for Finite Element Methods</w:t>
      </w:r>
    </w:p>
    <w:p>
      <w:pPr>
        <w:keepNext/>
        <w:spacing w:after="60" w:line="240" w:lineRule="auto"/>
      </w:pPr>
      <w:r>
        <w:rPr>
          <w:b/>
          <w:bCs/>
          <w:color w:val="333B47"/>
          <w:sz w:val="15"/>
          <w:szCs w:val="15"/>
        </w:rPr>
        <w:t xml:space="preserve">Authors: </w:t>
      </w:r>
      <w:r>
        <w:rPr>
          <w:sz w:val="15"/>
          <w:szCs w:val="15"/>
        </w:rPr>
        <w:t xml:space="preserve">Patrick E. Farrell, Robert C. Kirby, Jorge Marchena-Menéndez</w:t>
      </w:r>
      <w:r>
        <w:rPr>
          <w:sz w:val="15"/>
          <w:szCs w:val="15"/>
        </w:rPr>
        <w:t xml:space="preserve">   </w:t>
      </w:r>
      <w:r>
        <w:rPr>
          <w:b/>
          <w:bCs/>
          <w:color w:val="333B47"/>
          <w:sz w:val="15"/>
          <w:szCs w:val="15"/>
        </w:rPr>
        <w:t xml:space="preserve">Published in: </w:t>
      </w:r>
      <w:r>
        <w:rPr>
          <w:sz w:val="15"/>
          <w:szCs w:val="15"/>
        </w:rPr>
        <w:t xml:space="preserve">ACM Transactions on Mathematical Software, 47(4), Article 30, 1–26 (2021); arXiv:2006.16282</w:t>
      </w:r>
      <w:r>
        <w:rPr>
          <w:sz w:val="15"/>
          <w:szCs w:val="15"/>
        </w:rPr>
        <w:t xml:space="preserve">   </w:t>
      </w:r>
      <w:r>
        <w:rPr>
          <w:b/>
          <w:bCs/>
          <w:color w:val="333B47"/>
          <w:sz w:val="15"/>
          <w:szCs w:val="15"/>
        </w:rPr>
        <w:t xml:space="preserve">Link: </w:t>
      </w:r>
      <w:hyperlink w:history="1" r:id="rIdi3sum5sonc0hqhnsfan6q">
        <w:r>
          <w:rPr>
            <w:color w:val="1D4ED8"/>
            <w:sz w:val="15"/>
            <w:szCs w:val="15"/>
            <w:u w:val="single"/>
          </w:rPr>
          <w:t xml:space="preserve">https://doi.org/10.1145/3466168</w:t>
        </w:r>
      </w:hyperlink>
    </w:p>
    <w:p>
      <w:pPr>
        <w:keepNext/>
        <w:spacing w:after="80" w:line="240" w:lineRule="auto"/>
      </w:pPr>
      <w:r>
        <w:rPr>
          <w:b/>
          <w:bCs/>
          <w:color w:val="333B47"/>
          <w:sz w:val="15"/>
          <w:szCs w:val="15"/>
        </w:rPr>
        <w:t xml:space="preserve">Affiliation: </w:t>
      </w:r>
      <w:r>
        <w:rPr>
          <w:color w:val="3A4350"/>
          <w:sz w:val="15"/>
          <w:szCs w:val="15"/>
        </w:rPr>
        <w:t xml:space="preserve">Farrell: Mathematical Institute, University of Oxford; the paper has a record in the Oxford Research Archive (ORA). Kirby: Baylor University. Other affiliations not verified.</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(4/5)</w:t>
      </w:r>
    </w:p>
    <w:p>
      <w:pPr>
        <w:spacing w:after="60"/>
        <w:jc w:val="both"/>
      </w:pPr>
      <w:r>
        <w:rPr>
          <w:b/>
          <w:bCs/>
          <w:color w:val="002147"/>
          <w:sz w:val="17"/>
          <w:szCs w:val="17"/>
        </w:rPr>
        <w:t xml:space="preserve">Summary. </w:t>
      </w:r>
      <w:r>
        <w:rPr>
          <w:sz w:val="17"/>
          <w:szCs w:val="17"/>
        </w:rPr>
        <w:t xml:space="preserve">Writing a high-order implicit time-stepper for a coupled nonlinear system of partial differential equations means writing, by hand, the large system that couples all the stages of the method. Irksome removes that step: the user writes only the semi-discrete weak form in the Unified Form Language, and the library generates the coupled stage equations for any Butcher tableau (Gauss–Legendre, Radau IIA and others), which Firedrake assembles and PETSc solves, with preconditioners that act on the coupled stages. High-order, stable time-stepping of nonlinear coupled systems thus becomes a one-line choice.</w:t>
      </w:r>
    </w:p>
    <w:p>
      <w:pPr>
        <w:keepNext/>
        <w:spacing w:after="20" w:before="40"/>
      </w:pPr>
      <w:r>
        <w:rPr>
          <w:b/>
          <w:bCs/>
          <w:color w:val="002147"/>
          <w:sz w:val="17"/>
          <w:szCs w:val="17"/>
        </w:rPr>
        <w:t xml:space="preserve">Key equation.</w:t>
      </w:r>
      <w:r>
        <w:rPr>
          <w:i/>
          <w:iCs/>
          <w:color w:val="5B6573"/>
          <w:sz w:val="15"/>
          <w:szCs w:val="15"/>
        </w:rPr>
        <w:t xml:space="preserve">  Stage equations generated from the weak form for an $s$-stage Runge–Kutta method (representative formulation)</w:t>
      </w:r>
    </w:p>
    <w:p>
      <w:pPr>
        <w:pStyle w:val="Equation"/>
      </w:pPr>
      <m:oMathPara>
        <m:oMathParaPr>
          <m:jc m:val="center"/>
        </m:oMathParaPr>
        <m:oMath>
          <m:d>
            <m:dPr>
              <m:begChr m:val="("/>
              <m:sepChr m:val=""/>
              <m:endChr m:val=")"/>
              <m:grow/>
            </m:dPr>
            <m:e>
              <m:sSub>
                <m:e>
                  <m:r>
                    <m:t>k</m:t>
                  </m:r>
                </m:e>
                <m:sub>
                  <m:r>
                    <m:t>i</m:t>
                  </m:r>
                </m:sub>
              </m:sSub>
              <m:r>
                <m:rPr>
                  <m:sty m:val="p"/>
                </m:rPr>
                <m:t>,</m:t>
              </m:r>
              <m:sSub>
                <m:e>
                  <m:r>
                    <m:t>v</m:t>
                  </m:r>
                </m:e>
                <m:sub>
                  <m:r>
                    <m:t>i</m:t>
                  </m:r>
                </m:sub>
              </m:sSub>
            </m:e>
          </m:d>
          <m:r>
            <m:rPr>
              <m:sty m:val="p"/>
            </m:rPr>
            <m:t>+</m:t>
          </m:r>
          <m:r>
            <m:t>F</m:t>
          </m:r>
          <m:d>
            <m:dPr>
              <m:begChr m:val="("/>
              <m:sepChr m:val=""/>
              <m:endChr m:val=")"/>
              <m:grow/>
            </m:dPr>
            <m:e>
              <m:sSub>
                <m:e>
                  <m:r>
                    <m:t>t</m:t>
                  </m:r>
                </m:e>
                <m:sub>
                  <m:r>
                    <m:t>n</m:t>
                  </m:r>
                </m:sub>
              </m:sSub>
              <m:r>
                <m:rPr>
                  <m:sty m:val="p"/>
                </m:rPr>
                <m:t>+</m:t>
              </m:r>
              <m:sSub>
                <m:e>
                  <m:r>
                    <m:t>c</m:t>
                  </m:r>
                </m:e>
                <m:sub>
                  <m:r>
                    <m:t>i</m:t>
                  </m:r>
                </m:sub>
              </m:sSub>
              <m:r>
                <m:t>Δ</m:t>
              </m:r>
              <m:r>
                <m:t>t</m:t>
              </m:r>
              <m:r>
                <m:rPr>
                  <m:sty m:val="p"/>
                </m:rPr>
                <m:t>,</m:t>
              </m:r>
              <m:r>
                <m:t> </m:t>
              </m:r>
              <m:sSub>
                <m:e>
                  <m:r>
                    <m:t>u</m:t>
                  </m:r>
                </m:e>
                <m:sub>
                  <m:r>
                    <m:t>n</m:t>
                  </m:r>
                </m:sub>
              </m:sSub>
              <m:r>
                <m:rPr>
                  <m:sty m:val="p"/>
                </m:rPr>
                <m:t>+</m:t>
              </m:r>
              <m:r>
                <m:t>Δ</m:t>
              </m:r>
              <m:r>
                <m:t>t</m:t>
              </m:r>
              <m:nary>
                <m:naryPr>
                  <m:chr m:val="∑"/>
                  <m:limLoc m:val="undOvr"/>
                  <m:subHide m:val="off"/>
                  <m:supHide m:val="off"/>
                </m:naryPr>
                <m:sub>
                  <m:r>
                    <m:t>j</m:t>
                  </m:r>
                  <m:r>
                    <m:rPr>
                      <m:sty m:val="p"/>
                    </m:rPr>
                    <m:t>=</m:t>
                  </m:r>
                  <m:r>
                    <m:t>1</m:t>
                  </m:r>
                </m:sub>
                <m:sup>
                  <m:r>
                    <m:t>s</m:t>
                  </m:r>
                </m:sup>
                <m:e>
                  <m:sSub>
                    <m:e>
                      <m:r>
                        <m:t>a</m:t>
                      </m:r>
                    </m:e>
                    <m:sub>
                      <m:r>
                        <m:t>i</m:t>
                      </m:r>
                      <m:r>
                        <m:t>j</m:t>
                      </m:r>
                    </m:sub>
                  </m:sSub>
                </m:e>
              </m:nary>
              <m:sSub>
                <m:e>
                  <m:r>
                    <m:t>k</m:t>
                  </m:r>
                </m:e>
                <m:sub>
                  <m:r>
                    <m:t>j</m:t>
                  </m:r>
                </m:sub>
              </m:sSub>
              <m:r>
                <m:rPr>
                  <m:sty m:val="p"/>
                </m:rPr>
                <m:t>;</m:t>
              </m:r>
              <m:r>
                <m:t> </m:t>
              </m:r>
              <m:sSub>
                <m:e>
                  <m:r>
                    <m:t>v</m:t>
                  </m:r>
                </m:e>
                <m:sub>
                  <m:r>
                    <m:t>i</m:t>
                  </m:r>
                </m:sub>
              </m:sSub>
            </m:e>
          </m:d>
          <m:r>
            <m:rPr>
              <m:sty m:val="p"/>
            </m:rPr>
            <m:t>=</m:t>
          </m:r>
          <m:r>
            <m:t>0</m:t>
          </m:r>
          <m:r>
            <m:t> </m:t>
          </m:r>
          <m:r>
            <m:rPr>
              <m:sty m:val="p"/>
            </m:rPr>
            <m:t>∀</m:t>
          </m:r>
          <m:sSub>
            <m:e>
              <m:r>
                <m:t>v</m:t>
              </m:r>
            </m:e>
            <m:sub>
              <m:r>
                <m:t>i</m:t>
              </m:r>
            </m:sub>
          </m:sSub>
          <m:r>
            <m:rPr>
              <m:sty m:val="p"/>
            </m:rPr>
            <m:t>,</m:t>
          </m:r>
          <m:r>
            <m:t>  </m:t>
          </m:r>
          <m:sSub>
            <m:e>
              <m:r>
                <m:t>u</m:t>
              </m:r>
            </m:e>
            <m:sub>
              <m:r>
                <m:t>n</m:t>
              </m:r>
              <m:r>
                <m:rPr>
                  <m:sty m:val="p"/>
                </m:rPr>
                <m:t>+</m:t>
              </m:r>
              <m:r>
                <m:t>1</m:t>
              </m:r>
            </m:sub>
          </m:sSub>
          <m:r>
            <m:rPr>
              <m:sty m:val="p"/>
            </m:rPr>
            <m:t>=</m:t>
          </m:r>
          <m:sSub>
            <m:e>
              <m:r>
                <m:t>u</m:t>
              </m:r>
            </m:e>
            <m:sub>
              <m:r>
                <m:t>n</m:t>
              </m:r>
            </m:sub>
          </m:sSub>
          <m:r>
            <m:rPr>
              <m:sty m:val="p"/>
            </m:rPr>
            <m:t>+</m:t>
          </m:r>
          <m:r>
            <m:t>Δ</m:t>
          </m:r>
          <m:r>
            <m:t>t</m:t>
          </m:r>
          <m:nary>
            <m:naryPr>
              <m:chr m:val="∑"/>
              <m:limLoc m:val="undOvr"/>
              <m:subHide m:val="off"/>
              <m:supHide m:val="off"/>
            </m:naryPr>
            <m:sub>
              <m:r>
                <m:t>i</m:t>
              </m:r>
              <m:r>
                <m:rPr>
                  <m:sty m:val="p"/>
                </m:rPr>
                <m:t>=</m:t>
              </m:r>
              <m:r>
                <m:t>1</m:t>
              </m:r>
            </m:sub>
            <m:sup>
              <m:r>
                <m:t>s</m:t>
              </m:r>
            </m:sup>
            <m:e>
              <m:sSub>
                <m:e>
                  <m:r>
                    <m:t>b</m:t>
                  </m:r>
                </m:e>
                <m:sub>
                  <m:r>
                    <m:t>i</m:t>
                  </m:r>
                </m:sub>
              </m:sSub>
            </m:e>
          </m:nary>
          <m:sSub>
            <m:e>
              <m:r>
                <m:t>k</m:t>
              </m:r>
            </m:e>
            <m:sub>
              <m:r>
                <m:t>i</m:t>
              </m:r>
            </m:sub>
          </m:sSub>
        </m:oMath>
      </m:oMathPara>
    </w:p>
    <w:p>
      <w:pPr>
        <w:spacing w:after="60"/>
        <w:jc w:val="both"/>
      </w:pPr>
      <m:oMath>
        <m:r>
          <m:t>F</m:t>
        </m:r>
      </m:oMath>
      <w:r>
        <w:rPr>
          <w:color w:val="3A4350"/>
          <w:sz w:val="15"/>
          <w:szCs w:val="15"/>
        </w:rPr>
        <w:t xml:space="preserve"> is the spatial weak form of the system, </w:t>
      </w:r>
      <m:oMath>
        <m:sSub>
          <m:e>
            <m:r>
              <m:t>u</m:t>
            </m:r>
          </m:e>
          <m:sub>
            <m:r>
              <m:t>n</m:t>
            </m:r>
          </m:sub>
        </m:sSub>
      </m:oMath>
      <w:r>
        <w:rPr>
          <w:color w:val="3A4350"/>
          <w:sz w:val="15"/>
          <w:szCs w:val="15"/>
        </w:rPr>
        <w:t xml:space="preserve"> the solution at step </w:t>
      </w:r>
      <m:oMath>
        <m:r>
          <m:t>n</m:t>
        </m:r>
      </m:oMath>
      <w:r>
        <w:rPr>
          <w:color w:val="3A4350"/>
          <w:sz w:val="15"/>
          <w:szCs w:val="15"/>
        </w:rPr>
        <w:t xml:space="preserve">, </w:t>
      </w:r>
      <m:oMath>
        <m:sSub>
          <m:e>
            <m:r>
              <m:t>k</m:t>
            </m:r>
          </m:e>
          <m:sub>
            <m:r>
              <m:t>i</m:t>
            </m:r>
          </m:sub>
        </m:sSub>
      </m:oMath>
      <w:r>
        <w:rPr>
          <w:color w:val="3A4350"/>
          <w:sz w:val="15"/>
          <w:szCs w:val="15"/>
        </w:rPr>
        <w:t xml:space="preserve"> the stage derivatives with test functions </w:t>
      </w:r>
      <m:oMath>
        <m:sSub>
          <m:e>
            <m:r>
              <m:t>v</m:t>
            </m:r>
          </m:e>
          <m:sub>
            <m:r>
              <m:t>i</m:t>
            </m:r>
          </m:sub>
        </m:sSub>
      </m:oMath>
      <w:r>
        <w:rPr>
          <w:color w:val="3A4350"/>
          <w:sz w:val="15"/>
          <w:szCs w:val="15"/>
        </w:rPr>
        <w:t xml:space="preserve">, and </w:t>
      </w:r>
      <m:oMath>
        <m:d>
          <m:dPr>
            <m:begChr m:val="("/>
            <m:sepChr m:val=""/>
            <m:endChr m:val=")"/>
            <m:grow/>
          </m:dPr>
          <m:e>
            <m:sSub>
              <m:e>
                <m:r>
                  <m:t>a</m:t>
                </m:r>
              </m:e>
              <m:sub>
                <m:r>
                  <m:t>i</m:t>
                </m:r>
                <m:r>
                  <m:t>j</m:t>
                </m:r>
              </m:sub>
            </m:sSub>
            <m:r>
              <m:rPr>
                <m:sty m:val="p"/>
              </m:rPr>
              <m:t>,</m:t>
            </m:r>
            <m:sSub>
              <m:e>
                <m:r>
                  <m:t>b</m:t>
                </m:r>
              </m:e>
              <m:sub>
                <m:r>
                  <m:t>i</m:t>
                </m:r>
              </m:sub>
            </m:sSub>
            <m:r>
              <m:rPr>
                <m:sty m:val="p"/>
              </m:rPr>
              <m:t>,</m:t>
            </m:r>
            <m:sSub>
              <m:e>
                <m:r>
                  <m:t>c</m:t>
                </m:r>
              </m:e>
              <m:sub>
                <m:r>
                  <m:t>i</m:t>
                </m:r>
              </m:sub>
            </m:sSub>
          </m:e>
        </m:d>
      </m:oMath>
      <w:r>
        <w:rPr>
          <w:color w:val="3A4350"/>
          <w:sz w:val="15"/>
          <w:szCs w:val="15"/>
        </w:rPr>
        <w:t xml:space="preserve"> the Butcher tableau.</w:t>
      </w:r>
    </w:p>
    <w:p>
      <w:pPr>
        <w:spacing w:after="60"/>
        <w:jc w:val="both"/>
      </w:pPr>
      <w:r>
        <w:rPr>
          <w:b/>
          <w:bCs/>
          <w:color w:val="002147"/>
          <w:sz w:val="17"/>
          <w:szCs w:val="17"/>
        </w:rPr>
        <w:t xml:space="preserve">For the assembly and the wells. </w:t>
      </w:r>
      <w:r>
        <w:rPr>
          <w:sz w:val="17"/>
          <w:szCs w:val="17"/>
        </w:rPr>
        <w:t xml:space="preserve">Belongs to theme 1. The assembled coastal-aquifer system (density-coupled flow, seven-ion transport with exchange, slow aquitard storage) is stiff and time-dependent, so it needs implicit, high-order time-stepping of all blocks at once. Irksome lets the whole system be written once as a weak form and integrated with any implicit Runge–Kutta method, and the same code gives the adjoint that the placement of the wells needs.</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turns the most error-prone part of assembling a stiff, coupled, time-dependent system (the stage equations of a high-order implicit method) into generated code, inside a finite-element framework that already provides automated adjoints. Published in ACM Transactions on Mathematical Software, the reference journal for numerical software.</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paper treats general parabolic and hyperbolic systems; variable-density flow coupled to multi-species reactive transport with switching boundaries (springs, drains, sea inflow) and wells as point sources has not been demonstrated, nor have adjoint gradients with respect to well rates through the stage system.</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generated stage equations for any implicit Runge–Kutta method from a single weak form. Proposed extension: write the assembled aquifer system once in UFL, with each candidate well as a smoothed source whose rate is a control, integrate it with a Radau IIA method, and obtain the gradient of the chloride exceedance at the supply screens with respect to every candidate rate from one adjoint solve per year of simulation; compare with finite differences on a 20-site candidate set.</w:t>
      </w:r>
    </w:p>
    <w:p>
      <w:pPr>
        <w:keepNext/>
        <w:pBdr>
          <w:top w:val="single" w:color="002147" w:sz="6" w:space="4"/>
        </w:pBdr>
        <w:spacing w:after="60" w:before="220"/>
      </w:pPr>
      <w:r>
        <w:rPr>
          <w:b/>
          <w:bCs/>
          <w:color w:val="002147"/>
          <w:sz w:val="23"/>
          <w:szCs w:val="23"/>
        </w:rPr>
        <w:t xml:space="preserve">O2  </w:t>
      </w:r>
      <w:r>
        <w:rPr>
          <w:b/>
          <w:bCs/>
          <w:color w:val="1F3864"/>
          <w:sz w:val="23"/>
          <w:szCs w:val="23"/>
        </w:rPr>
        <w:t xml:space="preserve">PCPATCH: Software for the Topological Construction of Multigrid Relaxation Methods</w:t>
      </w:r>
    </w:p>
    <w:p>
      <w:pPr>
        <w:keepNext/>
        <w:spacing w:after="60" w:line="240" w:lineRule="auto"/>
      </w:pPr>
      <w:r>
        <w:rPr>
          <w:b/>
          <w:bCs/>
          <w:color w:val="333B47"/>
          <w:sz w:val="15"/>
          <w:szCs w:val="15"/>
        </w:rPr>
        <w:t xml:space="preserve">Authors: </w:t>
      </w:r>
      <w:r>
        <w:rPr>
          <w:sz w:val="15"/>
          <w:szCs w:val="15"/>
        </w:rPr>
        <w:t xml:space="preserve">Patrick E. Farrell, Matthew G. Knepley, Lawrence Mitchell, Florian Wechsung</w:t>
      </w:r>
      <w:r>
        <w:rPr>
          <w:sz w:val="15"/>
          <w:szCs w:val="15"/>
        </w:rPr>
        <w:t xml:space="preserve">   </w:t>
      </w:r>
      <w:r>
        <w:rPr>
          <w:b/>
          <w:bCs/>
          <w:color w:val="333B47"/>
          <w:sz w:val="15"/>
          <w:szCs w:val="15"/>
        </w:rPr>
        <w:t xml:space="preserve">Published in: </w:t>
      </w:r>
      <w:r>
        <w:rPr>
          <w:sz w:val="15"/>
          <w:szCs w:val="15"/>
        </w:rPr>
        <w:t xml:space="preserve">ACM Transactions on Mathematical Software, 47(3), Article 25, 22 pp. (June 2021); arXiv:1912.08516</w:t>
      </w:r>
      <w:r>
        <w:rPr>
          <w:sz w:val="15"/>
          <w:szCs w:val="15"/>
        </w:rPr>
        <w:t xml:space="preserve">   </w:t>
      </w:r>
      <w:r>
        <w:rPr>
          <w:b/>
          <w:bCs/>
          <w:color w:val="333B47"/>
          <w:sz w:val="15"/>
          <w:szCs w:val="15"/>
        </w:rPr>
        <w:t xml:space="preserve">Link: </w:t>
      </w:r>
      <w:hyperlink w:history="1" r:id="rIdznlbpnopi1p1z5ofhrcvz">
        <w:r>
          <w:rPr>
            <w:color w:val="1D4ED8"/>
            <w:sz w:val="15"/>
            <w:szCs w:val="15"/>
            <w:u w:val="single"/>
          </w:rPr>
          <w:t xml:space="preserve">https://doi.org/10.1145/3445791</w:t>
        </w:r>
      </w:hyperlink>
    </w:p>
    <w:p>
      <w:pPr>
        <w:keepNext/>
        <w:spacing w:after="80" w:line="240" w:lineRule="auto"/>
      </w:pPr>
      <w:r>
        <w:rPr>
          <w:b/>
          <w:bCs/>
          <w:color w:val="333B47"/>
          <w:sz w:val="15"/>
          <w:szCs w:val="15"/>
        </w:rPr>
        <w:t xml:space="preserve">Affiliation: </w:t>
      </w:r>
      <w:r>
        <w:rPr>
          <w:color w:val="3A4350"/>
          <w:sz w:val="15"/>
          <w:szCs w:val="15"/>
        </w:rPr>
        <w:t xml:space="preserve">Farrell: Mathematical Institute, University of Oxford; Wechsung was an Oxford doctoral student and postdoc at the time of the work; the paper has an ORA record. Other affiliations not verified.</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(4/5)</w:t>
      </w:r>
    </w:p>
    <w:p>
      <w:pPr>
        <w:spacing w:after="60"/>
        <w:jc w:val="both"/>
      </w:pPr>
      <w:r>
        <w:rPr>
          <w:b/>
          <w:bCs/>
          <w:color w:val="002147"/>
          <w:sz w:val="17"/>
          <w:szCs w:val="17"/>
        </w:rPr>
        <w:t xml:space="preserve">Summary. </w:t>
      </w:r>
      <w:r>
        <w:rPr>
          <w:sz w:val="17"/>
          <w:szCs w:val="17"/>
        </w:rPr>
        <w:t xml:space="preserve">Multigrid is fast only if its smoother suits the problem, and for coupled systems such as nearly incompressible or high-Reynolds flow the usual point smoothers fail. PCPATCH builds overlapping-patch (additive or multiplicative Schwarz) smoothers from a topological rule: gather all degrees of freedom on the star of each mesh entity and solve the small patch problems. The choice of patch is made at run time through solver options, without new code, which makes parameter-robust multigrid available for hard coupled problems in PETSc and Firedrake.</w:t>
      </w:r>
    </w:p>
    <w:p>
      <w:pPr>
        <w:keepNext/>
        <w:spacing w:after="20" w:before="40"/>
      </w:pPr>
      <w:r>
        <w:rPr>
          <w:b/>
          <w:bCs/>
          <w:color w:val="002147"/>
          <w:sz w:val="17"/>
          <w:szCs w:val="17"/>
        </w:rPr>
        <w:t xml:space="preserve">Key equation.</w:t>
      </w:r>
      <w:r>
        <w:rPr>
          <w:i/>
          <w:iCs/>
          <w:color w:val="5B6573"/>
          <w:sz w:val="15"/>
          <w:szCs w:val="15"/>
        </w:rPr>
        <w:t xml:space="preserve">  Additive patch relaxation over the stars of mesh entities (representative formulation)</w:t>
      </w:r>
    </w:p>
    <w:p>
      <w:pPr>
        <w:pStyle w:val="Equation"/>
      </w:pPr>
      <m:oMathPara>
        <m:oMathParaPr>
          <m:jc m:val="center"/>
        </m:oMathParaPr>
        <m:oMath>
          <m:sSup>
            <m:e>
              <m:r>
                <m:t>P</m:t>
              </m:r>
            </m:e>
            <m:sup>
              <m:r>
                <m:rPr>
                  <m:sty m:val="p"/>
                </m:rPr>
                <m:t>−</m:t>
              </m:r>
              <m:r>
                <m:t>1</m:t>
              </m:r>
            </m:sup>
          </m:sSup>
          <m:r>
            <m:rPr>
              <m:sty m:val="p"/>
            </m:rPr>
            <m:t>=</m:t>
          </m:r>
          <m:nary>
            <m:naryPr>
              <m:chr m:val="∑"/>
              <m:limLoc m:val="undOvr"/>
              <m:subHide m:val="off"/>
              <m:supHide m:val="on"/>
            </m:naryPr>
            <m:sub>
              <m:r>
                <m:t>i</m:t>
              </m:r>
            </m:sub>
            <m:sup>
              <m:r>
                <m:t>​</m:t>
              </m:r>
            </m:sup>
            <m:e>
              <m:sSubSup>
                <m:e>
                  <m:r>
                    <m:t>R</m:t>
                  </m:r>
                </m:e>
                <m:sub>
                  <m:r>
                    <m:t>i</m:t>
                  </m:r>
                </m:sub>
                <m:sup>
                  <m:r>
                    <m:rPr>
                      <m:sty m:val="p"/>
                    </m:rPr>
                    <m:t>⊤</m:t>
                  </m:r>
                </m:sup>
              </m:sSubSup>
            </m:e>
          </m:nary>
          <m:sSup>
            <m:e>
              <m:d>
                <m:dPr>
                  <m:begChr m:val="("/>
                  <m:sepChr m:val=""/>
                  <m:endChr m:val=")"/>
                  <m:grow/>
                </m:dPr>
                <m:e>
                  <m:sSub>
                    <m:e>
                      <m:r>
                        <m:t>R</m:t>
                      </m:r>
                    </m:e>
                    <m:sub>
                      <m:r>
                        <m:t>i</m:t>
                      </m:r>
                    </m:sub>
                  </m:sSub>
                  <m:r>
                    <m:t>A</m:t>
                  </m:r>
                  <m:sSubSup>
                    <m:e>
                      <m:r>
                        <m:t>R</m:t>
                      </m:r>
                    </m:e>
                    <m:sub>
                      <m:r>
                        <m:t>i</m:t>
                      </m:r>
                    </m:sub>
                    <m:sup>
                      <m:r>
                        <m:rPr>
                          <m:sty m:val="p"/>
                        </m:rPr>
                        <m:t>⊤</m:t>
                      </m:r>
                    </m:sup>
                  </m:sSubSup>
                </m:e>
              </m:d>
            </m:e>
            <m:sup>
              <m:r>
                <m:rPr>
                  <m:sty m:val="p"/>
                </m:rPr>
                <m:t>−</m:t>
              </m:r>
              <m:r>
                <m:t>1</m:t>
              </m:r>
            </m:sup>
          </m:sSup>
          <m:sSub>
            <m:e>
              <m:r>
                <m:t>R</m:t>
              </m:r>
            </m:e>
            <m:sub>
              <m:r>
                <m:t>i</m:t>
              </m:r>
            </m:sub>
          </m:sSub>
          <m:r>
            <m:rPr>
              <m:sty m:val="p"/>
            </m:rPr>
            <m:t>,</m:t>
          </m:r>
          <m:r>
            <m:t>  </m:t>
          </m:r>
          <m:r>
            <m:t>V</m:t>
          </m:r>
          <m:r>
            <m:rPr>
              <m:sty m:val="p"/>
            </m:rPr>
            <m:t>=</m:t>
          </m:r>
          <m:nary>
            <m:naryPr>
              <m:chr m:val="∑"/>
              <m:limLoc m:val="undOvr"/>
              <m:subHide m:val="off"/>
              <m:supHide m:val="on"/>
            </m:naryPr>
            <m:sub>
              <m:r>
                <m:t>i</m:t>
              </m:r>
            </m:sub>
            <m:sup>
              <m:r>
                <m:t>​</m:t>
              </m:r>
            </m:sup>
            <m:e>
              <m:sSub>
                <m:e>
                  <m:r>
                    <m:t>V</m:t>
                  </m:r>
                </m:e>
                <m:sub>
                  <m:r>
                    <m:t>i</m:t>
                  </m:r>
                </m:sub>
              </m:sSub>
            </m:e>
          </m:nary>
          <m:r>
            <m:rPr>
              <m:sty m:val="p"/>
            </m:rPr>
            <m:t>,</m:t>
          </m:r>
          <m:r>
            <m:t> </m:t>
          </m:r>
          <m:sSub>
            <m:e>
              <m:r>
                <m:t>V</m:t>
              </m:r>
            </m:e>
            <m:sub>
              <m:r>
                <m:t>i</m:t>
              </m:r>
            </m:sub>
          </m:sSub>
          <m:r>
            <m:rPr>
              <m:sty m:val="p"/>
            </m:rPr>
            <m:t>=</m:t>
          </m:r>
          <m:r>
            <m:rPr>
              <m:sty m:val="p"/>
            </m:rPr>
            <m:t>span</m:t>
          </m:r>
          <m:d>
            <m:dPr>
              <m:begChr m:val="{"/>
              <m:sepChr m:val=""/>
              <m:endChr m:val="}"/>
              <m:grow/>
            </m:dPr>
            <m:e>
              <m:r>
                <m:rPr>
                  <m:nor/>
                </m:rPr>
                <m:t>degrees of freedom on the star of entity </m:t>
              </m:r>
              <m:r>
                <m:t>i</m:t>
              </m:r>
            </m:e>
          </m:d>
        </m:oMath>
      </m:oMathPara>
    </w:p>
    <w:p>
      <w:pPr>
        <w:spacing w:after="60"/>
        <w:jc w:val="both"/>
      </w:pPr>
      <m:oMath>
        <m:r>
          <m:t>A</m:t>
        </m:r>
      </m:oMath>
      <w:r>
        <w:rPr>
          <w:color w:val="3A4350"/>
          <w:sz w:val="15"/>
          <w:szCs w:val="15"/>
        </w:rPr>
        <w:t xml:space="preserve"> is the assembled matrix of the coupled system, </w:t>
      </w:r>
      <m:oMath>
        <m:sSub>
          <m:e>
            <m:r>
              <m:t>R</m:t>
            </m:r>
          </m:e>
          <m:sub>
            <m:r>
              <m:t>i</m:t>
            </m:r>
          </m:sub>
        </m:sSub>
      </m:oMath>
      <w:r>
        <w:rPr>
          <w:color w:val="3A4350"/>
          <w:sz w:val="15"/>
          <w:szCs w:val="15"/>
        </w:rPr>
        <w:t xml:space="preserve"> restricts to patch </w:t>
      </w:r>
      <m:oMath>
        <m:r>
          <m:t>i</m:t>
        </m:r>
      </m:oMath>
      <w:r>
        <w:rPr>
          <w:color w:val="3A4350"/>
          <w:sz w:val="15"/>
          <w:szCs w:val="15"/>
        </w:rPr>
        <w:t xml:space="preserve">, and </w:t>
      </w:r>
      <m:oMath>
        <m:sSup>
          <m:e>
            <m:r>
              <m:t>P</m:t>
            </m:r>
          </m:e>
          <m:sup>
            <m:r>
              <m:rPr>
                <m:sty m:val="p"/>
              </m:rPr>
              <m:t>−</m:t>
            </m:r>
            <m:r>
              <m:t>1</m:t>
            </m:r>
          </m:sup>
        </m:sSup>
      </m:oMath>
      <w:r>
        <w:rPr>
          <w:color w:val="3A4350"/>
          <w:sz w:val="15"/>
          <w:szCs w:val="15"/>
        </w:rPr>
        <w:t xml:space="preserve"> is the smoother used inside multigrid.</w:t>
      </w:r>
    </w:p>
    <w:p>
      <w:pPr>
        <w:spacing w:after="60"/>
        <w:jc w:val="both"/>
      </w:pPr>
      <w:r>
        <w:rPr>
          <w:b/>
          <w:bCs/>
          <w:color w:val="002147"/>
          <w:sz w:val="17"/>
          <w:szCs w:val="17"/>
        </w:rPr>
        <w:t xml:space="preserve">For the assembly and the wells. </w:t>
      </w:r>
      <w:r>
        <w:rPr>
          <w:sz w:val="17"/>
          <w:szCs w:val="17"/>
        </w:rPr>
        <w:t xml:space="preserve">Belongs to theme 1. A mixed formulation of variable-density Darcy flow gives a saddle-point system whose conditioning worsens with the contrast in conductivity and with the density coupling. Placing wells needs thousands of forward and adjoint solves of the assembled system, so a solver that stays fast whatever the conductivity contrast decides whether the optimisation is feasible.</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makes the patch smoothers that theory requires for parameter-robust multigrid on coupled systems a configurable library component rather than research code, and it is used in Firedrake and PETSc. Published in ACM Transactions on Mathematical Software.</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Robustness was shown for elasticity and incompressible flow, not for mixed Darcy flow with a conductivity contrast of several orders of magnitude coupled to density-driven transport, where the right patch (vertex star, edge star or a line patch along the interface) is unknown.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patch relaxations defined by mesh topology and chosen at run time. Proposed extension: for the mixed density-coupled flow block of the assembled aquifer system, compare vertex-star and edge-star patches over conductivity contrasts of </w:t>
      </w:r>
      <m:oMath>
        <m:sSup>
          <m:e>
            <m:r>
              <m:t>10</m:t>
            </m:r>
          </m:e>
          <m:sup>
            <m:r>
              <m:t>2</m:t>
            </m:r>
          </m:sup>
        </m:sSup>
      </m:oMath>
      <w:r>
        <w:rPr>
          <w:sz w:val="17"/>
          <w:szCs w:val="17"/>
        </w:rPr>
        <w:t xml:space="preserve"> to </w:t>
      </w:r>
      <m:oMath>
        <m:sSup>
          <m:e>
            <m:r>
              <m:t>10</m:t>
            </m:r>
          </m:e>
          <m:sup>
            <m:r>
              <m:t>6</m:t>
            </m:r>
          </m:sup>
        </m:sSup>
      </m:oMath>
      <w:r>
        <w:rPr>
          <w:sz w:val="17"/>
          <w:szCs w:val="17"/>
        </w:rPr>
        <w:t xml:space="preserve"> and report multigrid iteration counts, then use the most robust patch in the forward and adjoint solves of the well-placement loop.</w:t>
      </w:r>
    </w:p>
    <w:p>
      <w:pPr>
        <w:keepNext/>
        <w:pBdr>
          <w:top w:val="single" w:color="002147" w:sz="6" w:space="4"/>
        </w:pBdr>
        <w:spacing w:after="60" w:before="220"/>
      </w:pPr>
      <w:r>
        <w:rPr>
          <w:b/>
          <w:bCs/>
          <w:color w:val="002147"/>
          <w:sz w:val="23"/>
          <w:szCs w:val="23"/>
        </w:rPr>
        <w:t xml:space="preserve">O3  </w:t>
      </w:r>
      <w:r>
        <w:rPr>
          <w:b/>
          <w:bCs/>
          <w:color w:val="1F3864"/>
          <w:sz w:val="23"/>
          <w:szCs w:val="23"/>
        </w:rPr>
        <w:t xml:space="preserve">A Scalable and Robust Vertex-Star Relaxation for High-Order FEM</w:t>
      </w:r>
    </w:p>
    <w:p>
      <w:pPr>
        <w:keepNext/>
        <w:spacing w:after="60" w:line="240" w:lineRule="auto"/>
      </w:pPr>
      <w:r>
        <w:rPr>
          <w:b/>
          <w:bCs/>
          <w:color w:val="333B47"/>
          <w:sz w:val="15"/>
          <w:szCs w:val="15"/>
        </w:rPr>
        <w:t xml:space="preserve">Authors: </w:t>
      </w:r>
      <w:r>
        <w:rPr>
          <w:sz w:val="15"/>
          <w:szCs w:val="15"/>
        </w:rPr>
        <w:t xml:space="preserve">Pablo D. Brubeck, Patrick E. Farrell</w:t>
      </w:r>
      <w:r>
        <w:rPr>
          <w:sz w:val="15"/>
          <w:szCs w:val="15"/>
        </w:rPr>
        <w:t xml:space="preserve">   </w:t>
      </w:r>
      <w:r>
        <w:rPr>
          <w:b/>
          <w:bCs/>
          <w:color w:val="333B47"/>
          <w:sz w:val="15"/>
          <w:szCs w:val="15"/>
        </w:rPr>
        <w:t xml:space="preserve">Published in: </w:t>
      </w:r>
      <w:r>
        <w:rPr>
          <w:sz w:val="15"/>
          <w:szCs w:val="15"/>
        </w:rPr>
        <w:t xml:space="preserve">SIAM Journal on Scientific Computing, 44(5), A2991–A3017 (2022); arXiv:2107.14758</w:t>
      </w:r>
      <w:r>
        <w:rPr>
          <w:sz w:val="15"/>
          <w:szCs w:val="15"/>
        </w:rPr>
        <w:t xml:space="preserve">   </w:t>
      </w:r>
      <w:r>
        <w:rPr>
          <w:b/>
          <w:bCs/>
          <w:color w:val="333B47"/>
          <w:sz w:val="15"/>
          <w:szCs w:val="15"/>
        </w:rPr>
        <w:t xml:space="preserve">Link: </w:t>
      </w:r>
      <w:hyperlink w:history="1" r:id="rIdmnteptmmrnle3_zpozzvm">
        <w:r>
          <w:rPr>
            <w:color w:val="1D4ED8"/>
            <w:sz w:val="15"/>
            <w:szCs w:val="15"/>
            <w:u w:val="single"/>
          </w:rPr>
          <w:t xml:space="preserve">https://doi.org/10.1137/21M1444187</w:t>
        </w:r>
      </w:hyperlink>
    </w:p>
    <w:p>
      <w:pPr>
        <w:keepNext/>
        <w:spacing w:after="80" w:line="240" w:lineRule="auto"/>
      </w:pPr>
      <w:r>
        <w:rPr>
          <w:b/>
          <w:bCs/>
          <w:color w:val="333B47"/>
          <w:sz w:val="15"/>
          <w:szCs w:val="15"/>
        </w:rPr>
        <w:t xml:space="preserve">Affiliation: </w:t>
      </w:r>
      <w:r>
        <w:rPr>
          <w:color w:val="3A4350"/>
          <w:sz w:val="15"/>
          <w:szCs w:val="15"/>
        </w:rPr>
        <w:t xml:space="preserve">Both authors at the Mathematical Institute, University of Oxford, according to Oxford listings and the arXiv record; the affiliation line of the published PDF was not read.</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(4/5)</w:t>
      </w:r>
    </w:p>
    <w:p>
      <w:pPr>
        <w:spacing w:after="60"/>
        <w:jc w:val="both"/>
      </w:pPr>
      <w:r>
        <w:rPr>
          <w:b/>
          <w:bCs/>
          <w:color w:val="002147"/>
          <w:sz w:val="17"/>
          <w:szCs w:val="17"/>
        </w:rPr>
        <w:t xml:space="preserve">Summary. </w:t>
      </w:r>
      <w:r>
        <w:rPr>
          <w:sz w:val="17"/>
          <w:szCs w:val="17"/>
        </w:rPr>
        <w:t xml:space="preserve">High polynomial degree resolves sharp fronts with few unknowns, but the cost of standard solvers grows quickly with the degree </w:t>
      </w:r>
      <m:oMath>
        <m:r>
          <m:t>p</m:t>
        </m:r>
      </m:oMath>
      <w:r>
        <w:rPr>
          <w:sz w:val="17"/>
          <w:szCs w:val="17"/>
        </w:rPr>
        <w:t xml:space="preserve">. The authors build an overlapping vertex-star relaxation whose patch problems are made cheap by a sparsifying basis from fast diagonalisation, so that cost and robustness do not degrade with </w:t>
      </w:r>
      <m:oMath>
        <m:r>
          <m:t>p</m:t>
        </m:r>
      </m:oMath>
      <w:r>
        <w:rPr>
          <w:sz w:val="17"/>
          <w:szCs w:val="17"/>
        </w:rPr>
        <w:t xml:space="preserve">. Inside multigrid this gives solvers that scale with </w:t>
      </w:r>
      <m:oMath>
        <m:r>
          <m:t>p</m:t>
        </m:r>
      </m:oMath>
      <w:r>
        <w:rPr>
          <w:sz w:val="17"/>
          <w:szCs w:val="17"/>
        </w:rPr>
        <w:t xml:space="preserve">, demonstrated for the Poisson equation and for an H(div)-conforming interior-penalty discretisation of linear elasticity in three dimensions at </w:t>
      </w:r>
      <m:oMath>
        <m:r>
          <m:t>p</m:t>
        </m:r>
        <m:r>
          <m:rPr>
            <m:sty m:val="p"/>
          </m:rPr>
          <m:t>=</m:t>
        </m:r>
        <m:r>
          <m:t>15</m:t>
        </m:r>
      </m:oMath>
      <w:r>
        <w:rPr>
          <w:sz w:val="17"/>
          <w:szCs w:val="17"/>
        </w:rPr>
        <w:t xml:space="preserve">.</w:t>
      </w:r>
    </w:p>
    <w:p>
      <w:pPr>
        <w:keepNext/>
        <w:spacing w:after="20" w:before="40"/>
      </w:pPr>
      <w:r>
        <w:rPr>
          <w:b/>
          <w:bCs/>
          <w:color w:val="002147"/>
          <w:sz w:val="17"/>
          <w:szCs w:val="17"/>
        </w:rPr>
        <w:t xml:space="preserve">Key equation.</w:t>
      </w:r>
      <w:r>
        <w:rPr>
          <w:i/>
          <w:iCs/>
          <w:color w:val="5B6573"/>
          <w:sz w:val="15"/>
          <w:szCs w:val="15"/>
        </w:rPr>
        <w:t xml:space="preserve">  Two-level relaxation with vertex-star patches in a sparsified basis (representative formulation)</w:t>
      </w:r>
    </w:p>
    <w:p>
      <w:pPr>
        <w:pStyle w:val="Equation"/>
      </w:pPr>
      <m:oMathPara>
        <m:oMathParaPr>
          <m:jc m:val="center"/>
        </m:oMathParaPr>
        <m:oMath>
          <m:sSup>
            <m:e>
              <m:r>
                <m:t>P</m:t>
              </m:r>
            </m:e>
            <m:sup>
              <m:r>
                <m:rPr>
                  <m:sty m:val="p"/>
                </m:rPr>
                <m:t>−</m:t>
              </m:r>
              <m:r>
                <m:t>1</m:t>
              </m:r>
            </m:sup>
          </m:sSup>
          <m:r>
            <m:rPr>
              <m:sty m:val="p"/>
            </m:rPr>
            <m:t>=</m:t>
          </m:r>
          <m:sSubSup>
            <m:e>
              <m:r>
                <m:t>R</m:t>
              </m:r>
            </m:e>
            <m:sub>
              <m:r>
                <m:t>0</m:t>
              </m:r>
            </m:sub>
            <m:sup>
              <m:r>
                <m:rPr>
                  <m:sty m:val="p"/>
                </m:rPr>
                <m:t>⊤</m:t>
              </m:r>
            </m:sup>
          </m:sSubSup>
          <m:sSubSup>
            <m:e>
              <m:r>
                <m:t>A</m:t>
              </m:r>
            </m:e>
            <m:sub>
              <m:r>
                <m:t>0</m:t>
              </m:r>
            </m:sub>
            <m:sup>
              <m:r>
                <m:rPr>
                  <m:sty m:val="p"/>
                </m:rPr>
                <m:t>−</m:t>
              </m:r>
              <m:r>
                <m:t>1</m:t>
              </m:r>
            </m:sup>
          </m:sSubSup>
          <m:sSub>
            <m:e>
              <m:r>
                <m:t>R</m:t>
              </m:r>
            </m:e>
            <m:sub>
              <m:r>
                <m:t>0</m:t>
              </m:r>
            </m:sub>
          </m:sSub>
          <m:r>
            <m:rPr>
              <m:sty m:val="p"/>
            </m:rPr>
            <m:t>+</m:t>
          </m:r>
          <m:nary>
            <m:naryPr>
              <m:chr m:val="∑"/>
              <m:limLoc m:val="undOvr"/>
              <m:subHide m:val="off"/>
              <m:supHide m:val="on"/>
            </m:naryPr>
            <m:sub>
              <m:r>
                <m:t>v</m:t>
              </m:r>
              <m:r>
                <m:rPr>
                  <m:sty m:val="p"/>
                </m:rPr>
                <m:t>∈</m:t>
              </m:r>
              <m:r>
                <m:rPr>
                  <m:scr m:val="script"/>
                  <m:sty m:val="p"/>
                </m:rPr>
                <m:t>V</m:t>
              </m:r>
            </m:sub>
            <m:sup>
              <m:r>
                <m:t>​</m:t>
              </m:r>
            </m:sup>
            <m:e>
              <m:sSubSup>
                <m:e>
                  <m:r>
                    <m:t>R</m:t>
                  </m:r>
                </m:e>
                <m:sub>
                  <m:r>
                    <m:t>v</m:t>
                  </m:r>
                </m:sub>
                <m:sup>
                  <m:r>
                    <m:rPr>
                      <m:sty m:val="p"/>
                    </m:rPr>
                    <m:t>⊤</m:t>
                  </m:r>
                </m:sup>
              </m:sSubSup>
            </m:e>
          </m:nary>
          <m:sSubSup>
            <m:e>
              <m:acc>
                <m:accPr>
                  <m:chr m:val="̃"/>
                </m:accPr>
                <m:e>
                  <m:r>
                    <m:t>A</m:t>
                  </m:r>
                </m:e>
              </m:acc>
            </m:e>
            <m:sub>
              <m:r>
                <m:t>v</m:t>
              </m:r>
            </m:sub>
            <m:sup>
              <m:r>
                <m:rPr>
                  <m:sty m:val="p"/>
                </m:rPr>
                <m:t>−</m:t>
              </m:r>
              <m:r>
                <m:t>1</m:t>
              </m:r>
            </m:sup>
          </m:sSubSup>
          <m:sSub>
            <m:e>
              <m:r>
                <m:t>R</m:t>
              </m:r>
            </m:e>
            <m:sub>
              <m:r>
                <m:t>v</m:t>
              </m:r>
            </m:sub>
          </m:sSub>
        </m:oMath>
      </m:oMathPara>
    </w:p>
    <w:p>
      <w:pPr>
        <w:spacing w:after="60"/>
        <w:jc w:val="both"/>
      </w:pPr>
      <m:oMath>
        <m:sSub>
          <m:e>
            <m:acc>
              <m:accPr>
                <m:chr m:val="̃"/>
              </m:accPr>
              <m:e>
                <m:r>
                  <m:t>A</m:t>
                </m:r>
              </m:e>
            </m:acc>
          </m:e>
          <m:sub>
            <m:r>
              <m:t>v</m:t>
            </m:r>
          </m:sub>
        </m:sSub>
      </m:oMath>
      <w:r>
        <w:rPr>
          <w:color w:val="3A4350"/>
          <w:sz w:val="15"/>
          <w:szCs w:val="15"/>
        </w:rPr>
        <w:t xml:space="preserve"> is the patch operator on the star of vertex </w:t>
      </w:r>
      <m:oMath>
        <m:r>
          <m:t>v</m:t>
        </m:r>
      </m:oMath>
      <w:r>
        <w:rPr>
          <w:color w:val="3A4350"/>
          <w:sz w:val="15"/>
          <w:szCs w:val="15"/>
        </w:rPr>
        <w:t xml:space="preserve"> in the sparsified basis, and </w:t>
      </w:r>
      <m:oMath>
        <m:sSub>
          <m:e>
            <m:r>
              <m:t>A</m:t>
            </m:r>
          </m:e>
          <m:sub>
            <m:r>
              <m:t>0</m:t>
            </m:r>
          </m:sub>
        </m:sSub>
      </m:oMath>
      <w:r>
        <w:rPr>
          <w:color w:val="3A4350"/>
          <w:sz w:val="15"/>
          <w:szCs w:val="15"/>
        </w:rPr>
        <w:t xml:space="preserve"> the low-order coarse space.</w:t>
      </w:r>
    </w:p>
    <w:p>
      <w:pPr>
        <w:spacing w:after="60"/>
        <w:jc w:val="both"/>
      </w:pPr>
      <w:r>
        <w:rPr>
          <w:b/>
          <w:bCs/>
          <w:color w:val="002147"/>
          <w:sz w:val="17"/>
          <w:szCs w:val="17"/>
        </w:rPr>
        <w:t xml:space="preserve">For the assembly and the wells. </w:t>
      </w:r>
      <w:r>
        <w:rPr>
          <w:sz w:val="17"/>
          <w:szCs w:val="17"/>
        </w:rPr>
        <w:t xml:space="preserve">Belongs to theme 1. The chloride front and the mixing zone are thin, and numerical dispersion on coarse grids biases the predicted breakthrough at supply wells. High-order elements resolve them with few unknowns, and a solver whose cost does not grow with the degree keeps the many solves of the placement problem affordable; the H(div) setting matches the Darcy flux.</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removes the main obstacle to high-order discretisations in practice, the cost of solving, with a relaxation whose cost is optimal in the degree, and extends to H(div) fluxes. Published in the SIAM Journal on Scientific Computing.</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relaxation was shown for Poisson and elasticity; mixed Darcy flow with strongly varying conductivity, and the advection-dominated transport of a thin salt front, have not been tested.</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vertex-star relaxation whose cost is optimal in the polynomial degree. Proposed extension: discretise the Darcy flux of the assembled aquifer system in H(div) at degrees 2 to 8 and compare, at equal error in the chloride at the supply screens, the cost of the forward solve with a low-order mesh; use the cheaper choice for the placement loop.</w:t>
      </w:r>
    </w:p>
    <w:p>
      <w:pPr>
        <w:keepNext/>
        <w:pBdr>
          <w:top w:val="single" w:color="002147" w:sz="6" w:space="4"/>
        </w:pBdr>
        <w:spacing w:after="60" w:before="220"/>
      </w:pPr>
      <w:r>
        <w:rPr>
          <w:b/>
          <w:bCs/>
          <w:color w:val="002147"/>
          <w:sz w:val="23"/>
          <w:szCs w:val="23"/>
        </w:rPr>
        <w:t xml:space="preserve">O4  </w:t>
      </w:r>
      <w:r>
        <w:rPr>
          <w:b/>
          <w:bCs/>
          <w:color w:val="1F3864"/>
          <w:sz w:val="23"/>
          <w:szCs w:val="23"/>
        </w:rPr>
        <w:t xml:space="preserve">Think Global and Act Local: Bayesian Optimisation over High-Dimensional Categorical and Mixed Search Spaces</w:t>
      </w:r>
    </w:p>
    <w:p>
      <w:pPr>
        <w:keepNext/>
        <w:spacing w:after="60" w:line="240" w:lineRule="auto"/>
      </w:pPr>
      <w:r>
        <w:rPr>
          <w:b/>
          <w:bCs/>
          <w:color w:val="333B47"/>
          <w:sz w:val="15"/>
          <w:szCs w:val="15"/>
        </w:rPr>
        <w:t xml:space="preserve">Authors: </w:t>
      </w:r>
      <w:r>
        <w:rPr>
          <w:sz w:val="15"/>
          <w:szCs w:val="15"/>
        </w:rPr>
        <w:t xml:space="preserve">Xingchen Wan, Vu Nguyen, Huong Ha, Binxin Ru, Cong Lu, Michael A. Osborne</w:t>
      </w:r>
      <w:r>
        <w:rPr>
          <w:sz w:val="15"/>
          <w:szCs w:val="15"/>
        </w:rPr>
        <w:t xml:space="preserve">   </w:t>
      </w:r>
      <w:r>
        <w:rPr>
          <w:b/>
          <w:bCs/>
          <w:color w:val="333B47"/>
          <w:sz w:val="15"/>
          <w:szCs w:val="15"/>
        </w:rPr>
        <w:t xml:space="preserve">Published in: </w:t>
      </w:r>
      <w:r>
        <w:rPr>
          <w:sz w:val="15"/>
          <w:szCs w:val="15"/>
        </w:rPr>
        <w:t xml:space="preserve">Proceedings of the 38th International Conference on Machine Learning (ICML 2021), PMLR 139, 10663–10674 (spotlight); arXiv:2102.07188</w:t>
      </w:r>
      <w:r>
        <w:rPr>
          <w:sz w:val="15"/>
          <w:szCs w:val="15"/>
        </w:rPr>
        <w:t xml:space="preserve">   </w:t>
      </w:r>
      <w:r>
        <w:rPr>
          <w:b/>
          <w:bCs/>
          <w:color w:val="333B47"/>
          <w:sz w:val="15"/>
          <w:szCs w:val="15"/>
        </w:rPr>
        <w:t xml:space="preserve">Link: </w:t>
      </w:r>
      <w:hyperlink w:history="1" r:id="rId7pmcxz8xjw9gh06lghgoo">
        <w:r>
          <w:rPr>
            <w:color w:val="1D4ED8"/>
            <w:sz w:val="15"/>
            <w:szCs w:val="15"/>
            <w:u w:val="single"/>
          </w:rPr>
          <w:t xml:space="preserve">https://proceedings.mlr.press/v139/wan21b.html</w:t>
        </w:r>
      </w:hyperlink>
    </w:p>
    <w:p>
      <w:pPr>
        <w:keepNext/>
        <w:spacing w:after="80" w:line="240" w:lineRule="auto"/>
      </w:pPr>
      <w:r>
        <w:rPr>
          <w:b/>
          <w:bCs/>
          <w:color w:val="333B47"/>
          <w:sz w:val="15"/>
          <w:szCs w:val="15"/>
        </w:rPr>
        <w:t xml:space="preserve">Affiliation: </w:t>
      </w:r>
      <w:r>
        <w:rPr>
          <w:color w:val="3A4350"/>
          <w:sz w:val="15"/>
          <w:szCs w:val="15"/>
        </w:rPr>
        <w:t xml:space="preserve">Listed on the publications page of the Oxford Applied and Theoretical Machine Learning group (OATML); Osborne is in the Department of Engineering Science, University of Oxford. Earlier cited as further reading in review 53, never as a card.</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(4/5)</w:t>
      </w:r>
    </w:p>
    <w:p>
      <w:pPr>
        <w:spacing w:after="60"/>
        <w:jc w:val="both"/>
      </w:pPr>
      <w:r>
        <w:rPr>
          <w:b/>
          <w:bCs/>
          <w:color w:val="002147"/>
          <w:sz w:val="17"/>
          <w:szCs w:val="17"/>
        </w:rPr>
        <w:t xml:space="preserve">Summary. </w:t>
      </w:r>
      <w:r>
        <w:rPr>
          <w:sz w:val="17"/>
          <w:szCs w:val="17"/>
        </w:rPr>
        <w:t xml:space="preserve">Many design problems mix many categorical choices with continuous settings, and each evaluation is an expensive simulation. CASMOPOLITAN searches such spaces with local trust regions, a Hamming-distance region for the categorical part and a box for the continuous part, which shrink or grow with success and restart globally when they collapse, together with a kernel built for mixed inputs. The authors prove a convergence guarantee and report better results than earlier mixed-space Bayesian optimisation and evolutionary methods on benchmarks.</w:t>
      </w:r>
    </w:p>
    <w:p>
      <w:pPr>
        <w:keepNext/>
        <w:spacing w:after="20" w:before="40"/>
      </w:pPr>
      <w:r>
        <w:rPr>
          <w:b/>
          <w:bCs/>
          <w:color w:val="002147"/>
          <w:sz w:val="17"/>
          <w:szCs w:val="17"/>
        </w:rPr>
        <w:t xml:space="preserve">Key equation.</w:t>
      </w:r>
      <w:r>
        <w:rPr>
          <w:i/>
          <w:iCs/>
          <w:color w:val="5B6573"/>
          <w:sz w:val="15"/>
          <w:szCs w:val="15"/>
        </w:rPr>
        <w:t xml:space="preserve">  Trust-region acquisition and mixed kernel (representative formulation)</w:t>
      </w:r>
    </w:p>
    <w:p>
      <w:pPr>
        <w:pStyle w:val="Equation"/>
      </w:pPr>
      <m:oMathPara>
        <m:oMathParaPr>
          <m:jc m:val="center"/>
        </m:oMathParaPr>
        <m:oMath>
          <m:sSub>
            <m:e>
              <m:r>
                <m:t>x</m:t>
              </m:r>
            </m:e>
            <m:sub>
              <m:r>
                <m:t>t</m:t>
              </m:r>
              <m:r>
                <m:rPr>
                  <m:sty m:val="p"/>
                </m:rPr>
                <m:t>+</m:t>
              </m:r>
              <m:r>
                <m:t>1</m:t>
              </m:r>
            </m:sub>
          </m:sSub>
          <m:r>
            <m:rPr>
              <m:sty m:val="p"/>
            </m:rPr>
            <m:t>=</m:t>
          </m:r>
          <m:r>
            <m:rPr>
              <m:sty m:val="p"/>
            </m:rPr>
            <m:t>arg</m:t>
          </m:r>
          <m:limLow>
            <m:e>
              <m:r>
                <m:rPr>
                  <m:sty m:val="p"/>
                </m:rPr>
                <m:t>max</m:t>
              </m:r>
            </m:e>
            <m:lim>
              <m:r>
                <m:t>x</m:t>
              </m:r>
              <m:r>
                <m:rPr>
                  <m:sty m:val="p"/>
                </m:rPr>
                <m:t>∈</m:t>
              </m:r>
              <m:sSub>
                <m:e>
                  <m:r>
                    <m:rPr>
                      <m:scr m:val="script"/>
                      <m:sty m:val="p"/>
                    </m:rPr>
                    <m:t>T</m:t>
                  </m:r>
                </m:e>
                <m:sub>
                  <m:r>
                    <m:t>t</m:t>
                  </m:r>
                </m:sub>
              </m:sSub>
            </m:lim>
          </m:limLow>
          <m:r>
            <m:t>α</m:t>
          </m:r>
          <m:d>
            <m:dPr>
              <m:begChr m:val="("/>
              <m:sepChr m:val=""/>
              <m:endChr m:val=")"/>
              <m:grow/>
            </m:dPr>
            <m:e>
              <m:r>
                <m:t>x</m:t>
              </m:r>
              <m:r>
                <m:rPr>
                  <m:sty m:val="p"/>
                </m:rPr>
                <m:t>∣</m:t>
              </m:r>
              <m:sSub>
                <m:e>
                  <m:r>
                    <m:rPr>
                      <m:scr m:val="script"/>
                      <m:sty m:val="p"/>
                    </m:rPr>
                    <m:t>D</m:t>
                  </m:r>
                </m:e>
                <m:sub>
                  <m:r>
                    <m:t>t</m:t>
                  </m:r>
                </m:sub>
              </m:sSub>
            </m:e>
          </m:d>
          <m:r>
            <m:rPr>
              <m:sty m:val="p"/>
            </m:rPr>
            <m:t>,</m:t>
          </m:r>
          <m:r>
            <m:t>  </m:t>
          </m:r>
          <m:sSub>
            <m:e>
              <m:r>
                <m:rPr>
                  <m:scr m:val="script"/>
                  <m:sty m:val="p"/>
                </m:rPr>
                <m:t>T</m:t>
              </m:r>
            </m:e>
            <m:sub>
              <m:r>
                <m:t>t</m:t>
              </m:r>
            </m:sub>
          </m:sSub>
          <m:r>
            <m:rPr>
              <m:sty m:val="p"/>
            </m:rPr>
            <m:t>=</m:t>
          </m:r>
          <m:d>
            <m:dPr>
              <m:begChr m:val="{"/>
              <m:sepChr m:val=""/>
              <m:endChr m:val="}"/>
              <m:grow/>
            </m:dPr>
            <m:e>
              <m:d>
                <m:dPr>
                  <m:begChr m:val="("/>
                  <m:sepChr m:val=""/>
                  <m:endChr m:val=")"/>
                  <m:grow/>
                </m:dPr>
                <m:e>
                  <m:r>
                    <m:t>h</m:t>
                  </m:r>
                  <m:r>
                    <m:rPr>
                      <m:sty m:val="p"/>
                    </m:rPr>
                    <m:t>,</m:t>
                  </m:r>
                  <m:r>
                    <m:t>z</m:t>
                  </m:r>
                </m:e>
              </m:d>
              <m:r>
                <m:rPr>
                  <m:sty m:val="p"/>
                </m:rPr>
                <m:t>:</m:t>
              </m:r>
              <m:r>
                <m:t> </m:t>
              </m:r>
              <m:sSub>
                <m:e>
                  <m:r>
                    <m:t>d</m:t>
                  </m:r>
                </m:e>
                <m:sub>
                  <m:r>
                    <m:t>H</m:t>
                  </m:r>
                </m:sub>
              </m:sSub>
              <m:d>
                <m:dPr>
                  <m:begChr m:val="("/>
                  <m:sepChr m:val=""/>
                  <m:endChr m:val=")"/>
                  <m:grow/>
                </m:dPr>
                <m:e>
                  <m:r>
                    <m:t>h</m:t>
                  </m:r>
                  <m:r>
                    <m:rPr>
                      <m:sty m:val="p"/>
                    </m:rPr>
                    <m:t>,</m:t>
                  </m:r>
                  <m:sSubSup>
                    <m:e>
                      <m:r>
                        <m:t>h</m:t>
                      </m:r>
                    </m:e>
                    <m:sub>
                      <m:r>
                        <m:t>t</m:t>
                      </m:r>
                    </m:sub>
                    <m:sup>
                      <m:r>
                        <m:rPr>
                          <m:sty m:val="p"/>
                        </m:rPr>
                        <m:t>⋆</m:t>
                      </m:r>
                    </m:sup>
                  </m:sSubSup>
                </m:e>
              </m:d>
              <m:r>
                <m:rPr>
                  <m:sty m:val="p"/>
                </m:rPr>
                <m:t>≤</m:t>
              </m:r>
              <m:sSubSup>
                <m:e>
                  <m:r>
                    <m:t>L</m:t>
                  </m:r>
                </m:e>
                <m:sub>
                  <m:r>
                    <m:t>t</m:t>
                  </m:r>
                </m:sub>
                <m:sup>
                  <m:r>
                    <m:t>h</m:t>
                  </m:r>
                </m:sup>
              </m:sSubSup>
              <m:r>
                <m:rPr>
                  <m:sty m:val="p"/>
                </m:rPr>
                <m:t>,</m:t>
              </m:r>
              <m:r>
                <m:t> </m:t>
              </m:r>
              <m:sSub>
                <m:e>
                  <m:d>
                    <m:dPr>
                      <m:begChr m:val="∥"/>
                      <m:sepChr m:val=""/>
                      <m:endChr m:val="∥"/>
                      <m:grow/>
                    </m:dPr>
                    <m:e>
                      <m:r>
                        <m:t>z</m:t>
                      </m:r>
                      <m:r>
                        <m:rPr>
                          <m:sty m:val="p"/>
                        </m:rPr>
                        <m:t>−</m:t>
                      </m:r>
                      <m:sSubSup>
                        <m:e>
                          <m:r>
                            <m:t>z</m:t>
                          </m:r>
                        </m:e>
                        <m:sub>
                          <m:r>
                            <m:t>t</m:t>
                          </m:r>
                        </m:sub>
                        <m:sup>
                          <m:r>
                            <m:rPr>
                              <m:sty m:val="p"/>
                            </m:rPr>
                            <m:t>⋆</m:t>
                          </m:r>
                        </m:sup>
                      </m:sSubSup>
                    </m:e>
                  </m:d>
                </m:e>
                <m:sub>
                  <m:r>
                    <m:rPr>
                      <m:sty m:val="p"/>
                    </m:rPr>
                    <m:t>∞</m:t>
                  </m:r>
                </m:sub>
              </m:sSub>
              <m:r>
                <m:rPr>
                  <m:sty m:val="p"/>
                </m:rPr>
                <m:t>≤</m:t>
              </m:r>
              <m:sSubSup>
                <m:e>
                  <m:r>
                    <m:t>L</m:t>
                  </m:r>
                </m:e>
                <m:sub>
                  <m:r>
                    <m:t>t</m:t>
                  </m:r>
                </m:sub>
                <m:sup>
                  <m:r>
                    <m:t>z</m:t>
                  </m:r>
                </m:sup>
              </m:sSubSup>
            </m:e>
          </m:d>
        </m:oMath>
      </m:oMathPara>
    </w:p>
    <w:p>
      <w:pPr>
        <w:spacing w:after="60"/>
        <w:jc w:val="both"/>
      </w:pPr>
      <m:oMath>
        <m:r>
          <m:t>h</m:t>
        </m:r>
      </m:oMath>
      <w:r>
        <w:rPr>
          <w:color w:val="3A4350"/>
          <w:sz w:val="15"/>
          <w:szCs w:val="15"/>
        </w:rPr>
        <w:t xml:space="preserve"> are the categorical inputs (which candidate sites hold a well, and of which type), </w:t>
      </w:r>
      <m:oMath>
        <m:r>
          <m:t>z</m:t>
        </m:r>
      </m:oMath>
      <w:r>
        <w:rPr>
          <w:color w:val="3A4350"/>
          <w:sz w:val="15"/>
          <w:szCs w:val="15"/>
        </w:rPr>
        <w:t xml:space="preserve"> the continuous inputs (rates), </w:t>
      </w:r>
      <m:oMath>
        <m:sSub>
          <m:e>
            <m:r>
              <m:t>d</m:t>
            </m:r>
          </m:e>
          <m:sub>
            <m:r>
              <m:t>H</m:t>
            </m:r>
          </m:sub>
        </m:sSub>
      </m:oMath>
      <w:r>
        <w:rPr>
          <w:color w:val="3A4350"/>
          <w:sz w:val="15"/>
          <w:szCs w:val="15"/>
        </w:rPr>
        <w:t xml:space="preserve"> the Hamming distance, </w:t>
      </w:r>
      <m:oMath>
        <m:r>
          <m:t>α</m:t>
        </m:r>
      </m:oMath>
      <w:r>
        <w:rPr>
          <w:color w:val="3A4350"/>
          <w:sz w:val="15"/>
          <w:szCs w:val="15"/>
        </w:rPr>
        <w:t xml:space="preserve"> the acquisition function and </w:t>
      </w:r>
      <m:oMath>
        <m:sSub>
          <m:e>
            <m:r>
              <m:rPr>
                <m:scr m:val="script"/>
                <m:sty m:val="p"/>
              </m:rPr>
              <m:t>D</m:t>
            </m:r>
          </m:e>
          <m:sub>
            <m:r>
              <m:t>t</m:t>
            </m:r>
          </m:sub>
        </m:sSub>
      </m:oMath>
      <w:r>
        <w:rPr>
          <w:color w:val="3A4350"/>
          <w:sz w:val="15"/>
          <w:szCs w:val="15"/>
        </w:rPr>
        <w:t xml:space="preserve"> the evaluations so far.</w:t>
      </w:r>
    </w:p>
    <w:p>
      <w:pPr>
        <w:spacing w:after="60"/>
        <w:jc w:val="both"/>
      </w:pPr>
      <w:r>
        <w:rPr>
          <w:b/>
          <w:bCs/>
          <w:color w:val="002147"/>
          <w:sz w:val="17"/>
          <w:szCs w:val="17"/>
        </w:rPr>
        <w:t xml:space="preserve">For the assembly and the wells. </w:t>
      </w:r>
      <w:r>
        <w:rPr>
          <w:sz w:val="17"/>
          <w:szCs w:val="17"/>
        </w:rPr>
        <w:t xml:space="preserve">Belongs to theme 4. Placing wells is a mixed problem: which candidate sites receive a recharge or a pumping well is categorical, and the rates are continuous; each evaluation is a run of the assembled variable-density, multi-species model. This method searches such a space with few runs and needs neither gradients nor a surrogate of the full system.</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A Bayesian optimisation method with a convergence guarantee for exactly the mixed categorical–continuous spaces that are hardest in practice, presented as a spotlight at ICML.</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objective is a deterministic black box; placement needs a chance constraint on chloride under the posterior, whose estimate is itself noisy and expensive, and constraints are not part of the method.</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trust regions in Hamming distance with a convergence guarantee for mixed spaces. Proposed extension: encode each layout as a categorical vector over candidate sites (none, recharge, pumping) plus continuous rates, and maximise water delivered minus a penalty on the posterior probability that chloride at any supply screen exceeds 250 mg/L, estimated on a fixed set of posterior draws; compare the number of model runs with a greedy placement.</w:t>
      </w:r>
    </w:p>
    <w:p>
      <w:pPr>
        <w:keepNext/>
        <w:pBdr>
          <w:top w:val="single" w:color="002147" w:sz="6" w:space="4"/>
        </w:pBdr>
        <w:spacing w:after="60" w:before="220"/>
      </w:pPr>
      <w:r>
        <w:rPr>
          <w:b/>
          <w:bCs/>
          <w:color w:val="002147"/>
          <w:sz w:val="23"/>
          <w:szCs w:val="23"/>
        </w:rPr>
        <w:t xml:space="preserve">O5  </w:t>
      </w:r>
      <w:r>
        <w:rPr>
          <w:b/>
          <w:bCs/>
          <w:color w:val="1F3864"/>
          <w:sz w:val="23"/>
          <w:szCs w:val="23"/>
        </w:rPr>
        <w:t xml:space="preserve">Risk-based water resources planning in practice: a blueprint for the water industry in England</w:t>
      </w:r>
    </w:p>
    <w:p>
      <w:pPr>
        <w:keepNext/>
        <w:spacing w:after="60" w:line="240" w:lineRule="auto"/>
      </w:pPr>
      <w:r>
        <w:rPr>
          <w:b/>
          <w:bCs/>
          <w:color w:val="333B47"/>
          <w:sz w:val="15"/>
          <w:szCs w:val="15"/>
        </w:rPr>
        <w:t xml:space="preserve">Authors: </w:t>
      </w:r>
      <w:r>
        <w:rPr>
          <w:sz w:val="15"/>
          <w:szCs w:val="15"/>
        </w:rPr>
        <w:t xml:space="preserve">Jim W. Hall, Mohammad Mortazavi-Naeini, Edoardo Borgomeo and co-authors (the ITRC listing adds Baker, Gavin, Gough, Harou, Hunt, Lambert, Piper, Richardson and Watts; not all confirmed)</w:t>
      </w:r>
      <w:r>
        <w:rPr>
          <w:sz w:val="15"/>
          <w:szCs w:val="15"/>
        </w:rPr>
        <w:t xml:space="preserve">   </w:t>
      </w:r>
      <w:r>
        <w:rPr>
          <w:b/>
          <w:bCs/>
          <w:color w:val="333B47"/>
          <w:sz w:val="15"/>
          <w:szCs w:val="15"/>
        </w:rPr>
        <w:t xml:space="preserve">Published in: </w:t>
      </w:r>
      <w:r>
        <w:rPr>
          <w:sz w:val="15"/>
          <w:szCs w:val="15"/>
        </w:rPr>
        <w:t xml:space="preserve">Water and Environment Journal, 34(3), 441–454 (2020; online April 2019)</w:t>
      </w:r>
      <w:r>
        <w:rPr>
          <w:sz w:val="15"/>
          <w:szCs w:val="15"/>
        </w:rPr>
        <w:t xml:space="preserve">   </w:t>
      </w:r>
      <w:r>
        <w:rPr>
          <w:b/>
          <w:bCs/>
          <w:color w:val="333B47"/>
          <w:sz w:val="15"/>
          <w:szCs w:val="15"/>
        </w:rPr>
        <w:t xml:space="preserve">Link: </w:t>
      </w:r>
      <w:hyperlink w:history="1" r:id="rIdrxzhoaprsng_fbww1tboc">
        <w:r>
          <w:rPr>
            <w:color w:val="1D4ED8"/>
            <w:sz w:val="15"/>
            <w:szCs w:val="15"/>
            <w:u w:val="single"/>
          </w:rPr>
          <w:t xml:space="preserve">https://doi.org/10.1111/wej.12479</w:t>
        </w:r>
      </w:hyperlink>
    </w:p>
    <w:p>
      <w:pPr>
        <w:keepNext/>
        <w:spacing w:after="80" w:line="240" w:lineRule="auto"/>
      </w:pPr>
      <w:r>
        <w:rPr>
          <w:b/>
          <w:bCs/>
          <w:color w:val="333B47"/>
          <w:sz w:val="15"/>
          <w:szCs w:val="15"/>
        </w:rPr>
        <w:t xml:space="preserve">Affiliation: </w:t>
      </w:r>
      <w:r>
        <w:rPr>
          <w:color w:val="3A4350"/>
          <w:sz w:val="15"/>
          <w:szCs w:val="15"/>
        </w:rPr>
        <w:t xml:space="preserve">Listed on the publications site of the Oxford Environmental Change Institute (OPSIS); Hall is Professor at the Environmental Change Institute, University of Oxford. Other affiliations not verified.</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(3/5)</w:t>
      </w:r>
    </w:p>
    <w:p>
      <w:pPr>
        <w:spacing w:after="60"/>
        <w:jc w:val="both"/>
      </w:pPr>
      <w:r>
        <w:rPr>
          <w:b/>
          <w:bCs/>
          <w:color w:val="002147"/>
          <w:sz w:val="17"/>
          <w:szCs w:val="17"/>
        </w:rPr>
        <w:t xml:space="preserve">Summary. </w:t>
      </w:r>
      <w:r>
        <w:rPr>
          <w:sz w:val="17"/>
          <w:szCs w:val="17"/>
        </w:rPr>
        <w:t xml:space="preserve">Water companies in England must plan supply under droughts and a changing climate. The paper proposes a risk-based method: simulate the water system to estimate how often shortages happen, how long they last and how severe they are under present and future scenarios, then use multi-objective optimisation and sensitivity analysis to find plans that meet tolerable-risk targets at acceptable cost. A Thames basin case study shows that the method works with the data and models water companies already have.</w:t>
      </w:r>
    </w:p>
    <w:p>
      <w:pPr>
        <w:keepNext/>
        <w:spacing w:after="20" w:before="40"/>
      </w:pPr>
      <w:r>
        <w:rPr>
          <w:b/>
          <w:bCs/>
          <w:color w:val="002147"/>
          <w:sz w:val="17"/>
          <w:szCs w:val="17"/>
        </w:rPr>
        <w:t xml:space="preserve">Key equation.</w:t>
      </w:r>
      <w:r>
        <w:rPr>
          <w:i/>
          <w:iCs/>
          <w:color w:val="5B6573"/>
          <w:sz w:val="15"/>
          <w:szCs w:val="15"/>
        </w:rPr>
        <w:t xml:space="preserve">  Least-cost plan under tolerable-risk constraints (representative formulation)</w:t>
      </w:r>
    </w:p>
    <w:p>
      <w:pPr>
        <w:pStyle w:val="Equation"/>
      </w:pPr>
      <m:oMathPara>
        <m:oMathParaPr>
          <m:jc m:val="center"/>
        </m:oMathParaPr>
        <m:oMath>
          <m:limLow>
            <m:e>
              <m:r>
                <m:rPr>
                  <m:sty m:val="p"/>
                </m:rPr>
                <m:t>min</m:t>
              </m:r>
            </m:e>
            <m:lim>
              <m:r>
                <m:t>x</m:t>
              </m:r>
              <m:r>
                <m:rPr>
                  <m:sty m:val="p"/>
                </m:rPr>
                <m:t>∈</m:t>
              </m:r>
              <m:r>
                <m:t>X</m:t>
              </m:r>
            </m:lim>
          </m:limLow>
          <m:r>
            <m:t> </m:t>
          </m:r>
          <m:r>
            <m:t>C</m:t>
          </m:r>
          <m:d>
            <m:dPr>
              <m:begChr m:val="("/>
              <m:sepChr m:val=""/>
              <m:endChr m:val=")"/>
              <m:grow/>
            </m:dPr>
            <m:e>
              <m:r>
                <m:t>x</m:t>
              </m:r>
            </m:e>
          </m:d>
          <m:r>
            <m:t> </m:t>
          </m:r>
          <m:r>
            <m:rPr>
              <m:nor/>
            </m:rPr>
            <m:t>s.t.</m:t>
          </m:r>
          <m:r>
            <m:t> </m:t>
          </m:r>
          <m:r>
            <m:t>P</m:t>
          </m:r>
          <m:d>
            <m:dPr>
              <m:begChr m:val="("/>
              <m:sepChr m:val=""/>
              <m:endChr m:val=")"/>
              <m:grow/>
            </m:dPr>
            <m:e>
              <m:r>
                <m:rPr>
                  <m:nor/>
                </m:rPr>
                <m:t>shortage of severity</m:t>
              </m:r>
              <m:r>
                <m:rPr>
                  <m:sty m:val="p"/>
                </m:rPr>
                <m:t>≥</m:t>
              </m:r>
              <m:sSub>
                <m:e>
                  <m:r>
                    <m:t>s</m:t>
                  </m:r>
                </m:e>
                <m:sub>
                  <m:r>
                    <m:t>k</m:t>
                  </m:r>
                </m:sub>
              </m:sSub>
              <m:r>
                <m:t> </m:t>
              </m:r>
              <m:r>
                <m:rPr>
                  <m:nor/>
                </m:rPr>
                <m:t>in year</m:t>
              </m:r>
              <m:r>
                <m:t> </m:t>
              </m:r>
              <m:r>
                <m:t>t</m:t>
              </m:r>
              <m:r>
                <m:rPr>
                  <m:sty m:val="p"/>
                </m:rPr>
                <m:t>∣</m:t>
              </m:r>
              <m:r>
                <m:t>x</m:t>
              </m:r>
              <m:r>
                <m:rPr>
                  <m:sty m:val="p"/>
                </m:rPr>
                <m:t>,</m:t>
              </m:r>
              <m:r>
                <m:t>ξ</m:t>
              </m:r>
            </m:e>
          </m:d>
          <m:r>
            <m:rPr>
              <m:sty m:val="p"/>
            </m:rPr>
            <m:t>≤</m:t>
          </m:r>
          <m:sSub>
            <m:e>
              <m:r>
                <m:t>r</m:t>
              </m:r>
            </m:e>
            <m:sub>
              <m:r>
                <m:t>k</m:t>
              </m:r>
            </m:sub>
          </m:sSub>
          <m:r>
            <m:t> </m:t>
          </m:r>
          <m:r>
            <m:rPr>
              <m:sty m:val="p"/>
            </m:rPr>
            <m:t>∀</m:t>
          </m:r>
          <m:r>
            <m:t>k</m:t>
          </m:r>
          <m:r>
            <m:rPr>
              <m:sty m:val="p"/>
            </m:rPr>
            <m:t>,</m:t>
          </m:r>
          <m:r>
            <m:t>t</m:t>
          </m:r>
        </m:oMath>
      </m:oMathPara>
    </w:p>
    <w:p>
      <w:pPr>
        <w:spacing w:after="60"/>
        <w:jc w:val="both"/>
      </w:pPr>
      <m:oMath>
        <m:r>
          <m:t>x</m:t>
        </m:r>
      </m:oMath>
      <w:r>
        <w:rPr>
          <w:color w:val="3A4350"/>
          <w:sz w:val="15"/>
          <w:szCs w:val="15"/>
        </w:rPr>
        <w:t xml:space="preserve"> is the plan (new sources, transfers, demand measures), </w:t>
      </w:r>
      <m:oMath>
        <m:r>
          <m:t>C</m:t>
        </m:r>
      </m:oMath>
      <w:r>
        <w:rPr>
          <w:color w:val="3A4350"/>
          <w:sz w:val="15"/>
          <w:szCs w:val="15"/>
        </w:rPr>
        <w:t xml:space="preserve"> its cost, </w:t>
      </w:r>
      <m:oMath>
        <m:r>
          <m:t>ξ</m:t>
        </m:r>
      </m:oMath>
      <w:r>
        <w:rPr>
          <w:color w:val="3A4350"/>
          <w:sz w:val="15"/>
          <w:szCs w:val="15"/>
        </w:rPr>
        <w:t xml:space="preserve"> the climate and demand scenarios, and </w:t>
      </w:r>
      <m:oMath>
        <m:sSub>
          <m:e>
            <m:r>
              <m:t>r</m:t>
            </m:r>
          </m:e>
          <m:sub>
            <m:r>
              <m:t>k</m:t>
            </m:r>
          </m:sub>
        </m:sSub>
      </m:oMath>
      <w:r>
        <w:rPr>
          <w:color w:val="3A4350"/>
          <w:sz w:val="15"/>
          <w:szCs w:val="15"/>
        </w:rPr>
        <w:t xml:space="preserve"> the tolerable probability of a shortage of severity </w:t>
      </w:r>
      <m:oMath>
        <m:sSub>
          <m:e>
            <m:r>
              <m:t>s</m:t>
            </m:r>
          </m:e>
          <m:sub>
            <m:r>
              <m:t>k</m:t>
            </m:r>
          </m:sub>
        </m:sSub>
      </m:oMath>
      <w:r>
        <w:rPr>
          <w:color w:val="3A4350"/>
          <w:sz w:val="15"/>
          <w:szCs w:val="15"/>
        </w:rPr>
        <w:t xml:space="preserve">.</w:t>
      </w:r>
    </w:p>
    <w:p>
      <w:pPr>
        <w:spacing w:after="60"/>
        <w:jc w:val="both"/>
      </w:pPr>
      <w:r>
        <w:rPr>
          <w:b/>
          <w:bCs/>
          <w:color w:val="002147"/>
          <w:sz w:val="17"/>
          <w:szCs w:val="17"/>
        </w:rPr>
        <w:t xml:space="preserve">For the assembly and the wells. </w:t>
      </w:r>
      <w:r>
        <w:rPr>
          <w:sz w:val="17"/>
          <w:szCs w:val="17"/>
        </w:rPr>
        <w:t xml:space="preserve">Belongs to theme 4. It gives the decision framing of the final goal: replace a shortage by chloride above the drinking-water standard at a supply screen, let </w:t>
      </w:r>
      <m:oMath>
        <m:r>
          <m:t>x</m:t>
        </m:r>
      </m:oMath>
      <w:r>
        <w:rPr>
          <w:sz w:val="17"/>
          <w:szCs w:val="17"/>
        </w:rPr>
        <w:t xml:space="preserve"> be the locations and rates of recharge and pumping wells, and use the assembled aquifer model as the simulator. The result is cost against tolerable risk, which is how the placement of the wells should be presented to the water utility.</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moved the planning of a national water industry from deterministic supply–demand balances to explicit risk targets, with a method tested on a real basin and data that companies hold. Published in the Water and Environment Journal by the leading Oxford water-systems group.</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plans are portfolios of supply options on a network model; the spatial placement of wells inside an aquifer, where the risk is a water-quality limit at a screen and depends on the physics of intrusion, is not part of it.</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tolerable-risk targets for shortages of given severity, met at least cost by multi-objective search. Proposed extension: set tolerable-risk targets for chloride above 250 mg/L at each supply screen (for example 10% in any year and 2% for three consecutive years), and trace the cost–risk front of recharge and pumping layouts on the assembled model, showing the utility which layouts meet which targets.</w:t>
      </w:r>
    </w:p>
    <w:p>
      <w:pPr>
        <w:pStyle w:val="Heading1"/>
      </w:pPr>
      <w:r>
        <w:rPr>
          <w:color w:val="B4410C"/>
        </w:rPr>
        <w:t xml:space="preserve">5. California Institute of Technology (Caltech)</w:t>
      </w:r>
    </w:p>
    <w:p>
      <w:pPr>
        <w:spacing w:after="120"/>
        <w:jc w:val="both"/>
      </w:pPr>
      <w:r>
        <w:t xml:space="preserve">Five Caltech papers. Kamyar Azizzadenesheli, Nikola Kovachki, Zongyi Li, Anima Anandkumar and co-authors review neural operators for simulation and design [C1]; Anirban Chandra, Anandkumar and colleagues at Shell and NVIDIA scale Fourier neural operators to injection in realistic three-dimensional geology [C2]; Tingtao Zhou, Chiara Daraio and co-authors design a catheter through a differentiable surrogate and validate it by experiment [C3]; Jialin Song, Yisong Yue and co-authors learn large-neighbourhood search for integer programs [C4]; and Sahin Lale, Morteza Gharib, Anandkumar and co-authors control in extreme turbulence from a model learned in seconds [C5].</w:t>
      </w:r>
    </w:p>
    <w:p>
      <w:pPr>
        <w:keepNext/>
        <w:pBdr>
          <w:top w:val="single" w:color="B4410C" w:sz="6" w:space="4"/>
        </w:pBdr>
        <w:spacing w:after="60" w:before="220"/>
      </w:pPr>
      <w:r>
        <w:rPr>
          <w:b/>
          <w:bCs/>
          <w:color w:val="B4410C"/>
          <w:sz w:val="23"/>
          <w:szCs w:val="23"/>
        </w:rPr>
        <w:t xml:space="preserve">C1  </w:t>
      </w:r>
      <w:r>
        <w:rPr>
          <w:b/>
          <w:bCs/>
          <w:color w:val="1F3864"/>
          <w:sz w:val="23"/>
          <w:szCs w:val="23"/>
        </w:rPr>
        <w:t xml:space="preserve">Neural operators for accelerating scientific simulations and design</w:t>
      </w:r>
    </w:p>
    <w:p>
      <w:pPr>
        <w:keepNext/>
        <w:spacing w:after="60" w:line="240" w:lineRule="auto"/>
      </w:pPr>
      <w:r>
        <w:rPr>
          <w:b/>
          <w:bCs/>
          <w:color w:val="333B47"/>
          <w:sz w:val="15"/>
          <w:szCs w:val="15"/>
        </w:rPr>
        <w:t xml:space="preserve">Authors: </w:t>
      </w:r>
      <w:r>
        <w:rPr>
          <w:sz w:val="15"/>
          <w:szCs w:val="15"/>
        </w:rPr>
        <w:t xml:space="preserve">Kamyar Azizzadenesheli, Nikola Kovachki, Zongyi Li, Miguel Liu-Schiaffini, Jean Kossaifi, Anima Anandkumar</w:t>
      </w:r>
      <w:r>
        <w:rPr>
          <w:sz w:val="15"/>
          <w:szCs w:val="15"/>
        </w:rPr>
        <w:t xml:space="preserve">   </w:t>
      </w:r>
      <w:r>
        <w:rPr>
          <w:b/>
          <w:bCs/>
          <w:color w:val="333B47"/>
          <w:sz w:val="15"/>
          <w:szCs w:val="15"/>
        </w:rPr>
        <w:t xml:space="preserve">Published in: </w:t>
      </w:r>
      <w:r>
        <w:rPr>
          <w:sz w:val="15"/>
          <w:szCs w:val="15"/>
        </w:rPr>
        <w:t xml:space="preserve">Nature Reviews Physics, 6(5), 320–328 (2024); arXiv:2309.15325</w:t>
      </w:r>
      <w:r>
        <w:rPr>
          <w:sz w:val="15"/>
          <w:szCs w:val="15"/>
        </w:rPr>
        <w:t xml:space="preserve">   </w:t>
      </w:r>
      <w:r>
        <w:rPr>
          <w:b/>
          <w:bCs/>
          <w:color w:val="333B47"/>
          <w:sz w:val="15"/>
          <w:szCs w:val="15"/>
        </w:rPr>
        <w:t xml:space="preserve">Link: </w:t>
      </w:r>
      <w:hyperlink w:history="1" r:id="rId4_wcxs8bqlzddzqgi5pbp">
        <w:r>
          <w:rPr>
            <w:color w:val="1D4ED8"/>
            <w:sz w:val="15"/>
            <w:szCs w:val="15"/>
            <w:u w:val="single"/>
          </w:rPr>
          <w:t xml:space="preserve">https://doi.org/10.1038/s42254-024-00712-5</w:t>
        </w:r>
      </w:hyperlink>
    </w:p>
    <w:p>
      <w:pPr>
        <w:keepNext/>
        <w:spacing w:after="80" w:line="240" w:lineRule="auto"/>
      </w:pPr>
      <w:r>
        <w:rPr>
          <w:b/>
          <w:bCs/>
          <w:color w:val="333B47"/>
          <w:sz w:val="15"/>
          <w:szCs w:val="15"/>
        </w:rPr>
        <w:t xml:space="preserve">Affiliation: </w:t>
      </w:r>
      <w:r>
        <w:rPr>
          <w:color w:val="3A4350"/>
          <w:sz w:val="15"/>
          <w:szCs w:val="15"/>
        </w:rPr>
        <w:t xml:space="preserve">The journal page lists Caltech for Li, Liu-Schiaffini and Anandkumar; the paper has a CaltechAUTHORS record. Other affiliations (NVIDIA, Purdue) as listed there.</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(4/5)</w:t>
      </w:r>
    </w:p>
    <w:p>
      <w:pPr>
        <w:spacing w:after="60"/>
        <w:jc w:val="both"/>
      </w:pPr>
      <w:r>
        <w:rPr>
          <w:b/>
          <w:bCs/>
          <w:color w:val="B4410C"/>
          <w:sz w:val="17"/>
          <w:szCs w:val="17"/>
        </w:rPr>
        <w:t xml:space="preserve">Summary. </w:t>
      </w:r>
      <w:r>
        <w:rPr>
          <w:sz w:val="17"/>
          <w:szCs w:val="17"/>
        </w:rPr>
        <w:t xml:space="preserve">Neural operators learn maps between functions, for instance from a conductivity field and a set of forcings to the solution of a partial differential equation, and do not depend on the mesh used for training. The review explains the framework, the gains of four to five orders of magnitude reported in fluid dynamics, weather and materials, how differentiability enables inverse problems and design, and how physics losses (physics-informed neural operators) can be combined with data. It also discusses the risks: transfer between resolutions and generalisation outside the training distribution.</w:t>
      </w:r>
    </w:p>
    <w:p>
      <w:pPr>
        <w:keepNext/>
        <w:spacing w:after="20" w:before="40"/>
      </w:pPr>
      <w:r>
        <w:rPr>
          <w:b/>
          <w:bCs/>
          <w:color w:val="B4410C"/>
          <w:sz w:val="17"/>
          <w:szCs w:val="17"/>
        </w:rPr>
        <w:t xml:space="preserve">Key equation.</w:t>
      </w:r>
      <w:r>
        <w:rPr>
          <w:i/>
          <w:iCs/>
          <w:color w:val="5B6573"/>
          <w:sz w:val="15"/>
          <w:szCs w:val="15"/>
        </w:rPr>
        <w:t xml:space="preserve">  Neural operator layer and design through the surrogate (representative formulation)</w:t>
      </w:r>
    </w:p>
    <w:p>
      <w:pPr>
        <w:pStyle w:val="Equation"/>
      </w:pPr>
      <m:oMathPara>
        <m:oMathParaPr>
          <m:jc m:val="center"/>
        </m:oMathParaPr>
        <m:oMath>
          <m:sSub>
            <m:e>
              <m:r>
                <m:rPr>
                  <m:scr m:val="script"/>
                  <m:sty m:val="p"/>
                </m:rPr>
                <m:t>G</m:t>
              </m:r>
            </m:e>
            <m:sub>
              <m:r>
                <m:t>θ</m:t>
              </m:r>
            </m:sub>
          </m:sSub>
          <m:r>
            <m:rPr>
              <m:sty m:val="p"/>
            </m:rPr>
            <m:t>=</m:t>
          </m:r>
          <m:r>
            <m:rPr>
              <m:scr m:val="script"/>
              <m:sty m:val="p"/>
            </m:rPr>
            <m:t>Q</m:t>
          </m:r>
          <m:r>
            <m:rPr>
              <m:sty m:val="p"/>
            </m:rPr>
            <m:t>∘</m:t>
          </m:r>
          <m:r>
            <m:t>σ</m:t>
          </m:r>
          <m:d>
            <m:dPr>
              <m:begChr m:val="("/>
              <m:sepChr m:val=""/>
              <m:endChr m:val=")"/>
              <m:grow/>
            </m:dPr>
            <m:e>
              <m:sSub>
                <m:e>
                  <m:r>
                    <m:t>W</m:t>
                  </m:r>
                </m:e>
                <m:sub>
                  <m:r>
                    <m:t>L</m:t>
                  </m:r>
                </m:sub>
              </m:sSub>
              <m:r>
                <m:rPr>
                  <m:sty m:val="p"/>
                </m:rPr>
                <m:t>+</m:t>
              </m:r>
              <m:sSub>
                <m:e>
                  <m:r>
                    <m:rPr>
                      <m:scr m:val="script"/>
                      <m:sty m:val="p"/>
                    </m:rPr>
                    <m:t>K</m:t>
                  </m:r>
                </m:e>
                <m:sub>
                  <m:r>
                    <m:t>L</m:t>
                  </m:r>
                </m:sub>
              </m:sSub>
            </m:e>
          </m:d>
          <m:r>
            <m:rPr>
              <m:sty m:val="p"/>
            </m:rPr>
            <m:t>∘</m:t>
          </m:r>
          <m:r>
            <m:rPr>
              <m:sty m:val="p"/>
            </m:rPr>
            <m:t>⋯</m:t>
          </m:r>
          <m:r>
            <m:rPr>
              <m:sty m:val="p"/>
            </m:rPr>
            <m:t>∘</m:t>
          </m:r>
          <m:r>
            <m:t>σ</m:t>
          </m:r>
          <m:d>
            <m:dPr>
              <m:begChr m:val="("/>
              <m:sepChr m:val=""/>
              <m:endChr m:val=")"/>
              <m:grow/>
            </m:dPr>
            <m:e>
              <m:sSub>
                <m:e>
                  <m:r>
                    <m:t>W</m:t>
                  </m:r>
                </m:e>
                <m:sub>
                  <m:r>
                    <m:t>1</m:t>
                  </m:r>
                </m:sub>
              </m:sSub>
              <m:r>
                <m:rPr>
                  <m:sty m:val="p"/>
                </m:rPr>
                <m:t>+</m:t>
              </m:r>
              <m:sSub>
                <m:e>
                  <m:r>
                    <m:rPr>
                      <m:scr m:val="script"/>
                      <m:sty m:val="p"/>
                    </m:rPr>
                    <m:t>K</m:t>
                  </m:r>
                </m:e>
                <m:sub>
                  <m:r>
                    <m:t>1</m:t>
                  </m:r>
                </m:sub>
              </m:sSub>
            </m:e>
          </m:d>
          <m:r>
            <m:rPr>
              <m:sty m:val="p"/>
            </m:rPr>
            <m:t>∘</m:t>
          </m:r>
          <m:r>
            <m:rPr>
              <m:scr m:val="script"/>
              <m:sty m:val="p"/>
            </m:rPr>
            <m:t>P</m:t>
          </m:r>
          <m:r>
            <m:rPr>
              <m:sty m:val="p"/>
            </m:rPr>
            <m:t>,</m:t>
          </m:r>
          <m:r>
            <m:t> </m:t>
          </m:r>
          <m:d>
            <m:dPr>
              <m:begChr m:val="("/>
              <m:sepChr m:val=""/>
              <m:endChr m:val=")"/>
              <m:grow/>
            </m:dPr>
            <m:e>
              <m:r>
                <m:rPr>
                  <m:scr m:val="script"/>
                  <m:sty m:val="p"/>
                </m:rPr>
                <m:t>K</m:t>
              </m:r>
              <m:r>
                <m:t>v</m:t>
              </m:r>
            </m:e>
          </m:d>
          <m:d>
            <m:dPr>
              <m:begChr m:val="("/>
              <m:sepChr m:val=""/>
              <m:endChr m:val=")"/>
              <m:grow/>
            </m:dPr>
            <m:e>
              <m:r>
                <m:t>x</m:t>
              </m:r>
            </m:e>
          </m:d>
          <m:r>
            <m:rPr>
              <m:sty m:val="p"/>
            </m:rPr>
            <m:t>=</m:t>
          </m:r>
          <m:nary>
            <m:naryPr>
              <m:chr m:val="∫"/>
              <m:limLoc m:val="subSup"/>
              <m:subHide m:val="off"/>
              <m:supHide m:val="on"/>
            </m:naryPr>
            <m:sub>
              <m:r>
                <m:t>D</m:t>
              </m:r>
            </m:sub>
            <m:sup>
              <m:r>
                <m:t>​</m:t>
              </m:r>
            </m:sup>
            <m:e>
              <m:sSub>
                <m:e>
                  <m:r>
                    <m:t>κ</m:t>
                  </m:r>
                </m:e>
                <m:sub>
                  <m:r>
                    <m:t>ϕ</m:t>
                  </m:r>
                </m:sub>
              </m:sSub>
            </m:e>
          </m:nary>
          <m:d>
            <m:dPr>
              <m:begChr m:val="("/>
              <m:sepChr m:val=""/>
              <m:endChr m:val=")"/>
              <m:grow/>
            </m:dPr>
            <m:e>
              <m:r>
                <m:t>x</m:t>
              </m:r>
              <m:r>
                <m:rPr>
                  <m:sty m:val="p"/>
                </m:rPr>
                <m:t>,</m:t>
              </m:r>
              <m:r>
                <m:t>y</m:t>
              </m:r>
            </m:e>
          </m:d>
          <m:r>
            <m:t> </m:t>
          </m:r>
          <m:r>
            <m:t>v</m:t>
          </m:r>
          <m:d>
            <m:dPr>
              <m:begChr m:val="("/>
              <m:sepChr m:val=""/>
              <m:endChr m:val=")"/>
              <m:grow/>
            </m:dPr>
            <m:e>
              <m:r>
                <m:t>y</m:t>
              </m:r>
            </m:e>
          </m:d>
          <m:r>
            <m:t> </m:t>
          </m:r>
          <m:r>
            <m:t>d</m:t>
          </m:r>
          <m:r>
            <m:t>y</m:t>
          </m:r>
          <m:r>
            <m:rPr>
              <m:sty m:val="p"/>
            </m:rPr>
            <m:t>,</m:t>
          </m:r>
          <m:r>
            <m:t> </m:t>
          </m:r>
          <m:sSup>
            <m:e>
              <m:r>
                <m:t>a</m:t>
              </m:r>
            </m:e>
            <m:sup>
              <m:r>
                <m:rPr>
                  <m:sty m:val="p"/>
                </m:rPr>
                <m:t>⋆</m:t>
              </m:r>
            </m:sup>
          </m:sSup>
          <m:r>
            <m:rPr>
              <m:sty m:val="p"/>
            </m:rPr>
            <m:t>=</m:t>
          </m:r>
          <m:r>
            <m:rPr>
              <m:sty m:val="p"/>
            </m:rPr>
            <m:t>arg</m:t>
          </m:r>
          <m:limLow>
            <m:e>
              <m:r>
                <m:rPr>
                  <m:sty m:val="p"/>
                </m:rPr>
                <m:t>min</m:t>
              </m:r>
            </m:e>
            <m:lim>
              <m:r>
                <m:t>a</m:t>
              </m:r>
            </m:lim>
          </m:limLow>
          <m:r>
            <m:t>J</m:t>
          </m:r>
          <m:d>
            <m:dPr>
              <m:begChr m:val="("/>
              <m:sepChr m:val=""/>
              <m:endChr m:val=")"/>
              <m:grow/>
            </m:dPr>
            <m:e>
              <m:sSub>
                <m:e>
                  <m:r>
                    <m:rPr>
                      <m:scr m:val="script"/>
                      <m:sty m:val="p"/>
                    </m:rPr>
                    <m:t>G</m:t>
                  </m:r>
                </m:e>
                <m:sub>
                  <m:r>
                    <m:t>θ</m:t>
                  </m:r>
                </m:sub>
              </m:sSub>
              <m:d>
                <m:dPr>
                  <m:begChr m:val="("/>
                  <m:sepChr m:val=""/>
                  <m:endChr m:val=")"/>
                  <m:grow/>
                </m:dPr>
                <m:e>
                  <m:r>
                    <m:t>a</m:t>
                  </m:r>
                </m:e>
              </m:d>
            </m:e>
          </m:d>
        </m:oMath>
      </m:oMathPara>
    </w:p>
    <w:p>
      <w:pPr>
        <w:spacing w:after="60"/>
        <w:jc w:val="both"/>
      </w:pPr>
      <m:oMath>
        <m:r>
          <m:rPr>
            <m:scr m:val="script"/>
            <m:sty m:val="p"/>
          </m:rPr>
          <m:t>P</m:t>
        </m:r>
      </m:oMath>
      <w:r>
        <w:rPr>
          <w:color w:val="3A4350"/>
          <w:sz w:val="15"/>
          <w:szCs w:val="15"/>
        </w:rPr>
        <w:t xml:space="preserve"> and </w:t>
      </w:r>
      <m:oMath>
        <m:r>
          <m:rPr>
            <m:scr m:val="script"/>
            <m:sty m:val="p"/>
          </m:rPr>
          <m:t>Q</m:t>
        </m:r>
      </m:oMath>
      <w:r>
        <w:rPr>
          <w:color w:val="3A4350"/>
          <w:sz w:val="15"/>
          <w:szCs w:val="15"/>
        </w:rPr>
        <w:t xml:space="preserve"> lift and project, </w:t>
      </w:r>
      <m:oMath>
        <m:sSub>
          <m:e>
            <m:r>
              <m:rPr>
                <m:scr m:val="script"/>
                <m:sty m:val="p"/>
              </m:rPr>
              <m:t>K</m:t>
            </m:r>
          </m:e>
          <m:sub>
            <m:r>
              <m:t>l</m:t>
            </m:r>
          </m:sub>
        </m:sSub>
      </m:oMath>
      <w:r>
        <w:rPr>
          <w:color w:val="3A4350"/>
          <w:sz w:val="15"/>
          <w:szCs w:val="15"/>
        </w:rPr>
        <w:t xml:space="preserve"> are learned integral operators, </w:t>
      </w:r>
      <m:oMath>
        <m:sSub>
          <m:e>
            <m:r>
              <m:t>W</m:t>
            </m:r>
          </m:e>
          <m:sub>
            <m:r>
              <m:t>l</m:t>
            </m:r>
          </m:sub>
        </m:sSub>
      </m:oMath>
      <w:r>
        <w:rPr>
          <w:color w:val="3A4350"/>
          <w:sz w:val="15"/>
          <w:szCs w:val="15"/>
        </w:rPr>
        <w:t xml:space="preserve"> local maps, and </w:t>
      </w:r>
      <m:oMath>
        <m:r>
          <m:t>a</m:t>
        </m:r>
      </m:oMath>
      <w:r>
        <w:rPr>
          <w:color w:val="3A4350"/>
          <w:sz w:val="15"/>
          <w:szCs w:val="15"/>
        </w:rPr>
        <w:t xml:space="preserve"> the design input (here the well layout and rates) optimised through the surrogate.</w:t>
      </w:r>
    </w:p>
    <w:p>
      <w:pPr>
        <w:spacing w:after="60"/>
        <w:jc w:val="both"/>
      </w:pPr>
      <w:r>
        <w:rPr>
          <w:b/>
          <w:bCs/>
          <w:color w:val="B4410C"/>
          <w:sz w:val="17"/>
          <w:szCs w:val="17"/>
        </w:rPr>
        <w:t xml:space="preserve">For the assembly and the wells. </w:t>
      </w:r>
      <w:r>
        <w:rPr>
          <w:sz w:val="17"/>
          <w:szCs w:val="17"/>
        </w:rPr>
        <w:t xml:space="preserve">Belongs to theme 2. The assembled aquifer system is too expensive to run thousands of times inside a placement optimisation; a neural operator trained on runs of it, with the well layout and rates among its inputs, can replace it in the inner loop and supply gradients with respect to the rates. The review states what accuracy and coverage of the training set this requires.</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The authoritative overview, by the group that introduced neural operators, of how they accelerate simulation and design, with the conditions under which they can be trusted. Published in Nature Reviews Physics.</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review gives no guarantee that a surrogate trained on some layouts predicts chloride at a supply screen correctly for a new layout; an error bound that can be carried into the chance constraint of the placement is open.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unified account of neural operators for simulation and design, with their failure modes. Proposed extension: train a neural operator on runs of the assembled aquifer system with random layouts of recharge and pumping wells, estimate its error on held-out layouts at the supply screens, and tighten the chloride limit of the placement by that error so that the optimised layout stays safe when checked with the full model.</w:t>
      </w:r>
    </w:p>
    <w:p>
      <w:pPr>
        <w:keepNext/>
        <w:pBdr>
          <w:top w:val="single" w:color="B4410C" w:sz="6" w:space="4"/>
        </w:pBdr>
        <w:spacing w:after="60" w:before="220"/>
      </w:pPr>
      <w:r>
        <w:rPr>
          <w:b/>
          <w:bCs/>
          <w:color w:val="B4410C"/>
          <w:sz w:val="23"/>
          <w:szCs w:val="23"/>
        </w:rPr>
        <w:t xml:space="preserve">C2  </w:t>
      </w:r>
      <w:r>
        <w:rPr>
          <w:b/>
          <w:bCs/>
          <w:color w:val="1F3864"/>
          <w:sz w:val="23"/>
          <w:szCs w:val="23"/>
        </w:rPr>
        <w:t xml:space="preserve">Accelerating Porous Media Flow Simulations With Fourier Neural Operators: An Application to Geologic Storage of CO₂</w:t>
      </w:r>
    </w:p>
    <w:p>
      <w:pPr>
        <w:keepNext/>
        <w:spacing w:after="60" w:line="240" w:lineRule="auto"/>
      </w:pPr>
      <w:r>
        <w:rPr>
          <w:b/>
          <w:bCs/>
          <w:color w:val="333B47"/>
          <w:sz w:val="15"/>
          <w:szCs w:val="15"/>
        </w:rPr>
        <w:t xml:space="preserve">Authors: </w:t>
      </w:r>
      <w:r>
        <w:rPr>
          <w:sz w:val="15"/>
          <w:szCs w:val="15"/>
        </w:rPr>
        <w:t xml:space="preserve">Anirban Chandra, Marius Koch, Suraj Pawar, Aniruddha Panda, Kamyar Azizzadenesheli, Jeroen Snippe, Faruk O. Alpak, Farah Hariri, Clement Etienam, Pandu Devarakota, Anima Anandkumar, Detlef Hohl (author list as given for the arXiv version, 2503.11031; the journal byline was not seen in full)</w:t>
      </w:r>
      <w:r>
        <w:rPr>
          <w:sz w:val="15"/>
          <w:szCs w:val="15"/>
        </w:rPr>
        <w:t xml:space="preserve">   </w:t>
      </w:r>
      <w:r>
        <w:rPr>
          <w:b/>
          <w:bCs/>
          <w:color w:val="333B47"/>
          <w:sz w:val="15"/>
          <w:szCs w:val="15"/>
        </w:rPr>
        <w:t xml:space="preserve">Published in: </w:t>
      </w:r>
      <w:r>
        <w:rPr>
          <w:sz w:val="15"/>
          <w:szCs w:val="15"/>
        </w:rPr>
        <w:t xml:space="preserve">Advanced Theory and Simulations, 9(1) (2026; online 2025); article number not verified</w:t>
      </w:r>
      <w:r>
        <w:rPr>
          <w:sz w:val="15"/>
          <w:szCs w:val="15"/>
        </w:rPr>
        <w:t xml:space="preserve">   </w:t>
      </w:r>
      <w:r>
        <w:rPr>
          <w:b/>
          <w:bCs/>
          <w:color w:val="333B47"/>
          <w:sz w:val="15"/>
          <w:szCs w:val="15"/>
        </w:rPr>
        <w:t xml:space="preserve">Link: </w:t>
      </w:r>
      <w:hyperlink w:history="1" r:id="rId_cjehig9-hvyejc5b1wpu">
        <w:r>
          <w:rPr>
            <w:color w:val="1D4ED8"/>
            <w:sz w:val="15"/>
            <w:szCs w:val="15"/>
            <w:u w:val="single"/>
          </w:rPr>
          <w:t xml:space="preserve">https://doi.org/10.1002/adts.202500747</w:t>
        </w:r>
      </w:hyperlink>
    </w:p>
    <w:p>
      <w:pPr>
        <w:keepNext/>
        <w:spacing w:after="80" w:line="240" w:lineRule="auto"/>
      </w:pPr>
      <w:r>
        <w:rPr>
          <w:b/>
          <w:bCs/>
          <w:color w:val="333B47"/>
          <w:sz w:val="15"/>
          <w:szCs w:val="15"/>
        </w:rPr>
        <w:t xml:space="preserve">Affiliation: </w:t>
      </w:r>
      <w:r>
        <w:rPr>
          <w:color w:val="3A4350"/>
          <w:sz w:val="15"/>
          <w:szCs w:val="15"/>
        </w:rPr>
        <w:t xml:space="preserve">The CaltechAUTHORS record of the journal article lists Caltech among the affiliations, with Shell and NVIDIA; Anandkumar is at Caltech.</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(3/5)</w:t>
      </w:r>
    </w:p>
    <w:p>
      <w:pPr>
        <w:spacing w:after="60"/>
        <w:jc w:val="both"/>
      </w:pPr>
      <w:r>
        <w:rPr>
          <w:b/>
          <w:bCs/>
          <w:color w:val="B4410C"/>
          <w:sz w:val="17"/>
          <w:szCs w:val="17"/>
        </w:rPr>
        <w:t xml:space="preserve">Summary. </w:t>
      </w:r>
      <w:r>
        <w:rPr>
          <w:sz w:val="17"/>
          <w:szCs w:val="17"/>
        </w:rPr>
        <w:t xml:space="preserve">The authors build Fourier neural operator surrogates for the migration of an injected CO₂ plume and the pressure build-up in realistic, large three-dimensional geologies, with NVIDIA's PhysicsNeMo library. The surrogates run </w:t>
      </w:r>
      <m:oMath>
        <m:sSup>
          <m:e>
            <m:r>
              <m:t>10</m:t>
            </m:r>
          </m:e>
          <m:sup>
            <m:r>
              <m:t>3</m:t>
            </m:r>
          </m:sup>
        </m:sSup>
      </m:oMath>
      <w:r>
        <w:rPr>
          <w:sz w:val="17"/>
          <w:szCs w:val="17"/>
        </w:rPr>
        <w:t xml:space="preserve"> to </w:t>
      </w:r>
      <m:oMath>
        <m:sSup>
          <m:e>
            <m:r>
              <m:t>10</m:t>
            </m:r>
          </m:e>
          <m:sup>
            <m:r>
              <m:t>5</m:t>
            </m:r>
          </m:sup>
        </m:sSup>
      </m:oMath>
      <w:r>
        <w:rPr>
          <w:sz w:val="17"/>
          <w:szCs w:val="17"/>
        </w:rPr>
        <w:t xml:space="preserve"> times faster than the numerical simulators with little loss of accuracy, and super-resolution training reduces the cost of generating training data. The work is presented as a tool for rapid screening of storage sites and injection plans.</w:t>
      </w:r>
    </w:p>
    <w:p>
      <w:pPr>
        <w:keepNext/>
        <w:spacing w:after="20" w:before="40"/>
      </w:pPr>
      <w:r>
        <w:rPr>
          <w:b/>
          <w:bCs/>
          <w:color w:val="B4410C"/>
          <w:sz w:val="17"/>
          <w:szCs w:val="17"/>
        </w:rPr>
        <w:t xml:space="preserve">Key equation.</w:t>
      </w:r>
      <w:r>
        <w:rPr>
          <w:i/>
          <w:iCs/>
          <w:color w:val="5B6573"/>
          <w:sz w:val="15"/>
          <w:szCs w:val="15"/>
        </w:rPr>
        <w:t xml:space="preserve">  Training of the operator surrogate on simulator runs (representative formulation)</w:t>
      </w:r>
    </w:p>
    <w:p>
      <w:pPr>
        <w:pStyle w:val="Equation"/>
      </w:pPr>
      <m:oMathPara>
        <m:oMathParaPr>
          <m:jc m:val="center"/>
        </m:oMathParaPr>
        <m:oMath>
          <m:sSup>
            <m:e>
              <m:r>
                <m:t>θ</m:t>
              </m:r>
            </m:e>
            <m:sup>
              <m:r>
                <m:rPr>
                  <m:sty m:val="p"/>
                </m:rPr>
                <m:t>⋆</m:t>
              </m:r>
            </m:sup>
          </m:sSup>
          <m:r>
            <m:rPr>
              <m:sty m:val="p"/>
            </m:rPr>
            <m:t>=</m:t>
          </m:r>
          <m:r>
            <m:rPr>
              <m:sty m:val="p"/>
            </m:rPr>
            <m:t>arg</m:t>
          </m:r>
          <m:limLow>
            <m:e>
              <m:r>
                <m:rPr>
                  <m:sty m:val="p"/>
                </m:rPr>
                <m:t>min</m:t>
              </m:r>
            </m:e>
            <m:lim>
              <m:r>
                <m:t>θ</m:t>
              </m:r>
            </m:lim>
          </m:limLow>
          <m:r>
            <m:t> </m:t>
          </m:r>
          <m:sSub>
            <m:e>
              <m:r>
                <m:rPr>
                  <m:scr m:val="double-struck"/>
                  <m:sty m:val="p"/>
                </m:rPr>
                <m:t>E</m:t>
              </m:r>
            </m:e>
            <m:sub>
              <m:r>
                <m:t>a</m:t>
              </m:r>
            </m:sub>
          </m:sSub>
          <m:d>
            <m:dPr>
              <m:begChr m:val="["/>
              <m:sepChr m:val=""/>
              <m:endChr m:val="]"/>
              <m:grow/>
            </m:dPr>
            <m:e>
              <m:f>
                <m:fPr>
                  <m:type m:val="bar"/>
                </m:fPr>
                <m:num>
                  <m:sSub>
                    <m:e>
                      <m:d>
                        <m:dPr>
                          <m:begChr m:val="∥"/>
                          <m:sepChr m:val=""/>
                          <m:endChr m:val="∥"/>
                          <m:grow/>
                        </m:dPr>
                        <m:e>
                          <m:sSub>
                            <m:e>
                              <m:r>
                                <m:rPr>
                                  <m:scr m:val="script"/>
                                  <m:sty m:val="p"/>
                                </m:rPr>
                                <m:t>G</m:t>
                              </m:r>
                            </m:e>
                            <m:sub>
                              <m:r>
                                <m:t>θ</m:t>
                              </m:r>
                            </m:sub>
                          </m:sSub>
                          <m:d>
                            <m:dPr>
                              <m:begChr m:val="("/>
                              <m:sepChr m:val=""/>
                              <m:endChr m:val=")"/>
                              <m:grow/>
                            </m:dPr>
                            <m:e>
                              <m:r>
                                <m:t>a</m:t>
                              </m:r>
                            </m:e>
                          </m:d>
                          <m:r>
                            <m:rPr>
                              <m:sty m:val="p"/>
                            </m:rPr>
                            <m:t>−</m:t>
                          </m:r>
                          <m:sSup>
                            <m:e>
                              <m:r>
                                <m:rPr>
                                  <m:scr m:val="script"/>
                                  <m:sty m:val="p"/>
                                </m:rPr>
                                <m:t>G</m:t>
                              </m:r>
                            </m:e>
                            <m:sup>
                              <m:r>
                                <m:rPr>
                                  <m:sty m:val="p"/>
                                </m:rPr>
                                <m:t>†</m:t>
                              </m:r>
                            </m:sup>
                          </m:sSup>
                          <m:d>
                            <m:dPr>
                              <m:begChr m:val="("/>
                              <m:sepChr m:val=""/>
                              <m:endChr m:val=")"/>
                              <m:grow/>
                            </m:dPr>
                            <m:e>
                              <m:r>
                                <m:t>a</m:t>
                              </m:r>
                            </m:e>
                          </m:d>
                        </m:e>
                      </m:d>
                    </m:e>
                    <m:sub>
                      <m:sSup>
                        <m:e>
                          <m:r>
                            <m:t>L</m:t>
                          </m:r>
                        </m:e>
                        <m:sup>
                          <m:r>
                            <m:t>2</m:t>
                          </m:r>
                        </m:sup>
                      </m:sSup>
                    </m:sub>
                  </m:sSub>
                </m:num>
                <m:den>
                  <m:sSub>
                    <m:e>
                      <m:d>
                        <m:dPr>
                          <m:begChr m:val="∥"/>
                          <m:sepChr m:val=""/>
                          <m:endChr m:val="∥"/>
                          <m:grow/>
                        </m:dPr>
                        <m:e>
                          <m:sSup>
                            <m:e>
                              <m:r>
                                <m:rPr>
                                  <m:scr m:val="script"/>
                                  <m:sty m:val="p"/>
                                </m:rPr>
                                <m:t>G</m:t>
                              </m:r>
                            </m:e>
                            <m:sup>
                              <m:r>
                                <m:rPr>
                                  <m:sty m:val="p"/>
                                </m:rPr>
                                <m:t>†</m:t>
                              </m:r>
                            </m:sup>
                          </m:sSup>
                          <m:d>
                            <m:dPr>
                              <m:begChr m:val="("/>
                              <m:sepChr m:val=""/>
                              <m:endChr m:val=")"/>
                              <m:grow/>
                            </m:dPr>
                            <m:e>
                              <m:r>
                                <m:t>a</m:t>
                              </m:r>
                            </m:e>
                          </m:d>
                        </m:e>
                      </m:d>
                    </m:e>
                    <m:sub>
                      <m:sSup>
                        <m:e>
                          <m:r>
                            <m:t>L</m:t>
                          </m:r>
                        </m:e>
                        <m:sup>
                          <m:r>
                            <m:t>2</m:t>
                          </m:r>
                        </m:sup>
                      </m:sSup>
                    </m:sub>
                  </m:sSub>
                </m:den>
              </m:f>
            </m:e>
          </m:d>
        </m:oMath>
      </m:oMathPara>
    </w:p>
    <w:p>
      <w:pPr>
        <w:spacing w:after="60"/>
        <w:jc w:val="both"/>
      </w:pPr>
      <m:oMath>
        <m:r>
          <m:t>a</m:t>
        </m:r>
      </m:oMath>
      <w:r>
        <w:rPr>
          <w:color w:val="3A4350"/>
          <w:sz w:val="15"/>
          <w:szCs w:val="15"/>
        </w:rPr>
        <w:t xml:space="preserve"> collects the geology (permeability, porosity) and the injection plan, </w:t>
      </w:r>
      <m:oMath>
        <m:sSup>
          <m:e>
            <m:r>
              <m:rPr>
                <m:scr m:val="script"/>
                <m:sty m:val="p"/>
              </m:rPr>
              <m:t>G</m:t>
            </m:r>
          </m:e>
          <m:sup>
            <m:r>
              <m:rPr>
                <m:sty m:val="p"/>
              </m:rPr>
              <m:t>†</m:t>
            </m:r>
          </m:sup>
        </m:sSup>
      </m:oMath>
      <w:r>
        <w:rPr>
          <w:color w:val="3A4350"/>
          <w:sz w:val="15"/>
          <w:szCs w:val="15"/>
        </w:rPr>
        <w:t xml:space="preserve"> is the simulator and </w:t>
      </w:r>
      <m:oMath>
        <m:sSub>
          <m:e>
            <m:r>
              <m:rPr>
                <m:scr m:val="script"/>
                <m:sty m:val="p"/>
              </m:rPr>
              <m:t>G</m:t>
            </m:r>
          </m:e>
          <m:sub>
            <m:r>
              <m:t>θ</m:t>
            </m:r>
          </m:sub>
        </m:sSub>
      </m:oMath>
      <w:r>
        <w:rPr>
          <w:color w:val="3A4350"/>
          <w:sz w:val="15"/>
          <w:szCs w:val="15"/>
        </w:rPr>
        <w:t xml:space="preserve"> the neural operator.</w:t>
      </w:r>
    </w:p>
    <w:p>
      <w:pPr>
        <w:spacing w:after="60"/>
        <w:jc w:val="both"/>
      </w:pPr>
      <w:r>
        <w:rPr>
          <w:b/>
          <w:bCs/>
          <w:color w:val="B4410C"/>
          <w:sz w:val="17"/>
          <w:szCs w:val="17"/>
        </w:rPr>
        <w:t xml:space="preserve">For the assembly and the wells. </w:t>
      </w:r>
      <w:r>
        <w:rPr>
          <w:sz w:val="17"/>
          <w:szCs w:val="17"/>
        </w:rPr>
        <w:t xml:space="preserve">Belongs to theme 2. Injecting CO₂ into a saline aquifer and injecting fresh water into a coastal aquifer are both density-driven, well-forced flows in a heterogeneous medium. A surrogate of the same kind, trained on the assembled system with the recharge and pumping plan as input, makes it possible to screen many layouts over many geological realisations.</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shows that neural-operator surrogates scale to field-sized, heterogeneous three-dimensional aquifers with injection wells, at speed-ups that make screening many plans feasible, in a collaboration between Caltech and an operator. Published in Advanced Theory and Simulations.</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surrogate predicts the plume and the pressure; it does not predict the concentration of several dissolved species at a well screen, and the effect of a thin mixing zone on its accuracy is unknown.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neural-operator surrogates of well-driven flow in realistic three-dimensional geology. Proposed extension: train the same architecture on the assembled aquifer system with recharge and pumping rates at the candidate sites as inputs and chloride and sodium at the supply screens as outputs, and test whether its accuracy holds in the mixing zone, where the placement decision is made.</w:t>
      </w:r>
    </w:p>
    <w:p>
      <w:pPr>
        <w:keepNext/>
        <w:pBdr>
          <w:top w:val="single" w:color="B4410C" w:sz="6" w:space="4"/>
        </w:pBdr>
        <w:spacing w:after="60" w:before="220"/>
      </w:pPr>
      <w:r>
        <w:rPr>
          <w:b/>
          <w:bCs/>
          <w:color w:val="B4410C"/>
          <w:sz w:val="23"/>
          <w:szCs w:val="23"/>
        </w:rPr>
        <w:t xml:space="preserve">C3  </w:t>
      </w:r>
      <w:r>
        <w:rPr>
          <w:b/>
          <w:bCs/>
          <w:color w:val="1F3864"/>
          <w:sz w:val="23"/>
          <w:szCs w:val="23"/>
        </w:rPr>
        <w:t xml:space="preserve">AI-aided geometric design of anti-infection catheters</w:t>
      </w:r>
    </w:p>
    <w:p>
      <w:pPr>
        <w:keepNext/>
        <w:spacing w:after="60" w:line="240" w:lineRule="auto"/>
      </w:pPr>
      <w:r>
        <w:rPr>
          <w:b/>
          <w:bCs/>
          <w:color w:val="333B47"/>
          <w:sz w:val="15"/>
          <w:szCs w:val="15"/>
        </w:rPr>
        <w:t xml:space="preserve">Authors: </w:t>
      </w:r>
      <w:r>
        <w:rPr>
          <w:sz w:val="15"/>
          <w:szCs w:val="15"/>
        </w:rPr>
        <w:t xml:space="preserve">Tingtao Zhou, Xuan Wan, Daniel Zhengyu Huang, Zongyi Li, Zhiwei Peng, Anima Anandkumar, John F. Brady, Paul W. Sternberg, Chiara Daraio</w:t>
      </w:r>
      <w:r>
        <w:rPr>
          <w:sz w:val="15"/>
          <w:szCs w:val="15"/>
        </w:rPr>
        <w:t xml:space="preserve">   </w:t>
      </w:r>
      <w:r>
        <w:rPr>
          <w:b/>
          <w:bCs/>
          <w:color w:val="333B47"/>
          <w:sz w:val="15"/>
          <w:szCs w:val="15"/>
        </w:rPr>
        <w:t xml:space="preserve">Published in: </w:t>
      </w:r>
      <w:r>
        <w:rPr>
          <w:sz w:val="15"/>
          <w:szCs w:val="15"/>
        </w:rPr>
        <w:t xml:space="preserve">Science Advances, 10, eadj1741 (3 January 2024)</w:t>
      </w:r>
      <w:r>
        <w:rPr>
          <w:sz w:val="15"/>
          <w:szCs w:val="15"/>
        </w:rPr>
        <w:t xml:space="preserve">   </w:t>
      </w:r>
      <w:r>
        <w:rPr>
          <w:b/>
          <w:bCs/>
          <w:color w:val="333B47"/>
          <w:sz w:val="15"/>
          <w:szCs w:val="15"/>
        </w:rPr>
        <w:t xml:space="preserve">Link: </w:t>
      </w:r>
      <w:hyperlink w:history="1" r:id="rIdsoehyt3fa_b_q-nycgug-">
        <w:r>
          <w:rPr>
            <w:color w:val="1D4ED8"/>
            <w:sz w:val="15"/>
            <w:szCs w:val="15"/>
            <w:u w:val="single"/>
          </w:rPr>
          <w:t xml:space="preserve">https://doi.org/10.1126/sciadv.adj1741</w:t>
        </w:r>
      </w:hyperlink>
    </w:p>
    <w:p>
      <w:pPr>
        <w:keepNext/>
        <w:spacing w:after="80" w:line="240" w:lineRule="auto"/>
      </w:pPr>
      <w:r>
        <w:rPr>
          <w:b/>
          <w:bCs/>
          <w:color w:val="333B47"/>
          <w:sz w:val="15"/>
          <w:szCs w:val="15"/>
        </w:rPr>
        <w:t xml:space="preserve">Affiliation: </w:t>
      </w:r>
      <w:r>
        <w:rPr>
          <w:color w:val="3A4350"/>
          <w:sz w:val="15"/>
          <w:szCs w:val="15"/>
        </w:rPr>
        <w:t xml:space="preserve">All authors at Caltech, according to the CaltechAUTHORS record and the Caltech news release.</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(4/5)</w:t>
      </w:r>
    </w:p>
    <w:p>
      <w:pPr>
        <w:spacing w:after="60"/>
        <w:jc w:val="both"/>
      </w:pPr>
      <w:r>
        <w:rPr>
          <w:b/>
          <w:bCs/>
          <w:color w:val="B4410C"/>
          <w:sz w:val="17"/>
          <w:szCs w:val="17"/>
        </w:rPr>
        <w:t xml:space="preserve">Summary. </w:t>
      </w:r>
      <w:r>
        <w:rPr>
          <w:sz w:val="17"/>
          <w:szCs w:val="17"/>
        </w:rPr>
        <w:t xml:space="preserve">Bacteria swim upstream inside urinary catheters and cause infections. The authors replace slow simulations of bacteria swimming in the catheter flow by a Fourier neural operator, and, because the surrogate is differentiable, optimise the shape of obstacles on the inner wall to block upstream swimming. The optimised design was 3D-printed and tested in the laboratory, where it reduced upstream contamination by one to two orders of magnitude, and the design computation fell from days to minutes.</w:t>
      </w:r>
    </w:p>
    <w:p>
      <w:pPr>
        <w:keepNext/>
        <w:spacing w:after="20" w:before="40"/>
      </w:pPr>
      <w:r>
        <w:rPr>
          <w:b/>
          <w:bCs/>
          <w:color w:val="B4410C"/>
          <w:sz w:val="17"/>
          <w:szCs w:val="17"/>
        </w:rPr>
        <w:t xml:space="preserve">Key equation.</w:t>
      </w:r>
      <w:r>
        <w:rPr>
          <w:i/>
          <w:iCs/>
          <w:color w:val="5B6573"/>
          <w:sz w:val="15"/>
          <w:szCs w:val="15"/>
        </w:rPr>
        <w:t xml:space="preserve">  Gradient-based design through a differentiable surrogate (representative formulation)</w:t>
      </w:r>
    </w:p>
    <w:p>
      <w:pPr>
        <w:pStyle w:val="Equation"/>
      </w:pPr>
      <m:oMathPara>
        <m:oMathParaPr>
          <m:jc m:val="center"/>
        </m:oMathParaPr>
        <m:oMath>
          <m:sSup>
            <m:e>
              <m:r>
                <m:t>θ</m:t>
              </m:r>
            </m:e>
            <m:sup>
              <m:r>
                <m:rPr>
                  <m:sty m:val="p"/>
                </m:rPr>
                <m:t>⋆</m:t>
              </m:r>
            </m:sup>
          </m:sSup>
          <m:r>
            <m:rPr>
              <m:sty m:val="p"/>
            </m:rPr>
            <m:t>=</m:t>
          </m:r>
          <m:r>
            <m:rPr>
              <m:sty m:val="p"/>
            </m:rPr>
            <m:t>arg</m:t>
          </m:r>
          <m:limLow>
            <m:e>
              <m:r>
                <m:rPr>
                  <m:sty m:val="p"/>
                </m:rPr>
                <m:t>min</m:t>
              </m:r>
            </m:e>
            <m:lim>
              <m:r>
                <m:t>θ</m:t>
              </m:r>
              <m:r>
                <m:rPr>
                  <m:sty m:val="p"/>
                </m:rPr>
                <m:t>∈</m:t>
              </m:r>
              <m:r>
                <m:t>Θ</m:t>
              </m:r>
            </m:lim>
          </m:limLow>
          <m:r>
            <m:t>J</m:t>
          </m:r>
          <m:d>
            <m:dPr>
              <m:begChr m:val="("/>
              <m:sepChr m:val=""/>
              <m:endChr m:val=")"/>
              <m:grow/>
            </m:dPr>
            <m:e>
              <m:sSub>
                <m:e>
                  <m:r>
                    <m:rPr>
                      <m:scr m:val="script"/>
                      <m:sty m:val="p"/>
                    </m:rPr>
                    <m:t>G</m:t>
                  </m:r>
                </m:e>
                <m:sub>
                  <m:r>
                    <m:t>ϕ</m:t>
                  </m:r>
                </m:sub>
              </m:sSub>
              <m:d>
                <m:dPr>
                  <m:begChr m:val="("/>
                  <m:sepChr m:val=""/>
                  <m:endChr m:val=")"/>
                  <m:grow/>
                </m:dPr>
                <m:e>
                  <m:r>
                    <m:t>θ</m:t>
                  </m:r>
                </m:e>
              </m:d>
            </m:e>
          </m:d>
          <m:r>
            <m:rPr>
              <m:sty m:val="p"/>
            </m:rPr>
            <m:t>,</m:t>
          </m:r>
          <m:r>
            <m:t>  </m:t>
          </m:r>
          <m:sSub>
            <m:e>
              <m:r>
                <m:t>θ</m:t>
              </m:r>
            </m:e>
            <m:sub>
              <m:r>
                <m:t>k</m:t>
              </m:r>
              <m:r>
                <m:rPr>
                  <m:sty m:val="p"/>
                </m:rPr>
                <m:t>+</m:t>
              </m:r>
              <m:r>
                <m:t>1</m:t>
              </m:r>
            </m:sub>
          </m:sSub>
          <m:r>
            <m:rPr>
              <m:sty m:val="p"/>
            </m:rPr>
            <m:t>=</m:t>
          </m:r>
          <m:sSub>
            <m:e>
              <m:r>
                <m:t>θ</m:t>
              </m:r>
            </m:e>
            <m:sub>
              <m:r>
                <m:t>k</m:t>
              </m:r>
            </m:sub>
          </m:sSub>
          <m:r>
            <m:rPr>
              <m:sty m:val="p"/>
            </m:rPr>
            <m:t>−</m:t>
          </m:r>
          <m:r>
            <m:t>η</m:t>
          </m:r>
          <m:r>
            <m:t> </m:t>
          </m:r>
          <m:sSub>
            <m:e>
              <m:r>
                <m:rPr>
                  <m:sty m:val="p"/>
                </m:rPr>
                <m:t>∇</m:t>
              </m:r>
            </m:e>
            <m:sub>
              <m:r>
                <m:t>θ</m:t>
              </m:r>
            </m:sub>
          </m:sSub>
          <m:r>
            <m:t>J</m:t>
          </m:r>
          <m:d>
            <m:dPr>
              <m:begChr m:val="("/>
              <m:sepChr m:val=""/>
              <m:endChr m:val=")"/>
              <m:grow/>
            </m:dPr>
            <m:e>
              <m:sSub>
                <m:e>
                  <m:r>
                    <m:rPr>
                      <m:scr m:val="script"/>
                      <m:sty m:val="p"/>
                    </m:rPr>
                    <m:t>G</m:t>
                  </m:r>
                </m:e>
                <m:sub>
                  <m:r>
                    <m:t>ϕ</m:t>
                  </m:r>
                </m:sub>
              </m:sSub>
              <m:d>
                <m:dPr>
                  <m:begChr m:val="("/>
                  <m:sepChr m:val=""/>
                  <m:endChr m:val=")"/>
                  <m:grow/>
                </m:dPr>
                <m:e>
                  <m:sSub>
                    <m:e>
                      <m:r>
                        <m:t>θ</m:t>
                      </m:r>
                    </m:e>
                    <m:sub>
                      <m:r>
                        <m:t>k</m:t>
                      </m:r>
                    </m:sub>
                  </m:sSub>
                </m:e>
              </m:d>
            </m:e>
          </m:d>
        </m:oMath>
      </m:oMathPara>
    </w:p>
    <w:p>
      <w:pPr>
        <w:spacing w:after="60"/>
        <w:jc w:val="both"/>
      </w:pPr>
      <m:oMath>
        <m:r>
          <m:t>θ</m:t>
        </m:r>
      </m:oMath>
      <w:r>
        <w:rPr>
          <w:color w:val="3A4350"/>
          <w:sz w:val="15"/>
          <w:szCs w:val="15"/>
        </w:rPr>
        <w:t xml:space="preserve"> are the design variables (the obstacle geometry), </w:t>
      </w:r>
      <m:oMath>
        <m:sSub>
          <m:e>
            <m:r>
              <m:rPr>
                <m:scr m:val="script"/>
                <m:sty m:val="p"/>
              </m:rPr>
              <m:t>G</m:t>
            </m:r>
          </m:e>
          <m:sub>
            <m:r>
              <m:t>ϕ</m:t>
            </m:r>
          </m:sub>
        </m:sSub>
      </m:oMath>
      <w:r>
        <w:rPr>
          <w:color w:val="3A4350"/>
          <w:sz w:val="15"/>
          <w:szCs w:val="15"/>
        </w:rPr>
        <w:t xml:space="preserve"> the neural-operator surrogate of the flow and the swimming, and </w:t>
      </w:r>
      <m:oMath>
        <m:r>
          <m:t>J</m:t>
        </m:r>
      </m:oMath>
      <w:r>
        <w:rPr>
          <w:color w:val="3A4350"/>
          <w:sz w:val="15"/>
          <w:szCs w:val="15"/>
        </w:rPr>
        <w:t xml:space="preserve"> the upstream contamination.</w:t>
      </w:r>
    </w:p>
    <w:p>
      <w:pPr>
        <w:spacing w:after="60"/>
        <w:jc w:val="both"/>
      </w:pPr>
      <w:r>
        <w:rPr>
          <w:b/>
          <w:bCs/>
          <w:color w:val="B4410C"/>
          <w:sz w:val="17"/>
          <w:szCs w:val="17"/>
        </w:rPr>
        <w:t xml:space="preserve">For the assembly and the wells. </w:t>
      </w:r>
      <w:r>
        <w:rPr>
          <w:sz w:val="17"/>
          <w:szCs w:val="17"/>
        </w:rPr>
        <w:t xml:space="preserve">Belongs to theme 4. Replace the obstacle geometry by the locations and rates of recharge and pumping wells, and upstream contamination by chloride at the supply screens: the same loop of surrogate, gradient-based design and validation with the full model is what the placement of the wells requires.</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A complete loop from surrogate to optimised design to physical test, with a large measured effect: one of the few cases where a design optimised through a learned surrogate was validated experimentally. Published in Science Advances.</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design variables are continuous shapes in a deterministic setting; the well-placement problem has binary site choices and an uncertain aquifer, and its validation must be done against the full model under the posterior, not against one experiment.</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surrogate-optimised design validated by experiment. Proposed extension: relax the choice of sites to continuous recharge and pumping intensities on a grid, optimise them through a differentiable surrogate of the assembled aquifer system with a sparsity penalty, round to a few wells, and validate the rounded layout with the full model over the posterior draws before it is proposed to the utility.</w:t>
      </w:r>
    </w:p>
    <w:p>
      <w:pPr>
        <w:keepNext/>
        <w:pBdr>
          <w:top w:val="single" w:color="B4410C" w:sz="6" w:space="4"/>
        </w:pBdr>
        <w:spacing w:after="60" w:before="220"/>
      </w:pPr>
      <w:r>
        <w:rPr>
          <w:b/>
          <w:bCs/>
          <w:color w:val="B4410C"/>
          <w:sz w:val="23"/>
          <w:szCs w:val="23"/>
        </w:rPr>
        <w:t xml:space="preserve">C4  </w:t>
      </w:r>
      <w:r>
        <w:rPr>
          <w:b/>
          <w:bCs/>
          <w:color w:val="1F3864"/>
          <w:sz w:val="23"/>
          <w:szCs w:val="23"/>
        </w:rPr>
        <w:t xml:space="preserve">A General Large Neighborhood Search Framework for Solving Integer Linear Programs</w:t>
      </w:r>
    </w:p>
    <w:p>
      <w:pPr>
        <w:keepNext/>
        <w:spacing w:after="60" w:line="240" w:lineRule="auto"/>
      </w:pPr>
      <w:r>
        <w:rPr>
          <w:b/>
          <w:bCs/>
          <w:color w:val="333B47"/>
          <w:sz w:val="15"/>
          <w:szCs w:val="15"/>
        </w:rPr>
        <w:t xml:space="preserve">Authors: </w:t>
      </w:r>
      <w:r>
        <w:rPr>
          <w:sz w:val="15"/>
          <w:szCs w:val="15"/>
        </w:rPr>
        <w:t xml:space="preserve">Jialin Song, Ravi Lanka, Yisong Yue, Bistra Dilkina</w:t>
      </w:r>
      <w:r>
        <w:rPr>
          <w:sz w:val="15"/>
          <w:szCs w:val="15"/>
        </w:rPr>
        <w:t xml:space="preserve">   </w:t>
      </w:r>
      <w:r>
        <w:rPr>
          <w:b/>
          <w:bCs/>
          <w:color w:val="333B47"/>
          <w:sz w:val="15"/>
          <w:szCs w:val="15"/>
        </w:rPr>
        <w:t xml:space="preserve">Published in: </w:t>
      </w:r>
      <w:r>
        <w:rPr>
          <w:sz w:val="15"/>
          <w:szCs w:val="15"/>
        </w:rPr>
        <w:t xml:space="preserve">Advances in Neural Information Processing Systems 33 (NeurIPS 2020); arXiv:2004.00422</w:t>
      </w:r>
      <w:r>
        <w:rPr>
          <w:sz w:val="15"/>
          <w:szCs w:val="15"/>
        </w:rPr>
        <w:t xml:space="preserve">   </w:t>
      </w:r>
      <w:r>
        <w:rPr>
          <w:b/>
          <w:bCs/>
          <w:color w:val="333B47"/>
          <w:sz w:val="15"/>
          <w:szCs w:val="15"/>
        </w:rPr>
        <w:t xml:space="preserve">Link: </w:t>
      </w:r>
      <w:hyperlink w:history="1" r:id="rIdpom6xvmwhoqkg2atqwllv">
        <w:r>
          <w:rPr>
            <w:color w:val="1D4ED8"/>
            <w:sz w:val="15"/>
            <w:szCs w:val="15"/>
            <w:u w:val="single"/>
          </w:rPr>
          <w:t xml:space="preserve">https://proceedings.neurips.cc/paper/2020/hash/e769e03a9d329b2e864b4bf4ff54ff39-Abstract.html</w:t>
        </w:r>
      </w:hyperlink>
    </w:p>
    <w:p>
      <w:pPr>
        <w:keepNext/>
        <w:spacing w:after="80" w:line="240" w:lineRule="auto"/>
      </w:pPr>
      <w:r>
        <w:rPr>
          <w:b/>
          <w:bCs/>
          <w:color w:val="333B47"/>
          <w:sz w:val="15"/>
          <w:szCs w:val="15"/>
        </w:rPr>
        <w:t xml:space="preserve">Affiliation: </w:t>
      </w:r>
      <w:r>
        <w:rPr>
          <w:color w:val="3A4350"/>
          <w:sz w:val="15"/>
          <w:szCs w:val="15"/>
        </w:rPr>
        <w:t xml:space="preserve">The arXiv version lists Song and Yue at Caltech (Song’s work done while at the Jet Propulsion Laboratory, which Caltech manages), Dilkina at the University of Southern California and Lanka at Rakuten.</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(4/5)</w:t>
      </w:r>
    </w:p>
    <w:p>
      <w:pPr>
        <w:spacing w:after="60"/>
        <w:jc w:val="both"/>
      </w:pPr>
      <w:r>
        <w:rPr>
          <w:b/>
          <w:bCs/>
          <w:color w:val="B4410C"/>
          <w:sz w:val="17"/>
          <w:szCs w:val="17"/>
        </w:rPr>
        <w:t xml:space="preserve">Summary. </w:t>
      </w:r>
      <w:r>
        <w:rPr>
          <w:sz w:val="17"/>
          <w:szCs w:val="17"/>
        </w:rPr>
        <w:t xml:space="preserve">Large neighbourhood search solves an integer program by repeatedly freeing a subset of the variables, re-optimising them with any solver while the rest stay fixed, and keeping the improvement. The authors make this a general framework that wraps an existing solver, and show that the choice of which variables to free can be learned by imitation or reinforcement learning from solved instances. In bounded time the framework finds better solutions than state-of-the-art commercial solvers such as Gurobi on several problem classes.</w:t>
      </w:r>
    </w:p>
    <w:p>
      <w:pPr>
        <w:keepNext/>
        <w:spacing w:after="20" w:before="40"/>
      </w:pPr>
      <w:r>
        <w:rPr>
          <w:b/>
          <w:bCs/>
          <w:color w:val="B4410C"/>
          <w:sz w:val="17"/>
          <w:szCs w:val="17"/>
        </w:rPr>
        <w:t xml:space="preserve">Key equation.</w:t>
      </w:r>
      <w:r>
        <w:rPr>
          <w:i/>
          <w:iCs/>
          <w:color w:val="5B6573"/>
          <w:sz w:val="15"/>
          <w:szCs w:val="15"/>
        </w:rPr>
        <w:t xml:space="preserve">  One step of large neighbourhood search with a learned neighbourhood (representative formulation)</w:t>
      </w:r>
    </w:p>
    <w:p>
      <w:pPr>
        <w:pStyle w:val="Equation"/>
      </w:pPr>
      <m:oMathPara>
        <m:oMathParaPr>
          <m:jc m:val="center"/>
        </m:oMathParaPr>
        <m:oMath>
          <m:sSub>
            <m:e>
              <m:r>
                <m:t>S</m:t>
              </m:r>
            </m:e>
            <m:sub>
              <m:r>
                <m:t>k</m:t>
              </m:r>
            </m:sub>
          </m:sSub>
          <m:r>
            <m:rPr>
              <m:sty m:val="p"/>
            </m:rPr>
            <m:t>=</m:t>
          </m:r>
          <m:sSub>
            <m:e>
              <m:r>
                <m:t>π</m:t>
              </m:r>
            </m:e>
            <m:sub>
              <m:r>
                <m:t>ψ</m:t>
              </m:r>
            </m:sub>
          </m:sSub>
          <m:d>
            <m:dPr>
              <m:begChr m:val="("/>
              <m:sepChr m:val=""/>
              <m:endChr m:val=")"/>
              <m:grow/>
            </m:dPr>
            <m:e>
              <m:sSup>
                <m:e>
                  <m:r>
                    <m:t>x</m:t>
                  </m:r>
                </m:e>
                <m:sup>
                  <m:d>
                    <m:dPr>
                      <m:begChr m:val="("/>
                      <m:sepChr m:val=""/>
                      <m:endChr m:val=")"/>
                      <m:grow/>
                    </m:dPr>
                    <m:e>
                      <m:r>
                        <m:t>k</m:t>
                      </m:r>
                    </m:e>
                  </m:d>
                </m:sup>
              </m:sSup>
            </m:e>
          </m:d>
          <m:r>
            <m:rPr>
              <m:sty m:val="p"/>
            </m:rPr>
            <m:t>,</m:t>
          </m:r>
          <m:r>
            <m:t>  </m:t>
          </m:r>
          <m:sSup>
            <m:e>
              <m:r>
                <m:t>x</m:t>
              </m:r>
            </m:e>
            <m:sup>
              <m:d>
                <m:dPr>
                  <m:begChr m:val="("/>
                  <m:sepChr m:val=""/>
                  <m:endChr m:val=")"/>
                  <m:grow/>
                </m:dPr>
                <m:e>
                  <m:r>
                    <m:t>k</m:t>
                  </m:r>
                  <m:r>
                    <m:rPr>
                      <m:sty m:val="p"/>
                    </m:rPr>
                    <m:t>+</m:t>
                  </m:r>
                  <m:r>
                    <m:t>1</m:t>
                  </m:r>
                </m:e>
              </m:d>
            </m:sup>
          </m:sSup>
          <m:r>
            <m:rPr>
              <m:sty m:val="p"/>
            </m:rPr>
            <m:t>=</m:t>
          </m:r>
          <m:r>
            <m:rPr>
              <m:sty m:val="p"/>
            </m:rPr>
            <m:t>arg</m:t>
          </m:r>
          <m:limLow>
            <m:e>
              <m:r>
                <m:rPr>
                  <m:sty m:val="p"/>
                </m:rPr>
                <m:t>min</m:t>
              </m:r>
            </m:e>
            <m:lim>
              <m:r>
                <m:t>x</m:t>
              </m:r>
            </m:lim>
          </m:limLow>
          <m:d>
            <m:dPr>
              <m:begChr m:val="{"/>
              <m:sepChr m:val=""/>
              <m:endChr m:val="}"/>
              <m:grow/>
            </m:dPr>
            <m:e>
              <m:sSup>
                <m:e>
                  <m:r>
                    <m:t>c</m:t>
                  </m:r>
                </m:e>
                <m:sup>
                  <m:r>
                    <m:rPr>
                      <m:sty m:val="p"/>
                    </m:rPr>
                    <m:t>⊤</m:t>
                  </m:r>
                </m:sup>
              </m:sSup>
              <m:r>
                <m:t>x</m:t>
              </m:r>
              <m:r>
                <m:rPr>
                  <m:sty m:val="p"/>
                </m:rPr>
                <m:t>:</m:t>
              </m:r>
              <m:r>
                <m:t> </m:t>
              </m:r>
              <m:r>
                <m:t>A</m:t>
              </m:r>
              <m:r>
                <m:t>x</m:t>
              </m:r>
              <m:r>
                <m:rPr>
                  <m:sty m:val="p"/>
                </m:rPr>
                <m:t>≤</m:t>
              </m:r>
              <m:r>
                <m:t>b</m:t>
              </m:r>
              <m:r>
                <m:rPr>
                  <m:sty m:val="p"/>
                </m:rPr>
                <m:t>,</m:t>
              </m:r>
              <m:r>
                <m:t> </m:t>
              </m:r>
              <m:r>
                <m:t>x</m:t>
              </m:r>
              <m:r>
                <m:rPr>
                  <m:sty m:val="p"/>
                </m:rPr>
                <m:t>∈</m:t>
              </m:r>
              <m:sSup>
                <m:e>
                  <m:r>
                    <m:rPr>
                      <m:scr m:val="double-struck"/>
                      <m:sty m:val="p"/>
                    </m:rPr>
                    <m:t>Z</m:t>
                  </m:r>
                </m:e>
                <m:sup>
                  <m:r>
                    <m:t>n</m:t>
                  </m:r>
                </m:sup>
              </m:sSup>
              <m:r>
                <m:rPr>
                  <m:sty m:val="p"/>
                </m:rPr>
                <m:t>,</m:t>
              </m:r>
              <m:r>
                <m:t> </m:t>
              </m:r>
              <m:sSub>
                <m:e>
                  <m:r>
                    <m:t>x</m:t>
                  </m:r>
                </m:e>
                <m:sub>
                  <m:r>
                    <m:t>j</m:t>
                  </m:r>
                </m:sub>
              </m:sSub>
              <m:r>
                <m:rPr>
                  <m:sty m:val="p"/>
                </m:rPr>
                <m:t>=</m:t>
              </m:r>
              <m:sSubSup>
                <m:e>
                  <m:r>
                    <m:t>x</m:t>
                  </m:r>
                </m:e>
                <m:sub>
                  <m:r>
                    <m:t>j</m:t>
                  </m:r>
                </m:sub>
                <m:sup>
                  <m:d>
                    <m:dPr>
                      <m:begChr m:val="("/>
                      <m:sepChr m:val=""/>
                      <m:endChr m:val=")"/>
                      <m:grow/>
                    </m:dPr>
                    <m:e>
                      <m:r>
                        <m:t>k</m:t>
                      </m:r>
                    </m:e>
                  </m:d>
                </m:sup>
              </m:sSubSup>
              <m:r>
                <m:t> </m:t>
              </m:r>
              <m:r>
                <m:rPr>
                  <m:sty m:val="p"/>
                </m:rPr>
                <m:t>∀</m:t>
              </m:r>
              <m:r>
                <m:t>j</m:t>
              </m:r>
              <m:r>
                <m:rPr>
                  <m:sty m:val="p"/>
                </m:rPr>
                <m:t>∉</m:t>
              </m:r>
              <m:sSub>
                <m:e>
                  <m:r>
                    <m:t>S</m:t>
                  </m:r>
                </m:e>
                <m:sub>
                  <m:r>
                    <m:t>k</m:t>
                  </m:r>
                </m:sub>
              </m:sSub>
            </m:e>
          </m:d>
        </m:oMath>
      </m:oMathPara>
    </w:p>
    <w:p>
      <w:pPr>
        <w:spacing w:after="60"/>
        <w:jc w:val="both"/>
      </w:pPr>
      <m:oMath>
        <m:sSup>
          <m:e>
            <m:r>
              <m:t>x</m:t>
            </m:r>
          </m:e>
          <m:sup>
            <m:d>
              <m:dPr>
                <m:begChr m:val="("/>
                <m:sepChr m:val=""/>
                <m:endChr m:val=")"/>
                <m:grow/>
              </m:dPr>
              <m:e>
                <m:r>
                  <m:t>k</m:t>
                </m:r>
              </m:e>
            </m:d>
          </m:sup>
        </m:sSup>
      </m:oMath>
      <w:r>
        <w:rPr>
          <w:color w:val="3A4350"/>
          <w:sz w:val="15"/>
          <w:szCs w:val="15"/>
        </w:rPr>
        <w:t xml:space="preserve"> is the current solution, </w:t>
      </w:r>
      <m:oMath>
        <m:sSub>
          <m:e>
            <m:r>
              <m:t>π</m:t>
            </m:r>
          </m:e>
          <m:sub>
            <m:r>
              <m:t>ψ</m:t>
            </m:r>
          </m:sub>
        </m:sSub>
      </m:oMath>
      <w:r>
        <w:rPr>
          <w:color w:val="3A4350"/>
          <w:sz w:val="15"/>
          <w:szCs w:val="15"/>
        </w:rPr>
        <w:t xml:space="preserve"> a learned policy that chooses the subset </w:t>
      </w:r>
      <m:oMath>
        <m:sSub>
          <m:e>
            <m:r>
              <m:t>S</m:t>
            </m:r>
          </m:e>
          <m:sub>
            <m:r>
              <m:t>k</m:t>
            </m:r>
          </m:sub>
        </m:sSub>
      </m:oMath>
      <w:r>
        <w:rPr>
          <w:color w:val="3A4350"/>
          <w:sz w:val="15"/>
          <w:szCs w:val="15"/>
        </w:rPr>
        <w:t xml:space="preserve"> of variables to re-optimise, and the subproblem is solved by an off-the-shelf solver.</w:t>
      </w:r>
    </w:p>
    <w:p>
      <w:pPr>
        <w:spacing w:after="60"/>
        <w:jc w:val="both"/>
      </w:pPr>
      <w:r>
        <w:rPr>
          <w:b/>
          <w:bCs/>
          <w:color w:val="B4410C"/>
          <w:sz w:val="17"/>
          <w:szCs w:val="17"/>
        </w:rPr>
        <w:t xml:space="preserve">For the assembly and the wells. </w:t>
      </w:r>
      <w:r>
        <w:rPr>
          <w:sz w:val="17"/>
          <w:szCs w:val="17"/>
        </w:rPr>
        <w:t xml:space="preserve">Belongs to theme 4. Once the chance constraint on chloride is linearised around the posterior (as the one-potential model allows) or replaced by a learned constraint [M1], placing recharge and pumping wells among hundreds of candidate sites is a large integer program; freeing a few neighbouring sites at a time is a natural neighbourhood, and a policy learned on smaller aquifers can choose them.</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turns a classical heuristic into a learnable, solver-agnostic framework that beats commercial solvers within a time budget, a result of practical weight for large mixed-integer problems. Presented at NeurIPS 2020.</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framework assumes a fixed, deterministic integer program; with a sampled chance constraint the program grows with the number of posterior draws, and whether learned neighbourhoods transfer between aquifers is untested.</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learned choice of the variables to re-optimise in large neighbourhood search. Proposed extension: write the placement as an integer program over candidate sites with the chance constraint sampled on posterior draws, use as neighbourhoods the groups of sites within one mixing-zone width of each other, and compare the layouts found in a fixed time with those of the solver alone.</w:t>
      </w:r>
    </w:p>
    <w:p>
      <w:pPr>
        <w:keepNext/>
        <w:pBdr>
          <w:top w:val="single" w:color="B4410C" w:sz="6" w:space="4"/>
        </w:pBdr>
        <w:spacing w:after="60" w:before="220"/>
      </w:pPr>
      <w:r>
        <w:rPr>
          <w:b/>
          <w:bCs/>
          <w:color w:val="B4410C"/>
          <w:sz w:val="23"/>
          <w:szCs w:val="23"/>
        </w:rPr>
        <w:t xml:space="preserve">C5  </w:t>
      </w:r>
      <w:r>
        <w:rPr>
          <w:b/>
          <w:bCs/>
          <w:color w:val="1F3864"/>
          <w:sz w:val="23"/>
          <w:szCs w:val="23"/>
        </w:rPr>
        <w:t xml:space="preserve">FALCON: Fourier Adaptive Learning and Control for Disturbance Rejection Under Extreme Turbulence</w:t>
      </w:r>
    </w:p>
    <w:p>
      <w:pPr>
        <w:keepNext/>
        <w:spacing w:after="60" w:line="240" w:lineRule="auto"/>
      </w:pPr>
      <w:r>
        <w:rPr>
          <w:b/>
          <w:bCs/>
          <w:color w:val="333B47"/>
          <w:sz w:val="15"/>
          <w:szCs w:val="15"/>
        </w:rPr>
        <w:t xml:space="preserve">Authors: </w:t>
      </w:r>
      <w:r>
        <w:rPr>
          <w:sz w:val="15"/>
          <w:szCs w:val="15"/>
        </w:rPr>
        <w:t xml:space="preserve">Sahin Lale, Peter I. Renn, Kamyar Azizzadenesheli, Babak Hassibi, Morteza Gharib, Anima Anandkumar</w:t>
      </w:r>
      <w:r>
        <w:rPr>
          <w:sz w:val="15"/>
          <w:szCs w:val="15"/>
        </w:rPr>
        <w:t xml:space="preserve">   </w:t>
      </w:r>
      <w:r>
        <w:rPr>
          <w:b/>
          <w:bCs/>
          <w:color w:val="333B47"/>
          <w:sz w:val="15"/>
          <w:szCs w:val="15"/>
        </w:rPr>
        <w:t xml:space="preserve">Published in: </w:t>
      </w:r>
      <w:r>
        <w:rPr>
          <w:sz w:val="15"/>
          <w:szCs w:val="15"/>
        </w:rPr>
        <w:t xml:space="preserve">npj Robotics, 2 (24 September 2024); article number not verified</w:t>
      </w:r>
      <w:r>
        <w:rPr>
          <w:sz w:val="15"/>
          <w:szCs w:val="15"/>
        </w:rPr>
        <w:t xml:space="preserve">   </w:t>
      </w:r>
      <w:r>
        <w:rPr>
          <w:b/>
          <w:bCs/>
          <w:color w:val="333B47"/>
          <w:sz w:val="15"/>
          <w:szCs w:val="15"/>
        </w:rPr>
        <w:t xml:space="preserve">Link: </w:t>
      </w:r>
      <w:hyperlink w:history="1" r:id="rIduofewaxowprehmqc_tc4f">
        <w:r>
          <w:rPr>
            <w:color w:val="1D4ED8"/>
            <w:sz w:val="15"/>
            <w:szCs w:val="15"/>
            <w:u w:val="single"/>
          </w:rPr>
          <w:t xml:space="preserve">https://doi.org/10.1038/s44182-024-00013-0</w:t>
        </w:r>
      </w:hyperlink>
    </w:p>
    <w:p>
      <w:pPr>
        <w:keepNext/>
        <w:spacing w:after="80" w:line="240" w:lineRule="auto"/>
      </w:pPr>
      <w:r>
        <w:rPr>
          <w:b/>
          <w:bCs/>
          <w:color w:val="333B47"/>
          <w:sz w:val="15"/>
          <w:szCs w:val="15"/>
        </w:rPr>
        <w:t xml:space="preserve">Affiliation: </w:t>
      </w:r>
      <w:r>
        <w:rPr>
          <w:color w:val="3A4350"/>
          <w:sz w:val="15"/>
          <w:szCs w:val="15"/>
        </w:rPr>
        <w:t xml:space="preserve">CaltechAUTHORS record and Caltech news release; experiments in Caltech’s Lucas Wind Tunnel; Hassibi, Gharib and Anandkumar are Caltech faculty.</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(3/5)</w:t>
      </w:r>
    </w:p>
    <w:p>
      <w:pPr>
        <w:spacing w:after="60"/>
        <w:jc w:val="both"/>
      </w:pPr>
      <w:r>
        <w:rPr>
          <w:b/>
          <w:bCs/>
          <w:color w:val="B4410C"/>
          <w:sz w:val="17"/>
          <w:szCs w:val="17"/>
        </w:rPr>
        <w:t xml:space="preserve">Summary. </w:t>
      </w:r>
      <w:r>
        <w:rPr>
          <w:sz w:val="17"/>
          <w:szCs w:val="17"/>
        </w:rPr>
        <w:t xml:space="preserve">Controlling a vehicle in extreme turbulence needs a model of the flow that can be learned quickly. FALCON learns a compact model of the dynamics in a Fourier basis, where most turbulent energy is concentrated at low frequencies, from about 35 seconds of flow data, using a short history of actions and measurements to cope with limited sensing, and controls with model predictive control. In wind-tunnel tests it outperformed conventional and other learning-based controllers by at least 37% while using eight times less data.</w:t>
      </w:r>
    </w:p>
    <w:p>
      <w:pPr>
        <w:keepNext/>
        <w:spacing w:after="20" w:before="40"/>
      </w:pPr>
      <w:r>
        <w:rPr>
          <w:b/>
          <w:bCs/>
          <w:color w:val="B4410C"/>
          <w:sz w:val="17"/>
          <w:szCs w:val="17"/>
        </w:rPr>
        <w:t xml:space="preserve">Key equation.</w:t>
      </w:r>
      <w:r>
        <w:rPr>
          <w:i/>
          <w:iCs/>
          <w:color w:val="5B6573"/>
          <w:sz w:val="15"/>
          <w:szCs w:val="15"/>
        </w:rPr>
        <w:t xml:space="preserve">  Receding-horizon control with a learned Fourier model (representative formulation)</w:t>
      </w:r>
    </w:p>
    <w:p>
      <w:pPr>
        <w:pStyle w:val="Equation"/>
      </w:pPr>
      <m:oMathPara>
        <m:oMathParaPr>
          <m:jc m:val="center"/>
        </m:oMathParaPr>
        <m:oMath>
          <m:limLow>
            <m:e>
              <m:r>
                <m:rPr>
                  <m:sty m:val="p"/>
                </m:rPr>
                <m:t>min</m:t>
              </m:r>
            </m:e>
            <m:lim>
              <m:sSub>
                <m:e>
                  <m:r>
                    <m:t>u</m:t>
                  </m:r>
                </m:e>
                <m:sub>
                  <m:r>
                    <m:t>t</m:t>
                  </m:r>
                  <m:r>
                    <m:rPr>
                      <m:sty m:val="p"/>
                    </m:rPr>
                    <m:t>:</m:t>
                  </m:r>
                  <m:r>
                    <m:t>t</m:t>
                  </m:r>
                  <m:r>
                    <m:rPr>
                      <m:sty m:val="p"/>
                    </m:rPr>
                    <m:t>+</m:t>
                  </m:r>
                  <m:r>
                    <m:t>H</m:t>
                  </m:r>
                </m:sub>
              </m:sSub>
            </m:lim>
          </m:limLow>
          <m:r>
            <m:t> </m:t>
          </m:r>
          <m:nary>
            <m:naryPr>
              <m:chr m:val="∑"/>
              <m:limLoc m:val="undOvr"/>
              <m:subHide m:val="off"/>
              <m:supHide m:val="off"/>
            </m:naryPr>
            <m:sub>
              <m:r>
                <m:t>k</m:t>
              </m:r>
              <m:r>
                <m:rPr>
                  <m:sty m:val="p"/>
                </m:rPr>
                <m:t>=</m:t>
              </m:r>
              <m:r>
                <m:t>t</m:t>
              </m:r>
            </m:sub>
            <m:sup>
              <m:r>
                <m:t>t</m:t>
              </m:r>
              <m:r>
                <m:rPr>
                  <m:sty m:val="p"/>
                </m:rPr>
                <m:t>+</m:t>
              </m:r>
              <m:r>
                <m:t>H</m:t>
              </m:r>
            </m:sup>
            <m:e>
              <m:r>
                <m:t>c</m:t>
              </m:r>
            </m:e>
          </m:nary>
          <m:d>
            <m:dPr>
              <m:begChr m:val="("/>
              <m:sepChr m:val=""/>
              <m:endChr m:val=")"/>
              <m:grow/>
            </m:dPr>
            <m:e>
              <m:sSub>
                <m:e>
                  <m:r>
                    <m:t>x</m:t>
                  </m:r>
                </m:e>
                <m:sub>
                  <m:r>
                    <m:t>k</m:t>
                  </m:r>
                </m:sub>
              </m:sSub>
              <m:r>
                <m:rPr>
                  <m:sty m:val="p"/>
                </m:rPr>
                <m:t>,</m:t>
              </m:r>
              <m:sSub>
                <m:e>
                  <m:r>
                    <m:t>u</m:t>
                  </m:r>
                </m:e>
                <m:sub>
                  <m:r>
                    <m:t>k</m:t>
                  </m:r>
                </m:sub>
              </m:sSub>
            </m:e>
          </m:d>
          <m:r>
            <m:t> </m:t>
          </m:r>
          <m:r>
            <m:rPr>
              <m:nor/>
            </m:rPr>
            <m:t>s.t.</m:t>
          </m:r>
          <m:r>
            <m:t> </m:t>
          </m:r>
          <m:sSub>
            <m:e>
              <m:r>
                <m:t>x</m:t>
              </m:r>
            </m:e>
            <m:sub>
              <m:r>
                <m:t>k</m:t>
              </m:r>
              <m:r>
                <m:rPr>
                  <m:sty m:val="p"/>
                </m:rPr>
                <m:t>+</m:t>
              </m:r>
              <m:r>
                <m:t>1</m:t>
              </m:r>
            </m:sub>
          </m:sSub>
          <m:r>
            <m:rPr>
              <m:sty m:val="p"/>
            </m:rPr>
            <m:t>=</m:t>
          </m:r>
          <m:nary>
            <m:naryPr>
              <m:chr m:val="∑"/>
              <m:limLoc m:val="undOvr"/>
              <m:subHide m:val="off"/>
              <m:supHide m:val="on"/>
            </m:naryPr>
            <m:sub>
              <m:r>
                <m:t>j</m:t>
              </m:r>
            </m:sub>
            <m:sup>
              <m:r>
                <m:t>​</m:t>
              </m:r>
            </m:sup>
            <m:e>
              <m:sSub>
                <m:e>
                  <m:r>
                    <m:t>θ</m:t>
                  </m:r>
                </m:e>
                <m:sub>
                  <m:r>
                    <m:t>j</m:t>
                  </m:r>
                </m:sub>
              </m:sSub>
            </m:e>
          </m:nary>
          <m:r>
            <m:t> </m:t>
          </m:r>
          <m:sSub>
            <m:e>
              <m:r>
                <m:t>ϕ</m:t>
              </m:r>
            </m:e>
            <m:sub>
              <m:r>
                <m:t>j</m:t>
              </m:r>
            </m:sub>
          </m:sSub>
          <m:d>
            <m:dPr>
              <m:begChr m:val="("/>
              <m:sepChr m:val=""/>
              <m:endChr m:val=")"/>
              <m:grow/>
            </m:dPr>
            <m:e>
              <m:sSub>
                <m:e>
                  <m:r>
                    <m:t>x</m:t>
                  </m:r>
                </m:e>
                <m:sub>
                  <m:r>
                    <m:t>k</m:t>
                  </m:r>
                  <m:r>
                    <m:rPr>
                      <m:sty m:val="p"/>
                    </m:rPr>
                    <m:t>−</m:t>
                  </m:r>
                  <m:r>
                    <m:t>m</m:t>
                  </m:r>
                  <m:r>
                    <m:rPr>
                      <m:sty m:val="p"/>
                    </m:rPr>
                    <m:t>:</m:t>
                  </m:r>
                  <m:r>
                    <m:t>k</m:t>
                  </m:r>
                </m:sub>
              </m:sSub>
              <m:r>
                <m:rPr>
                  <m:sty m:val="p"/>
                </m:rPr>
                <m:t>,</m:t>
              </m:r>
              <m:sSub>
                <m:e>
                  <m:r>
                    <m:t>u</m:t>
                  </m:r>
                </m:e>
                <m:sub>
                  <m:r>
                    <m:t>k</m:t>
                  </m:r>
                  <m:r>
                    <m:rPr>
                      <m:sty m:val="p"/>
                    </m:rPr>
                    <m:t>−</m:t>
                  </m:r>
                  <m:r>
                    <m:t>m</m:t>
                  </m:r>
                  <m:r>
                    <m:rPr>
                      <m:sty m:val="p"/>
                    </m:rPr>
                    <m:t>:</m:t>
                  </m:r>
                  <m:r>
                    <m:t>k</m:t>
                  </m:r>
                </m:sub>
              </m:sSub>
            </m:e>
          </m:d>
        </m:oMath>
      </m:oMathPara>
    </w:p>
    <w:p>
      <w:pPr>
        <w:spacing w:after="60"/>
        <w:jc w:val="both"/>
      </w:pPr>
      <m:oMath>
        <m:sSub>
          <m:e>
            <m:r>
              <m:t>ϕ</m:t>
            </m:r>
          </m:e>
          <m:sub>
            <m:r>
              <m:t>j</m:t>
            </m:r>
          </m:sub>
        </m:sSub>
      </m:oMath>
      <w:r>
        <w:rPr>
          <w:color w:val="3A4350"/>
          <w:sz w:val="15"/>
          <w:szCs w:val="15"/>
        </w:rPr>
        <w:t xml:space="preserve"> are Fourier features of a short history of states and actions, </w:t>
      </w:r>
      <m:oMath>
        <m:sSub>
          <m:e>
            <m:r>
              <m:t>θ</m:t>
            </m:r>
          </m:e>
          <m:sub>
            <m:r>
              <m:t>j</m:t>
            </m:r>
          </m:sub>
        </m:sSub>
      </m:oMath>
      <w:r>
        <w:rPr>
          <w:color w:val="3A4350"/>
          <w:sz w:val="15"/>
          <w:szCs w:val="15"/>
        </w:rPr>
        <w:t xml:space="preserve"> their learned weights, </w:t>
      </w:r>
      <m:oMath>
        <m:r>
          <m:t>c</m:t>
        </m:r>
      </m:oMath>
      <w:r>
        <w:rPr>
          <w:color w:val="3A4350"/>
          <w:sz w:val="15"/>
          <w:szCs w:val="15"/>
        </w:rPr>
        <w:t xml:space="preserve"> the stage cost and </w:t>
      </w:r>
      <m:oMath>
        <m:r>
          <m:t>H</m:t>
        </m:r>
      </m:oMath>
      <w:r>
        <w:rPr>
          <w:color w:val="3A4350"/>
          <w:sz w:val="15"/>
          <w:szCs w:val="15"/>
        </w:rPr>
        <w:t xml:space="preserve"> the horizon; only the first action is applied before re-planning.</w:t>
      </w:r>
    </w:p>
    <w:p>
      <w:pPr>
        <w:spacing w:after="60"/>
        <w:jc w:val="both"/>
      </w:pPr>
      <w:r>
        <w:rPr>
          <w:b/>
          <w:bCs/>
          <w:color w:val="B4410C"/>
          <w:sz w:val="17"/>
          <w:szCs w:val="17"/>
        </w:rPr>
        <w:t xml:space="preserve">For the assembly and the wells. </w:t>
      </w:r>
      <w:r>
        <w:rPr>
          <w:sz w:val="17"/>
          <w:szCs w:val="17"/>
        </w:rPr>
        <w:t xml:space="preserve">Belongs to theme 4. Placing the wells is the design half of the decision; operating them is the other half: once wells are drilled, recharge and pumping rates must be adjusted each month from a learned reduced model as heads, chloride and rainfall arrive. FALCON is a template for that receding-horizon operation from a model learned on little data.</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Model-based control learned from very little data and validated in a real wind tunnel under extreme conditions, with a large measured improvement over strong baselines. Published in npj Robotics.</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plant is aerodynamic and fast; the aquifer is slow, partially observed and has a hard water-quality limit, so the cost must carry a chance constraint on chloride and the horizon must reach years, not seconds.</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frequency-domain dynamics model learned from seconds of data inside model predictive control. Proposed extension: after the wells are placed, learn a low-order model of chloride at the supply screens from the assembled system in a basis of slow seasonal and interannual modes, and run a monthly receding-horizon controller of the recharge and pumping rates that keeps the predicted exceedance probability below 10%; test it on a synthetic drought sequence.</w:t>
      </w:r>
    </w:p>
    <w:p>
      <w:pPr>
        <w:pStyle w:val="Heading1"/>
      </w:pPr>
      <w:r>
        <w:rPr>
          <w:color w:val="A51C30"/>
        </w:rPr>
        <w:t xml:space="preserve">6. Harvard University</w:t>
      </w:r>
    </w:p>
    <w:p>
      <w:pPr>
        <w:spacing w:after="120"/>
        <w:jc w:val="both"/>
      </w:pPr>
      <w:r>
        <w:t xml:space="preserve">Five Harvard papers. Mohammed Alhashim, Kaylie Hausknecht and Michael Brenner design flows, including dispersion in porous media, by differentiating the solver [H1]; Lucas Amoudruz, Petr Karnakov and Petros Koumoutsakos steer particles in a fluid by boundary actuators through one loss that holds equations and targets [H2]; Makoto Kelp, Loretta Mickley and co-authors place sensors by pivoted QR with a cost penalty [H3]; Sergio Martin, Koumoutsakos and co-authors run Bayesian calibration and stochastic optimisation at scale around unchanged simulators [H4]; and Jiawei Zhuang, Brenner, Stephan Hoyer and co-authors learn conservative fluxes for the transport of sharp fronts on coarse grids [H5].</w:t>
      </w:r>
    </w:p>
    <w:p>
      <w:pPr>
        <w:keepNext/>
        <w:pBdr>
          <w:top w:val="single" w:color="A51C30" w:sz="6" w:space="4"/>
        </w:pBdr>
        <w:spacing w:after="60" w:before="220"/>
      </w:pPr>
      <w:r>
        <w:rPr>
          <w:b/>
          <w:bCs/>
          <w:color w:val="A51C30"/>
          <w:sz w:val="23"/>
          <w:szCs w:val="23"/>
        </w:rPr>
        <w:t xml:space="preserve">H1  </w:t>
      </w:r>
      <w:r>
        <w:rPr>
          <w:b/>
          <w:bCs/>
          <w:color w:val="1F3864"/>
          <w:sz w:val="23"/>
          <w:szCs w:val="23"/>
        </w:rPr>
        <w:t xml:space="preserve">Control of flow behavior in complex fluids using automatic differentiation</w:t>
      </w:r>
    </w:p>
    <w:p>
      <w:pPr>
        <w:keepNext/>
        <w:spacing w:after="60" w:line="240" w:lineRule="auto"/>
      </w:pPr>
      <w:r>
        <w:rPr>
          <w:b/>
          <w:bCs/>
          <w:color w:val="333B47"/>
          <w:sz w:val="15"/>
          <w:szCs w:val="15"/>
        </w:rPr>
        <w:t xml:space="preserve">Authors: </w:t>
      </w:r>
      <w:r>
        <w:rPr>
          <w:sz w:val="15"/>
          <w:szCs w:val="15"/>
        </w:rPr>
        <w:t xml:space="preserve">Mohammed G. Alhashim, Kaylie Hausknecht, Michael P. Brenner</w:t>
      </w:r>
      <w:r>
        <w:rPr>
          <w:sz w:val="15"/>
          <w:szCs w:val="15"/>
        </w:rPr>
        <w:t xml:space="preserve">   </w:t>
      </w:r>
      <w:r>
        <w:rPr>
          <w:b/>
          <w:bCs/>
          <w:color w:val="333B47"/>
          <w:sz w:val="15"/>
          <w:szCs w:val="15"/>
        </w:rPr>
        <w:t xml:space="preserve">Published in: </w:t>
      </w:r>
      <w:r>
        <w:rPr>
          <w:sz w:val="15"/>
          <w:szCs w:val="15"/>
        </w:rPr>
        <w:t xml:space="preserve">Proceedings of the National Academy of Sciences, 122(8), e2403644122 (2025); arXiv:2403.06257</w:t>
      </w:r>
      <w:r>
        <w:rPr>
          <w:sz w:val="15"/>
          <w:szCs w:val="15"/>
        </w:rPr>
        <w:t xml:space="preserve">   </w:t>
      </w:r>
      <w:r>
        <w:rPr>
          <w:b/>
          <w:bCs/>
          <w:color w:val="333B47"/>
          <w:sz w:val="15"/>
          <w:szCs w:val="15"/>
        </w:rPr>
        <w:t xml:space="preserve">Link: </w:t>
      </w:r>
      <w:hyperlink w:history="1" r:id="rIdp_pl5ox5jsj9qbvr7tpk4">
        <w:r>
          <w:rPr>
            <w:color w:val="1D4ED8"/>
            <w:sz w:val="15"/>
            <w:szCs w:val="15"/>
            <w:u w:val="single"/>
          </w:rPr>
          <w:t xml:space="preserve">https://doi.org/10.1073/pnas.2403644122</w:t>
        </w:r>
      </w:hyperlink>
    </w:p>
    <w:p>
      <w:pPr>
        <w:keepNext/>
        <w:spacing w:after="80" w:line="240" w:lineRule="auto"/>
      </w:pPr>
      <w:r>
        <w:rPr>
          <w:b/>
          <w:bCs/>
          <w:color w:val="333B47"/>
          <w:sz w:val="15"/>
          <w:szCs w:val="15"/>
        </w:rPr>
        <w:t xml:space="preserve">Affiliation: </w:t>
      </w:r>
      <w:r>
        <w:rPr>
          <w:color w:val="3A4350"/>
          <w:sz w:val="15"/>
          <w:szCs w:val="15"/>
        </w:rPr>
        <w:t xml:space="preserve">The Nature Index entry gives the affiliation share as Harvard University and Saudi Aramco; the APS fluid-dynamics abstract of the same work lists all three authors at Harvard; Brenner is at Harvard SEAS. The byline of the article was not seen.</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(4/5)</w:t>
      </w:r>
    </w:p>
    <w:p>
      <w:pPr>
        <w:spacing w:after="60"/>
        <w:jc w:val="both"/>
      </w:pPr>
      <w:r>
        <w:rPr>
          <w:b/>
          <w:bCs/>
          <w:color w:val="A51C30"/>
          <w:sz w:val="17"/>
          <w:szCs w:val="17"/>
        </w:rPr>
        <w:t xml:space="preserve">Summary. </w:t>
      </w:r>
      <w:r>
        <w:rPr>
          <w:sz w:val="17"/>
          <w:szCs w:val="17"/>
        </w:rPr>
        <w:t xml:space="preserve">Designing a flow usually requires an adjoint equation derived by hand for each problem. The authors write an immersed-boundary flow solver that can be differentiated end to end, so that automatic differentiation replaces the adjoint, and apply it to several inverse problems: dispersion in structured porous media, the motion of active swimmers and mixing in a journal bearing. In the porous-medium case they change the geometry of the medium until the axial dispersion coefficient, measured from tracer paths, reaches a target value, with many design parameters at once.</w:t>
      </w:r>
    </w:p>
    <w:p>
      <w:pPr>
        <w:keepNext/>
        <w:spacing w:after="20" w:before="40"/>
      </w:pPr>
      <w:r>
        <w:rPr>
          <w:b/>
          <w:bCs/>
          <w:color w:val="A51C30"/>
          <w:sz w:val="17"/>
          <w:szCs w:val="17"/>
        </w:rPr>
        <w:t xml:space="preserve">Key equation.</w:t>
      </w:r>
      <w:r>
        <w:rPr>
          <w:i/>
          <w:iCs/>
          <w:color w:val="5B6573"/>
          <w:sz w:val="15"/>
          <w:szCs w:val="15"/>
        </w:rPr>
        <w:t xml:space="preserve">  Design of a porous geometry for a target dispersion by differentiating through the solver (representative formulation)</w:t>
      </w:r>
    </w:p>
    <w:p>
      <w:pPr>
        <w:pStyle w:val="Equation"/>
      </w:pPr>
      <m:oMathPara>
        <m:oMathParaPr>
          <m:jc m:val="center"/>
        </m:oMathParaPr>
        <m:oMath>
          <m:limLow>
            <m:e>
              <m:r>
                <m:rPr>
                  <m:sty m:val="p"/>
                </m:rPr>
                <m:t>min</m:t>
              </m:r>
            </m:e>
            <m:lim>
              <m:r>
                <m:t>θ</m:t>
              </m:r>
            </m:lim>
          </m:limLow>
          <m:r>
            <m:t> </m:t>
          </m:r>
          <m:sSup>
            <m:e>
              <m:d>
                <m:dPr>
                  <m:begChr m:val="("/>
                  <m:sepChr m:val=""/>
                  <m:endChr m:val=")"/>
                  <m:grow/>
                </m:dPr>
                <m:e>
                  <m:sSub>
                    <m:e>
                      <m:r>
                        <m:t>D</m:t>
                      </m:r>
                    </m:e>
                    <m:sub>
                      <m:r>
                        <m:rPr>
                          <m:sty m:val="p"/>
                        </m:rPr>
                        <m:t>a</m:t>
                      </m:r>
                      <m:r>
                        <m:rPr>
                          <m:sty m:val="p"/>
                        </m:rPr>
                        <m:t>x</m:t>
                      </m:r>
                    </m:sub>
                  </m:sSub>
                  <m:d>
                    <m:dPr>
                      <m:begChr m:val="("/>
                      <m:sepChr m:val=""/>
                      <m:endChr m:val=")"/>
                      <m:grow/>
                    </m:dPr>
                    <m:e>
                      <m:r>
                        <m:t>θ</m:t>
                      </m:r>
                    </m:e>
                  </m:d>
                  <m:r>
                    <m:rPr>
                      <m:sty m:val="p"/>
                    </m:rPr>
                    <m:t>−</m:t>
                  </m:r>
                  <m:sSup>
                    <m:e>
                      <m:r>
                        <m:t>D</m:t>
                      </m:r>
                    </m:e>
                    <m:sup>
                      <m:r>
                        <m:rPr>
                          <m:sty m:val="p"/>
                        </m:rPr>
                        <m:t>⋆</m:t>
                      </m:r>
                    </m:sup>
                  </m:sSup>
                </m:e>
              </m:d>
            </m:e>
            <m:sup>
              <m:r>
                <m:t>2</m:t>
              </m:r>
            </m:sup>
          </m:sSup>
          <m:r>
            <m:rPr>
              <m:sty m:val="p"/>
            </m:rPr>
            <m:t>,</m:t>
          </m:r>
          <m:r>
            <m:t>  </m:t>
          </m:r>
          <m:sSub>
            <m:e>
              <m:r>
                <m:t>D</m:t>
              </m:r>
            </m:e>
            <m:sub>
              <m:r>
                <m:rPr>
                  <m:sty m:val="p"/>
                </m:rPr>
                <m:t>a</m:t>
              </m:r>
              <m:r>
                <m:rPr>
                  <m:sty m:val="p"/>
                </m:rPr>
                <m:t>x</m:t>
              </m:r>
            </m:sub>
          </m:sSub>
          <m:r>
            <m:rPr>
              <m:sty m:val="p"/>
            </m:rPr>
            <m:t>=</m:t>
          </m:r>
          <m:limLow>
            <m:e>
              <m:r>
                <m:rPr>
                  <m:sty m:val="p"/>
                </m:rPr>
                <m:t>lim</m:t>
              </m:r>
            </m:e>
            <m:lim>
              <m:r>
                <m:t>t</m:t>
              </m:r>
              <m:r>
                <m:rPr>
                  <m:sty m:val="p"/>
                </m:rPr>
                <m:t>→</m:t>
              </m:r>
              <m:r>
                <m:rPr>
                  <m:sty m:val="p"/>
                </m:rPr>
                <m:t>∞</m:t>
              </m:r>
            </m:lim>
          </m:limLow>
          <m:f>
            <m:fPr>
              <m:type m:val="bar"/>
            </m:fPr>
            <m:num>
              <m:d>
                <m:dPr>
                  <m:begChr m:val="⟨"/>
                  <m:sepChr m:val=""/>
                  <m:endChr m:val="⟩"/>
                  <m:grow/>
                </m:dPr>
                <m:e>
                  <m:sSup>
                    <m:e>
                      <m:d>
                        <m:dPr>
                          <m:begChr m:val="("/>
                          <m:sepChr m:val=""/>
                          <m:endChr m:val=")"/>
                          <m:grow/>
                        </m:dPr>
                        <m:e>
                          <m:r>
                            <m:t>x</m:t>
                          </m:r>
                          <m:d>
                            <m:dPr>
                              <m:begChr m:val="("/>
                              <m:sepChr m:val=""/>
                              <m:endChr m:val=")"/>
                              <m:grow/>
                            </m:dPr>
                            <m:e>
                              <m:r>
                                <m:t>t</m:t>
                              </m:r>
                            </m:e>
                          </m:d>
                          <m:r>
                            <m:rPr>
                              <m:sty m:val="p"/>
                            </m:rPr>
                            <m:t>−</m:t>
                          </m:r>
                          <m:r>
                            <m:rPr>
                              <m:sty m:val="p"/>
                            </m:rPr>
                            <m:t>⟨</m:t>
                          </m:r>
                          <m:r>
                            <m:t>x</m:t>
                          </m:r>
                          <m:d>
                            <m:dPr>
                              <m:begChr m:val="("/>
                              <m:sepChr m:val=""/>
                              <m:endChr m:val=")"/>
                              <m:grow/>
                            </m:dPr>
                            <m:e>
                              <m:r>
                                <m:t>t</m:t>
                              </m:r>
                            </m:e>
                          </m:d>
                          <m:r>
                            <m:rPr>
                              <m:sty m:val="p"/>
                            </m:rPr>
                            <m:t>⟩</m:t>
                          </m:r>
                        </m:e>
                      </m:d>
                    </m:e>
                    <m:sup>
                      <m:r>
                        <m:t>2</m:t>
                      </m:r>
                    </m:sup>
                  </m:sSup>
                </m:e>
              </m:d>
            </m:num>
            <m:den>
              <m:r>
                <m:t>2</m:t>
              </m:r>
              <m:r>
                <m:t>t</m:t>
              </m:r>
            </m:den>
          </m:f>
          <m:r>
            <m:rPr>
              <m:sty m:val="p"/>
            </m:rPr>
            <m:t>,</m:t>
          </m:r>
          <m:r>
            <m:t>  </m:t>
          </m:r>
          <m:sSub>
            <m:e>
              <m:r>
                <m:rPr>
                  <m:sty m:val="p"/>
                </m:rPr>
                <m:t>∇</m:t>
              </m:r>
            </m:e>
            <m:sub>
              <m:r>
                <m:t>θ</m:t>
              </m:r>
            </m:sub>
          </m:sSub>
          <m:r>
            <m:t> </m:t>
          </m:r>
          <m:r>
            <m:rPr>
              <m:nor/>
            </m:rPr>
            <m:t>by reverse-mode differentiation</m:t>
          </m:r>
        </m:oMath>
      </m:oMathPara>
    </w:p>
    <w:p>
      <w:pPr>
        <w:spacing w:after="60"/>
        <w:jc w:val="both"/>
      </w:pPr>
      <m:oMath>
        <m:r>
          <m:t>θ</m:t>
        </m:r>
      </m:oMath>
      <w:r>
        <w:rPr>
          <w:color w:val="3A4350"/>
          <w:sz w:val="15"/>
          <w:szCs w:val="15"/>
        </w:rPr>
        <w:t xml:space="preserve"> are the design parameters (positions and sizes of the obstacles), </w:t>
      </w:r>
      <m:oMath>
        <m:sSub>
          <m:e>
            <m:r>
              <m:t>D</m:t>
            </m:r>
          </m:e>
          <m:sub>
            <m:r>
              <m:rPr>
                <m:sty m:val="p"/>
              </m:rPr>
              <m:t>a</m:t>
            </m:r>
            <m:r>
              <m:rPr>
                <m:sty m:val="p"/>
              </m:rPr>
              <m:t>x</m:t>
            </m:r>
          </m:sub>
        </m:sSub>
      </m:oMath>
      <w:r>
        <w:rPr>
          <w:color w:val="3A4350"/>
          <w:sz w:val="15"/>
          <w:szCs w:val="15"/>
        </w:rPr>
        <w:t xml:space="preserve"> the axial dispersion coefficient from tracer paths, and </w:t>
      </w:r>
      <m:oMath>
        <m:sSup>
          <m:e>
            <m:r>
              <m:t>D</m:t>
            </m:r>
          </m:e>
          <m:sup>
            <m:r>
              <m:rPr>
                <m:sty m:val="p"/>
              </m:rPr>
              <m:t>⋆</m:t>
            </m:r>
          </m:sup>
        </m:sSup>
      </m:oMath>
      <w:r>
        <w:rPr>
          <w:color w:val="3A4350"/>
          <w:sz w:val="15"/>
          <w:szCs w:val="15"/>
        </w:rPr>
        <w:t xml:space="preserve"> its target; the flow equations are solved inside the differentiated program.</w:t>
      </w:r>
    </w:p>
    <w:p>
      <w:pPr>
        <w:spacing w:after="60"/>
        <w:jc w:val="both"/>
      </w:pPr>
      <w:r>
        <w:rPr>
          <w:b/>
          <w:bCs/>
          <w:color w:val="A51C30"/>
          <w:sz w:val="17"/>
          <w:szCs w:val="17"/>
        </w:rPr>
        <w:t xml:space="preserve">For the assembly and the wells. </w:t>
      </w:r>
      <w:r>
        <w:rPr>
          <w:sz w:val="17"/>
          <w:szCs w:val="17"/>
        </w:rPr>
        <w:t xml:space="preserve">Belongs to theme 4. Deriving the adjoint of the assembled variable-density, multi-species system by hand is long and error-prone; differentiating the solver gives the gradient of chloride at the supply screens with respect to every well location and rate directly. The paper's porous-medium example also shows that dispersion, which sets the width of the mixing zone, can itself be a design target.</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shows that a whole flow solver can be differentiated and used for design across very different problems, including dispersion in porous media, without deriving a single adjoint. Published in PNAS.</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examples are small and steady or periodic; differentiating years of transient density-coupled transport through many time steps raises memory and stability questions (checkpointing, chaotic sensitivity) that the paper does not address.</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inverse design of flows, including dispersion in porous media, by differentiating the solver itself. Proposed extension: implement the time loop of the assembled aquifer system in a differentiable language with checkpointing, compute the gradient of the posterior-mean chloride at the supply screens with respect to the locations and rates of the candidate wells, and verify it against a hand-derived adjoint of the one-potential model, where both exist.</w:t>
      </w:r>
    </w:p>
    <w:p>
      <w:pPr>
        <w:keepNext/>
        <w:pBdr>
          <w:top w:val="single" w:color="A51C30" w:sz="6" w:space="4"/>
        </w:pBdr>
        <w:spacing w:after="60" w:before="220"/>
      </w:pPr>
      <w:r>
        <w:rPr>
          <w:b/>
          <w:bCs/>
          <w:color w:val="A51C30"/>
          <w:sz w:val="23"/>
          <w:szCs w:val="23"/>
        </w:rPr>
        <w:t xml:space="preserve">H2  </w:t>
      </w:r>
      <w:r>
        <w:rPr>
          <w:b/>
          <w:bCs/>
          <w:color w:val="1F3864"/>
          <w:sz w:val="23"/>
          <w:szCs w:val="23"/>
        </w:rPr>
        <w:t xml:space="preserve">Contactless precision steering of particles in a fluid inside a cube with rotating walls</w:t>
      </w:r>
    </w:p>
    <w:p>
      <w:pPr>
        <w:keepNext/>
        <w:spacing w:after="60" w:line="240" w:lineRule="auto"/>
      </w:pPr>
      <w:r>
        <w:rPr>
          <w:b/>
          <w:bCs/>
          <w:color w:val="333B47"/>
          <w:sz w:val="15"/>
          <w:szCs w:val="15"/>
        </w:rPr>
        <w:t xml:space="preserve">Authors: </w:t>
      </w:r>
      <w:r>
        <w:rPr>
          <w:sz w:val="15"/>
          <w:szCs w:val="15"/>
        </w:rPr>
        <w:t xml:space="preserve">Lucas Amoudruz, Petr Karnakov, Petros Koumoutsakos</w:t>
      </w:r>
      <w:r>
        <w:rPr>
          <w:sz w:val="15"/>
          <w:szCs w:val="15"/>
        </w:rPr>
        <w:t xml:space="preserve">   </w:t>
      </w:r>
      <w:r>
        <w:rPr>
          <w:b/>
          <w:bCs/>
          <w:color w:val="333B47"/>
          <w:sz w:val="15"/>
          <w:szCs w:val="15"/>
        </w:rPr>
        <w:t xml:space="preserve">Published in: </w:t>
      </w:r>
      <w:r>
        <w:rPr>
          <w:sz w:val="15"/>
          <w:szCs w:val="15"/>
        </w:rPr>
        <w:t xml:space="preserve">Journal of Fluid Mechanics, 1014, A15 (2025; online 30 June 2025); arXiv:2506.15958</w:t>
      </w:r>
      <w:r>
        <w:rPr>
          <w:sz w:val="15"/>
          <w:szCs w:val="15"/>
        </w:rPr>
        <w:t xml:space="preserve">   </w:t>
      </w:r>
      <w:r>
        <w:rPr>
          <w:b/>
          <w:bCs/>
          <w:color w:val="333B47"/>
          <w:sz w:val="15"/>
          <w:szCs w:val="15"/>
        </w:rPr>
        <w:t xml:space="preserve">Link: </w:t>
      </w:r>
      <w:hyperlink w:history="1" r:id="rId7rabgvc_8lp3kpp7eqnmx">
        <w:r>
          <w:rPr>
            <w:color w:val="1D4ED8"/>
            <w:sz w:val="15"/>
            <w:szCs w:val="15"/>
            <w:u w:val="single"/>
          </w:rPr>
          <w:t xml:space="preserve">https://doi.org/10.1017/jfm.2025.10174</w:t>
        </w:r>
      </w:hyperlink>
    </w:p>
    <w:p>
      <w:pPr>
        <w:keepNext/>
        <w:spacing w:after="80" w:line="240" w:lineRule="auto"/>
      </w:pPr>
      <w:r>
        <w:rPr>
          <w:b/>
          <w:bCs/>
          <w:color w:val="333B47"/>
          <w:sz w:val="15"/>
          <w:szCs w:val="15"/>
        </w:rPr>
        <w:t xml:space="preserve">Affiliation: </w:t>
      </w:r>
      <w:r>
        <w:rPr>
          <w:color w:val="3A4350"/>
          <w:sz w:val="15"/>
          <w:szCs w:val="15"/>
        </w:rPr>
        <w:t xml:space="preserve">The Cambridge listing and the pages of the Computational Science and Engineering Laboratory, Harvard SEAS, give all three authors at Harvard.</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(4/5)</w:t>
      </w:r>
    </w:p>
    <w:p>
      <w:pPr>
        <w:spacing w:after="60"/>
        <w:jc w:val="both"/>
      </w:pPr>
      <w:r>
        <w:rPr>
          <w:b/>
          <w:bCs/>
          <w:color w:val="A51C30"/>
          <w:sz w:val="17"/>
          <w:szCs w:val="17"/>
        </w:rPr>
        <w:t xml:space="preserve">Summary. </w:t>
      </w:r>
      <w:r>
        <w:rPr>
          <w:sz w:val="17"/>
          <w:szCs w:val="17"/>
        </w:rPr>
        <w:t xml:space="preserve">Rotating disks on the walls of a cube filled with glycerol create flows that carry small beads to chosen points or along chosen lines. A feedback controller chooses the rotation of each disk by minimising a single discrete loss that combines the residuals of the flow equations with the objectives on the bead trajectories (the ODIL method). The controller works in simulation and on the physical device, including steering two beads at once, trapping and releasing them and exchanging their positions.</w:t>
      </w:r>
    </w:p>
    <w:p>
      <w:pPr>
        <w:keepNext/>
        <w:spacing w:after="20" w:before="40"/>
      </w:pPr>
      <w:r>
        <w:rPr>
          <w:b/>
          <w:bCs/>
          <w:color w:val="A51C30"/>
          <w:sz w:val="17"/>
          <w:szCs w:val="17"/>
        </w:rPr>
        <w:t xml:space="preserve">Key equation.</w:t>
      </w:r>
      <w:r>
        <w:rPr>
          <w:i/>
          <w:iCs/>
          <w:color w:val="5B6573"/>
          <w:sz w:val="15"/>
          <w:szCs w:val="15"/>
        </w:rPr>
        <w:t xml:space="preserve">  Control by one loss that holds the flow equations and the targets (representative formulation)</w:t>
      </w:r>
    </w:p>
    <w:p>
      <w:pPr>
        <w:pStyle w:val="Equation"/>
      </w:pPr>
      <m:oMathPara>
        <m:oMathParaPr>
          <m:jc m:val="center"/>
        </m:oMathParaPr>
        <m:oMath>
          <m:limLow>
            <m:e>
              <m:r>
                <m:rPr>
                  <m:sty m:val="p"/>
                </m:rPr>
                <m:t>min</m:t>
              </m:r>
            </m:e>
            <m:lim>
              <m:r>
                <m:rPr>
                  <m:sty m:val="b"/>
                </m:rPr>
                <m:t>u</m:t>
              </m:r>
              <m:r>
                <m:rPr>
                  <m:sty m:val="p"/>
                </m:rPr>
                <m:t>,</m:t>
              </m:r>
              <m:r>
                <m:t>p</m:t>
              </m:r>
              <m:r>
                <m:rPr>
                  <m:sty m:val="p"/>
                </m:rPr>
                <m:t>,</m:t>
              </m:r>
              <m:r>
                <m:t>ω</m:t>
              </m:r>
            </m:lim>
          </m:limLow>
          <m:r>
            <m:t> </m:t>
          </m:r>
          <m:nary>
            <m:naryPr>
              <m:chr m:val="∑"/>
              <m:limLoc m:val="undOvr"/>
              <m:subHide m:val="off"/>
              <m:supHide m:val="on"/>
            </m:naryPr>
            <m:sub>
              <m:r>
                <m:t>n</m:t>
              </m:r>
            </m:sub>
            <m:sup>
              <m:r>
                <m:t>​</m:t>
              </m:r>
            </m:sup>
            <m:e>
              <m:sSup>
                <m:e>
                  <m:d>
                    <m:dPr>
                      <m:begChr m:val="∥"/>
                      <m:sepChr m:val=""/>
                      <m:endChr m:val="∥"/>
                      <m:grow/>
                    </m:dPr>
                    <m:e>
                      <m:sSup>
                        <m:e>
                          <m:r>
                            <m:rPr>
                              <m:scr m:val="script"/>
                              <m:sty m:val="p"/>
                            </m:rPr>
                            <m:t>R</m:t>
                          </m:r>
                        </m:e>
                        <m:sup>
                          <m:r>
                            <m:t>h</m:t>
                          </m:r>
                        </m:sup>
                      </m:sSup>
                      <m:d>
                        <m:dPr>
                          <m:begChr m:val="("/>
                          <m:sepChr m:val=""/>
                          <m:endChr m:val=")"/>
                          <m:grow/>
                        </m:dPr>
                        <m:e>
                          <m:sSup>
                            <m:e>
                              <m:r>
                                <m:rPr>
                                  <m:sty m:val="b"/>
                                </m:rPr>
                                <m:t>u</m:t>
                              </m:r>
                            </m:e>
                            <m:sup>
                              <m:r>
                                <m:t>n</m:t>
                              </m:r>
                            </m:sup>
                          </m:sSup>
                          <m:r>
                            <m:rPr>
                              <m:sty m:val="p"/>
                            </m:rPr>
                            <m:t>,</m:t>
                          </m:r>
                          <m:sSup>
                            <m:e>
                              <m:r>
                                <m:t>p</m:t>
                              </m:r>
                            </m:e>
                            <m:sup>
                              <m:r>
                                <m:t>n</m:t>
                              </m:r>
                            </m:sup>
                          </m:sSup>
                          <m:r>
                            <m:rPr>
                              <m:sty m:val="p"/>
                            </m:rPr>
                            <m:t>;</m:t>
                          </m:r>
                          <m:sSup>
                            <m:e>
                              <m:r>
                                <m:t>ω</m:t>
                              </m:r>
                            </m:e>
                            <m:sup>
                              <m:r>
                                <m:t>n</m:t>
                              </m:r>
                            </m:sup>
                          </m:sSup>
                        </m:e>
                      </m:d>
                    </m:e>
                  </m:d>
                </m:e>
                <m:sup>
                  <m:r>
                    <m:t>2</m:t>
                  </m:r>
                </m:sup>
              </m:sSup>
            </m:e>
          </m:nary>
          <m:r>
            <m:rPr>
              <m:sty m:val="p"/>
            </m:rPr>
            <m:t>+</m:t>
          </m:r>
          <m:r>
            <m:t>λ</m:t>
          </m:r>
          <m:nary>
            <m:naryPr>
              <m:chr m:val="∑"/>
              <m:limLoc m:val="undOvr"/>
              <m:subHide m:val="off"/>
              <m:supHide m:val="on"/>
            </m:naryPr>
            <m:sub>
              <m:r>
                <m:t>k</m:t>
              </m:r>
            </m:sub>
            <m:sup>
              <m:r>
                <m:t>​</m:t>
              </m:r>
            </m:sup>
            <m:e>
              <m:sSup>
                <m:e>
                  <m:d>
                    <m:dPr>
                      <m:begChr m:val="∥"/>
                      <m:sepChr m:val=""/>
                      <m:endChr m:val="∥"/>
                      <m:grow/>
                    </m:dPr>
                    <m:e>
                      <m:sSub>
                        <m:e>
                          <m:r>
                            <m:rPr>
                              <m:sty m:val="b"/>
                            </m:rPr>
                            <m:t>x</m:t>
                          </m:r>
                        </m:e>
                        <m:sub>
                          <m:r>
                            <m:t>k</m:t>
                          </m:r>
                        </m:sub>
                      </m:sSub>
                      <m:d>
                        <m:dPr>
                          <m:begChr m:val="("/>
                          <m:sepChr m:val=""/>
                          <m:endChr m:val=")"/>
                          <m:grow/>
                        </m:dPr>
                        <m:e>
                          <m:r>
                            <m:t>T</m:t>
                          </m:r>
                        </m:e>
                      </m:d>
                      <m:r>
                        <m:rPr>
                          <m:sty m:val="p"/>
                        </m:rPr>
                        <m:t>−</m:t>
                      </m:r>
                      <m:sSubSup>
                        <m:e>
                          <m:r>
                            <m:rPr>
                              <m:sty m:val="b"/>
                            </m:rPr>
                            <m:t>x</m:t>
                          </m:r>
                        </m:e>
                        <m:sub>
                          <m:r>
                            <m:t>k</m:t>
                          </m:r>
                        </m:sub>
                        <m:sup>
                          <m:r>
                            <m:rPr>
                              <m:sty m:val="p"/>
                            </m:rPr>
                            <m:t>⋆</m:t>
                          </m:r>
                        </m:sup>
                      </m:sSubSup>
                    </m:e>
                  </m:d>
                </m:e>
                <m:sup>
                  <m:r>
                    <m:t>2</m:t>
                  </m:r>
                </m:sup>
              </m:sSup>
            </m:e>
          </m:nary>
          <m:r>
            <m:rPr>
              <m:sty m:val="p"/>
            </m:rPr>
            <m:t>+</m:t>
          </m:r>
          <m:r>
            <m:t>β</m:t>
          </m:r>
          <m:nary>
            <m:naryPr>
              <m:chr m:val="∑"/>
              <m:limLoc m:val="undOvr"/>
              <m:subHide m:val="off"/>
              <m:supHide m:val="on"/>
            </m:naryPr>
            <m:sub>
              <m:r>
                <m:t>n</m:t>
              </m:r>
            </m:sub>
            <m:sup>
              <m:r>
                <m:t>​</m:t>
              </m:r>
            </m:sup>
            <m:e>
              <m:sSup>
                <m:e>
                  <m:d>
                    <m:dPr>
                      <m:begChr m:val="∥"/>
                      <m:sepChr m:val=""/>
                      <m:endChr m:val="∥"/>
                      <m:grow/>
                    </m:dPr>
                    <m:e>
                      <m:sSup>
                        <m:e>
                          <m:r>
                            <m:t>ω</m:t>
                          </m:r>
                        </m:e>
                        <m:sup>
                          <m:r>
                            <m:t>n</m:t>
                          </m:r>
                        </m:sup>
                      </m:sSup>
                    </m:e>
                  </m:d>
                </m:e>
                <m:sup>
                  <m:r>
                    <m:t>2</m:t>
                  </m:r>
                </m:sup>
              </m:sSup>
            </m:e>
          </m:nary>
          <m:r>
            <m:rPr>
              <m:sty m:val="p"/>
            </m:rPr>
            <m:t>,</m:t>
          </m:r>
          <m:r>
            <m:t>  </m:t>
          </m:r>
          <m:sSub>
            <m:e>
              <m:acc>
                <m:accPr>
                  <m:chr m:val="̇"/>
                </m:accPr>
                <m:e>
                  <m:r>
                    <m:rPr>
                      <m:sty m:val="b"/>
                    </m:rPr>
                    <m:t>x</m:t>
                  </m:r>
                </m:e>
              </m:acc>
            </m:e>
            <m:sub>
              <m:r>
                <m:t>k</m:t>
              </m:r>
            </m:sub>
          </m:sSub>
          <m:r>
            <m:rPr>
              <m:sty m:val="p"/>
            </m:rPr>
            <m:t>=</m:t>
          </m:r>
          <m:r>
            <m:rPr>
              <m:sty m:val="b"/>
            </m:rPr>
            <m:t>u</m:t>
          </m:r>
          <m:d>
            <m:dPr>
              <m:begChr m:val="("/>
              <m:sepChr m:val=""/>
              <m:endChr m:val=")"/>
              <m:grow/>
            </m:dPr>
            <m:e>
              <m:sSub>
                <m:e>
                  <m:r>
                    <m:rPr>
                      <m:sty m:val="b"/>
                    </m:rPr>
                    <m:t>x</m:t>
                  </m:r>
                </m:e>
                <m:sub>
                  <m:r>
                    <m:t>k</m:t>
                  </m:r>
                </m:sub>
              </m:sSub>
              <m:r>
                <m:rPr>
                  <m:sty m:val="p"/>
                </m:rPr>
                <m:t>,</m:t>
              </m:r>
              <m:r>
                <m:t>t</m:t>
              </m:r>
            </m:e>
          </m:d>
        </m:oMath>
      </m:oMathPara>
    </w:p>
    <w:p>
      <w:pPr>
        <w:spacing w:after="60"/>
        <w:jc w:val="both"/>
      </w:pPr>
      <m:oMath>
        <m:sSup>
          <m:e>
            <m:r>
              <m:rPr>
                <m:scr m:val="script"/>
                <m:sty m:val="p"/>
              </m:rPr>
              <m:t>R</m:t>
            </m:r>
          </m:e>
          <m:sup>
            <m:r>
              <m:t>h</m:t>
            </m:r>
          </m:sup>
        </m:sSup>
      </m:oMath>
      <w:r>
        <w:rPr>
          <w:color w:val="3A4350"/>
          <w:sz w:val="15"/>
          <w:szCs w:val="15"/>
        </w:rPr>
        <w:t xml:space="preserve"> is the discrete residual of the flow equations, </w:t>
      </w:r>
      <m:oMath>
        <m:sSup>
          <m:e>
            <m:r>
              <m:t>ω</m:t>
            </m:r>
          </m:e>
          <m:sup>
            <m:r>
              <m:t>n</m:t>
            </m:r>
          </m:sup>
        </m:sSup>
      </m:oMath>
      <w:r>
        <w:rPr>
          <w:color w:val="3A4350"/>
          <w:sz w:val="15"/>
          <w:szCs w:val="15"/>
        </w:rPr>
        <w:t xml:space="preserve"> the rotation rates of the disks (the actuators), </w:t>
      </w:r>
      <m:oMath>
        <m:sSub>
          <m:e>
            <m:r>
              <m:rPr>
                <m:sty m:val="b"/>
              </m:rPr>
              <m:t>x</m:t>
            </m:r>
          </m:e>
          <m:sub>
            <m:r>
              <m:t>k</m:t>
            </m:r>
          </m:sub>
        </m:sSub>
      </m:oMath>
      <w:r>
        <w:rPr>
          <w:color w:val="3A4350"/>
          <w:sz w:val="15"/>
          <w:szCs w:val="15"/>
        </w:rPr>
        <w:t xml:space="preserve"> the bead positions and </w:t>
      </w:r>
      <m:oMath>
        <m:sSubSup>
          <m:e>
            <m:r>
              <m:rPr>
                <m:sty m:val="b"/>
              </m:rPr>
              <m:t>x</m:t>
            </m:r>
          </m:e>
          <m:sub>
            <m:r>
              <m:t>k</m:t>
            </m:r>
          </m:sub>
          <m:sup>
            <m:r>
              <m:rPr>
                <m:sty m:val="p"/>
              </m:rPr>
              <m:t>⋆</m:t>
            </m:r>
          </m:sup>
        </m:sSubSup>
      </m:oMath>
      <w:r>
        <w:rPr>
          <w:color w:val="3A4350"/>
          <w:sz w:val="15"/>
          <w:szCs w:val="15"/>
        </w:rPr>
        <w:t xml:space="preserve"> their targets; the problem is re-solved in receding horizon.</w:t>
      </w:r>
    </w:p>
    <w:p>
      <w:pPr>
        <w:spacing w:after="60"/>
        <w:jc w:val="both"/>
      </w:pPr>
      <w:r>
        <w:rPr>
          <w:b/>
          <w:bCs/>
          <w:color w:val="A51C30"/>
          <w:sz w:val="17"/>
          <w:szCs w:val="17"/>
        </w:rPr>
        <w:t xml:space="preserve">For the assembly and the wells. </w:t>
      </w:r>
      <w:r>
        <w:rPr>
          <w:sz w:val="17"/>
          <w:szCs w:val="17"/>
        </w:rPr>
        <w:t xml:space="preserve">Belongs to theme 4. Boundary actuators that drive a flow to move particles are the analogue of recharge and pumping wells that drive groundwater flow to keep the salt-water interface and the chloride plume away from supply screens. Writing the residual of the assembled aquifer system and the chloride objective in one loss gives the same kind of controller for the wells.</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Precise control of a three-dimensional flow by boundary actuators, designed with a method that solves the equations and the control together, and demonstrated on a physical device. Published in the Journal of Fluid Mechanics.</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flow is laminar, the device is fully observed and the targets are deterministic; the aquifer is observed at a few wells, its parameters are uncertain, and the objective is a probability.</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control of a three-dimensional flow by actuators through one loss that holds both the equations and the targets. Proposed extension: write the discrete residuals of the assembled aquifer system and a penalty on the toe position of the wedge and on chloride at the supply screens in one loss, with the rates of the drilled recharge and pumping wells as the actuators, and solve it monthly in receding horizon on each of a set of posterior draws.</w:t>
      </w:r>
    </w:p>
    <w:p>
      <w:pPr>
        <w:keepNext/>
        <w:pBdr>
          <w:top w:val="single" w:color="A51C30" w:sz="6" w:space="4"/>
        </w:pBdr>
        <w:spacing w:after="60" w:before="220"/>
      </w:pPr>
      <w:r>
        <w:rPr>
          <w:b/>
          <w:bCs/>
          <w:color w:val="A51C30"/>
          <w:sz w:val="23"/>
          <w:szCs w:val="23"/>
        </w:rPr>
        <w:t xml:space="preserve">H3  </w:t>
      </w:r>
      <w:r>
        <w:rPr>
          <w:b/>
          <w:bCs/>
          <w:color w:val="1F3864"/>
          <w:sz w:val="23"/>
          <w:szCs w:val="23"/>
        </w:rPr>
        <w:t xml:space="preserve">Data-Driven Placement of PM2.5 Air Quality Sensors in the United States: An Approach to Target Urban Environmental Injustice</w:t>
      </w:r>
    </w:p>
    <w:p>
      <w:pPr>
        <w:keepNext/>
        <w:spacing w:after="60" w:line="240" w:lineRule="auto"/>
      </w:pPr>
      <w:r>
        <w:rPr>
          <w:b/>
          <w:bCs/>
          <w:color w:val="333B47"/>
          <w:sz w:val="15"/>
          <w:szCs w:val="15"/>
        </w:rPr>
        <w:t xml:space="preserve">Authors: </w:t>
      </w:r>
      <w:r>
        <w:rPr>
          <w:sz w:val="15"/>
          <w:szCs w:val="15"/>
        </w:rPr>
        <w:t xml:space="preserve">Makoto M. Kelp, Timothy C. Fargiano, Samuel Lin, Tianjia Liu, Jay R. Turner, J. Nathan Kutz, Loretta J. Mickley</w:t>
      </w:r>
      <w:r>
        <w:rPr>
          <w:sz w:val="15"/>
          <w:szCs w:val="15"/>
        </w:rPr>
        <w:t xml:space="preserve">   </w:t>
      </w:r>
      <w:r>
        <w:rPr>
          <w:b/>
          <w:bCs/>
          <w:color w:val="333B47"/>
          <w:sz w:val="15"/>
          <w:szCs w:val="15"/>
        </w:rPr>
        <w:t xml:space="preserve">Published in: </w:t>
      </w:r>
      <w:r>
        <w:rPr>
          <w:sz w:val="15"/>
          <w:szCs w:val="15"/>
        </w:rPr>
        <w:t xml:space="preserve">GeoHealth, 7(9), e2023GH000834 (2023)</w:t>
      </w:r>
      <w:r>
        <w:rPr>
          <w:sz w:val="15"/>
          <w:szCs w:val="15"/>
        </w:rPr>
        <w:t xml:space="preserve">   </w:t>
      </w:r>
      <w:r>
        <w:rPr>
          <w:b/>
          <w:bCs/>
          <w:color w:val="333B47"/>
          <w:sz w:val="15"/>
          <w:szCs w:val="15"/>
        </w:rPr>
        <w:t xml:space="preserve">Link: </w:t>
      </w:r>
      <w:hyperlink w:history="1" r:id="rIdawyutzl1ikoko6mx9wvfd">
        <w:r>
          <w:rPr>
            <w:color w:val="1D4ED8"/>
            <w:sz w:val="15"/>
            <w:szCs w:val="15"/>
            <w:u w:val="single"/>
          </w:rPr>
          <w:t xml:space="preserve">https://doi.org/10.1029/2023GH000834</w:t>
        </w:r>
      </w:hyperlink>
    </w:p>
    <w:p>
      <w:pPr>
        <w:keepNext/>
        <w:spacing w:after="80" w:line="240" w:lineRule="auto"/>
      </w:pPr>
      <w:r>
        <w:rPr>
          <w:b/>
          <w:bCs/>
          <w:color w:val="333B47"/>
          <w:sz w:val="15"/>
          <w:szCs w:val="15"/>
        </w:rPr>
        <w:t xml:space="preserve">Affiliation: </w:t>
      </w:r>
      <w:r>
        <w:rPr>
          <w:color w:val="3A4350"/>
          <w:sz w:val="15"/>
          <w:szCs w:val="15"/>
        </w:rPr>
        <w:t xml:space="preserve">The AGU and PubMed Central records list Harvard University among the affiliations, with Kelp, Lin and Mickley at Harvard; Mickley is at Harvard SEAS.</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(3/5)</w:t>
      </w:r>
    </w:p>
    <w:p>
      <w:pPr>
        <w:spacing w:after="60"/>
        <w:jc w:val="both"/>
      </w:pPr>
      <w:r>
        <w:rPr>
          <w:b/>
          <w:bCs/>
          <w:color w:val="A51C30"/>
          <w:sz w:val="17"/>
          <w:szCs w:val="17"/>
        </w:rPr>
        <w:t xml:space="preserve">Summary. </w:t>
      </w:r>
      <w:r>
        <w:rPr>
          <w:sz w:val="17"/>
          <w:szCs w:val="17"/>
        </w:rPr>
        <w:t xml:space="preserve">Air-quality monitors in the United States are sparse in poor and non-white neighbourhoods. The authors extract multiresolution dynamic-mode-decomposition modes from a record of fine particulate matter and choose sensor sites by column-pivoted QR factorisation, with a penalty on the cost of each site. In four segregated cities (St. Louis, Houston, Boston and Buffalo), the cost-constrained placement puts more sensors in under-monitored neighbourhoods while still capturing the pollution extremes.</w:t>
      </w:r>
    </w:p>
    <w:p>
      <w:pPr>
        <w:keepNext/>
        <w:spacing w:after="20" w:before="40"/>
      </w:pPr>
      <w:r>
        <w:rPr>
          <w:b/>
          <w:bCs/>
          <w:color w:val="A51C30"/>
          <w:sz w:val="17"/>
          <w:szCs w:val="17"/>
        </w:rPr>
        <w:t xml:space="preserve">Key equation.</w:t>
      </w:r>
      <w:r>
        <w:rPr>
          <w:i/>
          <w:iCs/>
          <w:color w:val="5B6573"/>
          <w:sz w:val="15"/>
          <w:szCs w:val="15"/>
        </w:rPr>
        <w:t xml:space="preserve">  Sensor selection by pivoted QR on reduced modes with a cost penalty (representative formulation)</w:t>
      </w:r>
    </w:p>
    <w:p>
      <w:pPr>
        <w:pStyle w:val="Equation"/>
      </w:pPr>
      <m:oMathPara>
        <m:oMathParaPr>
          <m:jc m:val="center"/>
        </m:oMathParaPr>
        <m:oMath>
          <m:r>
            <m:rPr>
              <m:sty m:val="b"/>
            </m:rPr>
            <m:t>x</m:t>
          </m:r>
          <m:d>
            <m:dPr>
              <m:begChr m:val="("/>
              <m:sepChr m:val=""/>
              <m:endChr m:val=")"/>
              <m:grow/>
            </m:dPr>
            <m:e>
              <m:r>
                <m:t>t</m:t>
              </m:r>
            </m:e>
          </m:d>
          <m:r>
            <m:rPr>
              <m:sty m:val="p"/>
            </m:rPr>
            <m:t>≈</m:t>
          </m:r>
          <m:sSub>
            <m:e>
              <m:r>
                <m:t>Φ</m:t>
              </m:r>
            </m:e>
            <m:sub>
              <m:r>
                <m:t>r</m:t>
              </m:r>
            </m:sub>
          </m:sSub>
          <m:r>
            <m:rPr>
              <m:sty m:val="b"/>
            </m:rPr>
            <m:t>a</m:t>
          </m:r>
          <m:d>
            <m:dPr>
              <m:begChr m:val="("/>
              <m:sepChr m:val=""/>
              <m:endChr m:val=")"/>
              <m:grow/>
            </m:dPr>
            <m:e>
              <m:r>
                <m:t>t</m:t>
              </m:r>
            </m:e>
          </m:d>
          <m:r>
            <m:rPr>
              <m:sty m:val="p"/>
            </m:rPr>
            <m:t>,</m:t>
          </m:r>
          <m:r>
            <m:t>  </m:t>
          </m:r>
          <m:sSubSup>
            <m:e>
              <m:r>
                <m:t>Φ</m:t>
              </m:r>
            </m:e>
            <m:sub>
              <m:r>
                <m:t>r</m:t>
              </m:r>
            </m:sub>
            <m:sup>
              <m:r>
                <m:rPr>
                  <m:sty m:val="p"/>
                </m:rPr>
                <m:t>⊤</m:t>
              </m:r>
            </m:sup>
          </m:sSubSup>
          <m:r>
            <m:t>P</m:t>
          </m:r>
          <m:r>
            <m:rPr>
              <m:sty m:val="p"/>
            </m:rPr>
            <m:t>=</m:t>
          </m:r>
          <m:r>
            <m:t>Q</m:t>
          </m:r>
          <m:r>
            <m:t>R</m:t>
          </m:r>
          <m:r>
            <m:rPr>
              <m:sty m:val="p"/>
            </m:rPr>
            <m:t>,</m:t>
          </m:r>
          <m:r>
            <m:t>  </m:t>
          </m:r>
          <m:sSubSup>
            <m:e>
              <m:r>
                <m:t>j</m:t>
              </m:r>
            </m:e>
            <m:sub>
              <m:r>
                <m:t>k</m:t>
              </m:r>
            </m:sub>
            <m:sup>
              <m:r>
                <m:rPr>
                  <m:sty m:val="p"/>
                </m:rPr>
                <m:t>⋆</m:t>
              </m:r>
            </m:sup>
          </m:sSubSup>
          <m:r>
            <m:rPr>
              <m:sty m:val="p"/>
            </m:rPr>
            <m:t>=</m:t>
          </m:r>
          <m:r>
            <m:rPr>
              <m:sty m:val="p"/>
            </m:rPr>
            <m:t>arg</m:t>
          </m:r>
          <m:limLow>
            <m:e>
              <m:r>
                <m:rPr>
                  <m:sty m:val="p"/>
                </m:rPr>
                <m:t>max</m:t>
              </m:r>
            </m:e>
            <m:lim>
              <m:r>
                <m:t>j</m:t>
              </m:r>
              <m:r>
                <m:rPr>
                  <m:sty m:val="p"/>
                </m:rPr>
                <m:t>∉</m:t>
              </m:r>
              <m:r>
                <m:t>S</m:t>
              </m:r>
            </m:lim>
          </m:limLow>
          <m:d>
            <m:dPr>
              <m:begChr m:val="("/>
              <m:sepChr m:val=""/>
              <m:endChr m:val=")"/>
              <m:grow/>
            </m:dPr>
            <m:e>
              <m:sSub>
                <m:e>
                  <m:d>
                    <m:dPr>
                      <m:begChr m:val="∥"/>
                      <m:sepChr m:val=""/>
                      <m:endChr m:val="∥"/>
                      <m:grow/>
                    </m:dPr>
                    <m:e>
                      <m:sSubSup>
                        <m:e>
                          <m:r>
                            <m:rPr>
                              <m:sty m:val="b"/>
                            </m:rPr>
                            <m:t>r</m:t>
                          </m:r>
                        </m:e>
                        <m:sub>
                          <m:r>
                            <m:t>j</m:t>
                          </m:r>
                        </m:sub>
                        <m:sup>
                          <m:d>
                            <m:dPr>
                              <m:begChr m:val="("/>
                              <m:sepChr m:val=""/>
                              <m:endChr m:val=")"/>
                              <m:grow/>
                            </m:dPr>
                            <m:e>
                              <m:r>
                                <m:t>k</m:t>
                              </m:r>
                            </m:e>
                          </m:d>
                        </m:sup>
                      </m:sSubSup>
                    </m:e>
                  </m:d>
                </m:e>
                <m:sub>
                  <m:r>
                    <m:t>2</m:t>
                  </m:r>
                </m:sub>
              </m:sSub>
              <m:r>
                <m:rPr>
                  <m:sty m:val="p"/>
                </m:rPr>
                <m:t>−</m:t>
              </m:r>
              <m:r>
                <m:t>γ</m:t>
              </m:r>
              <m:r>
                <m:t> </m:t>
              </m:r>
              <m:sSub>
                <m:e>
                  <m:r>
                    <m:t>c</m:t>
                  </m:r>
                </m:e>
                <m:sub>
                  <m:r>
                    <m:t>j</m:t>
                  </m:r>
                </m:sub>
              </m:sSub>
            </m:e>
          </m:d>
        </m:oMath>
      </m:oMathPara>
    </w:p>
    <w:p>
      <w:pPr>
        <w:spacing w:after="60"/>
        <w:jc w:val="both"/>
      </w:pPr>
      <m:oMath>
        <m:sSub>
          <m:e>
            <m:r>
              <m:t>Φ</m:t>
            </m:r>
          </m:e>
          <m:sub>
            <m:r>
              <m:t>r</m:t>
            </m:r>
          </m:sub>
        </m:sSub>
      </m:oMath>
      <w:r>
        <w:rPr>
          <w:color w:val="3A4350"/>
          <w:sz w:val="15"/>
          <w:szCs w:val="15"/>
        </w:rPr>
        <w:t xml:space="preserve"> are the </w:t>
      </w:r>
      <m:oMath>
        <m:r>
          <m:t>r</m:t>
        </m:r>
      </m:oMath>
      <w:r>
        <w:rPr>
          <w:color w:val="3A4350"/>
          <w:sz w:val="15"/>
          <w:szCs w:val="15"/>
        </w:rPr>
        <w:t xml:space="preserve"> leading modes of the field, </w:t>
      </w:r>
      <m:oMath>
        <m:r>
          <m:t>P</m:t>
        </m:r>
      </m:oMath>
      <w:r>
        <w:rPr>
          <w:color w:val="3A4350"/>
          <w:sz w:val="15"/>
          <w:szCs w:val="15"/>
        </w:rPr>
        <w:t xml:space="preserve"> the column permutation that selects sensor sites, </w:t>
      </w:r>
      <m:oMath>
        <m:sSubSup>
          <m:e>
            <m:r>
              <m:rPr>
                <m:sty m:val="b"/>
              </m:rPr>
              <m:t>r</m:t>
            </m:r>
          </m:e>
          <m:sub>
            <m:r>
              <m:t>j</m:t>
            </m:r>
          </m:sub>
          <m:sup>
            <m:d>
              <m:dPr>
                <m:begChr m:val="("/>
                <m:sepChr m:val=""/>
                <m:endChr m:val=")"/>
                <m:grow/>
              </m:dPr>
              <m:e>
                <m:r>
                  <m:t>k</m:t>
                </m:r>
              </m:e>
            </m:d>
          </m:sup>
        </m:sSubSup>
      </m:oMath>
      <w:r>
        <w:rPr>
          <w:color w:val="3A4350"/>
          <w:sz w:val="15"/>
          <w:szCs w:val="15"/>
        </w:rPr>
        <w:t xml:space="preserve"> the residual column of candidate </w:t>
      </w:r>
      <m:oMath>
        <m:r>
          <m:t>j</m:t>
        </m:r>
      </m:oMath>
      <w:r>
        <w:rPr>
          <w:color w:val="3A4350"/>
          <w:sz w:val="15"/>
          <w:szCs w:val="15"/>
        </w:rPr>
        <w:t xml:space="preserve"> at step </w:t>
      </w:r>
      <m:oMath>
        <m:r>
          <m:t>k</m:t>
        </m:r>
      </m:oMath>
      <w:r>
        <w:rPr>
          <w:color w:val="3A4350"/>
          <w:sz w:val="15"/>
          <w:szCs w:val="15"/>
        </w:rPr>
        <w:t xml:space="preserve">, and </w:t>
      </w:r>
      <m:oMath>
        <m:sSub>
          <m:e>
            <m:r>
              <m:t>c</m:t>
            </m:r>
          </m:e>
          <m:sub>
            <m:r>
              <m:t>j</m:t>
            </m:r>
          </m:sub>
        </m:sSub>
      </m:oMath>
      <w:r>
        <w:rPr>
          <w:color w:val="3A4350"/>
          <w:sz w:val="15"/>
          <w:szCs w:val="15"/>
        </w:rPr>
        <w:t xml:space="preserve"> its cost with weight </w:t>
      </w:r>
      <m:oMath>
        <m:r>
          <m:t>γ</m:t>
        </m:r>
      </m:oMath>
      <w:r>
        <w:rPr>
          <w:color w:val="3A4350"/>
          <w:sz w:val="15"/>
          <w:szCs w:val="15"/>
        </w:rPr>
        <w:t xml:space="preserve">.</w:t>
      </w:r>
    </w:p>
    <w:p>
      <w:pPr>
        <w:spacing w:after="60"/>
        <w:jc w:val="both"/>
      </w:pPr>
      <w:r>
        <w:rPr>
          <w:b/>
          <w:bCs/>
          <w:color w:val="A51C30"/>
          <w:sz w:val="17"/>
          <w:szCs w:val="17"/>
        </w:rPr>
        <w:t xml:space="preserve">For the assembly and the wells. </w:t>
      </w:r>
      <w:r>
        <w:rPr>
          <w:sz w:val="17"/>
          <w:szCs w:val="17"/>
        </w:rPr>
        <w:t xml:space="preserve">Belongs to theme 3. Before recharge and pumping wells can be placed safely, the aquifer must be watched where the decision is sensitive. Modes of chloride and head computed from an ensemble of the assembled system, with drilling and access costs per site, give a fast choice of monitoring wells, and the chosen wells define the observation operator of the assimilation.</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A fast, interpretable and cost-aware placement method applied at national and city scale, with a clear societal objective and an open method. Published in GeoHealth.</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sites are chosen to reconstruct the whole field; for the placement of wells what matters is the chloride at a few supply screens under the planned layout, so the selection should target the decision rather than the field.</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cost-constrained, pivoted-QR sensor placement from data-driven modes. Proposed extension: compute the modes of chloride from runs of the assembled system under the candidate well layouts, weight the selection by the sensitivity of the supply-screen chloride to each mode, include drilling costs, and compare the information about the placement decision gained by the chosen monitoring wells with that of the existing network.</w:t>
      </w:r>
    </w:p>
    <w:p>
      <w:pPr>
        <w:keepNext/>
        <w:pBdr>
          <w:top w:val="single" w:color="A51C30" w:sz="6" w:space="4"/>
        </w:pBdr>
        <w:spacing w:after="60" w:before="220"/>
      </w:pPr>
      <w:r>
        <w:rPr>
          <w:b/>
          <w:bCs/>
          <w:color w:val="A51C30"/>
          <w:sz w:val="23"/>
          <w:szCs w:val="23"/>
        </w:rPr>
        <w:t xml:space="preserve">H4  </w:t>
      </w:r>
      <w:r>
        <w:rPr>
          <w:b/>
          <w:bCs/>
          <w:color w:val="1F3864"/>
          <w:sz w:val="23"/>
          <w:szCs w:val="23"/>
        </w:rPr>
        <w:t xml:space="preserve">Korali: Efficient and scalable software framework for Bayesian uncertainty quantification and stochastic optimization</w:t>
      </w:r>
    </w:p>
    <w:p>
      <w:pPr>
        <w:keepNext/>
        <w:spacing w:after="60" w:line="240" w:lineRule="auto"/>
      </w:pPr>
      <w:r>
        <w:rPr>
          <w:b/>
          <w:bCs/>
          <w:color w:val="333B47"/>
          <w:sz w:val="15"/>
          <w:szCs w:val="15"/>
        </w:rPr>
        <w:t xml:space="preserve">Authors: </w:t>
      </w:r>
      <w:r>
        <w:rPr>
          <w:sz w:val="15"/>
          <w:szCs w:val="15"/>
        </w:rPr>
        <w:t xml:space="preserve">Sergio M. Martin, Daniel Wälchli, Georgios Arampatzis, Athena E. Economides, Petr Karnakov, Petros Koumoutsakos</w:t>
      </w:r>
      <w:r>
        <w:rPr>
          <w:sz w:val="15"/>
          <w:szCs w:val="15"/>
        </w:rPr>
        <w:t xml:space="preserve">   </w:t>
      </w:r>
      <w:r>
        <w:rPr>
          <w:b/>
          <w:bCs/>
          <w:color w:val="333B47"/>
          <w:sz w:val="15"/>
          <w:szCs w:val="15"/>
        </w:rPr>
        <w:t xml:space="preserve">Published in: </w:t>
      </w:r>
      <w:r>
        <w:rPr>
          <w:sz w:val="15"/>
          <w:szCs w:val="15"/>
        </w:rPr>
        <w:t xml:space="preserve">Computer Methods in Applied Mechanics and Engineering, 389, 114264 (2022; online 2021); arXiv:2005.13457</w:t>
      </w:r>
      <w:r>
        <w:rPr>
          <w:sz w:val="15"/>
          <w:szCs w:val="15"/>
        </w:rPr>
        <w:t xml:space="preserve">   </w:t>
      </w:r>
      <w:r>
        <w:rPr>
          <w:b/>
          <w:bCs/>
          <w:color w:val="333B47"/>
          <w:sz w:val="15"/>
          <w:szCs w:val="15"/>
        </w:rPr>
        <w:t xml:space="preserve">Link: </w:t>
      </w:r>
      <w:hyperlink w:history="1" r:id="rId6swsuvpy0xo1y7budqakn">
        <w:r>
          <w:rPr>
            <w:color w:val="1D4ED8"/>
            <w:sz w:val="15"/>
            <w:szCs w:val="15"/>
            <w:u w:val="single"/>
          </w:rPr>
          <w:t xml:space="preserve">https://doi.org/10.1016/j.cma.2021.114264</w:t>
        </w:r>
      </w:hyperlink>
    </w:p>
    <w:p>
      <w:pPr>
        <w:keepNext/>
        <w:spacing w:after="80" w:line="240" w:lineRule="auto"/>
      </w:pPr>
      <w:r>
        <w:rPr>
          <w:b/>
          <w:bCs/>
          <w:color w:val="333B47"/>
          <w:sz w:val="15"/>
          <w:szCs w:val="15"/>
        </w:rPr>
        <w:t xml:space="preserve">Affiliation: </w:t>
      </w:r>
      <w:r>
        <w:rPr>
          <w:color w:val="3A4350"/>
          <w:sz w:val="15"/>
          <w:szCs w:val="15"/>
        </w:rPr>
        <w:t xml:space="preserve">The ETH Research Collection record and the arXiv version list Koumoutsakos with an affiliation at the Institute for Applied Computational Science, Harvard University; a copy is hosted by the Harvard CSE Laboratory. The other authors are at ETH Zürich.</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(3/5)</w:t>
      </w:r>
    </w:p>
    <w:p>
      <w:pPr>
        <w:spacing w:after="60"/>
        <w:jc w:val="both"/>
      </w:pPr>
      <w:r>
        <w:rPr>
          <w:b/>
          <w:bCs/>
          <w:color w:val="A51C30"/>
          <w:sz w:val="17"/>
          <w:szCs w:val="17"/>
        </w:rPr>
        <w:t xml:space="preserve">Summary. </w:t>
      </w:r>
      <w:r>
        <w:rPr>
          <w:sz w:val="17"/>
          <w:szCs w:val="17"/>
        </w:rPr>
        <w:t xml:space="preserve">Calibrating and optimising expensive multiphysics simulators needs thousands of runs on a supercomputer. Korali is open-source software that treats a simulator as a black box and runs Bayesian inference (for example transitional Markov chain Monte Carlo) and stochastic optimisation (for example CMA-ES) on it, with fault tolerance and load balancing so that many expensive runs proceed at once. The paper reports efficient scaling to 512 nodes of the Piz Daint supercomputer with coupled solvers.</w:t>
      </w:r>
    </w:p>
    <w:p>
      <w:pPr>
        <w:keepNext/>
        <w:spacing w:after="20" w:before="40"/>
      </w:pPr>
      <w:r>
        <w:rPr>
          <w:b/>
          <w:bCs/>
          <w:color w:val="A51C30"/>
          <w:sz w:val="17"/>
          <w:szCs w:val="17"/>
        </w:rPr>
        <w:t xml:space="preserve">Key equation.</w:t>
      </w:r>
      <w:r>
        <w:rPr>
          <w:i/>
          <w:iCs/>
          <w:color w:val="5B6573"/>
          <w:sz w:val="15"/>
          <w:szCs w:val="15"/>
        </w:rPr>
        <w:t xml:space="preserve">  Calibration and optimisation under the posterior around a black-box simulator (representative formulation)</w:t>
      </w:r>
    </w:p>
    <w:p>
      <w:pPr>
        <w:pStyle w:val="Equation"/>
      </w:pPr>
      <m:oMathPara>
        <m:oMathParaPr>
          <m:jc m:val="center"/>
        </m:oMathParaPr>
        <m:oMath>
          <m:r>
            <m:t>p</m:t>
          </m:r>
          <m:d>
            <m:dPr>
              <m:begChr m:val="("/>
              <m:sepChr m:val=""/>
              <m:endChr m:val=")"/>
              <m:grow/>
            </m:dPr>
            <m:e>
              <m:r>
                <m:t>ϑ</m:t>
              </m:r>
              <m:r>
                <m:rPr>
                  <m:sty m:val="p"/>
                </m:rPr>
                <m:t>∣</m:t>
              </m:r>
              <m:r>
                <m:rPr>
                  <m:sty m:val="b"/>
                </m:rPr>
                <m:t>d</m:t>
              </m:r>
            </m:e>
          </m:d>
          <m:r>
            <m:rPr>
              <m:sty m:val="p"/>
            </m:rPr>
            <m:t>∝</m:t>
          </m:r>
          <m:r>
            <m:t>p</m:t>
          </m:r>
          <m:d>
            <m:dPr>
              <m:begChr m:val="("/>
              <m:sepChr m:val=""/>
              <m:endChr m:val=")"/>
              <m:grow/>
            </m:dPr>
            <m:e>
              <m:r>
                <m:rPr>
                  <m:sty m:val="b"/>
                </m:rPr>
                <m:t>d</m:t>
              </m:r>
              <m:r>
                <m:rPr>
                  <m:sty m:val="p"/>
                </m:rPr>
                <m:t>∣</m:t>
              </m:r>
              <m:r>
                <m:t>ϑ</m:t>
              </m:r>
            </m:e>
          </m:d>
          <m:r>
            <m:t>p</m:t>
          </m:r>
          <m:d>
            <m:dPr>
              <m:begChr m:val="("/>
              <m:sepChr m:val=""/>
              <m:endChr m:val=")"/>
              <m:grow/>
            </m:dPr>
            <m:e>
              <m:r>
                <m:t>ϑ</m:t>
              </m:r>
            </m:e>
          </m:d>
          <m:r>
            <m:rPr>
              <m:sty m:val="p"/>
            </m:rPr>
            <m:t>,</m:t>
          </m:r>
          <m:r>
            <m:t>  </m:t>
          </m:r>
          <m:sSup>
            <m:e>
              <m:r>
                <m:rPr>
                  <m:sty m:val="b"/>
                </m:rPr>
                <m:t>q</m:t>
              </m:r>
            </m:e>
            <m:sup>
              <m:r>
                <m:rPr>
                  <m:sty m:val="p"/>
                </m:rPr>
                <m:t>⋆</m:t>
              </m:r>
            </m:sup>
          </m:sSup>
          <m:r>
            <m:rPr>
              <m:sty m:val="p"/>
            </m:rPr>
            <m:t>=</m:t>
          </m:r>
          <m:r>
            <m:rPr>
              <m:sty m:val="p"/>
            </m:rPr>
            <m:t>arg</m:t>
          </m:r>
          <m:limLow>
            <m:e>
              <m:r>
                <m:rPr>
                  <m:sty m:val="p"/>
                </m:rPr>
                <m:t>min</m:t>
              </m:r>
            </m:e>
            <m:lim>
              <m:r>
                <m:rPr>
                  <m:sty m:val="b"/>
                </m:rPr>
                <m:t>q</m:t>
              </m:r>
            </m:lim>
          </m:limLow>
          <m:r>
            <m:t> </m:t>
          </m:r>
          <m:sSub>
            <m:e>
              <m:r>
                <m:rPr>
                  <m:scr m:val="double-struck"/>
                  <m:sty m:val="p"/>
                </m:rPr>
                <m:t>E</m:t>
              </m:r>
            </m:e>
            <m:sub>
              <m:r>
                <m:t>ϑ</m:t>
              </m:r>
              <m:r>
                <m:rPr>
                  <m:sty m:val="p"/>
                </m:rPr>
                <m:t>∼</m:t>
              </m:r>
              <m:r>
                <m:t>p</m:t>
              </m:r>
              <m:d>
                <m:dPr>
                  <m:begChr m:val="("/>
                  <m:sepChr m:val=""/>
                  <m:endChr m:val=")"/>
                  <m:grow/>
                </m:dPr>
                <m:e>
                  <m:r>
                    <m:t>ϑ</m:t>
                  </m:r>
                  <m:r>
                    <m:rPr>
                      <m:sty m:val="p"/>
                    </m:rPr>
                    <m:t>∣</m:t>
                  </m:r>
                  <m:r>
                    <m:rPr>
                      <m:sty m:val="b"/>
                    </m:rPr>
                    <m:t>d</m:t>
                  </m:r>
                </m:e>
              </m:d>
            </m:sub>
          </m:sSub>
          <m:d>
            <m:dPr>
              <m:begChr m:val="["/>
              <m:sepChr m:val=""/>
              <m:endChr m:val="]"/>
              <m:grow/>
            </m:dPr>
            <m:e>
              <m:r>
                <m:t>f</m:t>
              </m:r>
              <m:d>
                <m:dPr>
                  <m:begChr m:val="("/>
                  <m:sepChr m:val=""/>
                  <m:endChr m:val=")"/>
                  <m:grow/>
                </m:dPr>
                <m:e>
                  <m:r>
                    <m:rPr>
                      <m:sty m:val="b"/>
                    </m:rPr>
                    <m:t>q</m:t>
                  </m:r>
                  <m:r>
                    <m:rPr>
                      <m:sty m:val="p"/>
                    </m:rPr>
                    <m:t>,</m:t>
                  </m:r>
                  <m:r>
                    <m:t>ϑ</m:t>
                  </m:r>
                </m:e>
              </m:d>
            </m:e>
          </m:d>
        </m:oMath>
      </m:oMathPara>
    </w:p>
    <w:p>
      <w:pPr>
        <w:spacing w:after="60"/>
        <w:jc w:val="both"/>
      </w:pPr>
      <m:oMath>
        <m:r>
          <m:t>ϑ</m:t>
        </m:r>
      </m:oMath>
      <w:r>
        <w:rPr>
          <w:color w:val="3A4350"/>
          <w:sz w:val="15"/>
          <w:szCs w:val="15"/>
        </w:rPr>
        <w:t xml:space="preserve"> are the uncertain parameters of the simulator, </w:t>
      </w:r>
      <m:oMath>
        <m:r>
          <m:rPr>
            <m:sty m:val="b"/>
          </m:rPr>
          <m:t>d</m:t>
        </m:r>
      </m:oMath>
      <w:r>
        <w:rPr>
          <w:color w:val="3A4350"/>
          <w:sz w:val="15"/>
          <w:szCs w:val="15"/>
        </w:rPr>
        <w:t xml:space="preserve"> the data, </w:t>
      </w:r>
      <m:oMath>
        <m:r>
          <m:rPr>
            <m:sty m:val="b"/>
          </m:rPr>
          <m:t>q</m:t>
        </m:r>
      </m:oMath>
      <w:r>
        <w:rPr>
          <w:color w:val="3A4350"/>
          <w:sz w:val="15"/>
          <w:szCs w:val="15"/>
        </w:rPr>
        <w:t xml:space="preserve"> the decision variables (here the well locations and rates) and </w:t>
      </w:r>
      <m:oMath>
        <m:r>
          <m:t>f</m:t>
        </m:r>
      </m:oMath>
      <w:r>
        <w:rPr>
          <w:color w:val="3A4350"/>
          <w:sz w:val="15"/>
          <w:szCs w:val="15"/>
        </w:rPr>
        <w:t xml:space="preserve"> the cost computed by the simulator.</w:t>
      </w:r>
    </w:p>
    <w:p>
      <w:pPr>
        <w:spacing w:after="60"/>
        <w:jc w:val="both"/>
      </w:pPr>
      <w:r>
        <w:rPr>
          <w:b/>
          <w:bCs/>
          <w:color w:val="A51C30"/>
          <w:sz w:val="17"/>
          <w:szCs w:val="17"/>
        </w:rPr>
        <w:t xml:space="preserve">For the assembly and the wells. </w:t>
      </w:r>
      <w:r>
        <w:rPr>
          <w:sz w:val="17"/>
          <w:szCs w:val="17"/>
        </w:rPr>
        <w:t xml:space="preserve">Belongs to theme 3. The assembled aquifer system must first be calibrated (conductivity, dispersivities, exchange capacities, recharge) and then used to optimise the wells under the posterior; both loops call the full model thousands of times. A framework that runs them at scale around an unchanged simulator is the practical backbone of the assembly.</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A tested, scalable and fault-tolerant implementation of both outer loops that a decision on an expensive simulator needs, calibration and optimisation under uncertainty, without changing the simulator. Published in Computer Methods in Applied Mechanics and Engineering.</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stochastic optimiser handles continuous variables and expectations; binary site choices and a chance constraint on chloride are not part of it, and the cost of evaluating the expectation for each candidate is high.</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scalable, fault-tolerant Bayesian calibration and stochastic optimisation around unchanged multiphysics codes. Proposed extension: calibrate the assembled aquifer system on heads and chloride with transitional MCMC, then optimise the continuous rates of a fixed set of candidate wells with CMA-ES on the posterior draws, using a penalty on the exceedance probability; report how many full runs each loop needs.</w:t>
      </w:r>
    </w:p>
    <w:p>
      <w:pPr>
        <w:keepNext/>
        <w:pBdr>
          <w:top w:val="single" w:color="A51C30" w:sz="6" w:space="4"/>
        </w:pBdr>
        <w:spacing w:after="60" w:before="220"/>
      </w:pPr>
      <w:r>
        <w:rPr>
          <w:b/>
          <w:bCs/>
          <w:color w:val="A51C30"/>
          <w:sz w:val="23"/>
          <w:szCs w:val="23"/>
        </w:rPr>
        <w:t xml:space="preserve">H5  </w:t>
      </w:r>
      <w:r>
        <w:rPr>
          <w:b/>
          <w:bCs/>
          <w:color w:val="1F3864"/>
          <w:sz w:val="23"/>
          <w:szCs w:val="23"/>
        </w:rPr>
        <w:t xml:space="preserve">Learned discretizations for passive scalar advection in a two-dimensional turbulent flow</w:t>
      </w:r>
    </w:p>
    <w:p>
      <w:pPr>
        <w:keepNext/>
        <w:spacing w:after="60" w:line="240" w:lineRule="auto"/>
      </w:pPr>
      <w:r>
        <w:rPr>
          <w:b/>
          <w:bCs/>
          <w:color w:val="333B47"/>
          <w:sz w:val="15"/>
          <w:szCs w:val="15"/>
        </w:rPr>
        <w:t xml:space="preserve">Authors: </w:t>
      </w:r>
      <w:r>
        <w:rPr>
          <w:sz w:val="15"/>
          <w:szCs w:val="15"/>
        </w:rPr>
        <w:t xml:space="preserve">Jiawei Zhuang, Dmitrii Kochkov, Yohai Bar-Sinai, Michael P. Brenner, Stephan Hoyer</w:t>
      </w:r>
      <w:r>
        <w:rPr>
          <w:sz w:val="15"/>
          <w:szCs w:val="15"/>
        </w:rPr>
        <w:t xml:space="preserve">   </w:t>
      </w:r>
      <w:r>
        <w:rPr>
          <w:b/>
          <w:bCs/>
          <w:color w:val="333B47"/>
          <w:sz w:val="15"/>
          <w:szCs w:val="15"/>
        </w:rPr>
        <w:t xml:space="preserve">Published in: </w:t>
      </w:r>
      <w:r>
        <w:rPr>
          <w:sz w:val="15"/>
          <w:szCs w:val="15"/>
        </w:rPr>
        <w:t xml:space="preserve">Physical Review Fluids, 6(6), 064605 (2021); arXiv:2004.05477</w:t>
      </w:r>
      <w:r>
        <w:rPr>
          <w:sz w:val="15"/>
          <w:szCs w:val="15"/>
        </w:rPr>
        <w:t xml:space="preserve">   </w:t>
      </w:r>
      <w:r>
        <w:rPr>
          <w:b/>
          <w:bCs/>
          <w:color w:val="333B47"/>
          <w:sz w:val="15"/>
          <w:szCs w:val="15"/>
        </w:rPr>
        <w:t xml:space="preserve">Link: </w:t>
      </w:r>
      <w:hyperlink w:history="1" r:id="rId5lnjuey0yueukoeia5f-l">
        <w:r>
          <w:rPr>
            <w:color w:val="1D4ED8"/>
            <w:sz w:val="15"/>
            <w:szCs w:val="15"/>
            <w:u w:val="single"/>
          </w:rPr>
          <w:t xml:space="preserve">https://doi.org/10.1103/PhysRevFluids.6.064605</w:t>
        </w:r>
      </w:hyperlink>
    </w:p>
    <w:p>
      <w:pPr>
        <w:keepNext/>
        <w:spacing w:after="80" w:line="240" w:lineRule="auto"/>
      </w:pPr>
      <w:r>
        <w:rPr>
          <w:b/>
          <w:bCs/>
          <w:color w:val="333B47"/>
          <w:sz w:val="15"/>
          <w:szCs w:val="15"/>
        </w:rPr>
        <w:t xml:space="preserve">Affiliation: </w:t>
      </w:r>
      <w:r>
        <w:rPr>
          <w:color w:val="3A4350"/>
          <w:sz w:val="15"/>
          <w:szCs w:val="15"/>
        </w:rPr>
        <w:t xml:space="preserve">The author block gives Zhuang, Bar-Sinai and Brenner at Harvard SEAS and Kochkov and Hoyer at Google Research, according to the APS record and the NSF PAR entry.</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(4/5)</w:t>
      </w:r>
    </w:p>
    <w:p>
      <w:pPr>
        <w:spacing w:after="60"/>
        <w:jc w:val="both"/>
      </w:pPr>
      <w:r>
        <w:rPr>
          <w:b/>
          <w:bCs/>
          <w:color w:val="A51C30"/>
          <w:sz w:val="17"/>
          <w:szCs w:val="17"/>
        </w:rPr>
        <w:t xml:space="preserve">Summary. </w:t>
      </w:r>
      <w:r>
        <w:rPr>
          <w:sz w:val="17"/>
          <w:szCs w:val="17"/>
        </w:rPr>
        <w:t xml:space="preserve">Transporting a sharp scalar front on a coarse grid smears it by numerical dispersion. The authors keep a standard conservative finite-volume scheme but let a neural network predict the interpolation coefficients of the fluxes from the local solution, and train the whole scheme end to end through the time stepping. The learned scheme matches high-order flux-limited advection schemes at four times coarser resolution in each dimension, and conserves the scalar because the learning acts only on the fluxes.</w:t>
      </w:r>
    </w:p>
    <w:p>
      <w:pPr>
        <w:keepNext/>
        <w:spacing w:after="20" w:before="40"/>
      </w:pPr>
      <w:r>
        <w:rPr>
          <w:b/>
          <w:bCs/>
          <w:color w:val="A51C30"/>
          <w:sz w:val="17"/>
          <w:szCs w:val="17"/>
        </w:rPr>
        <w:t xml:space="preserve">Key equation.</w:t>
      </w:r>
      <w:r>
        <w:rPr>
          <w:i/>
          <w:iCs/>
          <w:color w:val="5B6573"/>
          <w:sz w:val="15"/>
          <w:szCs w:val="15"/>
        </w:rPr>
        <w:t xml:space="preserve">  Conservative update with learned flux interpolation (representative formulation)</w:t>
      </w:r>
    </w:p>
    <w:p>
      <w:pPr>
        <w:pStyle w:val="Equation"/>
      </w:pPr>
      <m:oMathPara>
        <m:oMathParaPr>
          <m:jc m:val="center"/>
        </m:oMathParaPr>
        <m:oMath>
          <m:sSubSup>
            <m:e>
              <m:r>
                <m:t>c</m:t>
              </m:r>
            </m:e>
            <m:sub>
              <m:r>
                <m:t>i</m:t>
              </m:r>
            </m:sub>
            <m:sup>
              <m:r>
                <m:t>n</m:t>
              </m:r>
              <m:r>
                <m:rPr>
                  <m:sty m:val="p"/>
                </m:rPr>
                <m:t>+</m:t>
              </m:r>
              <m:r>
                <m:t>1</m:t>
              </m:r>
            </m:sup>
          </m:sSubSup>
          <m:r>
            <m:rPr>
              <m:sty m:val="p"/>
            </m:rPr>
            <m:t>=</m:t>
          </m:r>
          <m:sSubSup>
            <m:e>
              <m:r>
                <m:t>c</m:t>
              </m:r>
            </m:e>
            <m:sub>
              <m:r>
                <m:t>i</m:t>
              </m:r>
            </m:sub>
            <m:sup>
              <m:r>
                <m:t>n</m:t>
              </m:r>
            </m:sup>
          </m:sSubSup>
          <m:r>
            <m:rPr>
              <m:sty m:val="p"/>
            </m:rPr>
            <m:t>−</m:t>
          </m:r>
          <m:f>
            <m:fPr>
              <m:type m:val="bar"/>
            </m:fPr>
            <m:num>
              <m:r>
                <m:t>Δ</m:t>
              </m:r>
              <m:r>
                <m:t>t</m:t>
              </m:r>
            </m:num>
            <m:den>
              <m:r>
                <m:t>Δ</m:t>
              </m:r>
              <m:r>
                <m:t>x</m:t>
              </m:r>
            </m:den>
          </m:f>
          <m:d>
            <m:dPr>
              <m:begChr m:val="("/>
              <m:sepChr m:val=""/>
              <m:endChr m:val=")"/>
              <m:grow/>
            </m:dPr>
            <m:e>
              <m:sSub>
                <m:e>
                  <m:r>
                    <m:t>F</m:t>
                  </m:r>
                </m:e>
                <m:sub>
                  <m:r>
                    <m:t>i</m:t>
                  </m:r>
                  <m:r>
                    <m:rPr>
                      <m:sty m:val="p"/>
                    </m:rPr>
                    <m:t>+</m:t>
                  </m:r>
                  <m:r>
                    <m:t>1</m:t>
                  </m:r>
                  <m:r>
                    <m:rPr>
                      <m:sty m:val="p"/>
                    </m:rPr>
                    <m:t>/</m:t>
                  </m:r>
                  <m:r>
                    <m:t>2</m:t>
                  </m:r>
                </m:sub>
              </m:sSub>
              <m:r>
                <m:rPr>
                  <m:sty m:val="p"/>
                </m:rPr>
                <m:t>−</m:t>
              </m:r>
              <m:sSub>
                <m:e>
                  <m:r>
                    <m:t>F</m:t>
                  </m:r>
                </m:e>
                <m:sub>
                  <m:r>
                    <m:t>i</m:t>
                  </m:r>
                  <m:r>
                    <m:rPr>
                      <m:sty m:val="p"/>
                    </m:rPr>
                    <m:t>−</m:t>
                  </m:r>
                  <m:r>
                    <m:t>1</m:t>
                  </m:r>
                  <m:r>
                    <m:rPr>
                      <m:sty m:val="p"/>
                    </m:rPr>
                    <m:t>/</m:t>
                  </m:r>
                  <m:r>
                    <m:t>2</m:t>
                  </m:r>
                </m:sub>
              </m:sSub>
            </m:e>
          </m:d>
          <m:r>
            <m:rPr>
              <m:sty m:val="p"/>
            </m:rPr>
            <m:t>,</m:t>
          </m:r>
          <m:r>
            <m:t>  </m:t>
          </m:r>
          <m:sSub>
            <m:e>
              <m:r>
                <m:t>F</m:t>
              </m:r>
            </m:e>
            <m:sub>
              <m:r>
                <m:t>i</m:t>
              </m:r>
              <m:r>
                <m:rPr>
                  <m:sty m:val="p"/>
                </m:rPr>
                <m:t>+</m:t>
              </m:r>
              <m:r>
                <m:t>1</m:t>
              </m:r>
              <m:r>
                <m:rPr>
                  <m:sty m:val="p"/>
                </m:rPr>
                <m:t>/</m:t>
              </m:r>
              <m:r>
                <m:t>2</m:t>
              </m:r>
            </m:sub>
          </m:sSub>
          <m:r>
            <m:rPr>
              <m:sty m:val="p"/>
            </m:rPr>
            <m:t>=</m:t>
          </m:r>
          <m:sSub>
            <m:e>
              <m:r>
                <m:t>u</m:t>
              </m:r>
            </m:e>
            <m:sub>
              <m:r>
                <m:t>i</m:t>
              </m:r>
              <m:r>
                <m:rPr>
                  <m:sty m:val="p"/>
                </m:rPr>
                <m:t>+</m:t>
              </m:r>
              <m:r>
                <m:t>1</m:t>
              </m:r>
              <m:r>
                <m:rPr>
                  <m:sty m:val="p"/>
                </m:rPr>
                <m:t>/</m:t>
              </m:r>
              <m:r>
                <m:t>2</m:t>
              </m:r>
            </m:sub>
          </m:sSub>
          <m:nary>
            <m:naryPr>
              <m:chr m:val="∑"/>
              <m:limLoc m:val="undOvr"/>
              <m:subHide m:val="off"/>
              <m:supHide m:val="on"/>
            </m:naryPr>
            <m:sub>
              <m:r>
                <m:t>k</m:t>
              </m:r>
            </m:sub>
            <m:sup>
              <m:r>
                <m:t>​</m:t>
              </m:r>
            </m:sup>
            <m:e>
              <m:sSub>
                <m:e>
                  <m:r>
                    <m:t>α</m:t>
                  </m:r>
                </m:e>
                <m:sub>
                  <m:r>
                    <m:t>k</m:t>
                  </m:r>
                </m:sub>
              </m:sSub>
            </m:e>
          </m:nary>
          <m:d>
            <m:dPr>
              <m:begChr m:val="("/>
              <m:sepChr m:val=""/>
              <m:endChr m:val=")"/>
              <m:grow/>
            </m:dPr>
            <m:e>
              <m:sSub>
                <m:e>
                  <m:r>
                    <m:rPr>
                      <m:sty m:val="b"/>
                    </m:rPr>
                    <m:t>c</m:t>
                  </m:r>
                </m:e>
                <m:sub>
                  <m:r>
                    <m:rPr>
                      <m:nor/>
                    </m:rPr>
                    <m:t>stencil</m:t>
                  </m:r>
                </m:sub>
              </m:sSub>
              <m:r>
                <m:rPr>
                  <m:sty m:val="p"/>
                </m:rPr>
                <m:t>;</m:t>
              </m:r>
              <m:r>
                <m:t>θ</m:t>
              </m:r>
            </m:e>
          </m:d>
          <m:sSub>
            <m:e>
              <m:r>
                <m:t>c</m:t>
              </m:r>
            </m:e>
            <m:sub>
              <m:r>
                <m:t>i</m:t>
              </m:r>
              <m:r>
                <m:rPr>
                  <m:sty m:val="p"/>
                </m:rPr>
                <m:t>+</m:t>
              </m:r>
              <m:r>
                <m:t>k</m:t>
              </m:r>
            </m:sub>
          </m:sSub>
          <m:r>
            <m:rPr>
              <m:sty m:val="p"/>
            </m:rPr>
            <m:t>,</m:t>
          </m:r>
          <m:r>
            <m:t>  </m:t>
          </m:r>
          <m:nary>
            <m:naryPr>
              <m:chr m:val="∑"/>
              <m:limLoc m:val="undOvr"/>
              <m:subHide m:val="off"/>
              <m:supHide m:val="on"/>
            </m:naryPr>
            <m:sub>
              <m:r>
                <m:t>k</m:t>
              </m:r>
            </m:sub>
            <m:sup>
              <m:r>
                <m:t>​</m:t>
              </m:r>
            </m:sup>
            <m:e>
              <m:sSub>
                <m:e>
                  <m:r>
                    <m:t>α</m:t>
                  </m:r>
                </m:e>
                <m:sub>
                  <m:r>
                    <m:t>k</m:t>
                  </m:r>
                </m:sub>
              </m:sSub>
            </m:e>
          </m:nary>
          <m:r>
            <m:rPr>
              <m:sty m:val="p"/>
            </m:rPr>
            <m:t>=</m:t>
          </m:r>
          <m:r>
            <m:t>1</m:t>
          </m:r>
        </m:oMath>
      </m:oMathPara>
    </w:p>
    <w:p>
      <w:pPr>
        <w:spacing w:after="60"/>
        <w:jc w:val="both"/>
      </w:pPr>
      <m:oMath>
        <m:sSubSup>
          <m:e>
            <m:r>
              <m:t>c</m:t>
            </m:r>
          </m:e>
          <m:sub>
            <m:r>
              <m:t>i</m:t>
            </m:r>
          </m:sub>
          <m:sup>
            <m:r>
              <m:t>n</m:t>
            </m:r>
          </m:sup>
        </m:sSubSup>
      </m:oMath>
      <w:r>
        <w:rPr>
          <w:color w:val="3A4350"/>
          <w:sz w:val="15"/>
          <w:szCs w:val="15"/>
        </w:rPr>
        <w:t xml:space="preserve"> is the cell average of the scalar, </w:t>
      </w:r>
      <m:oMath>
        <m:sSub>
          <m:e>
            <m:r>
              <m:t>F</m:t>
            </m:r>
          </m:e>
          <m:sub>
            <m:r>
              <m:t>i</m:t>
            </m:r>
            <m:r>
              <m:rPr>
                <m:sty m:val="p"/>
              </m:rPr>
              <m:t>+</m:t>
            </m:r>
            <m:r>
              <m:t>1</m:t>
            </m:r>
            <m:r>
              <m:rPr>
                <m:sty m:val="p"/>
              </m:rPr>
              <m:t>/</m:t>
            </m:r>
            <m:r>
              <m:t>2</m:t>
            </m:r>
          </m:sub>
        </m:sSub>
      </m:oMath>
      <w:r>
        <w:rPr>
          <w:color w:val="3A4350"/>
          <w:sz w:val="15"/>
          <w:szCs w:val="15"/>
        </w:rPr>
        <w:t xml:space="preserve"> the flux through face </w:t>
      </w:r>
      <m:oMath>
        <m:r>
          <m:t>i</m:t>
        </m:r>
        <m:r>
          <m:rPr>
            <m:sty m:val="p"/>
          </m:rPr>
          <m:t>+</m:t>
        </m:r>
        <m:f>
          <m:fPr>
            <m:type m:val="lin"/>
          </m:fPr>
          <m:num>
            <m:r>
              <m:t>1</m:t>
            </m:r>
          </m:num>
          <m:den>
            <m:r>
              <m:t>2</m:t>
            </m:r>
          </m:den>
        </m:f>
      </m:oMath>
      <w:r>
        <w:rPr>
          <w:color w:val="3A4350"/>
          <w:sz w:val="15"/>
          <w:szCs w:val="15"/>
        </w:rPr>
        <w:t xml:space="preserve">, and </w:t>
      </w:r>
      <m:oMath>
        <m:sSub>
          <m:e>
            <m:r>
              <m:t>α</m:t>
            </m:r>
          </m:e>
          <m:sub>
            <m:r>
              <m:t>k</m:t>
            </m:r>
          </m:sub>
        </m:sSub>
      </m:oMath>
      <w:r>
        <w:rPr>
          <w:color w:val="3A4350"/>
          <w:sz w:val="15"/>
          <w:szCs w:val="15"/>
        </w:rPr>
        <w:t xml:space="preserve"> the interpolation weights predicted by the network with parameters </w:t>
      </w:r>
      <m:oMath>
        <m:r>
          <m:t>θ</m:t>
        </m:r>
      </m:oMath>
      <w:r>
        <w:rPr>
          <w:color w:val="3A4350"/>
          <w:sz w:val="15"/>
          <w:szCs w:val="15"/>
        </w:rPr>
        <w:t xml:space="preserve"> from the local stencil.</w:t>
      </w:r>
    </w:p>
    <w:p>
      <w:pPr>
        <w:spacing w:after="60"/>
        <w:jc w:val="both"/>
      </w:pPr>
      <w:r>
        <w:rPr>
          <w:b/>
          <w:bCs/>
          <w:color w:val="A51C30"/>
          <w:sz w:val="17"/>
          <w:szCs w:val="17"/>
        </w:rPr>
        <w:t xml:space="preserve">For the assembly and the wells. </w:t>
      </w:r>
      <w:r>
        <w:rPr>
          <w:sz w:val="17"/>
          <w:szCs w:val="17"/>
        </w:rPr>
        <w:t xml:space="preserve">Belongs to theme 1. Each of the seven ions in the assembled system is a transported scalar with a sharp front at the mixing zone; numerical dispersion on a coarse grid widens the front and shifts the predicted chloride breakthrough at the supply screens. A conservative learned flux lets the transport blocks run on a coarse grid inside the placement loop without that bias.</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shows that learning can be confined to the fluxes of a conservative scheme, keeping mass conservation exactly while removing most of the error of a coarse grid. Published in Physical Review Fluids.</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flow is a prescribed two-dimensional turbulent field without density coupling; in the aquifer the velocity depends on the transported salt, and the learned fluxes must stay accurate when wells change the flow pattern.</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learned, conservative flux interpolation trained end to end through the time stepping. Proposed extension: train learned fluxes for chloride transport in the assembled system on fine-grid runs under many recharge and pumping layouts, run the placement on the coarse grid, and check on held-out layouts that the breakthrough time at the supply screens stays within one month of the fine-grid value.</w:t>
      </w:r>
    </w:p>
    <w:p>
      <w:pPr>
        <w:pStyle w:val="Heading1"/>
      </w:pPr>
      <w:r>
        <w:rPr>
          <w:color w:val="4D4D4F"/>
        </w:rPr>
        <w:t xml:space="preserve">7. Massachusetts Institute of Technology (MIT)</w:t>
      </w:r>
    </w:p>
    <w:p>
      <w:pPr>
        <w:spacing w:after="120"/>
        <w:jc w:val="both"/>
      </w:pPr>
      <w:r>
        <w:t xml:space="preserve">Five MIT papers. Donato Maragno, Dimitris Bertsimas and co-authors embed learned constraints exactly in mixed-integer optimisation [M1]; Bertsimas, Shimrit Shtern and Bradley Sturt solve two-stage decisions protected around each sample [M2]; Bradford Hager, Ruben Juanes and co-authors manage injection wells with a calibrated coupled model validated in the field [M3]; Ehsan Haghighat, Danial Amini and Juanes show which split of a coupled porous-media system is stable [M4]; and Hannah Lu, Lluís Saló-Salgado, Youssef Marzouk and Juanes estimate exceedance probabilities of a coupled subsurface model with a surrogate [M5].</w:t>
      </w:r>
    </w:p>
    <w:p>
      <w:pPr>
        <w:keepNext/>
        <w:pBdr>
          <w:top w:val="single" w:color="4D4D4F" w:sz="6" w:space="4"/>
        </w:pBdr>
        <w:spacing w:after="60" w:before="220"/>
      </w:pPr>
      <w:r>
        <w:rPr>
          <w:b/>
          <w:bCs/>
          <w:color w:val="4D4D4F"/>
          <w:sz w:val="23"/>
          <w:szCs w:val="23"/>
        </w:rPr>
        <w:t xml:space="preserve">M1  </w:t>
      </w:r>
      <w:r>
        <w:rPr>
          <w:b/>
          <w:bCs/>
          <w:color w:val="1F3864"/>
          <w:sz w:val="23"/>
          <w:szCs w:val="23"/>
        </w:rPr>
        <w:t xml:space="preserve">Mixed-Integer Optimization with Constraint Learning</w:t>
      </w:r>
    </w:p>
    <w:p>
      <w:pPr>
        <w:keepNext/>
        <w:spacing w:after="60" w:line="240" w:lineRule="auto"/>
      </w:pPr>
      <w:r>
        <w:rPr>
          <w:b/>
          <w:bCs/>
          <w:color w:val="333B47"/>
          <w:sz w:val="15"/>
          <w:szCs w:val="15"/>
        </w:rPr>
        <w:t xml:space="preserve">Authors: </w:t>
      </w:r>
      <w:r>
        <w:rPr>
          <w:sz w:val="15"/>
          <w:szCs w:val="15"/>
        </w:rPr>
        <w:t xml:space="preserve">Donato Maragno, Holly Wiberg, Dimitris Bertsimas, Ş. İlker Birbil, Dick den Hertog, Adejuyigbe O. Fajemisin</w:t>
      </w:r>
      <w:r>
        <w:rPr>
          <w:sz w:val="15"/>
          <w:szCs w:val="15"/>
        </w:rPr>
        <w:t xml:space="preserve">   </w:t>
      </w:r>
      <w:r>
        <w:rPr>
          <w:b/>
          <w:bCs/>
          <w:color w:val="333B47"/>
          <w:sz w:val="15"/>
          <w:szCs w:val="15"/>
        </w:rPr>
        <w:t xml:space="preserve">Published in: </w:t>
      </w:r>
      <w:r>
        <w:rPr>
          <w:sz w:val="15"/>
          <w:szCs w:val="15"/>
        </w:rPr>
        <w:t xml:space="preserve">Operations Research, 73(2), 1011–1028 (2025); arXiv:2111.04469</w:t>
      </w:r>
      <w:r>
        <w:rPr>
          <w:sz w:val="15"/>
          <w:szCs w:val="15"/>
        </w:rPr>
        <w:t xml:space="preserve">   </w:t>
      </w:r>
      <w:r>
        <w:rPr>
          <w:b/>
          <w:bCs/>
          <w:color w:val="333B47"/>
          <w:sz w:val="15"/>
          <w:szCs w:val="15"/>
        </w:rPr>
        <w:t xml:space="preserve">Link: </w:t>
      </w:r>
      <w:hyperlink w:history="1" r:id="rIdwpzp2gtztdzbwq0_8ozfs">
        <w:r>
          <w:rPr>
            <w:color w:val="1D4ED8"/>
            <w:sz w:val="15"/>
            <w:szCs w:val="15"/>
            <w:u w:val="single"/>
          </w:rPr>
          <w:t xml:space="preserve">https://doi.org/10.1287/opre.2021.0707</w:t>
        </w:r>
      </w:hyperlink>
    </w:p>
    <w:p>
      <w:pPr>
        <w:keepNext/>
        <w:spacing w:after="80" w:line="240" w:lineRule="auto"/>
      </w:pPr>
      <w:r>
        <w:rPr>
          <w:b/>
          <w:bCs/>
          <w:color w:val="333B47"/>
          <w:sz w:val="15"/>
          <w:szCs w:val="15"/>
        </w:rPr>
        <w:t xml:space="preserve">Affiliation: </w:t>
      </w:r>
      <w:r>
        <w:rPr>
          <w:color w:val="3A4350"/>
          <w:sz w:val="15"/>
          <w:szCs w:val="15"/>
        </w:rPr>
        <w:t xml:space="preserve">Bertsimas is at the MIT Sloan School of Management and Operations Research Center; the arXiv version lists MIT for Wiberg and Bertsimas. Other affiliations not verified.</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(5/5)</w:t>
      </w:r>
    </w:p>
    <w:p>
      <w:pPr>
        <w:spacing w:after="60"/>
        <w:jc w:val="both"/>
      </w:pPr>
      <w:r>
        <w:rPr>
          <w:b/>
          <w:bCs/>
          <w:color w:val="4D4D4F"/>
          <w:sz w:val="17"/>
          <w:szCs w:val="17"/>
        </w:rPr>
        <w:t xml:space="preserve">Summary. </w:t>
      </w:r>
      <w:r>
        <w:rPr>
          <w:sz w:val="17"/>
          <w:szCs w:val="17"/>
        </w:rPr>
        <w:t xml:space="preserve">Many constraints and objectives of real decisions have no formula but can be learned from data or simulations. The paper gives a full pipeline: learn a constraint with a machine-learning model (linear model, decision tree, ensemble or ReLU network), embed the trained model exactly in a mixed-integer optimisation, keep the solution inside a convex-hull trust region around the training data so that the optimiser cannot exploit extrapolation, and use bootstrap ensembles so that the constraint holds across resampled models. The method is released as the Python package OptiCL and tested on food-aid planning and chemotherapy design.</w:t>
      </w:r>
    </w:p>
    <w:p>
      <w:pPr>
        <w:keepNext/>
        <w:spacing w:after="20" w:before="40"/>
      </w:pPr>
      <w:r>
        <w:rPr>
          <w:b/>
          <w:bCs/>
          <w:color w:val="4D4D4F"/>
          <w:sz w:val="17"/>
          <w:szCs w:val="17"/>
        </w:rPr>
        <w:t xml:space="preserve">Key equation.</w:t>
      </w:r>
      <w:r>
        <w:rPr>
          <w:i/>
          <w:iCs/>
          <w:color w:val="5B6573"/>
          <w:sz w:val="15"/>
          <w:szCs w:val="15"/>
        </w:rPr>
        <w:t xml:space="preserve">  Optimisation with an embedded learned constraint and a trust region (representative formulation)</w:t>
      </w:r>
    </w:p>
    <w:p>
      <w:pPr>
        <w:pStyle w:val="Equation"/>
      </w:pPr>
      <m:oMathPara>
        <m:oMathParaPr>
          <m:jc m:val="center"/>
        </m:oMathParaPr>
        <m:oMath>
          <m:limLow>
            <m:e>
              <m:r>
                <m:rPr>
                  <m:sty m:val="p"/>
                </m:rPr>
                <m:t>min</m:t>
              </m:r>
            </m:e>
            <m:lim>
              <m:r>
                <m:rPr>
                  <m:sty m:val="b"/>
                </m:rPr>
                <m:t>x</m:t>
              </m:r>
              <m:r>
                <m:rPr>
                  <m:sty m:val="p"/>
                </m:rPr>
                <m:t>∈</m:t>
              </m:r>
              <m:r>
                <m:rPr>
                  <m:scr m:val="script"/>
                  <m:sty m:val="p"/>
                </m:rPr>
                <m:t>X</m:t>
              </m:r>
              <m:r>
                <m:rPr>
                  <m:sty m:val="p"/>
                </m:rPr>
                <m:t>,</m:t>
              </m:r>
              <m:r>
                <m:t> </m:t>
              </m:r>
              <m:r>
                <m:rPr>
                  <m:sty m:val="b"/>
                </m:rPr>
                <m:t>z</m:t>
              </m:r>
              <m:r>
                <m:rPr>
                  <m:sty m:val="p"/>
                </m:rPr>
                <m:t>∈</m:t>
              </m:r>
              <m:r>
                <m:rPr>
                  <m:sty m:val="p"/>
                </m:rPr>
                <m:t>{</m:t>
              </m:r>
              <m:r>
                <m:t>0</m:t>
              </m:r>
              <m:r>
                <m:rPr>
                  <m:sty m:val="p"/>
                </m:rPr>
                <m:t>,</m:t>
              </m:r>
              <m:r>
                <m:t>1</m:t>
              </m:r>
              <m:sSup>
                <m:e>
                  <m:r>
                    <m:rPr>
                      <m:sty m:val="p"/>
                    </m:rPr>
                    <m:t>}</m:t>
                  </m:r>
                </m:e>
                <m:sup>
                  <m:r>
                    <m:t>m</m:t>
                  </m:r>
                </m:sup>
              </m:sSup>
            </m:lim>
          </m:limLow>
          <m:r>
            <m:t> </m:t>
          </m:r>
          <m:r>
            <m:t>f</m:t>
          </m:r>
          <m:d>
            <m:dPr>
              <m:begChr m:val="("/>
              <m:sepChr m:val=""/>
              <m:endChr m:val=")"/>
              <m:grow/>
            </m:dPr>
            <m:e>
              <m:r>
                <m:rPr>
                  <m:sty m:val="b"/>
                </m:rPr>
                <m:t>x</m:t>
              </m:r>
            </m:e>
          </m:d>
          <m:r>
            <m:t> </m:t>
          </m:r>
          <m:r>
            <m:rPr>
              <m:nor/>
            </m:rPr>
            <m:t>s.t.</m:t>
          </m:r>
          <m:r>
            <m:t> </m:t>
          </m:r>
          <m:sSub>
            <m:e>
              <m:acc>
                <m:accPr>
                  <m:chr m:val="̂"/>
                </m:accPr>
                <m:e>
                  <m:r>
                    <m:t>h</m:t>
                  </m:r>
                </m:e>
              </m:acc>
            </m:e>
            <m:sub>
              <m:r>
                <m:t>θ</m:t>
              </m:r>
            </m:sub>
          </m:sSub>
          <m:d>
            <m:dPr>
              <m:begChr m:val="("/>
              <m:sepChr m:val=""/>
              <m:endChr m:val=")"/>
              <m:grow/>
            </m:dPr>
            <m:e>
              <m:r>
                <m:rPr>
                  <m:sty m:val="b"/>
                </m:rPr>
                <m:t>x</m:t>
              </m:r>
            </m:e>
          </m:d>
          <m:r>
            <m:rPr>
              <m:sty m:val="p"/>
            </m:rPr>
            <m:t>≤</m:t>
          </m:r>
          <m:r>
            <m:t>τ</m:t>
          </m:r>
          <m:r>
            <m:rPr>
              <m:sty m:val="p"/>
            </m:rPr>
            <m:t>,</m:t>
          </m:r>
          <m:r>
            <m:t>  </m:t>
          </m:r>
          <m:r>
            <m:rPr>
              <m:sty m:val="b"/>
            </m:rPr>
            <m:t>x</m:t>
          </m:r>
          <m:r>
            <m:rPr>
              <m:sty m:val="p"/>
            </m:rPr>
            <m:t>∈</m:t>
          </m:r>
          <m:r>
            <m:rPr>
              <m:sty m:val="p"/>
            </m:rPr>
            <m:t>conv</m:t>
          </m:r>
          <m:sSubSup>
            <m:e>
              <m:d>
                <m:dPr>
                  <m:begChr m:val="{"/>
                  <m:sepChr m:val=""/>
                  <m:endChr m:val="}"/>
                  <m:grow/>
                </m:dPr>
                <m:e>
                  <m:sSub>
                    <m:e>
                      <m:acc>
                        <m:accPr>
                          <m:chr m:val="‾"/>
                        </m:accPr>
                        <m:e>
                          <m:r>
                            <m:rPr>
                              <m:sty m:val="b"/>
                            </m:rPr>
                            <m:t>x</m:t>
                          </m:r>
                        </m:e>
                      </m:acc>
                    </m:e>
                    <m:sub>
                      <m:r>
                        <m:t>i</m:t>
                      </m:r>
                    </m:sub>
                  </m:sSub>
                </m:e>
              </m:d>
            </m:e>
            <m:sub>
              <m:r>
                <m:t>i</m:t>
              </m:r>
              <m:r>
                <m:rPr>
                  <m:sty m:val="p"/>
                </m:rPr>
                <m:t>=</m:t>
              </m:r>
              <m:r>
                <m:t>1</m:t>
              </m:r>
            </m:sub>
            <m:sup>
              <m:r>
                <m:t>N</m:t>
              </m:r>
            </m:sup>
          </m:sSubSup>
        </m:oMath>
      </m:oMathPara>
    </w:p>
    <w:p>
      <w:pPr>
        <w:spacing w:after="60"/>
        <w:jc w:val="both"/>
      </w:pPr>
      <m:oMath>
        <m:sSub>
          <m:e>
            <m:acc>
              <m:accPr>
                <m:chr m:val="̂"/>
              </m:accPr>
              <m:e>
                <m:r>
                  <m:t>h</m:t>
                </m:r>
              </m:e>
            </m:acc>
          </m:e>
          <m:sub>
            <m:r>
              <m:t>θ</m:t>
            </m:r>
          </m:sub>
        </m:sSub>
      </m:oMath>
      <w:r>
        <w:rPr>
          <w:color w:val="3A4350"/>
          <w:sz w:val="15"/>
          <w:szCs w:val="15"/>
        </w:rPr>
        <w:t xml:space="preserve"> is the learned model of the constraint (each ReLU unit written with binary variables </w:t>
      </w:r>
      <m:oMath>
        <m:r>
          <m:rPr>
            <m:sty m:val="b"/>
          </m:rPr>
          <m:t>z</m:t>
        </m:r>
      </m:oMath>
      <w:r>
        <w:rPr>
          <w:color w:val="3A4350"/>
          <w:sz w:val="15"/>
          <w:szCs w:val="15"/>
        </w:rPr>
        <w:t xml:space="preserve"> and big-M bounds), </w:t>
      </w:r>
      <m:oMath>
        <m:r>
          <m:t>τ</m:t>
        </m:r>
      </m:oMath>
      <w:r>
        <w:rPr>
          <w:color w:val="3A4350"/>
          <w:sz w:val="15"/>
          <w:szCs w:val="15"/>
        </w:rPr>
        <w:t xml:space="preserve"> its limit and </w:t>
      </w:r>
      <m:oMath>
        <m:sSub>
          <m:e>
            <m:acc>
              <m:accPr>
                <m:chr m:val="‾"/>
              </m:accPr>
              <m:e>
                <m:r>
                  <m:rPr>
                    <m:sty m:val="b"/>
                  </m:rPr>
                  <m:t>x</m:t>
                </m:r>
              </m:e>
            </m:acc>
          </m:e>
          <m:sub>
            <m:r>
              <m:t>i</m:t>
            </m:r>
          </m:sub>
        </m:sSub>
      </m:oMath>
      <w:r>
        <w:rPr>
          <w:color w:val="3A4350"/>
          <w:sz w:val="15"/>
          <w:szCs w:val="15"/>
        </w:rPr>
        <w:t xml:space="preserve"> the training points that define the trust region.</w:t>
      </w:r>
    </w:p>
    <w:p>
      <w:pPr>
        <w:spacing w:after="60"/>
        <w:jc w:val="both"/>
      </w:pPr>
      <w:r>
        <w:rPr>
          <w:b/>
          <w:bCs/>
          <w:color w:val="4D4D4F"/>
          <w:sz w:val="17"/>
          <w:szCs w:val="17"/>
        </w:rPr>
        <w:t xml:space="preserve">For the assembly and the wells. </w:t>
      </w:r>
      <w:r>
        <w:rPr>
          <w:sz w:val="17"/>
          <w:szCs w:val="17"/>
        </w:rPr>
        <w:t xml:space="preserve">Belongs to theme 4. A network or tree trained on runs of the assembled aquifer system to predict chloride at a supply screen becomes an exact constraint </w:t>
      </w:r>
      <m:oMath>
        <m:sSub>
          <m:e>
            <m:acc>
              <m:accPr>
                <m:chr m:val="̂"/>
              </m:accPr>
              <m:e>
                <m:r>
                  <m:t>c</m:t>
                </m:r>
              </m:e>
            </m:acc>
          </m:e>
          <m:sub>
            <m:r>
              <m:rPr>
                <m:sty m:val="p"/>
              </m:rPr>
              <m:t>C</m:t>
            </m:r>
            <m:r>
              <m:rPr>
                <m:sty m:val="p"/>
              </m:rPr>
              <m:t>l</m:t>
            </m:r>
          </m:sub>
        </m:sSub>
        <m:d>
          <m:dPr>
            <m:begChr m:val="("/>
            <m:sepChr m:val=""/>
            <m:endChr m:val=")"/>
            <m:grow/>
          </m:dPr>
          <m:e>
            <m:r>
              <m:rPr>
                <m:sty m:val="b"/>
              </m:rPr>
              <m:t>x</m:t>
            </m:r>
          </m:e>
        </m:d>
        <m:r>
          <m:rPr>
            <m:sty m:val="p"/>
          </m:rPr>
          <m:t>≤</m:t>
        </m:r>
        <m:r>
          <m:t>250</m:t>
        </m:r>
      </m:oMath>
      <w:r>
        <w:rPr>
          <w:sz w:val="17"/>
          <w:szCs w:val="17"/>
        </w:rPr>
        <w:t xml:space="preserve"> mg/L in a mixed-integer program whose binary variables choose the sites of recharge and pumping wells and whose continuous variables set their rates. The trust region stops the optimiser from placing wells where the model was never trained.</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gives a general, exact and safeguarded way to put learned models of complex systems inside mixed-integer optimisation, with open software, from the leading group in the field. Published in Operations Research.</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learned constraint is deterministic, with robustness only across bootstrap models; a chance constraint over the posterior of the aquifer, and the error of the learned model near the limit, are not part of it.</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exact embedding of learned constraints in mixed-integer optimisation with a trust region against extrapolation. Proposed extension: learn the posterior exceedance probability of chloride at each supply screen as a function of the layout (binary sites, continuous rates) from runs of the assembled system, embed it with OptiCL, and require the predicted probability plus its bootstrap spread to stay below 10%; check the chosen layout with the full model.</w:t>
      </w:r>
    </w:p>
    <w:p>
      <w:pPr>
        <w:keepNext/>
        <w:pBdr>
          <w:top w:val="single" w:color="4D4D4F" w:sz="6" w:space="4"/>
        </w:pBdr>
        <w:spacing w:after="60" w:before="220"/>
      </w:pPr>
      <w:r>
        <w:rPr>
          <w:b/>
          <w:bCs/>
          <w:color w:val="4D4D4F"/>
          <w:sz w:val="23"/>
          <w:szCs w:val="23"/>
        </w:rPr>
        <w:t xml:space="preserve">M2  </w:t>
      </w:r>
      <w:r>
        <w:rPr>
          <w:b/>
          <w:bCs/>
          <w:color w:val="1F3864"/>
          <w:sz w:val="23"/>
          <w:szCs w:val="23"/>
        </w:rPr>
        <w:t xml:space="preserve">Technical Note—Two-Stage Sample Robust Optimization</w:t>
      </w:r>
    </w:p>
    <w:p>
      <w:pPr>
        <w:keepNext/>
        <w:spacing w:after="60" w:line="240" w:lineRule="auto"/>
      </w:pPr>
      <w:r>
        <w:rPr>
          <w:b/>
          <w:bCs/>
          <w:color w:val="333B47"/>
          <w:sz w:val="15"/>
          <w:szCs w:val="15"/>
        </w:rPr>
        <w:t xml:space="preserve">Authors: </w:t>
      </w:r>
      <w:r>
        <w:rPr>
          <w:sz w:val="15"/>
          <w:szCs w:val="15"/>
        </w:rPr>
        <w:t xml:space="preserve">Dimitris Bertsimas, Shimrit Shtern, Bradley Sturt</w:t>
      </w:r>
      <w:r>
        <w:rPr>
          <w:sz w:val="15"/>
          <w:szCs w:val="15"/>
        </w:rPr>
        <w:t xml:space="preserve">   </w:t>
      </w:r>
      <w:r>
        <w:rPr>
          <w:b/>
          <w:bCs/>
          <w:color w:val="333B47"/>
          <w:sz w:val="15"/>
          <w:szCs w:val="15"/>
        </w:rPr>
        <w:t xml:space="preserve">Published in: </w:t>
      </w:r>
      <w:r>
        <w:rPr>
          <w:sz w:val="15"/>
          <w:szCs w:val="15"/>
        </w:rPr>
        <w:t xml:space="preserve">Operations Research, 70(1), 624–640 (2022); arXiv:1907.07142</w:t>
      </w:r>
      <w:r>
        <w:rPr>
          <w:sz w:val="15"/>
          <w:szCs w:val="15"/>
        </w:rPr>
        <w:t xml:space="preserve">   </w:t>
      </w:r>
      <w:r>
        <w:rPr>
          <w:b/>
          <w:bCs/>
          <w:color w:val="333B47"/>
          <w:sz w:val="15"/>
          <w:szCs w:val="15"/>
        </w:rPr>
        <w:t xml:space="preserve">Link: </w:t>
      </w:r>
      <w:hyperlink w:history="1" r:id="rIdft4mm5tuyd3nnpt5mbesw">
        <w:r>
          <w:rPr>
            <w:color w:val="1D4ED8"/>
            <w:sz w:val="15"/>
            <w:szCs w:val="15"/>
            <w:u w:val="single"/>
          </w:rPr>
          <w:t xml:space="preserve">https://doi.org/10.1287/opre.2020.2096</w:t>
        </w:r>
      </w:hyperlink>
    </w:p>
    <w:p>
      <w:pPr>
        <w:keepNext/>
        <w:spacing w:after="80" w:line="240" w:lineRule="auto"/>
      </w:pPr>
      <w:r>
        <w:rPr>
          <w:b/>
          <w:bCs/>
          <w:color w:val="333B47"/>
          <w:sz w:val="15"/>
          <w:szCs w:val="15"/>
        </w:rPr>
        <w:t xml:space="preserve">Affiliation: </w:t>
      </w:r>
      <w:r>
        <w:rPr>
          <w:color w:val="3A4350"/>
          <w:sz w:val="15"/>
          <w:szCs w:val="15"/>
        </w:rPr>
        <w:t xml:space="preserve">The MIT DSpace record lists the paper as MIT work; Bertsimas is at the MIT Sloan School of Management. Other affiliations not verified. A different paper by the same authors (Management Science 2023) was a card in review 57.</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(5/5)</w:t>
      </w:r>
    </w:p>
    <w:p>
      <w:pPr>
        <w:spacing w:after="60"/>
        <w:jc w:val="both"/>
      </w:pPr>
      <w:r>
        <w:rPr>
          <w:b/>
          <w:bCs/>
          <w:color w:val="4D4D4F"/>
          <w:sz w:val="17"/>
          <w:szCs w:val="17"/>
        </w:rPr>
        <w:t xml:space="preserve">Summary. </w:t>
      </w:r>
      <w:r>
        <w:rPr>
          <w:sz w:val="17"/>
          <w:szCs w:val="17"/>
        </w:rPr>
        <w:t xml:space="preserve">Many decisions are taken in two stages: a first decision is fixed before the uncertainty is revealed and a recourse decision follows. The authors model the uncertainty by a small ball (type-</w:t>
      </w:r>
      <m:oMath>
        <m:r>
          <m:rPr>
            <m:sty m:val="p"/>
          </m:rPr>
          <m:t>∞</m:t>
        </m:r>
      </m:oMath>
      <w:r>
        <w:rPr>
          <w:sz w:val="17"/>
          <w:szCs w:val="17"/>
        </w:rPr>
        <w:t xml:space="preserve"> Wasserstein) around each historical sample, approximate the recourse by overlapping linear decision rules, and show that the problem becomes a linear program whose size grows linearly with the number of samples. They prove that the decisions converge to those of the true stochastic problem as the data grow, and their experiments beat other data-driven methods.</w:t>
      </w:r>
    </w:p>
    <w:p>
      <w:pPr>
        <w:keepNext/>
        <w:spacing w:after="20" w:before="40"/>
      </w:pPr>
      <w:r>
        <w:rPr>
          <w:b/>
          <w:bCs/>
          <w:color w:val="4D4D4F"/>
          <w:sz w:val="17"/>
          <w:szCs w:val="17"/>
        </w:rPr>
        <w:t xml:space="preserve">Key equation.</w:t>
      </w:r>
      <w:r>
        <w:rPr>
          <w:i/>
          <w:iCs/>
          <w:color w:val="5B6573"/>
          <w:sz w:val="15"/>
          <w:szCs w:val="15"/>
        </w:rPr>
        <w:t xml:space="preserve">  Two-stage sample robust optimisation (representative formulation)</w:t>
      </w:r>
    </w:p>
    <w:p>
      <w:pPr>
        <w:pStyle w:val="Equation"/>
      </w:pPr>
      <m:oMathPara>
        <m:oMathParaPr>
          <m:jc m:val="center"/>
        </m:oMathParaPr>
        <m:oMath>
          <m:limLow>
            <m:e>
              <m:r>
                <m:rPr>
                  <m:sty m:val="p"/>
                </m:rPr>
                <m:t>min</m:t>
              </m:r>
            </m:e>
            <m:lim>
              <m:r>
                <m:rPr>
                  <m:sty m:val="b"/>
                </m:rPr>
                <m:t>x</m:t>
              </m:r>
              <m:r>
                <m:rPr>
                  <m:sty m:val="p"/>
                </m:rPr>
                <m:t>∈</m:t>
              </m:r>
              <m:r>
                <m:rPr>
                  <m:scr m:val="script"/>
                  <m:sty m:val="p"/>
                </m:rPr>
                <m:t>X</m:t>
              </m:r>
            </m:lim>
          </m:limLow>
          <m:r>
            <m:t> </m:t>
          </m:r>
          <m:sSup>
            <m:e>
              <m:r>
                <m:rPr>
                  <m:sty m:val="b"/>
                </m:rPr>
                <m:t>c</m:t>
              </m:r>
            </m:e>
            <m:sup>
              <m:r>
                <m:rPr>
                  <m:sty m:val="p"/>
                </m:rPr>
                <m:t>⊤</m:t>
              </m:r>
            </m:sup>
          </m:sSup>
          <m:r>
            <m:rPr>
              <m:sty m:val="b"/>
            </m:rPr>
            <m:t>x</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 </m:t>
              </m:r>
            </m:e>
          </m:nary>
          <m:limLow>
            <m:e>
              <m:r>
                <m:rPr>
                  <m:sty m:val="p"/>
                </m:rPr>
                <m:t>sup</m:t>
              </m:r>
            </m:e>
            <m:lim>
              <m:r>
                <m:rPr>
                  <m:sty m:val="b"/>
                </m:rPr>
                <m:t>ζ</m:t>
              </m:r>
              <m:r>
                <m:rPr>
                  <m:sty m:val="p"/>
                </m:rPr>
                <m:t>∈</m:t>
              </m:r>
              <m:sSub>
                <m:e>
                  <m:r>
                    <m:rPr>
                      <m:scr m:val="script"/>
                      <m:sty m:val="p"/>
                    </m:rPr>
                    <m:t>U</m:t>
                  </m:r>
                </m:e>
                <m:sub>
                  <m:r>
                    <m:t>i</m:t>
                  </m:r>
                </m:sub>
              </m:sSub>
            </m:lim>
          </m:limLow>
          <m:r>
            <m:t> </m:t>
          </m:r>
          <m:limLow>
            <m:e>
              <m:r>
                <m:rPr>
                  <m:sty m:val="p"/>
                </m:rPr>
                <m:t>min</m:t>
              </m:r>
            </m:e>
            <m:lim>
              <m:r>
                <m:rPr>
                  <m:sty m:val="b"/>
                </m:rPr>
                <m:t>y</m:t>
              </m:r>
              <m:r>
                <m:rPr>
                  <m:sty m:val="p"/>
                </m:rPr>
                <m:t>∈</m:t>
              </m:r>
              <m:r>
                <m:rPr>
                  <m:scr m:val="script"/>
                  <m:sty m:val="p"/>
                </m:rPr>
                <m:t>Y</m:t>
              </m:r>
              <m:d>
                <m:dPr>
                  <m:begChr m:val="("/>
                  <m:sepChr m:val=""/>
                  <m:endChr m:val=")"/>
                  <m:grow/>
                </m:dPr>
                <m:e>
                  <m:r>
                    <m:rPr>
                      <m:sty m:val="b"/>
                    </m:rPr>
                    <m:t>x</m:t>
                  </m:r>
                  <m:r>
                    <m:rPr>
                      <m:sty m:val="p"/>
                    </m:rPr>
                    <m:t>,</m:t>
                  </m:r>
                  <m:r>
                    <m:rPr>
                      <m:sty m:val="b"/>
                    </m:rPr>
                    <m:t>ζ</m:t>
                  </m:r>
                </m:e>
              </m:d>
            </m:lim>
          </m:limLow>
          <m:r>
            <m:rPr>
              <m:sty m:val="b"/>
            </m:rPr>
            <m:t>q</m:t>
          </m:r>
          <m:sSup>
            <m:e>
              <m:d>
                <m:dPr>
                  <m:begChr m:val="("/>
                  <m:sepChr m:val=""/>
                  <m:endChr m:val=")"/>
                  <m:grow/>
                </m:dPr>
                <m:e>
                  <m:r>
                    <m:rPr>
                      <m:sty m:val="b"/>
                    </m:rPr>
                    <m:t>ζ</m:t>
                  </m:r>
                </m:e>
              </m:d>
            </m:e>
            <m:sup>
              <m:r>
                <m:rPr>
                  <m:sty m:val="p"/>
                </m:rPr>
                <m:t>⊤</m:t>
              </m:r>
            </m:sup>
          </m:sSup>
          <m:r>
            <m:rPr>
              <m:sty m:val="b"/>
            </m:rPr>
            <m:t>y</m:t>
          </m:r>
          <m:r>
            <m:rPr>
              <m:sty m:val="p"/>
            </m:rPr>
            <m:t>,</m:t>
          </m:r>
          <m:r>
            <m:t>  </m:t>
          </m:r>
          <m:sSub>
            <m:e>
              <m:r>
                <m:rPr>
                  <m:scr m:val="script"/>
                  <m:sty m:val="p"/>
                </m:rPr>
                <m:t>U</m:t>
              </m:r>
            </m:e>
            <m:sub>
              <m:r>
                <m:t>i</m:t>
              </m:r>
            </m:sub>
          </m:sSub>
          <m:r>
            <m:rPr>
              <m:sty m:val="p"/>
            </m:rPr>
            <m:t>=</m:t>
          </m:r>
          <m:d>
            <m:dPr>
              <m:begChr m:val="{"/>
              <m:sepChr m:val=""/>
              <m:endChr m:val="}"/>
              <m:grow/>
            </m:dPr>
            <m:e>
              <m:r>
                <m:rPr>
                  <m:sty m:val="b"/>
                </m:rPr>
                <m:t>ζ</m:t>
              </m:r>
              <m:r>
                <m:rPr>
                  <m:sty m:val="p"/>
                </m:rPr>
                <m:t>:</m:t>
              </m:r>
              <m:sSub>
                <m:e>
                  <m:d>
                    <m:dPr>
                      <m:begChr m:val="∥"/>
                      <m:sepChr m:val=""/>
                      <m:endChr m:val="∥"/>
                      <m:grow/>
                    </m:dPr>
                    <m:e>
                      <m:r>
                        <m:rPr>
                          <m:sty m:val="b"/>
                        </m:rPr>
                        <m:t>ζ</m:t>
                      </m:r>
                      <m:r>
                        <m:rPr>
                          <m:sty m:val="p"/>
                        </m:rPr>
                        <m:t>−</m:t>
                      </m:r>
                      <m:sSub>
                        <m:e>
                          <m:acc>
                            <m:accPr>
                              <m:chr m:val="̂"/>
                            </m:accPr>
                            <m:e>
                              <m:r>
                                <m:rPr>
                                  <m:sty m:val="b"/>
                                </m:rPr>
                                <m:t>ζ</m:t>
                              </m:r>
                            </m:e>
                          </m:acc>
                        </m:e>
                        <m:sub>
                          <m:r>
                            <m:t>i</m:t>
                          </m:r>
                        </m:sub>
                      </m:sSub>
                    </m:e>
                  </m:d>
                </m:e>
                <m:sub>
                  <m:r>
                    <m:rPr>
                      <m:sty m:val="p"/>
                    </m:rPr>
                    <m:t>∞</m:t>
                  </m:r>
                </m:sub>
              </m:sSub>
              <m:r>
                <m:rPr>
                  <m:sty m:val="p"/>
                </m:rPr>
                <m:t>≤</m:t>
              </m:r>
              <m:sSub>
                <m:e>
                  <m:r>
                    <m:t>ϵ</m:t>
                  </m:r>
                </m:e>
                <m:sub>
                  <m:r>
                    <m:t>N</m:t>
                  </m:r>
                </m:sub>
              </m:sSub>
            </m:e>
          </m:d>
        </m:oMath>
      </m:oMathPara>
    </w:p>
    <w:p>
      <w:pPr>
        <w:spacing w:after="60"/>
        <w:jc w:val="both"/>
      </w:pPr>
      <m:oMath>
        <m:r>
          <m:rPr>
            <m:sty m:val="b"/>
          </m:rPr>
          <m:t>x</m:t>
        </m:r>
      </m:oMath>
      <w:r>
        <w:rPr>
          <w:color w:val="3A4350"/>
          <w:sz w:val="15"/>
          <w:szCs w:val="15"/>
        </w:rPr>
        <w:t xml:space="preserve"> is the first-stage decision, </w:t>
      </w:r>
      <m:oMath>
        <m:sSub>
          <m:e>
            <m:acc>
              <m:accPr>
                <m:chr m:val="̂"/>
              </m:accPr>
              <m:e>
                <m:r>
                  <m:rPr>
                    <m:sty m:val="b"/>
                  </m:rPr>
                  <m:t>ζ</m:t>
                </m:r>
              </m:e>
            </m:acc>
          </m:e>
          <m:sub>
            <m:r>
              <m:t>i</m:t>
            </m:r>
          </m:sub>
        </m:sSub>
      </m:oMath>
      <w:r>
        <w:rPr>
          <w:color w:val="3A4350"/>
          <w:sz w:val="15"/>
          <w:szCs w:val="15"/>
        </w:rPr>
        <w:t xml:space="preserve"> the </w:t>
      </w:r>
      <m:oMath>
        <m:r>
          <m:t>N</m:t>
        </m:r>
      </m:oMath>
      <w:r>
        <w:rPr>
          <w:color w:val="3A4350"/>
          <w:sz w:val="15"/>
          <w:szCs w:val="15"/>
        </w:rPr>
        <w:t xml:space="preserve"> samples of the uncertainty, </w:t>
      </w:r>
      <m:oMath>
        <m:sSub>
          <m:e>
            <m:r>
              <m:rPr>
                <m:scr m:val="script"/>
                <m:sty m:val="p"/>
              </m:rPr>
              <m:t>U</m:t>
            </m:r>
          </m:e>
          <m:sub>
            <m:r>
              <m:t>i</m:t>
            </m:r>
          </m:sub>
        </m:sSub>
      </m:oMath>
      <w:r>
        <w:rPr>
          <w:color w:val="3A4350"/>
          <w:sz w:val="15"/>
          <w:szCs w:val="15"/>
        </w:rPr>
        <w:t xml:space="preserve"> a ball of radius </w:t>
      </w:r>
      <m:oMath>
        <m:sSub>
          <m:e>
            <m:r>
              <m:t>ϵ</m:t>
            </m:r>
          </m:e>
          <m:sub>
            <m:r>
              <m:t>N</m:t>
            </m:r>
          </m:sub>
        </m:sSub>
      </m:oMath>
      <w:r>
        <w:rPr>
          <w:color w:val="3A4350"/>
          <w:sz w:val="15"/>
          <w:szCs w:val="15"/>
        </w:rPr>
        <w:t xml:space="preserve"> around each, and </w:t>
      </w:r>
      <m:oMath>
        <m:r>
          <m:rPr>
            <m:sty m:val="b"/>
          </m:rPr>
          <m:t>y</m:t>
        </m:r>
      </m:oMath>
      <w:r>
        <w:rPr>
          <w:color w:val="3A4350"/>
          <w:sz w:val="15"/>
          <w:szCs w:val="15"/>
        </w:rPr>
        <w:t xml:space="preserve"> the recourse decision.</w:t>
      </w:r>
    </w:p>
    <w:p>
      <w:pPr>
        <w:spacing w:after="60"/>
        <w:jc w:val="both"/>
      </w:pPr>
      <w:r>
        <w:rPr>
          <w:b/>
          <w:bCs/>
          <w:color w:val="4D4D4F"/>
          <w:sz w:val="17"/>
          <w:szCs w:val="17"/>
        </w:rPr>
        <w:t xml:space="preserve">For the assembly and the wells. </w:t>
      </w:r>
      <w:r>
        <w:rPr>
          <w:sz w:val="17"/>
          <w:szCs w:val="17"/>
        </w:rPr>
        <w:t xml:space="preserve">Belongs to theme 4. Placing wells is the first stage: sites and capacities are fixed before the aquifer is known; the recharge and pumping rates are the recourse, adjusted once recharge, sea level and the conductivity field are revealed. The samples are the posterior draws of the assembled system, and the balls protect the chloride limit against sampling error without assuming one distribution.</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A tractable, data-driven formulation of two-stage decisions with a proof of asymptotic optimality and strong experiments, from the leading group in robust optimisation. Published in Operations Research.</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recourse is linear in a linear program; in the aquifer the chloride responds nonlinearly to the rates through the density coupling, and the first-stage choice of sites is binary.</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two-stage decisions protected by small balls around each sample, solved as a linear program with proved convergence. Proposed extension: choose the sites of recharge and pumping wells as the first stage and their rates as linear decision rules of the observed recharge and sea level, with the chloride limit linearised around each posterior draw of the assembled system; compare the delivered water with a layout and rates fixed in advance.</w:t>
      </w:r>
    </w:p>
    <w:p>
      <w:pPr>
        <w:keepNext/>
        <w:pBdr>
          <w:top w:val="single" w:color="4D4D4F" w:sz="6" w:space="4"/>
        </w:pBdr>
        <w:spacing w:after="60" w:before="220"/>
      </w:pPr>
      <w:r>
        <w:rPr>
          <w:b/>
          <w:bCs/>
          <w:color w:val="4D4D4F"/>
          <w:sz w:val="23"/>
          <w:szCs w:val="23"/>
        </w:rPr>
        <w:t xml:space="preserve">M3  </w:t>
      </w:r>
      <w:r>
        <w:rPr>
          <w:b/>
          <w:bCs/>
          <w:color w:val="1F3864"/>
          <w:sz w:val="23"/>
          <w:szCs w:val="23"/>
        </w:rPr>
        <w:t xml:space="preserve">A process-based approach to understanding and managing triggered seismicity</w:t>
      </w:r>
    </w:p>
    <w:p>
      <w:pPr>
        <w:keepNext/>
        <w:spacing w:after="60" w:line="240" w:lineRule="auto"/>
      </w:pPr>
      <w:r>
        <w:rPr>
          <w:b/>
          <w:bCs/>
          <w:color w:val="333B47"/>
          <w:sz w:val="15"/>
          <w:szCs w:val="15"/>
        </w:rPr>
        <w:t xml:space="preserve">Authors: </w:t>
      </w:r>
      <w:r>
        <w:rPr>
          <w:sz w:val="15"/>
          <w:szCs w:val="15"/>
        </w:rPr>
        <w:t xml:space="preserve">Bradford H. Hager, James Dieterich, Cliff Frohlich, Ruben Juanes, Stefano Mantica, John H. Shaw, Francesca Bottazzi, Federica Caresani, David Castineira, Alberto Cominelli, Marco Meda, Lorenzo Osculati, Stefania Petroselli, Andreas Plesch</w:t>
      </w:r>
      <w:r>
        <w:rPr>
          <w:sz w:val="15"/>
          <w:szCs w:val="15"/>
        </w:rPr>
        <w:t xml:space="preserve">   </w:t>
      </w:r>
      <w:r>
        <w:rPr>
          <w:b/>
          <w:bCs/>
          <w:color w:val="333B47"/>
          <w:sz w:val="15"/>
          <w:szCs w:val="15"/>
        </w:rPr>
        <w:t xml:space="preserve">Published in: </w:t>
      </w:r>
      <w:r>
        <w:rPr>
          <w:sz w:val="15"/>
          <w:szCs w:val="15"/>
        </w:rPr>
        <w:t xml:space="preserve">Nature, 595(7869), 684–689 (2021)</w:t>
      </w:r>
      <w:r>
        <w:rPr>
          <w:sz w:val="15"/>
          <w:szCs w:val="15"/>
        </w:rPr>
        <w:t xml:space="preserve">   </w:t>
      </w:r>
      <w:r>
        <w:rPr>
          <w:b/>
          <w:bCs/>
          <w:color w:val="333B47"/>
          <w:sz w:val="15"/>
          <w:szCs w:val="15"/>
        </w:rPr>
        <w:t xml:space="preserve">Link: </w:t>
      </w:r>
      <w:hyperlink w:history="1" r:id="rId5ngm2sf51bdvt6xfgpzct">
        <w:r>
          <w:rPr>
            <w:color w:val="1D4ED8"/>
            <w:sz w:val="15"/>
            <w:szCs w:val="15"/>
            <w:u w:val="single"/>
          </w:rPr>
          <w:t xml:space="preserve">https://doi.org/10.1038/s41586-021-03668-z</w:t>
        </w:r>
      </w:hyperlink>
    </w:p>
    <w:p>
      <w:pPr>
        <w:keepNext/>
        <w:spacing w:after="80" w:line="240" w:lineRule="auto"/>
      </w:pPr>
      <w:r>
        <w:rPr>
          <w:b/>
          <w:bCs/>
          <w:color w:val="333B47"/>
          <w:sz w:val="15"/>
          <w:szCs w:val="15"/>
        </w:rPr>
        <w:t xml:space="preserve">Affiliation: </w:t>
      </w:r>
      <w:r>
        <w:rPr>
          <w:color w:val="3A4350"/>
          <w:sz w:val="15"/>
          <w:szCs w:val="15"/>
        </w:rPr>
        <w:t xml:space="preserve">MIT news pages name Hager (MIT Earth, Atmospheric and Planetary Sciences) and Juanes (MIT Civil and Environmental Engineering); the Harvard DASH record lists affiliations including MIT, UC Riverside, UT Austin, Harvard and Eni.</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(5/5)</w:t>
      </w:r>
    </w:p>
    <w:p>
      <w:pPr>
        <w:spacing w:after="60"/>
        <w:jc w:val="both"/>
      </w:pPr>
      <w:r>
        <w:rPr>
          <w:b/>
          <w:bCs/>
          <w:color w:val="4D4D4F"/>
          <w:sz w:val="17"/>
          <w:szCs w:val="17"/>
        </w:rPr>
        <w:t xml:space="preserve">Summary. </w:t>
      </w:r>
      <w:r>
        <w:rPr>
          <w:sz w:val="17"/>
          <w:szCs w:val="17"/>
        </w:rPr>
        <w:t xml:space="preserve">Injecting fluid underground can trigger earthquakes. At the Val d'Agri oil field in Italy the team calibrated coupled models of reservoir flow, geomechanics and earthquake nucleation (rate-and-state friction) with detailed subsurface data, checked them against observations made after the calibration, and used them to recommend limits on the injection rate. The operator followed the recommendations, and the only small events coincided with brief periods above the recommended rate: the first documented case of managing triggered seismicity at a producing field with a process-based model.</w:t>
      </w:r>
    </w:p>
    <w:p>
      <w:pPr>
        <w:keepNext/>
        <w:spacing w:after="20" w:before="40"/>
      </w:pPr>
      <w:r>
        <w:rPr>
          <w:b/>
          <w:bCs/>
          <w:color w:val="4D4D4F"/>
          <w:sz w:val="17"/>
          <w:szCs w:val="17"/>
        </w:rPr>
        <w:t xml:space="preserve">Key equation.</w:t>
      </w:r>
      <w:r>
        <w:rPr>
          <w:i/>
          <w:iCs/>
          <w:color w:val="5B6573"/>
          <w:sz w:val="15"/>
          <w:szCs w:val="15"/>
        </w:rPr>
        <w:t xml:space="preserve">  Keeping the stress change on the faults below a threshold through the injection rate (representative formulation)</w:t>
      </w:r>
    </w:p>
    <w:p>
      <w:pPr>
        <w:pStyle w:val="Equation"/>
      </w:pPr>
      <m:oMathPara>
        <m:oMathParaPr>
          <m:jc m:val="center"/>
        </m:oMathParaPr>
        <m:oMath>
          <m:r>
            <m:t>Δ</m:t>
          </m:r>
          <m:r>
            <m:rPr>
              <m:sty m:val="p"/>
            </m:rPr>
            <m:t>C</m:t>
          </m:r>
          <m:r>
            <m:rPr>
              <m:sty m:val="p"/>
            </m:rPr>
            <m:t>F</m:t>
          </m:r>
          <m:r>
            <m:rPr>
              <m:sty m:val="p"/>
            </m:rPr>
            <m:t>S</m:t>
          </m:r>
          <m:d>
            <m:dPr>
              <m:begChr m:val="("/>
              <m:sepChr m:val=""/>
              <m:endChr m:val=")"/>
              <m:grow/>
            </m:dPr>
            <m:e>
              <m:r>
                <m:rPr>
                  <m:sty m:val="b"/>
                </m:rPr>
                <m:t>x</m:t>
              </m:r>
              <m:r>
                <m:rPr>
                  <m:sty m:val="p"/>
                </m:rPr>
                <m:t>,</m:t>
              </m:r>
              <m:r>
                <m:t>t</m:t>
              </m:r>
              <m:r>
                <m:rPr>
                  <m:sty m:val="p"/>
                </m:rPr>
                <m:t>;</m:t>
              </m:r>
              <m:r>
                <m:t>q</m:t>
              </m:r>
            </m:e>
          </m:d>
          <m:r>
            <m:rPr>
              <m:sty m:val="p"/>
            </m:rPr>
            <m:t>=</m:t>
          </m:r>
          <m:r>
            <m:t>Δ</m:t>
          </m:r>
          <m:r>
            <m:t>τ</m:t>
          </m:r>
          <m:r>
            <m:rPr>
              <m:sty m:val="p"/>
            </m:rPr>
            <m:t>−</m:t>
          </m:r>
          <m:r>
            <m:t>μ</m:t>
          </m:r>
          <m:d>
            <m:dPr>
              <m:begChr m:val="("/>
              <m:sepChr m:val=""/>
              <m:endChr m:val=")"/>
              <m:grow/>
            </m:dPr>
            <m:e>
              <m:r>
                <m:t>Δ</m:t>
              </m:r>
              <m:sSub>
                <m:e>
                  <m:r>
                    <m:t>σ</m:t>
                  </m:r>
                </m:e>
                <m:sub>
                  <m:r>
                    <m:t>n</m:t>
                  </m:r>
                </m:sub>
              </m:sSub>
              <m:r>
                <m:rPr>
                  <m:sty m:val="p"/>
                </m:rPr>
                <m:t>−</m:t>
              </m:r>
              <m:r>
                <m:t>Δ</m:t>
              </m:r>
              <m:r>
                <m:t>p</m:t>
              </m:r>
              <m:d>
                <m:dPr>
                  <m:begChr m:val="("/>
                  <m:sepChr m:val=""/>
                  <m:endChr m:val=")"/>
                  <m:grow/>
                </m:dPr>
                <m:e>
                  <m:r>
                    <m:rPr>
                      <m:sty m:val="b"/>
                    </m:rPr>
                    <m:t>x</m:t>
                  </m:r>
                  <m:r>
                    <m:rPr>
                      <m:sty m:val="p"/>
                    </m:rPr>
                    <m:t>,</m:t>
                  </m:r>
                  <m:r>
                    <m:t>t</m:t>
                  </m:r>
                  <m:r>
                    <m:rPr>
                      <m:sty m:val="p"/>
                    </m:rPr>
                    <m:t>;</m:t>
                  </m:r>
                  <m:r>
                    <m:t>q</m:t>
                  </m:r>
                </m:e>
              </m:d>
            </m:e>
          </m:d>
          <m:r>
            <m:rPr>
              <m:sty m:val="p"/>
            </m:rPr>
            <m:t>≤</m:t>
          </m:r>
          <m:sSub>
            <m:e>
              <m:r>
                <m:rPr>
                  <m:sty m:val="p"/>
                </m:rPr>
                <m:t>C</m:t>
              </m:r>
              <m:r>
                <m:rPr>
                  <m:sty m:val="p"/>
                </m:rPr>
                <m:t>F</m:t>
              </m:r>
              <m:r>
                <m:rPr>
                  <m:sty m:val="p"/>
                </m:rPr>
                <m:t>S</m:t>
              </m:r>
            </m:e>
            <m:sub>
              <m:r>
                <m:rPr>
                  <m:sty m:val="p"/>
                </m:rPr>
                <m:t>c</m:t>
              </m:r>
              <m:r>
                <m:rPr>
                  <m:sty m:val="p"/>
                </m:rPr>
                <m:t>r</m:t>
              </m:r>
              <m:r>
                <m:rPr>
                  <m:sty m:val="p"/>
                </m:rPr>
                <m:t>i</m:t>
              </m:r>
              <m:r>
                <m:rPr>
                  <m:sty m:val="p"/>
                </m:rPr>
                <m:t>t</m:t>
              </m:r>
            </m:sub>
          </m:sSub>
          <m:r>
            <m:t>  </m:t>
          </m:r>
          <m:r>
            <m:rPr>
              <m:sty m:val="p"/>
            </m:rPr>
            <m:t>∀</m:t>
          </m:r>
          <m:r>
            <m:t> </m:t>
          </m:r>
          <m:r>
            <m:rPr>
              <m:sty m:val="b"/>
            </m:rPr>
            <m:t>x</m:t>
          </m:r>
          <m:r>
            <m:rPr>
              <m:sty m:val="p"/>
            </m:rPr>
            <m:t>∈</m:t>
          </m:r>
          <m:sSub>
            <m:e>
              <m:r>
                <m:t>Γ</m:t>
              </m:r>
            </m:e>
            <m:sub>
              <m:r>
                <m:rPr>
                  <m:sty m:val="p"/>
                </m:rPr>
                <m:t>f</m:t>
              </m:r>
              <m:r>
                <m:rPr>
                  <m:sty m:val="p"/>
                </m:rPr>
                <m:t>a</m:t>
              </m:r>
              <m:r>
                <m:rPr>
                  <m:sty m:val="p"/>
                </m:rPr>
                <m:t>u</m:t>
              </m:r>
              <m:r>
                <m:rPr>
                  <m:sty m:val="p"/>
                </m:rPr>
                <m:t>l</m:t>
              </m:r>
              <m:r>
                <m:rPr>
                  <m:sty m:val="p"/>
                </m:rPr>
                <m:t>t</m:t>
              </m:r>
            </m:sub>
          </m:sSub>
          <m:r>
            <m:rPr>
              <m:sty m:val="p"/>
            </m:rPr>
            <m:t>,</m:t>
          </m:r>
          <m:r>
            <m:t> </m:t>
          </m:r>
          <m:r>
            <m:t>t</m:t>
          </m:r>
          <m:r>
            <m:rPr>
              <m:sty m:val="p"/>
            </m:rPr>
            <m:t>≤</m:t>
          </m:r>
          <m:r>
            <m:t>T</m:t>
          </m:r>
        </m:oMath>
      </m:oMathPara>
    </w:p>
    <w:p>
      <w:pPr>
        <w:spacing w:after="60"/>
        <w:jc w:val="both"/>
      </w:pPr>
      <m:oMath>
        <m:r>
          <m:t>Δ</m:t>
        </m:r>
        <m:r>
          <m:rPr>
            <m:sty m:val="p"/>
          </m:rPr>
          <m:t>C</m:t>
        </m:r>
        <m:r>
          <m:rPr>
            <m:sty m:val="p"/>
          </m:rPr>
          <m:t>F</m:t>
        </m:r>
        <m:r>
          <m:rPr>
            <m:sty m:val="p"/>
          </m:rPr>
          <m:t>S</m:t>
        </m:r>
      </m:oMath>
      <w:r>
        <w:rPr>
          <w:color w:val="3A4350"/>
          <w:sz w:val="15"/>
          <w:szCs w:val="15"/>
        </w:rPr>
        <w:t xml:space="preserve"> is the change of Coulomb failure stress on the faults </w:t>
      </w:r>
      <m:oMath>
        <m:sSub>
          <m:e>
            <m:r>
              <m:t>Γ</m:t>
            </m:r>
          </m:e>
          <m:sub>
            <m:r>
              <m:rPr>
                <m:sty m:val="p"/>
              </m:rPr>
              <m:t>f</m:t>
            </m:r>
            <m:r>
              <m:rPr>
                <m:sty m:val="p"/>
              </m:rPr>
              <m:t>a</m:t>
            </m:r>
            <m:r>
              <m:rPr>
                <m:sty m:val="p"/>
              </m:rPr>
              <m:t>u</m:t>
            </m:r>
            <m:r>
              <m:rPr>
                <m:sty m:val="p"/>
              </m:rPr>
              <m:t>l</m:t>
            </m:r>
            <m:r>
              <m:rPr>
                <m:sty m:val="p"/>
              </m:rPr>
              <m:t>t</m:t>
            </m:r>
          </m:sub>
        </m:sSub>
      </m:oMath>
      <w:r>
        <w:rPr>
          <w:color w:val="3A4350"/>
          <w:sz w:val="15"/>
          <w:szCs w:val="15"/>
        </w:rPr>
        <w:t xml:space="preserve">, </w:t>
      </w:r>
      <m:oMath>
        <m:r>
          <m:t>Δ</m:t>
        </m:r>
        <m:r>
          <m:t>p</m:t>
        </m:r>
      </m:oMath>
      <w:r>
        <w:rPr>
          <w:color w:val="3A4350"/>
          <w:sz w:val="15"/>
          <w:szCs w:val="15"/>
        </w:rPr>
        <w:t xml:space="preserve"> the pore-pressure change caused by the injection rate </w:t>
      </w:r>
      <m:oMath>
        <m:r>
          <m:t>q</m:t>
        </m:r>
      </m:oMath>
      <w:r>
        <w:rPr>
          <w:color w:val="3A4350"/>
          <w:sz w:val="15"/>
          <w:szCs w:val="15"/>
        </w:rPr>
        <w:t xml:space="preserve">, and </w:t>
      </w:r>
      <m:oMath>
        <m:r>
          <m:t>μ</m:t>
        </m:r>
      </m:oMath>
      <w:r>
        <w:rPr>
          <w:color w:val="3A4350"/>
          <w:sz w:val="15"/>
          <w:szCs w:val="15"/>
        </w:rPr>
        <w:t xml:space="preserve"> the friction coefficient; the seismicity rate follows the rate-and-state law.</w:t>
      </w:r>
    </w:p>
    <w:p>
      <w:pPr>
        <w:spacing w:after="60"/>
        <w:jc w:val="both"/>
      </w:pPr>
      <w:r>
        <w:rPr>
          <w:b/>
          <w:bCs/>
          <w:color w:val="4D4D4F"/>
          <w:sz w:val="17"/>
          <w:szCs w:val="17"/>
        </w:rPr>
        <w:t xml:space="preserve">For the assembly and the wells. </w:t>
      </w:r>
      <w:r>
        <w:rPr>
          <w:sz w:val="17"/>
          <w:szCs w:val="17"/>
        </w:rPr>
        <w:t xml:space="preserve">Belongs to theme 4. Operating recharge and pumping wells so that chloride at the supply screens stays below the standard is the same kind of decision: a calibrated coupled model, a state variable that must stay below a threshold, and a recommended limit on the well rates. The paper shows the full cycle of calibration, independent validation and recommendation that the placement of the wells should follow before it is used.</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closes the loop from coupled physics to an operating rule that was adopted by the operator and then confirmed by what happened, a rare field-validated example of managing wells with a calibrated coupled model. Published in Nature.</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decision is the rate of existing wells, not where to drill new ones, and uncertainty enters through calibration rather than through an explicit probability of exceeding the threshold.</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a process-based, field-validated operating rule for injection wells. Proposed extension: follow the same cycle for the coastal aquifer: calibrate the assembled system on the historical record, validate it on a later period that was not used, derive for each candidate layout the recharge and pumping limits that keep the chloride exceedance probability below 10%, and recommend the layout whose limits deliver the most water.</w:t>
      </w:r>
    </w:p>
    <w:p>
      <w:pPr>
        <w:keepNext/>
        <w:pBdr>
          <w:top w:val="single" w:color="4D4D4F" w:sz="6" w:space="4"/>
        </w:pBdr>
        <w:spacing w:after="60" w:before="220"/>
      </w:pPr>
      <w:r>
        <w:rPr>
          <w:b/>
          <w:bCs/>
          <w:color w:val="4D4D4F"/>
          <w:sz w:val="23"/>
          <w:szCs w:val="23"/>
        </w:rPr>
        <w:t xml:space="preserve">M4  </w:t>
      </w:r>
      <w:r>
        <w:rPr>
          <w:b/>
          <w:bCs/>
          <w:color w:val="1F3864"/>
          <w:sz w:val="23"/>
          <w:szCs w:val="23"/>
        </w:rPr>
        <w:t xml:space="preserve">Physics-informed neural network simulation of multiphase poroelasticity using stress-split sequential training</w:t>
      </w:r>
    </w:p>
    <w:p>
      <w:pPr>
        <w:keepNext/>
        <w:spacing w:after="60" w:line="240" w:lineRule="auto"/>
      </w:pPr>
      <w:r>
        <w:rPr>
          <w:b/>
          <w:bCs/>
          <w:color w:val="333B47"/>
          <w:sz w:val="15"/>
          <w:szCs w:val="15"/>
        </w:rPr>
        <w:t xml:space="preserve">Authors: </w:t>
      </w:r>
      <w:r>
        <w:rPr>
          <w:sz w:val="15"/>
          <w:szCs w:val="15"/>
        </w:rPr>
        <w:t xml:space="preserve">Ehsan Haghighat, Danial Amini, Ruben Juanes</w:t>
      </w:r>
      <w:r>
        <w:rPr>
          <w:sz w:val="15"/>
          <w:szCs w:val="15"/>
        </w:rPr>
        <w:t xml:space="preserve">   </w:t>
      </w:r>
      <w:r>
        <w:rPr>
          <w:b/>
          <w:bCs/>
          <w:color w:val="333B47"/>
          <w:sz w:val="15"/>
          <w:szCs w:val="15"/>
        </w:rPr>
        <w:t xml:space="preserve">Published in: </w:t>
      </w:r>
      <w:r>
        <w:rPr>
          <w:sz w:val="15"/>
          <w:szCs w:val="15"/>
        </w:rPr>
        <w:t xml:space="preserve">Computer Methods in Applied Mechanics and Engineering, 397, 115141 (2022); arXiv:2110.03049</w:t>
      </w:r>
      <w:r>
        <w:rPr>
          <w:sz w:val="15"/>
          <w:szCs w:val="15"/>
        </w:rPr>
        <w:t xml:space="preserve">   </w:t>
      </w:r>
      <w:r>
        <w:rPr>
          <w:b/>
          <w:bCs/>
          <w:color w:val="333B47"/>
          <w:sz w:val="15"/>
          <w:szCs w:val="15"/>
        </w:rPr>
        <w:t xml:space="preserve">Link: </w:t>
      </w:r>
      <w:hyperlink w:history="1" r:id="rIdv-xesqf4sabiky7vaj_ot">
        <w:r>
          <w:rPr>
            <w:color w:val="1D4ED8"/>
            <w:sz w:val="15"/>
            <w:szCs w:val="15"/>
            <w:u w:val="single"/>
          </w:rPr>
          <w:t xml:space="preserve">https://doi.org/10.1016/j.cma.2022.115141</w:t>
        </w:r>
      </w:hyperlink>
    </w:p>
    <w:p>
      <w:pPr>
        <w:keepNext/>
        <w:spacing w:after="80" w:line="240" w:lineRule="auto"/>
      </w:pPr>
      <w:r>
        <w:rPr>
          <w:b/>
          <w:bCs/>
          <w:color w:val="333B47"/>
          <w:sz w:val="15"/>
          <w:szCs w:val="15"/>
        </w:rPr>
        <w:t xml:space="preserve">Affiliation: </w:t>
      </w:r>
      <w:r>
        <w:rPr>
          <w:color w:val="3A4350"/>
          <w:sz w:val="15"/>
          <w:szCs w:val="15"/>
        </w:rPr>
        <w:t xml:space="preserve">MIT DSpace record; Juanes is at MIT Civil and Environmental Engineering and Haghighat was an MIT postdoctoral researcher. Amini’s affiliation not verified.</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(4/5)</w:t>
      </w:r>
    </w:p>
    <w:p>
      <w:pPr>
        <w:spacing w:after="60"/>
        <w:jc w:val="both"/>
      </w:pPr>
      <w:r>
        <w:rPr>
          <w:b/>
          <w:bCs/>
          <w:color w:val="4D4D4F"/>
          <w:sz w:val="17"/>
          <w:szCs w:val="17"/>
        </w:rPr>
        <w:t xml:space="preserve">Summary. </w:t>
      </w:r>
      <w:r>
        <w:rPr>
          <w:sz w:val="17"/>
          <w:szCs w:val="17"/>
        </w:rPr>
        <w:t xml:space="preserve">The authors solve coupled flow and deformation in porous media, with one or two fluid phases, by physics-informed neural networks. Training all coupled equations at once in one loss was unstable and sometimes collapsed to the trivial zero solution. Sequential training based on the stress-split scheme of poromechanics was robust, while the strain-split scheme was unstable, mirroring the experience with finite elements. Benchmarks include Mandel's problem, the Barry–Mercer injection–production problem and two-phase drainage.</w:t>
      </w:r>
    </w:p>
    <w:p>
      <w:pPr>
        <w:keepNext/>
        <w:spacing w:after="20" w:before="40"/>
      </w:pPr>
      <w:r>
        <w:rPr>
          <w:b/>
          <w:bCs/>
          <w:color w:val="4D4D4F"/>
          <w:sz w:val="17"/>
          <w:szCs w:val="17"/>
        </w:rPr>
        <w:t xml:space="preserve">Key equation.</w:t>
      </w:r>
      <w:r>
        <w:rPr>
          <w:i/>
          <w:iCs/>
          <w:color w:val="5B6573"/>
          <w:sz w:val="15"/>
          <w:szCs w:val="15"/>
        </w:rPr>
        <w:t xml:space="preserve">  Fixed-stress split: flow first with the mean stress lagged, then mechanics (representative formulation)</w:t>
      </w:r>
    </w:p>
    <w:p>
      <w:pPr>
        <w:pStyle w:val="Equation"/>
      </w:pPr>
      <m:oMathPara>
        <m:oMathParaPr>
          <m:jc m:val="center"/>
        </m:oMathParaPr>
        <m:oMath>
          <m:d>
            <m:dPr>
              <m:begChr m:val="("/>
              <m:sepChr m:val=""/>
              <m:endChr m:val=")"/>
              <m:grow/>
            </m:dPr>
            <m:e>
              <m:f>
                <m:fPr>
                  <m:type m:val="bar"/>
                </m:fPr>
                <m:num>
                  <m:r>
                    <m:t>1</m:t>
                  </m:r>
                </m:num>
                <m:den>
                  <m:r>
                    <m:t>M</m:t>
                  </m:r>
                </m:den>
              </m:f>
              <m:r>
                <m:rPr>
                  <m:sty m:val="p"/>
                </m:rPr>
                <m:t>+</m:t>
              </m:r>
              <m:f>
                <m:fPr>
                  <m:type m:val="bar"/>
                </m:fPr>
                <m:num>
                  <m:sSup>
                    <m:e>
                      <m:r>
                        <m:t>b</m:t>
                      </m:r>
                    </m:e>
                    <m:sup>
                      <m:r>
                        <m:t>2</m:t>
                      </m:r>
                    </m:sup>
                  </m:sSup>
                </m:num>
                <m:den>
                  <m:sSub>
                    <m:e>
                      <m:r>
                        <m:t>K</m:t>
                      </m:r>
                    </m:e>
                    <m:sub>
                      <m:r>
                        <m:t>d</m:t>
                      </m:r>
                      <m:r>
                        <m:t>r</m:t>
                      </m:r>
                    </m:sub>
                  </m:sSub>
                </m:den>
              </m:f>
            </m:e>
          </m:d>
          <m:sSub>
            <m:e>
              <m:r>
                <m:rPr>
                  <m:sty m:val="p"/>
                </m:rPr>
                <m:t>∂</m:t>
              </m:r>
            </m:e>
            <m:sub>
              <m:r>
                <m:t>t</m:t>
              </m:r>
            </m:sub>
          </m:sSub>
          <m:sSup>
            <m:e>
              <m:r>
                <m:t>p</m:t>
              </m:r>
            </m:e>
            <m:sup>
              <m:r>
                <m:t>k</m:t>
              </m:r>
              <m:r>
                <m:rPr>
                  <m:sty m:val="p"/>
                </m:rPr>
                <m:t>+</m:t>
              </m:r>
              <m:r>
                <m:t>1</m:t>
              </m:r>
            </m:sup>
          </m:sSup>
          <m:r>
            <m:rPr>
              <m:sty m:val="p"/>
            </m:rPr>
            <m:t>−</m:t>
          </m:r>
          <m:r>
            <m:rPr>
              <m:sty m:val="p"/>
            </m:rPr>
            <m:t>∇</m:t>
          </m:r>
          <m:r>
            <m:rPr>
              <m:sty m:val="p"/>
            </m:rPr>
            <m:t>⋅</m:t>
          </m:r>
          <m:d>
            <m:dPr>
              <m:begChr m:val="("/>
              <m:sepChr m:val=""/>
              <m:endChr m:val=")"/>
              <m:grow/>
            </m:dPr>
            <m:e>
              <m:f>
                <m:fPr>
                  <m:type m:val="bar"/>
                </m:fPr>
                <m:num>
                  <m:r>
                    <m:rPr>
                      <m:sty m:val="b"/>
                    </m:rPr>
                    <m:t>k</m:t>
                  </m:r>
                </m:num>
                <m:den>
                  <m:r>
                    <m:t>μ</m:t>
                  </m:r>
                </m:den>
              </m:f>
              <m:r>
                <m:rPr>
                  <m:sty m:val="p"/>
                </m:rPr>
                <m:t>∇</m:t>
              </m:r>
              <m:sSup>
                <m:e>
                  <m:r>
                    <m:t>p</m:t>
                  </m:r>
                </m:e>
                <m:sup>
                  <m:r>
                    <m:t>k</m:t>
                  </m:r>
                  <m:r>
                    <m:rPr>
                      <m:sty m:val="p"/>
                    </m:rPr>
                    <m:t>+</m:t>
                  </m:r>
                  <m:r>
                    <m:t>1</m:t>
                  </m:r>
                </m:sup>
              </m:sSup>
            </m:e>
          </m:d>
          <m:r>
            <m:rPr>
              <m:sty m:val="p"/>
            </m:rPr>
            <m:t>=</m:t>
          </m:r>
          <m:r>
            <m:t>f</m:t>
          </m:r>
          <m:r>
            <m:rPr>
              <m:sty m:val="p"/>
            </m:rPr>
            <m:t>−</m:t>
          </m:r>
          <m:f>
            <m:fPr>
              <m:type m:val="bar"/>
            </m:fPr>
            <m:num>
              <m:r>
                <m:t>b</m:t>
              </m:r>
            </m:num>
            <m:den>
              <m:sSub>
                <m:e>
                  <m:r>
                    <m:t>K</m:t>
                  </m:r>
                </m:e>
                <m:sub>
                  <m:r>
                    <m:t>d</m:t>
                  </m:r>
                  <m:r>
                    <m:t>r</m:t>
                  </m:r>
                </m:sub>
              </m:sSub>
            </m:den>
          </m:f>
          <m:r>
            <m:t> </m:t>
          </m:r>
          <m:sSub>
            <m:e>
              <m:r>
                <m:rPr>
                  <m:sty m:val="p"/>
                </m:rPr>
                <m:t>∂</m:t>
              </m:r>
            </m:e>
            <m:sub>
              <m:r>
                <m:t>t</m:t>
              </m:r>
            </m:sub>
          </m:sSub>
          <m:sSubSup>
            <m:e>
              <m:r>
                <m:t>σ</m:t>
              </m:r>
            </m:e>
            <m:sub>
              <m:r>
                <m:t>v</m:t>
              </m:r>
            </m:sub>
            <m:sup>
              <m:r>
                <m:t>k</m:t>
              </m:r>
            </m:sup>
          </m:sSubSup>
          <m:r>
            <m:rPr>
              <m:sty m:val="p"/>
            </m:rPr>
            <m:t>,</m:t>
          </m:r>
          <m:r>
            <m:t>  </m:t>
          </m:r>
          <m:r>
            <m:rPr>
              <m:sty m:val="p"/>
            </m:rPr>
            <m:t>∇</m:t>
          </m:r>
          <m:r>
            <m:rPr>
              <m:sty m:val="p"/>
            </m:rPr>
            <m:t>⋅</m:t>
          </m:r>
          <m:d>
            <m:dPr>
              <m:begChr m:val="("/>
              <m:sepChr m:val=""/>
              <m:endChr m:val=")"/>
              <m:grow/>
            </m:dPr>
            <m:e>
              <m:r>
                <m:rPr>
                  <m:sty m:val="b"/>
                </m:rPr>
                <m:t>σ</m:t>
              </m:r>
              <m:r>
                <m:rPr>
                  <m:sty m:val="p"/>
                </m:rPr>
                <m:t>′</m:t>
              </m:r>
              <m:d>
                <m:dPr>
                  <m:begChr m:val="("/>
                  <m:sepChr m:val=""/>
                  <m:endChr m:val=")"/>
                  <m:grow/>
                </m:dPr>
                <m:e>
                  <m:sSup>
                    <m:e>
                      <m:r>
                        <m:rPr>
                          <m:sty m:val="b"/>
                        </m:rPr>
                        <m:t>u</m:t>
                      </m:r>
                    </m:e>
                    <m:sup>
                      <m:r>
                        <m:t>k</m:t>
                      </m:r>
                      <m:r>
                        <m:rPr>
                          <m:sty m:val="p"/>
                        </m:rPr>
                        <m:t>+</m:t>
                      </m:r>
                      <m:r>
                        <m:t>1</m:t>
                      </m:r>
                    </m:sup>
                  </m:sSup>
                </m:e>
              </m:d>
              <m:r>
                <m:rPr>
                  <m:sty m:val="p"/>
                </m:rPr>
                <m:t>−</m:t>
              </m:r>
              <m:r>
                <m:t>b</m:t>
              </m:r>
              <m:r>
                <m:t> </m:t>
              </m:r>
              <m:sSup>
                <m:e>
                  <m:r>
                    <m:t>p</m:t>
                  </m:r>
                </m:e>
                <m:sup>
                  <m:r>
                    <m:t>k</m:t>
                  </m:r>
                  <m:r>
                    <m:rPr>
                      <m:sty m:val="p"/>
                    </m:rPr>
                    <m:t>+</m:t>
                  </m:r>
                  <m:r>
                    <m:t>1</m:t>
                  </m:r>
                </m:sup>
              </m:sSup>
              <m:r>
                <m:rPr>
                  <m:sty m:val="b"/>
                </m:rPr>
                <m:t>I</m:t>
              </m:r>
            </m:e>
          </m:d>
          <m:r>
            <m:rPr>
              <m:sty m:val="p"/>
            </m:rPr>
            <m:t>=</m:t>
          </m:r>
          <m:r>
            <m:t>0</m:t>
          </m:r>
        </m:oMath>
      </m:oMathPara>
    </w:p>
    <w:p>
      <w:pPr>
        <w:spacing w:after="60"/>
        <w:jc w:val="both"/>
      </w:pPr>
      <m:oMath>
        <m:r>
          <m:t>p</m:t>
        </m:r>
      </m:oMath>
      <w:r>
        <w:rPr>
          <w:color w:val="3A4350"/>
          <w:sz w:val="15"/>
          <w:szCs w:val="15"/>
        </w:rPr>
        <w:t xml:space="preserve"> is the pore pressure, </w:t>
      </w:r>
      <m:oMath>
        <m:r>
          <m:rPr>
            <m:sty m:val="b"/>
          </m:rPr>
          <m:t>u</m:t>
        </m:r>
      </m:oMath>
      <w:r>
        <w:rPr>
          <w:color w:val="3A4350"/>
          <w:sz w:val="15"/>
          <w:szCs w:val="15"/>
        </w:rPr>
        <w:t xml:space="preserve"> the displacement, </w:t>
      </w:r>
      <m:oMath>
        <m:sSub>
          <m:e>
            <m:r>
              <m:t>σ</m:t>
            </m:r>
          </m:e>
          <m:sub>
            <m:r>
              <m:t>v</m:t>
            </m:r>
          </m:sub>
        </m:sSub>
      </m:oMath>
      <w:r>
        <w:rPr>
          <w:color w:val="3A4350"/>
          <w:sz w:val="15"/>
          <w:szCs w:val="15"/>
        </w:rPr>
        <w:t xml:space="preserve"> the volumetric mean stress, </w:t>
      </w:r>
      <m:oMath>
        <m:r>
          <m:t>M</m:t>
        </m:r>
      </m:oMath>
      <w:r>
        <w:rPr>
          <w:color w:val="3A4350"/>
          <w:sz w:val="15"/>
          <w:szCs w:val="15"/>
        </w:rPr>
        <w:t xml:space="preserve"> the Biot modulus, </w:t>
      </w:r>
      <m:oMath>
        <m:r>
          <m:t>b</m:t>
        </m:r>
      </m:oMath>
      <w:r>
        <w:rPr>
          <w:color w:val="3A4350"/>
          <w:sz w:val="15"/>
          <w:szCs w:val="15"/>
        </w:rPr>
        <w:t xml:space="preserve"> the Biot coefficient, </w:t>
      </w:r>
      <m:oMath>
        <m:sSub>
          <m:e>
            <m:r>
              <m:t>K</m:t>
            </m:r>
          </m:e>
          <m:sub>
            <m:r>
              <m:t>d</m:t>
            </m:r>
            <m:r>
              <m:t>r</m:t>
            </m:r>
          </m:sub>
        </m:sSub>
      </m:oMath>
      <w:r>
        <w:rPr>
          <w:color w:val="3A4350"/>
          <w:sz w:val="15"/>
          <w:szCs w:val="15"/>
        </w:rPr>
        <w:t xml:space="preserve"> the drained bulk modulus and </w:t>
      </w:r>
      <m:oMath>
        <m:r>
          <m:t>k</m:t>
        </m:r>
      </m:oMath>
      <w:r>
        <w:rPr>
          <w:color w:val="3A4350"/>
          <w:sz w:val="15"/>
          <w:szCs w:val="15"/>
        </w:rPr>
        <w:t xml:space="preserve"> the iteration of the split.</w:t>
      </w:r>
    </w:p>
    <w:p>
      <w:pPr>
        <w:spacing w:after="60"/>
        <w:jc w:val="both"/>
      </w:pPr>
      <w:r>
        <w:rPr>
          <w:b/>
          <w:bCs/>
          <w:color w:val="4D4D4F"/>
          <w:sz w:val="17"/>
          <w:szCs w:val="17"/>
        </w:rPr>
        <w:t xml:space="preserve">For the assembly and the wells. </w:t>
      </w:r>
      <w:r>
        <w:rPr>
          <w:sz w:val="17"/>
          <w:szCs w:val="17"/>
        </w:rPr>
        <w:t xml:space="preserve">Belongs to theme 1. Assembling the coastal-aquifer equations raises the same question: solve flow, salt and the other ions together, or split them, and which split is stable. The paper's evidence that a physically motivated split (stress first) is robust where a naive one fails is the guide for splitting density-coupled flow from transport; its Barry–Mercer test is a recharge–pumping well pair.</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shows, with clear benchmarks including an injection–production problem, which split of a coupled porous-media system is stable and which is not, and that the lesson holds for learned solvers as for finite elements. Published in Computer Methods in Applied Mechanics and Engineering.</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coupling is flow–deformation; the stability of splitting variable-density flow from multi-species transport with exchange, where the density depends on the transported salt, has not been analysed in the same way.</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evidence that the stability of sequential solution of coupled porous-media problems depends on the split, for learned as for classical solvers. Proposed extension: compare, on the assembled aquifer system with a recharge–pumping well pair, the monolithic solution with a split that lags the density (flow first) and one that lags the velocity (transport first), and report which keeps the chloride breakthrough at the supply screen stable at the time steps needed for the placement loop.</w:t>
      </w:r>
    </w:p>
    <w:p>
      <w:pPr>
        <w:keepNext/>
        <w:pBdr>
          <w:top w:val="single" w:color="4D4D4F" w:sz="6" w:space="4"/>
        </w:pBdr>
        <w:spacing w:after="60" w:before="220"/>
      </w:pPr>
      <w:r>
        <w:rPr>
          <w:b/>
          <w:bCs/>
          <w:color w:val="4D4D4F"/>
          <w:sz w:val="23"/>
          <w:szCs w:val="23"/>
        </w:rPr>
        <w:t xml:space="preserve">M5  </w:t>
      </w:r>
      <w:r>
        <w:rPr>
          <w:b/>
          <w:bCs/>
          <w:color w:val="1F3864"/>
          <w:sz w:val="23"/>
          <w:szCs w:val="23"/>
        </w:rPr>
        <w:t xml:space="preserve">Uncertainty Quantification of Fluid Leakage and Fault Instability in Geologic CO₂ Storage</w:t>
      </w:r>
    </w:p>
    <w:p>
      <w:pPr>
        <w:keepNext/>
        <w:spacing w:after="60" w:line="240" w:lineRule="auto"/>
      </w:pPr>
      <w:r>
        <w:rPr>
          <w:b/>
          <w:bCs/>
          <w:color w:val="333B47"/>
          <w:sz w:val="15"/>
          <w:szCs w:val="15"/>
        </w:rPr>
        <w:t xml:space="preserve">Authors: </w:t>
      </w:r>
      <w:r>
        <w:rPr>
          <w:sz w:val="15"/>
          <w:szCs w:val="15"/>
        </w:rPr>
        <w:t xml:space="preserve">Hannah Lu, Lluís Saló-Salgado, Youssef M. Marzouk, Ruben Juanes</w:t>
      </w:r>
      <w:r>
        <w:rPr>
          <w:sz w:val="15"/>
          <w:szCs w:val="15"/>
        </w:rPr>
        <w:t xml:space="preserve">   </w:t>
      </w:r>
      <w:r>
        <w:rPr>
          <w:b/>
          <w:bCs/>
          <w:color w:val="333B47"/>
          <w:sz w:val="15"/>
          <w:szCs w:val="15"/>
        </w:rPr>
        <w:t xml:space="preserve">Published in: </w:t>
      </w:r>
      <w:r>
        <w:rPr>
          <w:sz w:val="15"/>
          <w:szCs w:val="15"/>
        </w:rPr>
        <w:t xml:space="preserve">Water Resources Research, 61, e2024WR039275 (published 8 October 2025); arXiv:2411.08039</w:t>
      </w:r>
      <w:r>
        <w:rPr>
          <w:sz w:val="15"/>
          <w:szCs w:val="15"/>
        </w:rPr>
        <w:t xml:space="preserve">   </w:t>
      </w:r>
      <w:r>
        <w:rPr>
          <w:b/>
          <w:bCs/>
          <w:color w:val="333B47"/>
          <w:sz w:val="15"/>
          <w:szCs w:val="15"/>
        </w:rPr>
        <w:t xml:space="preserve">Link: </w:t>
      </w:r>
      <w:hyperlink w:history="1" r:id="rIdhhydo-746ngktdbebrkso">
        <w:r>
          <w:rPr>
            <w:color w:val="1D4ED8"/>
            <w:sz w:val="15"/>
            <w:szCs w:val="15"/>
            <w:u w:val="single"/>
          </w:rPr>
          <w:t xml:space="preserve">https://doi.org/10.1029/2024WR039275</w:t>
        </w:r>
      </w:hyperlink>
    </w:p>
    <w:p>
      <w:pPr>
        <w:keepNext/>
        <w:spacing w:after="80" w:line="240" w:lineRule="auto"/>
      </w:pPr>
      <w:r>
        <w:rPr>
          <w:b/>
          <w:bCs/>
          <w:color w:val="333B47"/>
          <w:sz w:val="15"/>
          <w:szCs w:val="15"/>
        </w:rPr>
        <w:t xml:space="preserve">Affiliation: </w:t>
      </w:r>
      <w:r>
        <w:rPr>
          <w:color w:val="3A4350"/>
          <w:sz w:val="15"/>
          <w:szCs w:val="15"/>
        </w:rPr>
        <w:t xml:space="preserve">MIT DSpace record of the published version; Marzouk (MIT Aeronautics and Astronautics) and Juanes (MIT Civil and Environmental Engineering). The DOI follows the article number assigned by AGU; it was not opened.</w:t>
      </w:r>
      <w:r>
        <w:rPr>
          <w:sz w:val="15"/>
          <w:szCs w:val="15"/>
        </w:rPr>
        <w:t xml:space="preserve">   </w:t>
      </w:r>
      <w:r>
        <w:rPr>
          <w:b/>
          <w:bCs/>
          <w:color w:val="333B47"/>
          <w:sz w:val="15"/>
          <w:szCs w:val="15"/>
        </w:rPr>
        <w:t xml:space="preserve">Depth and rigour: </w:t>
      </w:r>
      <w:r>
        <w:rPr>
          <w:color w:val="D97706"/>
          <w:sz w:val="15"/>
          <w:szCs w:val="15"/>
        </w:rPr>
        <w:t xml:space="preserve">★★★★☆</w:t>
      </w:r>
      <w:r>
        <w:rPr>
          <w:color w:val="5B6573"/>
          <w:sz w:val="15"/>
          <w:szCs w:val="15"/>
        </w:rPr>
        <w:t xml:space="preserve"> (4/5)</w:t>
      </w:r>
    </w:p>
    <w:p>
      <w:pPr>
        <w:spacing w:after="60"/>
        <w:jc w:val="both"/>
      </w:pPr>
      <w:r>
        <w:rPr>
          <w:b/>
          <w:bCs/>
          <w:color w:val="4D4D4F"/>
          <w:sz w:val="17"/>
          <w:szCs w:val="17"/>
        </w:rPr>
        <w:t xml:space="preserve">Summary. </w:t>
      </w:r>
      <w:r>
        <w:rPr>
          <w:sz w:val="17"/>
          <w:szCs w:val="17"/>
        </w:rPr>
        <w:t xml:space="preserve">The permeability of faults is highly uncertain and controls whether injected CO₂ leaks and whether faults are destabilised. The authors generate probability distributions of fault permeability with the stochastic method PREDICT (random placement of clay smears), replace the coupled flow–geomechanics simulations of injection by a deep-learning surrogate so that many realisations become affordable, and estimate the probability distributions of leakage and of fault destabilisation. The results differ from earlier studies that used single, deterministic fault permeabilities.</w:t>
      </w:r>
    </w:p>
    <w:p>
      <w:pPr>
        <w:keepNext/>
        <w:spacing w:after="20" w:before="40"/>
      </w:pPr>
      <w:r>
        <w:rPr>
          <w:b/>
          <w:bCs/>
          <w:color w:val="4D4D4F"/>
          <w:sz w:val="17"/>
          <w:szCs w:val="17"/>
        </w:rPr>
        <w:t xml:space="preserve">Key equation.</w:t>
      </w:r>
      <w:r>
        <w:rPr>
          <w:i/>
          <w:iCs/>
          <w:color w:val="5B6573"/>
          <w:sz w:val="15"/>
          <w:szCs w:val="15"/>
        </w:rPr>
        <w:t xml:space="preserve">  Exceedance probability of leakage under uncertain fault permeability, by surrogate Monte Carlo (representative formulation)</w:t>
      </w:r>
    </w:p>
    <w:p>
      <w:pPr>
        <w:pStyle w:val="Equation"/>
      </w:pPr>
      <m:oMathPara>
        <m:oMathParaPr>
          <m:jc m:val="center"/>
        </m:oMathParaPr>
        <m:oMath>
          <m:acc>
            <m:accPr>
              <m:chr m:val="̂"/>
            </m:accPr>
            <m:e>
              <m:r>
                <m:t>P</m:t>
              </m:r>
            </m:e>
          </m:acc>
          <m:d>
            <m:dPr>
              <m:begChr m:val="["/>
              <m:sepChr m:val=""/>
              <m:endChr m:val="]"/>
              <m:grow/>
            </m:dPr>
            <m:e>
              <m:sSub>
                <m:e>
                  <m:r>
                    <m:t>Q</m:t>
                  </m:r>
                </m:e>
                <m:sub>
                  <m:r>
                    <m:rPr>
                      <m:sty m:val="p"/>
                    </m:rPr>
                    <m:t>l</m:t>
                  </m:r>
                  <m:r>
                    <m:rPr>
                      <m:sty m:val="p"/>
                    </m:rPr>
                    <m:t>e</m:t>
                  </m:r>
                  <m:r>
                    <m:rPr>
                      <m:sty m:val="p"/>
                    </m:rPr>
                    <m:t>a</m:t>
                  </m:r>
                  <m:r>
                    <m:rPr>
                      <m:sty m:val="p"/>
                    </m:rPr>
                    <m:t>k</m:t>
                  </m:r>
                </m:sub>
              </m:sSub>
              <m:r>
                <m:rPr>
                  <m:sty m:val="p"/>
                </m:rPr>
                <m:t>&gt;</m:t>
              </m:r>
              <m:r>
                <m:rPr>
                  <m:sty m:val="p"/>
                </m:rPr>
                <m:t>ℓ</m:t>
              </m:r>
            </m:e>
          </m:d>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r>
                <m:rPr>
                  <m:sty m:val="b"/>
                </m:rPr>
                <m:t>1</m:t>
              </m:r>
            </m:e>
          </m:nary>
          <m:d>
            <m:dPr>
              <m:begChr m:val="{"/>
              <m:sepChr m:val=""/>
              <m:endChr m:val="}"/>
              <m:grow/>
            </m:dPr>
            <m:e>
              <m:sSub>
                <m:e>
                  <m:r>
                    <m:rPr>
                      <m:scr m:val="script"/>
                      <m:sty m:val="p"/>
                    </m:rPr>
                    <m:t>S</m:t>
                  </m:r>
                </m:e>
                <m:sub>
                  <m:r>
                    <m:t>ϕ</m:t>
                  </m:r>
                </m:sub>
              </m:sSub>
              <m:d>
                <m:dPr>
                  <m:begChr m:val="("/>
                  <m:sepChr m:val=""/>
                  <m:endChr m:val=")"/>
                  <m:grow/>
                </m:dPr>
                <m:e>
                  <m:sSubSup>
                    <m:e>
                      <m:r>
                        <m:t>k</m:t>
                      </m:r>
                    </m:e>
                    <m:sub>
                      <m:r>
                        <m:t>f</m:t>
                      </m:r>
                    </m:sub>
                    <m:sup>
                      <m:d>
                        <m:dPr>
                          <m:begChr m:val="("/>
                          <m:sepChr m:val=""/>
                          <m:endChr m:val=")"/>
                          <m:grow/>
                        </m:dPr>
                        <m:e>
                          <m:r>
                            <m:t>m</m:t>
                          </m:r>
                        </m:e>
                      </m:d>
                    </m:sup>
                  </m:sSubSup>
                  <m:r>
                    <m:rPr>
                      <m:sty m:val="p"/>
                    </m:rPr>
                    <m:t>,</m:t>
                  </m:r>
                  <m:r>
                    <m:t>q</m:t>
                  </m:r>
                </m:e>
              </m:d>
              <m:r>
                <m:rPr>
                  <m:sty m:val="p"/>
                </m:rPr>
                <m:t>&gt;</m:t>
              </m:r>
              <m:r>
                <m:rPr>
                  <m:sty m:val="p"/>
                </m:rPr>
                <m:t>ℓ</m:t>
              </m:r>
            </m:e>
          </m:d>
          <m:r>
            <m:rPr>
              <m:sty m:val="p"/>
            </m:rPr>
            <m:t>,</m:t>
          </m:r>
          <m:r>
            <m:t>  </m:t>
          </m:r>
          <m:sSubSup>
            <m:e>
              <m:r>
                <m:t>k</m:t>
              </m:r>
            </m:e>
            <m:sub>
              <m:r>
                <m:t>f</m:t>
              </m:r>
            </m:sub>
            <m:sup>
              <m:d>
                <m:dPr>
                  <m:begChr m:val="("/>
                  <m:sepChr m:val=""/>
                  <m:endChr m:val=")"/>
                  <m:grow/>
                </m:dPr>
                <m:e>
                  <m:r>
                    <m:t>m</m:t>
                  </m:r>
                </m:e>
              </m:d>
            </m:sup>
          </m:sSubSup>
          <m:r>
            <m:rPr>
              <m:sty m:val="p"/>
            </m:rPr>
            <m:t>∼</m:t>
          </m:r>
          <m:r>
            <m:rPr>
              <m:nor/>
            </m:rPr>
            <m:t>PREDICT</m:t>
          </m:r>
        </m:oMath>
      </m:oMathPara>
    </w:p>
    <w:p>
      <w:pPr>
        <w:spacing w:after="60"/>
        <w:jc w:val="both"/>
      </w:pPr>
      <m:oMath>
        <m:sSubSup>
          <m:e>
            <m:r>
              <m:t>k</m:t>
            </m:r>
          </m:e>
          <m:sub>
            <m:r>
              <m:t>f</m:t>
            </m:r>
          </m:sub>
          <m:sup>
            <m:d>
              <m:dPr>
                <m:begChr m:val="("/>
                <m:sepChr m:val=""/>
                <m:endChr m:val=")"/>
                <m:grow/>
              </m:dPr>
              <m:e>
                <m:r>
                  <m:t>m</m:t>
                </m:r>
              </m:e>
            </m:d>
          </m:sup>
        </m:sSubSup>
      </m:oMath>
      <w:r>
        <w:rPr>
          <w:color w:val="3A4350"/>
          <w:sz w:val="15"/>
          <w:szCs w:val="15"/>
        </w:rPr>
        <w:t xml:space="preserve"> are realisations of fault permeability, </w:t>
      </w:r>
      <m:oMath>
        <m:r>
          <m:t>q</m:t>
        </m:r>
      </m:oMath>
      <w:r>
        <w:rPr>
          <w:color w:val="3A4350"/>
          <w:sz w:val="15"/>
          <w:szCs w:val="15"/>
        </w:rPr>
        <w:t xml:space="preserve"> the injection plan, </w:t>
      </w:r>
      <m:oMath>
        <m:sSub>
          <m:e>
            <m:r>
              <m:rPr>
                <m:scr m:val="script"/>
                <m:sty m:val="p"/>
              </m:rPr>
              <m:t>S</m:t>
            </m:r>
          </m:e>
          <m:sub>
            <m:r>
              <m:t>ϕ</m:t>
            </m:r>
          </m:sub>
        </m:sSub>
      </m:oMath>
      <w:r>
        <w:rPr>
          <w:color w:val="3A4350"/>
          <w:sz w:val="15"/>
          <w:szCs w:val="15"/>
        </w:rPr>
        <w:t xml:space="preserve"> the trained surrogate of the coupled simulator and </w:t>
      </w:r>
      <m:oMath>
        <m:r>
          <m:rPr>
            <m:sty m:val="p"/>
          </m:rPr>
          <m:t>ℓ</m:t>
        </m:r>
      </m:oMath>
      <w:r>
        <w:rPr>
          <w:color w:val="3A4350"/>
          <w:sz w:val="15"/>
          <w:szCs w:val="15"/>
        </w:rPr>
        <w:t xml:space="preserve"> the leakage threshold.</w:t>
      </w:r>
    </w:p>
    <w:p>
      <w:pPr>
        <w:spacing w:after="60"/>
        <w:jc w:val="both"/>
      </w:pPr>
      <w:r>
        <w:rPr>
          <w:b/>
          <w:bCs/>
          <w:color w:val="4D4D4F"/>
          <w:sz w:val="17"/>
          <w:szCs w:val="17"/>
        </w:rPr>
        <w:t xml:space="preserve">For the assembly and the wells. </w:t>
      </w:r>
      <w:r>
        <w:rPr>
          <w:sz w:val="17"/>
          <w:szCs w:val="17"/>
        </w:rPr>
        <w:t xml:space="preserve">Belongs to theme 2. Replace leakage by chloride above the drinking-water standard at a supply screen and the injection plan by the layout of recharge and pumping wells: the same chain of uncertain properties, surrogate of the coupled model and exceedance probability gives the chance constraint by which the layouts are ranked.</w:t>
      </w:r>
    </w:p>
    <w:p>
      <w:pPr>
        <w:pBdr>
          <w:left w:val="single" w:color="059669" w:sz="18" w:space="5"/>
        </w:pBdr>
        <w:shd w:fill="ECFDF5" w:color="auto" w:val="clear"/>
        <w:spacing w:after="80" w:before="40" w:line="252" w:lineRule="auto"/>
        <w:ind w:left="120" w:right="40"/>
        <w:jc w:val="both"/>
      </w:pPr>
      <w:r>
        <w:rPr>
          <w:b/>
          <w:bCs/>
          <w:color w:val="065F46"/>
          <w:sz w:val="15"/>
          <w:szCs w:val="15"/>
        </w:rPr>
        <w:t xml:space="preserve">WHY IT IS AMONG THE BEST  </w:t>
      </w:r>
      <w:r>
        <w:rPr>
          <w:sz w:val="17"/>
          <w:szCs w:val="17"/>
        </w:rPr>
        <w:t xml:space="preserve">It joins a physically based description of an uncertain medium, a surrogate of a coupled simulator and an exceedance probability for a given injection plan, the chain that risk-based decisions on wells need. Published in Water Resources Research.</w:t>
      </w:r>
    </w:p>
    <w:p>
      <w:pPr>
        <w:pBdr>
          <w:left w:val="single" w:color="4F46E5" w:sz="18" w:space="5"/>
        </w:pBdr>
        <w:shd w:fill="EEF2FF" w:color="auto" w:val="clear"/>
        <w:spacing w:after="80" w:before="40" w:line="252" w:lineRule="auto"/>
        <w:ind w:left="120" w:right="40"/>
        <w:jc w:val="both"/>
      </w:pPr>
      <w:r>
        <w:rPr>
          <w:b/>
          <w:bCs/>
          <w:color w:val="3730A3"/>
          <w:sz w:val="15"/>
          <w:szCs w:val="15"/>
        </w:rPr>
        <w:t xml:space="preserve">OPEN PROBLEM  </w:t>
      </w:r>
      <w:r>
        <w:rPr>
          <w:sz w:val="17"/>
          <w:szCs w:val="17"/>
        </w:rPr>
        <w:t xml:space="preserve">The plan is fixed and the probability is estimated, not optimised; the surrogate error near the threshold, which decides whether a plan passes the constraint, is not quantified.</w:t>
      </w:r>
    </w:p>
    <w:p>
      <w:pPr>
        <w:pBdr>
          <w:left w:val="single" w:color="D97706" w:sz="18" w:space="5"/>
        </w:pBdr>
        <w:shd w:fill="FFF5E1" w:color="auto" w:val="clear"/>
        <w:spacing w:after="80" w:before="40" w:line="252" w:lineRule="auto"/>
        <w:ind w:left="120" w:right="40"/>
        <w:jc w:val="both"/>
      </w:pPr>
      <w:r>
        <w:rPr>
          <w:b/>
          <w:bCs/>
          <w:color w:val="92400E"/>
          <w:sz w:val="15"/>
          <w:szCs w:val="15"/>
        </w:rPr>
        <w:t xml:space="preserve">INNOVATION  </w:t>
      </w:r>
      <w:r>
        <w:rPr>
          <w:sz w:val="17"/>
          <w:szCs w:val="17"/>
        </w:rPr>
        <w:t xml:space="preserve">New: exceedance probabilities of a coupled subsurface model under a physically generated uncertainty, made affordable by a surrogate. Proposed extension: generate realisations of the conductivity field and the mixing-zone width from the posterior of the assembled system, train a surrogate of chloride at the supply screens with the layout as input, estimate the exceedance probability of every candidate layout, and correct the estimate near the 10% limit with a few full-model runs.</w:t>
      </w:r>
    </w:p>
    <w:p>
      <w:pPr>
        <w:pStyle w:val="Heading1"/>
      </w:pPr>
      <w:r>
        <w:rPr>
          <w:color w:val="1F3864"/>
        </w:rPr>
        <w:t xml:space="preserve">8. Synthesis: what the 20 articles show together</w:t>
      </w:r>
    </w:p>
    <w:p>
      <w:pPr>
        <w:pStyle w:val="Heading3"/>
      </w:pPr>
      <w:r>
        <w:rPr>
          <w:color w:val="1F3864"/>
        </w:rPr>
        <w:t xml:space="preserve">8.1 The set at a glance</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4200"/>
        <w:gridCol w:w="5438"/>
      </w:tblGrid>
      <w:tr>
        <w:trPr>
          <w:cantSplit/>
          <w:tblHeader/>
        </w:trPr>
        <w:tc>
          <w:tcPr>
            <w:tcW w:type="dxa" w:w="4200"/>
            <w:shd w:fill="1F3864" w:color="auto" w:val="clear"/>
            <w:tcMar>
              <w:top w:type="dxa" w:w="60"/>
              <w:left w:type="dxa" w:w="100"/>
              <w:bottom w:type="dxa" w:w="60"/>
              <w:right w:type="dxa" w:w="100"/>
            </w:tcMar>
            <w:vAlign w:val="top"/>
          </w:tcPr>
          <w:p>
            <w:r>
              <w:rPr>
                <w:b/>
                <w:bCs/>
                <w:color w:val="FFFFFF"/>
                <w:sz w:val="17"/>
                <w:szCs w:val="17"/>
              </w:rPr>
              <w:t xml:space="preserve">Theme of Part I</w:t>
            </w:r>
          </w:p>
        </w:tc>
        <w:tc>
          <w:tcPr>
            <w:tcW w:type="dxa" w:w="5438"/>
            <w:shd w:fill="1F3864" w:color="auto" w:val="clear"/>
            <w:tcMar>
              <w:top w:type="dxa" w:w="60"/>
              <w:left w:type="dxa" w:w="100"/>
              <w:bottom w:type="dxa" w:w="60"/>
              <w:right w:type="dxa" w:w="100"/>
            </w:tcMar>
            <w:vAlign w:val="top"/>
          </w:tcPr>
          <w:p>
            <w:r>
              <w:rPr>
                <w:b/>
                <w:bCs/>
                <w:color w:val="FFFFFF"/>
                <w:sz w:val="17"/>
                <w:szCs w:val="17"/>
              </w:rPr>
              <w:t xml:space="preserve">Papers</w:t>
            </w:r>
          </w:p>
        </w:tc>
      </w:tr>
      <w:tr>
        <w:trPr>
          <w:cantSplit/>
        </w:trPr>
        <w:tc>
          <w:tcPr>
            <w:tcW w:type="dxa" w:w="4200"/>
            <w:tcMar>
              <w:top w:type="dxa" w:w="60"/>
              <w:left w:type="dxa" w:w="100"/>
              <w:bottom w:type="dxa" w:w="60"/>
              <w:right w:type="dxa" w:w="100"/>
            </w:tcMar>
            <w:vAlign w:val="top"/>
          </w:tcPr>
          <w:p>
            <w:r>
              <w:rPr>
                <w:sz w:val="17"/>
                <w:szCs w:val="17"/>
              </w:rPr>
              <w:t xml:space="preserve">1 Assembling and solving coupled systems</w:t>
            </w:r>
          </w:p>
        </w:tc>
        <w:tc>
          <w:tcPr>
            <w:tcW w:type="dxa" w:w="5438"/>
            <w:tcMar>
              <w:top w:type="dxa" w:w="60"/>
              <w:left w:type="dxa" w:w="100"/>
              <w:bottom w:type="dxa" w:w="60"/>
              <w:right w:type="dxa" w:w="100"/>
            </w:tcMar>
            <w:vAlign w:val="top"/>
          </w:tcPr>
          <w:p>
            <w:r>
              <w:rPr>
                <w:sz w:val="17"/>
                <w:szCs w:val="17"/>
              </w:rPr>
              <w:t xml:space="preserve">[O1], [O2], [O3], [H5], [M4]</w:t>
            </w:r>
          </w:p>
        </w:tc>
      </w:tr>
      <w:tr>
        <w:trPr>
          <w:cantSplit/>
        </w:trPr>
        <w:tc>
          <w:tcPr>
            <w:tcW w:type="dxa" w:w="4200"/>
            <w:shd w:fill="F7F9FC" w:color="auto" w:val="clear"/>
            <w:tcMar>
              <w:top w:type="dxa" w:w="60"/>
              <w:left w:type="dxa" w:w="100"/>
              <w:bottom w:type="dxa" w:w="60"/>
              <w:right w:type="dxa" w:w="100"/>
            </w:tcMar>
            <w:vAlign w:val="top"/>
          </w:tcPr>
          <w:p>
            <w:r>
              <w:rPr>
                <w:sz w:val="17"/>
                <w:szCs w:val="17"/>
              </w:rPr>
              <w:t xml:space="preserve">2 Surrogates and learned operators</w:t>
            </w:r>
          </w:p>
        </w:tc>
        <w:tc>
          <w:tcPr>
            <w:tcW w:type="dxa" w:w="5438"/>
            <w:shd w:fill="F7F9FC" w:color="auto" w:val="clear"/>
            <w:tcMar>
              <w:top w:type="dxa" w:w="60"/>
              <w:left w:type="dxa" w:w="100"/>
              <w:bottom w:type="dxa" w:w="60"/>
              <w:right w:type="dxa" w:w="100"/>
            </w:tcMar>
            <w:vAlign w:val="top"/>
          </w:tcPr>
          <w:p>
            <w:r>
              <w:rPr>
                <w:sz w:val="17"/>
                <w:szCs w:val="17"/>
              </w:rPr>
              <w:t xml:space="preserve">[C1], [C2], [M5]</w:t>
            </w:r>
          </w:p>
        </w:tc>
      </w:tr>
      <w:tr>
        <w:trPr>
          <w:cantSplit/>
        </w:trPr>
        <w:tc>
          <w:tcPr>
            <w:tcW w:type="dxa" w:w="4200"/>
            <w:tcMar>
              <w:top w:type="dxa" w:w="60"/>
              <w:left w:type="dxa" w:w="100"/>
              <w:bottom w:type="dxa" w:w="60"/>
              <w:right w:type="dxa" w:w="100"/>
            </w:tcMar>
            <w:vAlign w:val="top"/>
          </w:tcPr>
          <w:p>
            <w:r>
              <w:rPr>
                <w:sz w:val="17"/>
                <w:szCs w:val="17"/>
              </w:rPr>
              <w:t xml:space="preserve">3 Data, assimilation and monitoring design</w:t>
            </w:r>
          </w:p>
        </w:tc>
        <w:tc>
          <w:tcPr>
            <w:tcW w:type="dxa" w:w="5438"/>
            <w:tcMar>
              <w:top w:type="dxa" w:w="60"/>
              <w:left w:type="dxa" w:w="100"/>
              <w:bottom w:type="dxa" w:w="60"/>
              <w:right w:type="dxa" w:w="100"/>
            </w:tcMar>
            <w:vAlign w:val="top"/>
          </w:tcPr>
          <w:p>
            <w:r>
              <w:rPr>
                <w:sz w:val="17"/>
                <w:szCs w:val="17"/>
              </w:rPr>
              <w:t xml:space="preserve">[H3], [H4]</w:t>
            </w:r>
          </w:p>
        </w:tc>
      </w:tr>
      <w:tr>
        <w:trPr>
          <w:cantSplit/>
        </w:trPr>
        <w:tc>
          <w:tcPr>
            <w:tcW w:type="dxa" w:w="4200"/>
            <w:shd w:fill="F7F9FC" w:color="auto" w:val="clear"/>
            <w:tcMar>
              <w:top w:type="dxa" w:w="60"/>
              <w:left w:type="dxa" w:w="100"/>
              <w:bottom w:type="dxa" w:w="60"/>
              <w:right w:type="dxa" w:w="100"/>
            </w:tcMar>
            <w:vAlign w:val="top"/>
          </w:tcPr>
          <w:p>
            <w:r>
              <w:rPr>
                <w:sz w:val="17"/>
                <w:szCs w:val="17"/>
              </w:rPr>
              <w:t xml:space="preserve">4 Placing and operating wells</w:t>
            </w:r>
          </w:p>
        </w:tc>
        <w:tc>
          <w:tcPr>
            <w:tcW w:type="dxa" w:w="5438"/>
            <w:shd w:fill="F7F9FC" w:color="auto" w:val="clear"/>
            <w:tcMar>
              <w:top w:type="dxa" w:w="60"/>
              <w:left w:type="dxa" w:w="100"/>
              <w:bottom w:type="dxa" w:w="60"/>
              <w:right w:type="dxa" w:w="100"/>
            </w:tcMar>
            <w:vAlign w:val="top"/>
          </w:tcPr>
          <w:p>
            <w:r>
              <w:rPr>
                <w:sz w:val="17"/>
                <w:szCs w:val="17"/>
              </w:rPr>
              <w:t xml:space="preserve">[O4], [O5], [C3], [C4], [C5], [H1], [H2], [M1], [M2], [M3]</w:t>
            </w:r>
          </w:p>
        </w:tc>
      </w:tr>
    </w:tbl>
    <w:p>
      <w:pPr>
        <w:spacing w:after="160"/>
      </w:pPr>
    </w:p>
    <w:p>
      <w:pPr>
        <w:pStyle w:val="Heading3"/>
      </w:pPr>
      <w:r>
        <w:rPr>
          <w:color w:val="1F3864"/>
        </w:rPr>
        <w:t xml:space="preserve">8.2 What the papers give the assembly</w:t>
      </w:r>
    </w:p>
    <w:p>
      <w:pPr>
        <w:spacing w:after="120"/>
        <w:jc w:val="both"/>
      </w:pPr>
      <w:r>
        <w:t xml:space="preserve">The Oxford solver papers make the assembled system writable and solvable in one framework: one weak form for all blocks with generated implicit time-stepping [O1], smoothers that keep multigrid robust for coupled systems [O2], and high-order elements whose solver cost does not grow with the degree [O3]. MIT shows which split of a coupled porous-media system is stable and which is not [M4], and Harvard keeps the transport of sharp fronts accurate on coarse grids with conservative learned fluxes [H5]. Surrogates then make the system cheap enough to optimise: neural operators trained with the design among their inputs [C1, C2], and surrogate Monte Carlo for exceedance probabilities [M5]. Calibration and stochastic optimisation can run around the unchanged simulator at scale [H4], and monitoring wells can be chosen at a cost [H3].</w:t>
      </w:r>
    </w:p>
    <w:p>
      <w:pPr>
        <w:pStyle w:val="Heading3"/>
      </w:pPr>
      <w:r>
        <w:rPr>
          <w:color w:val="1F3864"/>
        </w:rPr>
        <w:t xml:space="preserve">8.3 What the papers give the placement of the wells</w:t>
      </w:r>
    </w:p>
    <w:p>
      <w:pPr>
        <w:spacing w:after="120"/>
        <w:jc w:val="both"/>
      </w:pPr>
      <w:r>
        <w:t xml:space="preserve">For the final goal the papers offer several complementary routes. The site choices can be written as a mixed-integer program with a learned chloride constraint [M1], solved at scale with learned large-neighbourhood search [C4], or searched directly over mixed categorical and continuous inputs by Bayesian optimisation [O4]. Sites can be fixed first and rates left as recourse, protected around each posterior draw [M2]. Gradients can come from differentiating the solver [H1] or a surrogate [C3], with site choices relaxed to intensities. Once wells exist, their rates can be operated in receding horizon from a learned model [C5] or through one loss that holds equations and targets [H2]. The decision itself should follow the cycle of calibration, independent validation and recommendation that has been adopted by an operator [M3], and be presented as cost against tolerable risk [O5]. None of the 20 papers places recharge and pumping wells in a coastal aquifer under a chloride limit; together they give every piece that this needs.</w:t>
      </w:r>
    </w:p>
    <w:p>
      <w:pPr>
        <w:pStyle w:val="Heading3"/>
      </w:pPr>
      <w:r>
        <w:rPr>
          <w:color w:val="1F3864"/>
        </w:rPr>
        <w:t xml:space="preserve">8.4 Map of opportunities</w:t>
      </w:r>
    </w:p>
    <w:p>
      <w:pPr>
        <w:spacing w:after="120"/>
        <w:jc w:val="both"/>
      </w:pPr>
      <w:r>
        <w:t xml:space="preserve">Each row joins the open problems of several cards into a question that no published work we found has answered for placing recharge and pumping wells in a coastal aquifer (searches of 27 October 2026). Row 1 is proposed in section 9.</w:t>
      </w:r>
    </w:p>
    <w:tbl>
      <w:tblPr>
        <w:tblW w:type="dxa" w:w="9638"/>
        <w:tblBorders>
          <w:top w:val="single" w:color="C9D1DC" w:sz="4"/>
          <w:left w:val="none" w:color="FFFFFF" w:sz="0"/>
          <w:bottom w:val="single" w:color="C9D1DC" w:sz="4"/>
          <w:right w:val="none" w:color="FFFFFF" w:sz="0"/>
          <w:insideH w:val="single" w:color="E3E8EF" w:sz="4"/>
          <w:insideV w:val="none" w:color="FFFFFF" w:sz="0"/>
        </w:tblBorders>
        <w:tblLayout w:type="fixed"/>
      </w:tblPr>
      <w:tblGrid>
        <w:gridCol w:w="500"/>
        <w:gridCol w:w="2500"/>
        <w:gridCol w:w="1800"/>
        <w:gridCol w:w="4838"/>
      </w:tblGrid>
      <w:tr>
        <w:trPr>
          <w:cantSplit/>
          <w:tblHeader/>
        </w:trPr>
        <w:tc>
          <w:tcPr>
            <w:tcW w:type="dxa" w:w="500"/>
            <w:shd w:fill="1F3864" w:color="auto" w:val="clear"/>
            <w:tcMar>
              <w:top w:type="dxa" w:w="60"/>
              <w:left w:type="dxa" w:w="100"/>
              <w:bottom w:type="dxa" w:w="60"/>
              <w:right w:type="dxa" w:w="100"/>
            </w:tcMar>
            <w:vAlign w:val="top"/>
          </w:tcPr>
          <w:p>
            <w:r>
              <w:rPr>
                <w:b/>
                <w:bCs/>
                <w:color w:val="FFFFFF"/>
                <w:sz w:val="16"/>
                <w:szCs w:val="16"/>
              </w:rPr>
              <w:t xml:space="preserve">#</w:t>
            </w:r>
          </w:p>
        </w:tc>
        <w:tc>
          <w:tcPr>
            <w:tcW w:type="dxa" w:w="2500"/>
            <w:shd w:fill="1F3864" w:color="auto" w:val="clear"/>
            <w:tcMar>
              <w:top w:type="dxa" w:w="60"/>
              <w:left w:type="dxa" w:w="100"/>
              <w:bottom w:type="dxa" w:w="60"/>
              <w:right w:type="dxa" w:w="100"/>
            </w:tcMar>
            <w:vAlign w:val="top"/>
          </w:tcPr>
          <w:p>
            <w:r>
              <w:rPr>
                <w:b/>
                <w:bCs/>
                <w:color w:val="FFFFFF"/>
                <w:sz w:val="16"/>
                <w:szCs w:val="16"/>
              </w:rPr>
              <w:t xml:space="preserve">Opportunity</w:t>
            </w:r>
          </w:p>
        </w:tc>
        <w:tc>
          <w:tcPr>
            <w:tcW w:type="dxa" w:w="1800"/>
            <w:shd w:fill="1F3864" w:color="auto" w:val="clear"/>
            <w:tcMar>
              <w:top w:type="dxa" w:w="60"/>
              <w:left w:type="dxa" w:w="100"/>
              <w:bottom w:type="dxa" w:w="60"/>
              <w:right w:type="dxa" w:w="100"/>
            </w:tcMar>
            <w:vAlign w:val="top"/>
          </w:tcPr>
          <w:p>
            <w:r>
              <w:rPr>
                <w:b/>
                <w:bCs/>
                <w:color w:val="FFFFFF"/>
                <w:sz w:val="16"/>
                <w:szCs w:val="16"/>
              </w:rPr>
              <w:t xml:space="preserve">Built on</w:t>
            </w:r>
          </w:p>
        </w:tc>
        <w:tc>
          <w:tcPr>
            <w:tcW w:type="dxa" w:w="4838"/>
            <w:shd w:fill="1F3864" w:color="auto" w:val="clear"/>
            <w:tcMar>
              <w:top w:type="dxa" w:w="60"/>
              <w:left w:type="dxa" w:w="100"/>
              <w:bottom w:type="dxa" w:w="60"/>
              <w:right w:type="dxa" w:w="100"/>
            </w:tcMar>
            <w:vAlign w:val="top"/>
          </w:tcPr>
          <w:p>
            <w:r>
              <w:rPr>
                <w:b/>
                <w:bCs/>
                <w:color w:val="FFFFFF"/>
                <w:sz w:val="16"/>
                <w:szCs w:val="16"/>
              </w:rPr>
              <w:t xml:space="preserve">What is open and what a first result would prove</w:t>
            </w:r>
          </w:p>
        </w:tc>
      </w:tr>
      <w:tr>
        <w:trPr>
          <w:cantSplit/>
        </w:trPr>
        <w:tc>
          <w:tcPr>
            <w:tcW w:type="dxa" w:w="500"/>
            <w:tcMar>
              <w:top w:type="dxa" w:w="60"/>
              <w:left w:type="dxa" w:w="100"/>
              <w:bottom w:type="dxa" w:w="60"/>
              <w:right w:type="dxa" w:w="100"/>
            </w:tcMar>
            <w:vAlign w:val="top"/>
          </w:tcPr>
          <w:p>
            <w:r>
              <w:rPr>
                <w:sz w:val="16"/>
                <w:szCs w:val="16"/>
              </w:rPr>
              <w:t xml:space="preserve">1</w:t>
            </w:r>
          </w:p>
        </w:tc>
        <w:tc>
          <w:tcPr>
            <w:tcW w:type="dxa" w:w="2500"/>
            <w:tcMar>
              <w:top w:type="dxa" w:w="60"/>
              <w:left w:type="dxa" w:w="100"/>
              <w:bottom w:type="dxa" w:w="60"/>
              <w:right w:type="dxa" w:w="100"/>
            </w:tcMar>
            <w:vAlign w:val="top"/>
          </w:tcPr>
          <w:p>
            <w:r>
              <w:rPr>
                <w:sz w:val="16"/>
                <w:szCs w:val="16"/>
              </w:rPr>
              <w:t xml:space="preserve">An assembly guided by the placement goal</w:t>
            </w:r>
          </w:p>
        </w:tc>
        <w:tc>
          <w:tcPr>
            <w:tcW w:type="dxa" w:w="1800"/>
            <w:tcMar>
              <w:top w:type="dxa" w:w="60"/>
              <w:left w:type="dxa" w:w="100"/>
              <w:bottom w:type="dxa" w:w="60"/>
              <w:right w:type="dxa" w:w="100"/>
            </w:tcMar>
            <w:vAlign w:val="top"/>
          </w:tcPr>
          <w:p>
            <w:r>
              <w:rPr>
                <w:sz w:val="16"/>
                <w:szCs w:val="16"/>
              </w:rPr>
              <w:t xml:space="preserve">[O1], [O2], [M4], [H5], [B13]</w:t>
            </w:r>
          </w:p>
        </w:tc>
        <w:tc>
          <w:tcPr>
            <w:tcW w:type="dxa" w:w="4838"/>
            <w:tcMar>
              <w:top w:type="dxa" w:w="60"/>
              <w:left w:type="dxa" w:w="100"/>
              <w:bottom w:type="dxa" w:w="60"/>
              <w:right w:type="dxa" w:w="100"/>
            </w:tcMar>
            <w:vAlign w:val="top"/>
          </w:tcPr>
          <w:p>
            <w:r>
              <w:rPr>
                <w:sz w:val="16"/>
                <w:szCs w:val="16"/>
              </w:rPr>
              <w:t xml:space="preserve">Using the adjoint of the chloride constraint at the supply screens to decide which couplings of the assembled system must be solved together and which can be split or simplified. Proposed in section 9.</w:t>
            </w:r>
          </w:p>
        </w:tc>
      </w:tr>
      <w:tr>
        <w:trPr>
          <w:cantSplit/>
        </w:trPr>
        <w:tc>
          <w:tcPr>
            <w:tcW w:type="dxa" w:w="500"/>
            <w:shd w:fill="F7F9FC" w:color="auto" w:val="clear"/>
            <w:tcMar>
              <w:top w:type="dxa" w:w="60"/>
              <w:left w:type="dxa" w:w="100"/>
              <w:bottom w:type="dxa" w:w="60"/>
              <w:right w:type="dxa" w:w="100"/>
            </w:tcMar>
            <w:vAlign w:val="top"/>
          </w:tcPr>
          <w:p>
            <w:r>
              <w:rPr>
                <w:sz w:val="16"/>
                <w:szCs w:val="16"/>
              </w:rPr>
              <w:t xml:space="preserve">2</w:t>
            </w:r>
          </w:p>
        </w:tc>
        <w:tc>
          <w:tcPr>
            <w:tcW w:type="dxa" w:w="2500"/>
            <w:shd w:fill="F7F9FC" w:color="auto" w:val="clear"/>
            <w:tcMar>
              <w:top w:type="dxa" w:w="60"/>
              <w:left w:type="dxa" w:w="100"/>
              <w:bottom w:type="dxa" w:w="60"/>
              <w:right w:type="dxa" w:w="100"/>
            </w:tcMar>
            <w:vAlign w:val="top"/>
          </w:tcPr>
          <w:p>
            <w:r>
              <w:rPr>
                <w:sz w:val="16"/>
                <w:szCs w:val="16"/>
              </w:rPr>
              <w:t xml:space="preserve">A surrogate whose error enters the constraint</w:t>
            </w:r>
          </w:p>
        </w:tc>
        <w:tc>
          <w:tcPr>
            <w:tcW w:type="dxa" w:w="1800"/>
            <w:shd w:fill="F7F9FC" w:color="auto" w:val="clear"/>
            <w:tcMar>
              <w:top w:type="dxa" w:w="60"/>
              <w:left w:type="dxa" w:w="100"/>
              <w:bottom w:type="dxa" w:w="60"/>
              <w:right w:type="dxa" w:w="100"/>
            </w:tcMar>
            <w:vAlign w:val="top"/>
          </w:tcPr>
          <w:p>
            <w:r>
              <w:rPr>
                <w:sz w:val="16"/>
                <w:szCs w:val="16"/>
              </w:rPr>
              <w:t xml:space="preserve">[C1], [C2], [M5], [M1]</w:t>
            </w:r>
          </w:p>
        </w:tc>
        <w:tc>
          <w:tcPr>
            <w:tcW w:type="dxa" w:w="4838"/>
            <w:shd w:fill="F7F9FC" w:color="auto" w:val="clear"/>
            <w:tcMar>
              <w:top w:type="dxa" w:w="60"/>
              <w:left w:type="dxa" w:w="100"/>
              <w:bottom w:type="dxa" w:w="60"/>
              <w:right w:type="dxa" w:w="100"/>
            </w:tcMar>
            <w:vAlign w:val="top"/>
          </w:tcPr>
          <w:p>
            <w:r>
              <w:rPr>
                <w:sz w:val="16"/>
                <w:szCs w:val="16"/>
              </w:rPr>
              <w:t xml:space="preserve">Training an operator surrogate on layouts of recharge and pumping wells and tightening the chloride limit by its certified error, so that the layout chosen on the surrogate is safe on the full model.</w:t>
            </w:r>
          </w:p>
        </w:tc>
      </w:tr>
      <w:tr>
        <w:trPr>
          <w:cantSplit/>
        </w:trPr>
        <w:tc>
          <w:tcPr>
            <w:tcW w:type="dxa" w:w="500"/>
            <w:tcMar>
              <w:top w:type="dxa" w:w="60"/>
              <w:left w:type="dxa" w:w="100"/>
              <w:bottom w:type="dxa" w:w="60"/>
              <w:right w:type="dxa" w:w="100"/>
            </w:tcMar>
            <w:vAlign w:val="top"/>
          </w:tcPr>
          <w:p>
            <w:r>
              <w:rPr>
                <w:sz w:val="16"/>
                <w:szCs w:val="16"/>
              </w:rPr>
              <w:t xml:space="preserve">3</w:t>
            </w:r>
          </w:p>
        </w:tc>
        <w:tc>
          <w:tcPr>
            <w:tcW w:type="dxa" w:w="2500"/>
            <w:tcMar>
              <w:top w:type="dxa" w:w="60"/>
              <w:left w:type="dxa" w:w="100"/>
              <w:bottom w:type="dxa" w:w="60"/>
              <w:right w:type="dxa" w:w="100"/>
            </w:tcMar>
            <w:vAlign w:val="top"/>
          </w:tcPr>
          <w:p>
            <w:r>
              <w:rPr>
                <w:sz w:val="16"/>
                <w:szCs w:val="16"/>
              </w:rPr>
              <w:t xml:space="preserve">Integer placement at scale</w:t>
            </w:r>
          </w:p>
        </w:tc>
        <w:tc>
          <w:tcPr>
            <w:tcW w:type="dxa" w:w="1800"/>
            <w:tcMar>
              <w:top w:type="dxa" w:w="60"/>
              <w:left w:type="dxa" w:w="100"/>
              <w:bottom w:type="dxa" w:w="60"/>
              <w:right w:type="dxa" w:w="100"/>
            </w:tcMar>
            <w:vAlign w:val="top"/>
          </w:tcPr>
          <w:p>
            <w:r>
              <w:rPr>
                <w:sz w:val="16"/>
                <w:szCs w:val="16"/>
              </w:rPr>
              <w:t xml:space="preserve">[M1], [C4], [O4], [M2]</w:t>
            </w:r>
          </w:p>
        </w:tc>
        <w:tc>
          <w:tcPr>
            <w:tcW w:type="dxa" w:w="4838"/>
            <w:tcMar>
              <w:top w:type="dxa" w:w="60"/>
              <w:left w:type="dxa" w:w="100"/>
              <w:bottom w:type="dxa" w:w="60"/>
              <w:right w:type="dxa" w:w="100"/>
            </w:tcMar>
            <w:vAlign w:val="top"/>
          </w:tcPr>
          <w:p>
            <w:r>
              <w:rPr>
                <w:sz w:val="16"/>
                <w:szCs w:val="16"/>
              </w:rPr>
              <w:t xml:space="preserve">Solving the choice among hundreds of candidate sites with learned constraints, learned neighbourhoods or mixed-space Bayesian optimisation, with sites fixed first and rates as recourse.</w:t>
            </w:r>
          </w:p>
        </w:tc>
      </w:tr>
      <w:tr>
        <w:trPr>
          <w:cantSplit/>
        </w:trPr>
        <w:tc>
          <w:tcPr>
            <w:tcW w:type="dxa" w:w="500"/>
            <w:shd w:fill="F7F9FC" w:color="auto" w:val="clear"/>
            <w:tcMar>
              <w:top w:type="dxa" w:w="60"/>
              <w:left w:type="dxa" w:w="100"/>
              <w:bottom w:type="dxa" w:w="60"/>
              <w:right w:type="dxa" w:w="100"/>
            </w:tcMar>
            <w:vAlign w:val="top"/>
          </w:tcPr>
          <w:p>
            <w:r>
              <w:rPr>
                <w:sz w:val="16"/>
                <w:szCs w:val="16"/>
              </w:rPr>
              <w:t xml:space="preserve">4</w:t>
            </w:r>
          </w:p>
        </w:tc>
        <w:tc>
          <w:tcPr>
            <w:tcW w:type="dxa" w:w="2500"/>
            <w:shd w:fill="F7F9FC" w:color="auto" w:val="clear"/>
            <w:tcMar>
              <w:top w:type="dxa" w:w="60"/>
              <w:left w:type="dxa" w:w="100"/>
              <w:bottom w:type="dxa" w:w="60"/>
              <w:right w:type="dxa" w:w="100"/>
            </w:tcMar>
            <w:vAlign w:val="top"/>
          </w:tcPr>
          <w:p>
            <w:r>
              <w:rPr>
                <w:sz w:val="16"/>
                <w:szCs w:val="16"/>
              </w:rPr>
              <w:t xml:space="preserve">Gradients through the whole system</w:t>
            </w:r>
          </w:p>
        </w:tc>
        <w:tc>
          <w:tcPr>
            <w:tcW w:type="dxa" w:w="1800"/>
            <w:shd w:fill="F7F9FC" w:color="auto" w:val="clear"/>
            <w:tcMar>
              <w:top w:type="dxa" w:w="60"/>
              <w:left w:type="dxa" w:w="100"/>
              <w:bottom w:type="dxa" w:w="60"/>
              <w:right w:type="dxa" w:w="100"/>
            </w:tcMar>
            <w:vAlign w:val="top"/>
          </w:tcPr>
          <w:p>
            <w:r>
              <w:rPr>
                <w:sz w:val="16"/>
                <w:szCs w:val="16"/>
              </w:rPr>
              <w:t xml:space="preserve">[H1], [C3], [O1], [MR1]</w:t>
            </w:r>
          </w:p>
        </w:tc>
        <w:tc>
          <w:tcPr>
            <w:tcW w:type="dxa" w:w="4838"/>
            <w:shd w:fill="F7F9FC" w:color="auto" w:val="clear"/>
            <w:tcMar>
              <w:top w:type="dxa" w:w="60"/>
              <w:left w:type="dxa" w:w="100"/>
              <w:bottom w:type="dxa" w:w="60"/>
              <w:right w:type="dxa" w:w="100"/>
            </w:tcMar>
            <w:vAlign w:val="top"/>
          </w:tcPr>
          <w:p>
            <w:r>
              <w:rPr>
                <w:sz w:val="16"/>
                <w:szCs w:val="16"/>
              </w:rPr>
              <w:t xml:space="preserve">Differentiating the assembled time loop to obtain the sensitivity of chloride at the supply screens to every candidate rate, and relaxing site choices to intensities that are rounded at the end.</w:t>
            </w:r>
          </w:p>
        </w:tc>
      </w:tr>
      <w:tr>
        <w:trPr>
          <w:cantSplit/>
        </w:trPr>
        <w:tc>
          <w:tcPr>
            <w:tcW w:type="dxa" w:w="500"/>
            <w:tcMar>
              <w:top w:type="dxa" w:w="60"/>
              <w:left w:type="dxa" w:w="100"/>
              <w:bottom w:type="dxa" w:w="60"/>
              <w:right w:type="dxa" w:w="100"/>
            </w:tcMar>
            <w:vAlign w:val="top"/>
          </w:tcPr>
          <w:p>
            <w:r>
              <w:rPr>
                <w:sz w:val="16"/>
                <w:szCs w:val="16"/>
              </w:rPr>
              <w:t xml:space="preserve">5</w:t>
            </w:r>
          </w:p>
        </w:tc>
        <w:tc>
          <w:tcPr>
            <w:tcW w:type="dxa" w:w="2500"/>
            <w:tcMar>
              <w:top w:type="dxa" w:w="60"/>
              <w:left w:type="dxa" w:w="100"/>
              <w:bottom w:type="dxa" w:w="60"/>
              <w:right w:type="dxa" w:w="100"/>
            </w:tcMar>
            <w:vAlign w:val="top"/>
          </w:tcPr>
          <w:p>
            <w:r>
              <w:rPr>
                <w:sz w:val="16"/>
                <w:szCs w:val="16"/>
              </w:rPr>
              <w:t xml:space="preserve">Monitoring that serves the decision</w:t>
            </w:r>
          </w:p>
        </w:tc>
        <w:tc>
          <w:tcPr>
            <w:tcW w:type="dxa" w:w="1800"/>
            <w:tcMar>
              <w:top w:type="dxa" w:w="60"/>
              <w:left w:type="dxa" w:w="100"/>
              <w:bottom w:type="dxa" w:w="60"/>
              <w:right w:type="dxa" w:w="100"/>
            </w:tcMar>
            <w:vAlign w:val="top"/>
          </w:tcPr>
          <w:p>
            <w:r>
              <w:rPr>
                <w:sz w:val="16"/>
                <w:szCs w:val="16"/>
              </w:rPr>
              <w:t xml:space="preserve">[H3], [H4]</w:t>
            </w:r>
          </w:p>
        </w:tc>
        <w:tc>
          <w:tcPr>
            <w:tcW w:type="dxa" w:w="4838"/>
            <w:tcMar>
              <w:top w:type="dxa" w:w="60"/>
              <w:left w:type="dxa" w:w="100"/>
              <w:bottom w:type="dxa" w:w="60"/>
              <w:right w:type="dxa" w:w="100"/>
            </w:tcMar>
            <w:vAlign w:val="top"/>
          </w:tcPr>
          <w:p>
            <w:r>
              <w:rPr>
                <w:sz w:val="16"/>
                <w:szCs w:val="16"/>
              </w:rPr>
              <w:t xml:space="preserve">Choosing monitoring wells for what they tell about the placement decision, not about the whole field, and calibrating the assembled system with them before placing wells.</w:t>
            </w:r>
          </w:p>
        </w:tc>
      </w:tr>
      <w:tr>
        <w:trPr>
          <w:cantSplit/>
        </w:trPr>
        <w:tc>
          <w:tcPr>
            <w:tcW w:type="dxa" w:w="500"/>
            <w:shd w:fill="F7F9FC" w:color="auto" w:val="clear"/>
            <w:tcMar>
              <w:top w:type="dxa" w:w="60"/>
              <w:left w:type="dxa" w:w="100"/>
              <w:bottom w:type="dxa" w:w="60"/>
              <w:right w:type="dxa" w:w="100"/>
            </w:tcMar>
            <w:vAlign w:val="top"/>
          </w:tcPr>
          <w:p>
            <w:r>
              <w:rPr>
                <w:sz w:val="16"/>
                <w:szCs w:val="16"/>
              </w:rPr>
              <w:t xml:space="preserve">6</w:t>
            </w:r>
          </w:p>
        </w:tc>
        <w:tc>
          <w:tcPr>
            <w:tcW w:type="dxa" w:w="2500"/>
            <w:shd w:fill="F7F9FC" w:color="auto" w:val="clear"/>
            <w:tcMar>
              <w:top w:type="dxa" w:w="60"/>
              <w:left w:type="dxa" w:w="100"/>
              <w:bottom w:type="dxa" w:w="60"/>
              <w:right w:type="dxa" w:w="100"/>
            </w:tcMar>
            <w:vAlign w:val="top"/>
          </w:tcPr>
          <w:p>
            <w:r>
              <w:rPr>
                <w:sz w:val="16"/>
                <w:szCs w:val="16"/>
              </w:rPr>
              <w:t xml:space="preserve">From placement to operation</w:t>
            </w:r>
          </w:p>
        </w:tc>
        <w:tc>
          <w:tcPr>
            <w:tcW w:type="dxa" w:w="1800"/>
            <w:shd w:fill="F7F9FC" w:color="auto" w:val="clear"/>
            <w:tcMar>
              <w:top w:type="dxa" w:w="60"/>
              <w:left w:type="dxa" w:w="100"/>
              <w:bottom w:type="dxa" w:w="60"/>
              <w:right w:type="dxa" w:w="100"/>
            </w:tcMar>
            <w:vAlign w:val="top"/>
          </w:tcPr>
          <w:p>
            <w:r>
              <w:rPr>
                <w:sz w:val="16"/>
                <w:szCs w:val="16"/>
              </w:rPr>
              <w:t xml:space="preserve">[C5], [H2], [M3], [O5], [HR1]</w:t>
            </w:r>
          </w:p>
        </w:tc>
        <w:tc>
          <w:tcPr>
            <w:tcW w:type="dxa" w:w="4838"/>
            <w:shd w:fill="F7F9FC" w:color="auto" w:val="clear"/>
            <w:tcMar>
              <w:top w:type="dxa" w:w="60"/>
              <w:left w:type="dxa" w:w="100"/>
              <w:bottom w:type="dxa" w:w="60"/>
              <w:right w:type="dxa" w:w="100"/>
            </w:tcMar>
            <w:vAlign w:val="top"/>
          </w:tcPr>
          <w:p>
            <w:r>
              <w:rPr>
                <w:sz w:val="16"/>
                <w:szCs w:val="16"/>
              </w:rPr>
              <w:t xml:space="preserve">After drilling, receding-horizon control of recharge and pumping rates from a learned reduced model, with tolerable-risk targets agreed with the utility and validation on a later period.</w:t>
            </w:r>
          </w:p>
        </w:tc>
      </w:tr>
    </w:tbl>
    <w:p>
      <w:pPr>
        <w:spacing w:after="160"/>
      </w:pPr>
    </w:p>
    <w:p>
      <w:pPr>
        <w:spacing w:after="120"/>
      </w:pPr>
      <w:r>
        <w:rPr>
          <w:i/>
          <w:iCs/>
          <w:color w:val="5B6573"/>
          <w:sz w:val="18"/>
          <w:szCs w:val="18"/>
        </w:rPr>
        <w:t xml:space="preserve">Table 8.4. Map of opportunities. [HR1] and [MR1] are reserve papers listed as further reading.</w:t>
      </w:r>
    </w:p>
    <w:p>
      <w:pPr>
        <w:pStyle w:val="Heading1"/>
        <w:pageBreakBefore/>
      </w:pPr>
      <w:r>
        <w:rPr>
          <w:color w:val="92400E"/>
        </w:rPr>
        <w:t xml:space="preserve">9. The proposed innovation</w:t>
      </w:r>
    </w:p>
    <w:p>
      <w:pPr>
        <w:spacing w:after="120"/>
        <w:jc w:val="both"/>
      </w:pPr>
      <w:r>
        <w:rPr>
          <w:b/>
          <w:bCs/>
        </w:rPr>
        <w:t xml:space="preserve">An assembly guided by the placement goal.</w:t>
      </w:r>
      <w:r>
        <w:t xml:space="preserve"> The usual order is to assemble the most complete model one can, then optimise the wells on it. The proposal reverses the order: the placement of recharge and pumping wells is stated first, as the chance-constrained mixed-integer problem of section 1.4, and its adjoint decides how the equations are assembled, what is solved together, what is split, where the mesh is refined and what a surrogate must reproduce. The innovation is that the decision, not the completeness of the model, sets the assembly. It is proposed here and will be built and tested in the next document of the series.</w:t>
      </w:r>
    </w:p>
    <w:p>
      <w:pPr>
        <w:pStyle w:val="Heading3"/>
      </w:pPr>
      <w:r>
        <w:rPr>
          <w:color w:val="1F3864"/>
        </w:rPr>
        <w:t xml:space="preserve">9.1 The goal sets the error that matters</w:t>
      </w:r>
    </w:p>
    <w:p>
      <w:pPr>
        <w:spacing w:after="120"/>
        <w:jc w:val="both"/>
      </w:pPr>
      <w:r>
        <w:t xml:space="preserve">For the placement only the chloride at the supply screens under the layout matters. With </w:t>
      </w:r>
      <m:oMath>
        <m:r>
          <m:t>J</m:t>
        </m:r>
      </m:oMath>
      <w:r>
        <w:t xml:space="preserve"> the posterior probability that any supply screen exceeds 250 mg/L and </w:t>
      </w:r>
      <m:oMath>
        <m:r>
          <m:rPr>
            <m:sty m:val="b"/>
          </m:rPr>
          <m:t>λ</m:t>
        </m:r>
      </m:oMath>
      <w:r>
        <w:t xml:space="preserve"> its adjoint, the error of an assembled approximation in </w:t>
      </w:r>
      <m:oMath>
        <m:r>
          <m:t>J</m:t>
        </m:r>
      </m:oMath>
      <w:r>
        <w:t xml:space="preserve"> is estimated by the dual-weighted residual of goal-oriented error control [B13]:</w:t>
      </w:r>
    </w:p>
    <w:p>
      <w:pPr>
        <w:pStyle w:val="Equation"/>
      </w:pPr>
      <m:oMathPara>
        <m:oMathParaPr>
          <m:jc m:val="center"/>
        </m:oMathParaPr>
        <m:oMath>
          <m:r>
            <m:t>J</m:t>
          </m:r>
          <m:d>
            <m:dPr>
              <m:begChr m:val="("/>
              <m:sepChr m:val=""/>
              <m:endChr m:val=")"/>
              <m:grow/>
            </m:dPr>
            <m:e>
              <m:r>
                <m:rPr>
                  <m:sty m:val="b"/>
                </m:rPr>
                <m:t>y</m:t>
              </m:r>
            </m:e>
          </m:d>
          <m:r>
            <m:rPr>
              <m:sty m:val="p"/>
            </m:rPr>
            <m:t>−</m:t>
          </m:r>
          <m:r>
            <m:t>J</m:t>
          </m:r>
          <m:d>
            <m:dPr>
              <m:begChr m:val="("/>
              <m:sepChr m:val=""/>
              <m:endChr m:val=")"/>
              <m:grow/>
            </m:dPr>
            <m:e>
              <m:sSub>
                <m:e>
                  <m:r>
                    <m:rPr>
                      <m:sty m:val="b"/>
                    </m:rPr>
                    <m:t>y</m:t>
                  </m:r>
                </m:e>
                <m:sub>
                  <m:r>
                    <m:t>h</m:t>
                  </m:r>
                </m:sub>
              </m:sSub>
            </m:e>
          </m:d>
          <m:r>
            <m:rPr>
              <m:sty m:val="p"/>
            </m:rPr>
            <m:t>≈</m:t>
          </m:r>
          <m:nary>
            <m:naryPr>
              <m:chr m:val="∑"/>
              <m:limLoc m:val="undOvr"/>
              <m:subHide m:val="off"/>
              <m:supHide m:val="on"/>
            </m:naryPr>
            <m:sub>
              <m:r>
                <m:t>K</m:t>
              </m:r>
            </m:sub>
            <m:sup>
              <m:r>
                <m:t>​</m:t>
              </m:r>
            </m:sup>
            <m:e>
              <m:sSub>
                <m:e>
                  <m:r>
                    <m:t>ρ</m:t>
                  </m:r>
                </m:e>
                <m:sub>
                  <m:r>
                    <m:t>K</m:t>
                  </m:r>
                </m:sub>
              </m:sSub>
            </m:e>
          </m:nary>
          <m:d>
            <m:dPr>
              <m:begChr m:val="("/>
              <m:sepChr m:val=""/>
              <m:endChr m:val=")"/>
              <m:grow/>
            </m:dPr>
            <m:e>
              <m:sSub>
                <m:e>
                  <m:r>
                    <m:rPr>
                      <m:sty m:val="b"/>
                    </m:rPr>
                    <m:t>y</m:t>
                  </m:r>
                </m:e>
                <m:sub>
                  <m:r>
                    <m:t>h</m:t>
                  </m:r>
                </m:sub>
              </m:sSub>
            </m:e>
          </m:d>
          <m:r>
            <m:t> </m:t>
          </m:r>
          <m:sSub>
            <m:e>
              <m:r>
                <m:t>ω</m:t>
              </m:r>
            </m:e>
            <m:sub>
              <m:r>
                <m:t>K</m:t>
              </m:r>
            </m:sub>
          </m:sSub>
          <m:d>
            <m:dPr>
              <m:begChr m:val="("/>
              <m:sepChr m:val=""/>
              <m:endChr m:val=")"/>
              <m:grow/>
            </m:dPr>
            <m:e>
              <m:sSub>
                <m:e>
                  <m:r>
                    <m:rPr>
                      <m:sty m:val="b"/>
                    </m:rPr>
                    <m:t>λ</m:t>
                  </m:r>
                </m:e>
                <m:sub>
                  <m:r>
                    <m:t>h</m:t>
                  </m:r>
                </m:sub>
              </m:sSub>
            </m:e>
          </m:d>
        </m:oMath>
      </m:oMathPara>
    </w:p>
    <w:p>
      <w:pPr>
        <w:spacing w:after="120"/>
        <w:jc w:val="both"/>
      </w:pPr>
      <w:r>
        <w:t xml:space="preserve">where </w:t>
      </w:r>
      <m:oMath>
        <m:sSub>
          <m:e>
            <m:r>
              <m:t>ρ</m:t>
            </m:r>
          </m:e>
          <m:sub>
            <m:r>
              <m:t>K</m:t>
            </m:r>
          </m:sub>
        </m:sSub>
      </m:oMath>
      <w:r>
        <w:t xml:space="preserve"> is the residual of the assembled system in cell or block </w:t>
      </w:r>
      <m:oMath>
        <m:r>
          <m:t>K</m:t>
        </m:r>
      </m:oMath>
      <w:r>
        <w:t xml:space="preserve"> and </w:t>
      </w:r>
      <m:oMath>
        <m:sSub>
          <m:e>
            <m:r>
              <m:t>ω</m:t>
            </m:r>
          </m:e>
          <m:sub>
            <m:r>
              <m:t>K</m:t>
            </m:r>
          </m:sub>
        </m:sSub>
      </m:oMath>
      <w:r>
        <w:t xml:space="preserve"> the weight given by the adjoint. Cells and couplings where the adjoint is small do not affect the decision and can be coarsened or split; those where it is large must be resolved and solved together [O1, O2, M4].</w:t>
      </w:r>
    </w:p>
    <w:p>
      <w:pPr>
        <w:pStyle w:val="Heading3"/>
      </w:pPr>
      <w:r>
        <w:rPr>
          <w:color w:val="1F3864"/>
        </w:rPr>
        <w:t xml:space="preserve">9.2 Which couplings to keep</w:t>
      </w:r>
    </w:p>
    <w:p>
      <w:pPr>
        <w:spacing w:after="120"/>
        <w:jc w:val="both"/>
      </w:pPr>
      <w:r>
        <w:t xml:space="preserve">The same weights decide the coupling. For a block coupling </w:t>
      </w:r>
      <m:oMath>
        <m:r>
          <m:rPr>
            <m:sty m:val="p"/>
          </m:rPr>
          <m:t>∂</m:t>
        </m:r>
        <m:sSub>
          <m:e>
            <m:r>
              <m:rPr>
                <m:sty m:val="b"/>
              </m:rPr>
              <m:t>F</m:t>
            </m:r>
          </m:e>
          <m:sub>
            <m:r>
              <m:t>i</m:t>
            </m:r>
          </m:sub>
        </m:sSub>
        <m:r>
          <m:rPr>
            <m:sty m:val="p"/>
          </m:rPr>
          <m:t>/</m:t>
        </m:r>
        <m:r>
          <m:rPr>
            <m:sty m:val="p"/>
          </m:rPr>
          <m:t>∂</m:t>
        </m:r>
        <m:sSub>
          <m:e>
            <m:r>
              <m:rPr>
                <m:sty m:val="b"/>
              </m:rPr>
              <m:t>y</m:t>
            </m:r>
          </m:e>
          <m:sub>
            <m:r>
              <m:t>j</m:t>
            </m:r>
          </m:sub>
        </m:sSub>
      </m:oMath>
      <w:r>
        <w:t xml:space="preserve"> (flow–salt through the density, salt–flow through the velocity, ion–ion through exchange), its contribution to the decision is</w:t>
      </w:r>
    </w:p>
    <w:p>
      <w:pPr>
        <w:pStyle w:val="Equation"/>
      </w:pPr>
      <m:oMathPara>
        <m:oMathParaPr>
          <m:jc m:val="center"/>
        </m:oMathParaPr>
        <m:oMath>
          <m:r>
            <m:t>Δ</m:t>
          </m:r>
          <m:sSub>
            <m:e>
              <m:r>
                <m:t>J</m:t>
              </m:r>
            </m:e>
            <m:sub>
              <m:r>
                <m:t>i</m:t>
              </m:r>
              <m:r>
                <m:t>j</m:t>
              </m:r>
            </m:sub>
          </m:sSub>
          <m:r>
            <m:rPr>
              <m:sty m:val="p"/>
            </m:rPr>
            <m:t>≈</m:t>
          </m:r>
          <m:sSubSup>
            <m:e>
              <m:r>
                <m:rPr>
                  <m:sty m:val="b"/>
                </m:rPr>
                <m:t>λ</m:t>
              </m:r>
            </m:e>
            <m:sub>
              <m:r>
                <m:t>i</m:t>
              </m:r>
            </m:sub>
            <m:sup>
              <m:r>
                <m:rPr>
                  <m:sty m:val="p"/>
                </m:rPr>
                <m:t>⊤</m:t>
              </m:r>
            </m:sup>
          </m:sSubSup>
          <m:r>
            <m:t> </m:t>
          </m:r>
          <m:f>
            <m:fPr>
              <m:type m:val="bar"/>
            </m:fPr>
            <m:num>
              <m:r>
                <m:rPr>
                  <m:sty m:val="p"/>
                </m:rPr>
                <m:t>∂</m:t>
              </m:r>
              <m:sSub>
                <m:e>
                  <m:r>
                    <m:rPr>
                      <m:sty m:val="b"/>
                    </m:rPr>
                    <m:t>F</m:t>
                  </m:r>
                </m:e>
                <m:sub>
                  <m:r>
                    <m:t>i</m:t>
                  </m:r>
                </m:sub>
              </m:sSub>
            </m:num>
            <m:den>
              <m:r>
                <m:rPr>
                  <m:sty m:val="p"/>
                </m:rPr>
                <m:t>∂</m:t>
              </m:r>
              <m:sSub>
                <m:e>
                  <m:r>
                    <m:rPr>
                      <m:sty m:val="b"/>
                    </m:rPr>
                    <m:t>y</m:t>
                  </m:r>
                </m:e>
                <m:sub>
                  <m:r>
                    <m:t>j</m:t>
                  </m:r>
                </m:sub>
              </m:sSub>
            </m:den>
          </m:f>
          <m:r>
            <m:t> </m:t>
          </m:r>
          <m:r>
            <m:t>δ</m:t>
          </m:r>
          <m:sSub>
            <m:e>
              <m:r>
                <m:rPr>
                  <m:sty m:val="b"/>
                </m:rPr>
                <m:t>y</m:t>
              </m:r>
            </m:e>
            <m:sub>
              <m:r>
                <m:t>j</m:t>
              </m:r>
            </m:sub>
          </m:sSub>
          <m:r>
            <m:rPr>
              <m:sty m:val="p"/>
            </m:rPr>
            <m:t>,</m:t>
          </m:r>
          <m:r>
            <m:t>  </m:t>
          </m:r>
          <m:r>
            <m:rPr>
              <m:nor/>
            </m:rPr>
            <m:t>solve </m:t>
          </m:r>
          <m:d>
            <m:dPr>
              <m:begChr m:val="("/>
              <m:sepChr m:val=""/>
              <m:endChr m:val=")"/>
              <m:grow/>
            </m:dPr>
            <m:e>
              <m:r>
                <m:t>i</m:t>
              </m:r>
              <m:r>
                <m:rPr>
                  <m:sty m:val="p"/>
                </m:rPr>
                <m:t>,</m:t>
              </m:r>
              <m:r>
                <m:t>j</m:t>
              </m:r>
            </m:e>
          </m:d>
          <m:r>
            <m:rPr>
              <m:nor/>
            </m:rPr>
            <m:t> together if </m:t>
          </m:r>
          <m:d>
            <m:dPr>
              <m:begChr m:val="|"/>
              <m:sepChr m:val=""/>
              <m:endChr m:val="|"/>
              <m:grow/>
            </m:dPr>
            <m:e>
              <m:r>
                <m:t>Δ</m:t>
              </m:r>
              <m:sSub>
                <m:e>
                  <m:r>
                    <m:t>J</m:t>
                  </m:r>
                </m:e>
                <m:sub>
                  <m:r>
                    <m:t>i</m:t>
                  </m:r>
                  <m:r>
                    <m:t>j</m:t>
                  </m:r>
                </m:sub>
              </m:sSub>
            </m:e>
          </m:d>
          <m:r>
            <m:rPr>
              <m:sty m:val="p"/>
            </m:rPr>
            <m:t>&gt;</m:t>
          </m:r>
          <m:r>
            <m:t>τ</m:t>
          </m:r>
          <m:r>
            <m:t>α</m:t>
          </m:r>
        </m:oMath>
      </m:oMathPara>
    </w:p>
    <w:p>
      <w:pPr>
        <w:spacing w:after="120"/>
        <w:jc w:val="both"/>
      </w:pPr>
      <w:r>
        <w:t xml:space="preserve">with </w:t>
      </w:r>
      <m:oMath>
        <m:r>
          <m:t>δ</m:t>
        </m:r>
        <m:sSub>
          <m:e>
            <m:r>
              <m:rPr>
                <m:sty m:val="b"/>
              </m:rPr>
              <m:t>y</m:t>
            </m:r>
          </m:e>
          <m:sub>
            <m:r>
              <m:t>j</m:t>
            </m:r>
          </m:sub>
        </m:sSub>
      </m:oMath>
      <w:r>
        <w:t xml:space="preserve"> the change of block </w:t>
      </w:r>
      <m:oMath>
        <m:r>
          <m:t>j</m:t>
        </m:r>
      </m:oMath>
      <w:r>
        <w:t xml:space="preserve"> over one split step and </w:t>
      </w:r>
      <m:oMath>
        <m:r>
          <m:t>τ</m:t>
        </m:r>
      </m:oMath>
      <w:r>
        <w:t xml:space="preserve"> a small fraction of the limit </w:t>
      </w:r>
      <m:oMath>
        <m:r>
          <m:t>α</m:t>
        </m:r>
      </m:oMath>
      <w:r>
        <w:t xml:space="preserve">. Couplings below the tolerance are lagged, as in a stable split [M4]; couplings above it stay in the monolithic block solved with robust smoothers [O2].</w:t>
      </w:r>
    </w:p>
    <w:p>
      <w:pPr>
        <w:pStyle w:val="Heading3"/>
      </w:pPr>
      <w:r>
        <w:rPr>
          <w:color w:val="1F3864"/>
        </w:rPr>
        <w:t xml:space="preserve">9.3 A surrogate trained for the decision, with its error in the constraint</w:t>
      </w:r>
    </w:p>
    <w:p>
      <w:pPr>
        <w:spacing w:after="120"/>
        <w:jc w:val="both"/>
      </w:pPr>
      <w:r>
        <w:t xml:space="preserve">A surrogate is trained on runs of the assembled system with the layout as input [C1, C2], and its error at the supply screens, estimated on held-out layouts, is added to the chloride limit, so that a layout accepted on the surrogate is accepted by the full model:</w:t>
      </w:r>
    </w:p>
    <w:p>
      <w:pPr>
        <w:pStyle w:val="Equation"/>
      </w:pPr>
      <m:oMathPara>
        <m:oMathParaPr>
          <m:jc m:val="center"/>
        </m:oMathParaPr>
        <m:oMath>
          <m:limLow>
            <m:e>
              <m:r>
                <m:rPr>
                  <m:sty m:val="p"/>
                </m:rPr>
                <m:t>max</m:t>
              </m:r>
            </m:e>
            <m:lim>
              <m:r>
                <m:rPr>
                  <m:sty m:val="b"/>
                </m:rPr>
                <m:t>z</m:t>
              </m:r>
              <m:r>
                <m:rPr>
                  <m:sty m:val="p"/>
                </m:rPr>
                <m:t>,</m:t>
              </m:r>
              <m:r>
                <m:rPr>
                  <m:sty m:val="b"/>
                </m:rPr>
                <m:t>q</m:t>
              </m:r>
            </m:lim>
          </m:limLow>
          <m:r>
            <m:t> </m:t>
          </m:r>
          <m:r>
            <m:rPr>
              <m:scr m:val="double-struck"/>
              <m:sty m:val="p"/>
            </m:rPr>
            <m:t>E</m:t>
          </m:r>
          <m:d>
            <m:dPr>
              <m:begChr m:val="["/>
              <m:sepChr m:val=""/>
              <m:endChr m:val="]"/>
              <m:grow/>
            </m:dPr>
            <m:e>
              <m:r>
                <m:t>W</m:t>
              </m:r>
            </m:e>
          </m:d>
          <m:r>
            <m:t> </m:t>
          </m:r>
          <m:r>
            <m:rPr>
              <m:nor/>
            </m:rPr>
            <m:t>s.t.</m:t>
          </m:r>
          <m:r>
            <m:t> </m:t>
          </m:r>
          <m:f>
            <m:fPr>
              <m:type m:val="bar"/>
            </m:fPr>
            <m:num>
              <m:r>
                <m:t>1</m:t>
              </m:r>
            </m:num>
            <m:den>
              <m:r>
                <m:t>N</m:t>
              </m:r>
            </m:den>
          </m:f>
          <m:nary>
            <m:naryPr>
              <m:chr m:val="∑"/>
              <m:limLoc m:val="undOvr"/>
              <m:subHide m:val="off"/>
              <m:supHide m:val="off"/>
            </m:naryPr>
            <m:sub>
              <m:r>
                <m:t>n</m:t>
              </m:r>
              <m:r>
                <m:rPr>
                  <m:sty m:val="p"/>
                </m:rPr>
                <m:t>=</m:t>
              </m:r>
              <m:r>
                <m:t>1</m:t>
              </m:r>
            </m:sub>
            <m:sup>
              <m:r>
                <m:t>N</m:t>
              </m:r>
            </m:sup>
            <m:e>
              <m:r>
                <m:rPr>
                  <m:sty m:val="b"/>
                </m:rPr>
                <m:t>1</m:t>
              </m:r>
            </m:e>
          </m:nary>
          <m:d>
            <m:dPr>
              <m:begChr m:val="{"/>
              <m:sepChr m:val=""/>
              <m:endChr m:val="}"/>
              <m:grow/>
            </m:dPr>
            <m:e>
              <m:limLow>
                <m:e>
                  <m:r>
                    <m:rPr>
                      <m:sty m:val="p"/>
                    </m:rPr>
                    <m:t>max</m:t>
                  </m:r>
                </m:e>
                <m:lim>
                  <m:r>
                    <m:t>w</m:t>
                  </m:r>
                </m:lim>
              </m:limLow>
              <m:sSub>
                <m:e>
                  <m:acc>
                    <m:accPr>
                      <m:chr m:val="̂"/>
                    </m:accPr>
                    <m:e>
                      <m:r>
                        <m:rPr>
                          <m:sty m:val="p"/>
                        </m:rPr>
                        <m:t>C</m:t>
                      </m:r>
                      <m:r>
                        <m:rPr>
                          <m:sty m:val="p"/>
                        </m:rPr>
                        <m:t>l</m:t>
                      </m:r>
                    </m:e>
                  </m:acc>
                </m:e>
                <m:sub>
                  <m:r>
                    <m:t>w</m:t>
                  </m:r>
                </m:sub>
              </m:sSub>
              <m:d>
                <m:dPr>
                  <m:begChr m:val="("/>
                  <m:sepChr m:val=""/>
                  <m:endChr m:val=")"/>
                  <m:grow/>
                </m:dPr>
                <m:e>
                  <m:r>
                    <m:rPr>
                      <m:sty m:val="b"/>
                    </m:rPr>
                    <m:t>z</m:t>
                  </m:r>
                  <m:r>
                    <m:rPr>
                      <m:sty m:val="p"/>
                    </m:rPr>
                    <m:t>,</m:t>
                  </m:r>
                  <m:r>
                    <m:rPr>
                      <m:sty m:val="b"/>
                    </m:rPr>
                    <m:t>q</m:t>
                  </m:r>
                  <m:r>
                    <m:rPr>
                      <m:sty m:val="p"/>
                    </m:rPr>
                    <m:t>;</m:t>
                  </m:r>
                  <m:sSub>
                    <m:e>
                      <m:r>
                        <m:rPr>
                          <m:sty m:val="b"/>
                        </m:rPr>
                        <m:t>θ</m:t>
                      </m:r>
                    </m:e>
                    <m:sub>
                      <m:r>
                        <m:t>n</m:t>
                      </m:r>
                    </m:sub>
                  </m:sSub>
                </m:e>
              </m:d>
              <m:r>
                <m:rPr>
                  <m:sty m:val="p"/>
                </m:rPr>
                <m:t>+</m:t>
              </m:r>
              <m:sSub>
                <m:e>
                  <m:r>
                    <m:t>e</m:t>
                  </m:r>
                </m:e>
                <m:sub>
                  <m:r>
                    <m:t>1</m:t>
                  </m:r>
                  <m:r>
                    <m:rPr>
                      <m:sty m:val="p"/>
                    </m:rPr>
                    <m:t>−</m:t>
                  </m:r>
                  <m:r>
                    <m:t>β</m:t>
                  </m:r>
                </m:sub>
              </m:sSub>
              <m:r>
                <m:rPr>
                  <m:sty m:val="p"/>
                </m:rPr>
                <m:t>&gt;</m:t>
              </m:r>
              <m:r>
                <m:t>250</m:t>
              </m:r>
            </m:e>
          </m:d>
          <m:r>
            <m:rPr>
              <m:sty m:val="p"/>
            </m:rPr>
            <m:t>≤</m:t>
          </m:r>
          <m:r>
            <m:t>α</m:t>
          </m:r>
        </m:oMath>
      </m:oMathPara>
    </w:p>
    <w:p>
      <w:pPr>
        <w:spacing w:after="120"/>
        <w:jc w:val="both"/>
      </w:pPr>
      <w:r>
        <w:t xml:space="preserve">where </w:t>
      </w:r>
      <m:oMath>
        <m:sSub>
          <m:e>
            <m:r>
              <m:rPr>
                <m:sty m:val="b"/>
              </m:rPr>
              <m:t>θ</m:t>
            </m:r>
          </m:e>
          <m:sub>
            <m:r>
              <m:t>n</m:t>
            </m:r>
          </m:sub>
        </m:sSub>
      </m:oMath>
      <w:r>
        <w:t xml:space="preserve"> are posterior draws and </w:t>
      </w:r>
      <m:oMath>
        <m:sSub>
          <m:e>
            <m:r>
              <m:t>e</m:t>
            </m:r>
          </m:e>
          <m:sub>
            <m:r>
              <m:t>1</m:t>
            </m:r>
            <m:r>
              <m:rPr>
                <m:sty m:val="p"/>
              </m:rPr>
              <m:t>−</m:t>
            </m:r>
            <m:r>
              <m:t>β</m:t>
            </m:r>
          </m:sub>
        </m:sSub>
      </m:oMath>
      <w:r>
        <w:t xml:space="preserve"> the </w:t>
      </w:r>
      <m:oMath>
        <m:d>
          <m:dPr>
            <m:begChr m:val="("/>
            <m:sepChr m:val=""/>
            <m:endChr m:val=")"/>
            <m:grow/>
          </m:dPr>
          <m:e>
            <m:r>
              <m:t>1</m:t>
            </m:r>
            <m:r>
              <m:rPr>
                <m:sty m:val="p"/>
              </m:rPr>
              <m:t>−</m:t>
            </m:r>
            <m:r>
              <m:t>β</m:t>
            </m:r>
          </m:e>
        </m:d>
      </m:oMath>
      <w:r>
        <w:t xml:space="preserve"> quantile of the surrogate error. The program is solved with learned constraints [M1] and learned neighbourhoods [C4] or by mixed-space Bayesian optimisation [O4], with sites as the first stage and rates as recourse [M2], and the chosen layout is checked on the full model over the posterior [C3, M5].</w:t>
      </w:r>
    </w:p>
    <w:p>
      <w:pPr>
        <w:pStyle w:val="Heading3"/>
      </w:pPr>
      <w:r>
        <w:rPr>
          <w:color w:val="1F3864"/>
        </w:rPr>
        <w:t xml:space="preserve">9.4 What the next document will test</w:t>
      </w:r>
    </w:p>
    <w:p>
      <w:pPr>
        <w:pStyle w:val="ListParagraph"/>
        <w:numPr>
          <w:ilvl w:val="0"/>
          <w:numId w:val="2"/>
        </w:numPr>
        <w:spacing w:after="60"/>
        <w:jc w:val="both"/>
      </w:pPr>
      <w:r>
        <w:rPr>
          <w:b/>
          <w:bCs/>
        </w:rPr>
        <w:t xml:space="preserve">Assembly:</w:t>
      </w:r>
      <w:r>
        <w:t xml:space="preserve"> the dual-weighted error in the exceedance probability against the true error, on a coarse and a fine assembly of the same aquifer, and which couplings the rule of 9.2 keeps.</w:t>
      </w:r>
    </w:p>
    <w:p>
      <w:pPr>
        <w:pStyle w:val="ListParagraph"/>
        <w:numPr>
          <w:ilvl w:val="0"/>
          <w:numId w:val="2"/>
        </w:numPr>
        <w:spacing w:after="60"/>
        <w:jc w:val="both"/>
      </w:pPr>
      <w:r>
        <w:rPr>
          <w:b/>
          <w:bCs/>
        </w:rPr>
        <w:t xml:space="preserve">Surrogate:</w:t>
      </w:r>
      <w:r>
        <w:t xml:space="preserve"> whether layouts accepted with the error margin of 9.3 stay below the limit on the full model, and how much water the margin costs.</w:t>
      </w:r>
    </w:p>
    <w:p>
      <w:pPr>
        <w:pStyle w:val="ListParagraph"/>
        <w:numPr>
          <w:ilvl w:val="0"/>
          <w:numId w:val="2"/>
        </w:numPr>
        <w:spacing w:after="60"/>
        <w:jc w:val="both"/>
      </w:pPr>
      <w:r>
        <w:rPr>
          <w:b/>
          <w:bCs/>
        </w:rPr>
        <w:t xml:space="preserve">Placement:</w:t>
      </w:r>
      <w:r>
        <w:t xml:space="preserve"> the layouts found by the integer route [M1, C4] and by Bayesian optimisation [O4] against a greedy placement, in model runs and in water delivered at a 10% limit.</w:t>
      </w:r>
    </w:p>
    <w:p>
      <w:pPr>
        <w:pStyle w:val="ListParagraph"/>
        <w:numPr>
          <w:ilvl w:val="0"/>
          <w:numId w:val="2"/>
        </w:numPr>
        <w:spacing w:after="60"/>
        <w:jc w:val="both"/>
      </w:pPr>
      <w:r>
        <w:rPr>
          <w:b/>
          <w:bCs/>
        </w:rPr>
        <w:t xml:space="preserve">Operation:</w:t>
      </w:r>
      <w:r>
        <w:t xml:space="preserve"> a receding-horizon rule for the rates of the chosen wells [C5, H2] on a synthetic drought, validated on a period not used for calibration [M3].</w:t>
      </w:r>
    </w:p>
    <w:p>
      <w:pPr>
        <w:pStyle w:val="Heading1"/>
      </w:pPr>
      <w:r>
        <w:rPr>
          <w:color w:val="1F3864"/>
        </w:rPr>
        <w:t xml:space="preserve">10. References</w:t>
      </w:r>
    </w:p>
    <w:p>
      <w:pPr>
        <w:pStyle w:val="Heading3"/>
      </w:pPr>
      <w:r>
        <w:rPr>
          <w:color w:val="1F3864"/>
        </w:rPr>
        <w:t xml:space="preserve">References of Part I (classical literature)</w:t>
      </w:r>
    </w:p>
    <w:p>
      <w:pPr>
        <w:tabs>
          <w:tab w:val="left" w:pos="567"/>
        </w:tabs>
        <w:spacing w:after="50"/>
        <w:ind w:left="567" w:hanging="567"/>
        <w:jc w:val="left"/>
      </w:pPr>
      <w:r>
        <w:rPr>
          <w:b/>
          <w:bCs/>
          <w:color w:val="1F3864"/>
          <w:sz w:val="17"/>
          <w:szCs w:val="17"/>
        </w:rPr>
        <w:t xml:space="preserve">[B1]	</w:t>
      </w:r>
      <w:r>
        <w:rPr>
          <w:sz w:val="17"/>
          <w:szCs w:val="17"/>
        </w:rPr>
        <w:t xml:space="preserve">Bear, J. (1972). </w:t>
      </w:r>
      <w:r>
        <w:rPr>
          <w:i/>
          <w:iCs/>
          <w:sz w:val="17"/>
          <w:szCs w:val="17"/>
        </w:rPr>
        <w:t xml:space="preserve">Dynamics of Fluids in Porous Media</w:t>
      </w:r>
      <w:r>
        <w:rPr>
          <w:sz w:val="17"/>
          <w:szCs w:val="17"/>
        </w:rPr>
        <w:t xml:space="preserve">. American Elsevier, New York (reprinted by Dover, 1988).</w:t>
      </w:r>
    </w:p>
    <w:p>
      <w:pPr>
        <w:tabs>
          <w:tab w:val="left" w:pos="567"/>
        </w:tabs>
        <w:spacing w:after="50"/>
        <w:ind w:left="567" w:hanging="567"/>
        <w:jc w:val="left"/>
      </w:pPr>
      <w:r>
        <w:rPr>
          <w:b/>
          <w:bCs/>
          <w:color w:val="1F3864"/>
          <w:sz w:val="17"/>
          <w:szCs w:val="17"/>
        </w:rPr>
        <w:t xml:space="preserve">[B2]	</w:t>
      </w:r>
      <w:r>
        <w:rPr>
          <w:sz w:val="17"/>
          <w:szCs w:val="17"/>
        </w:rPr>
        <w:t xml:space="preserve">Werner, A. D., Bakker, M., Post, V. E. A., Vandenbohede, A., Lu, C., Ataie-Ashtiani, B., Simmons, C. T. &amp; Barry, D. A. (2013). Seawater intrusion processes, investigation and management: recent advances and future challenges. </w:t>
      </w:r>
      <w:r>
        <w:rPr>
          <w:i/>
          <w:iCs/>
          <w:sz w:val="17"/>
          <w:szCs w:val="17"/>
        </w:rPr>
        <w:t xml:space="preserve">Advances in Water Resources</w:t>
      </w:r>
      <w:r>
        <w:rPr>
          <w:sz w:val="17"/>
          <w:szCs w:val="17"/>
        </w:rPr>
        <w:t xml:space="preserve">, 51, 3–26.</w:t>
      </w:r>
      <w:r>
        <w:rPr>
          <w:sz w:val="17"/>
          <w:szCs w:val="17"/>
        </w:rPr>
        <w:t xml:space="preserve"> </w:t>
      </w:r>
      <w:hyperlink w:history="1" r:id="rIdatfy9h4n4v_5vkh9_ymzs">
        <w:r>
          <w:rPr>
            <w:color w:val="1D4ED8"/>
            <w:sz w:val="17"/>
            <w:szCs w:val="17"/>
            <w:u w:val="single"/>
          </w:rPr>
          <w:t xml:space="preserve">https://doi.org/10.1016/j.advwatres.2012.03.004</w:t>
        </w:r>
      </w:hyperlink>
    </w:p>
    <w:p>
      <w:pPr>
        <w:tabs>
          <w:tab w:val="left" w:pos="567"/>
        </w:tabs>
        <w:spacing w:after="50"/>
        <w:ind w:left="567" w:hanging="567"/>
        <w:jc w:val="left"/>
      </w:pPr>
      <w:r>
        <w:rPr>
          <w:b/>
          <w:bCs/>
          <w:color w:val="1F3864"/>
          <w:sz w:val="17"/>
          <w:szCs w:val="17"/>
        </w:rPr>
        <w:t xml:space="preserve">[B3]	</w:t>
      </w:r>
      <w:r>
        <w:rPr>
          <w:sz w:val="17"/>
          <w:szCs w:val="17"/>
        </w:rPr>
        <w:t xml:space="preserve">Strack, O. D. L. (1976). A single-potential solution for regional interface problems in coastal aquifers. </w:t>
      </w:r>
      <w:r>
        <w:rPr>
          <w:i/>
          <w:iCs/>
          <w:sz w:val="17"/>
          <w:szCs w:val="17"/>
        </w:rPr>
        <w:t xml:space="preserve">Water Resources Research</w:t>
      </w:r>
      <w:r>
        <w:rPr>
          <w:sz w:val="17"/>
          <w:szCs w:val="17"/>
        </w:rPr>
        <w:t xml:space="preserve">, 12(6), 1165–1174.</w:t>
      </w:r>
      <w:r>
        <w:rPr>
          <w:sz w:val="17"/>
          <w:szCs w:val="17"/>
        </w:rPr>
        <w:t xml:space="preserve"> </w:t>
      </w:r>
      <w:hyperlink w:history="1" r:id="rIdq_zaxeytb7pvx9fjrb0t5">
        <w:r>
          <w:rPr>
            <w:color w:val="1D4ED8"/>
            <w:sz w:val="17"/>
            <w:szCs w:val="17"/>
            <w:u w:val="single"/>
          </w:rPr>
          <w:t xml:space="preserve">https://doi.org/10.1029/WR012i006p01165</w:t>
        </w:r>
      </w:hyperlink>
    </w:p>
    <w:p>
      <w:pPr>
        <w:tabs>
          <w:tab w:val="left" w:pos="567"/>
        </w:tabs>
        <w:spacing w:after="50"/>
        <w:ind w:left="567" w:hanging="567"/>
        <w:jc w:val="left"/>
      </w:pPr>
      <w:r>
        <w:rPr>
          <w:b/>
          <w:bCs/>
          <w:color w:val="1F3864"/>
          <w:sz w:val="17"/>
          <w:szCs w:val="17"/>
        </w:rPr>
        <w:t xml:space="preserve">[B4]	</w:t>
      </w:r>
      <w:r>
        <w:rPr>
          <w:sz w:val="17"/>
          <w:szCs w:val="17"/>
        </w:rPr>
        <w:t xml:space="preserve">Peaceman, D. W. (1978). Interpretation of well-block pressures in numerical reservoir simulation. </w:t>
      </w:r>
      <w:r>
        <w:rPr>
          <w:i/>
          <w:iCs/>
          <w:sz w:val="17"/>
          <w:szCs w:val="17"/>
        </w:rPr>
        <w:t xml:space="preserve">Society of Petroleum Engineers Journal</w:t>
      </w:r>
      <w:r>
        <w:rPr>
          <w:sz w:val="17"/>
          <w:szCs w:val="17"/>
        </w:rPr>
        <w:t xml:space="preserve">, 18(3), 183–194.</w:t>
      </w:r>
      <w:r>
        <w:rPr>
          <w:sz w:val="17"/>
          <w:szCs w:val="17"/>
        </w:rPr>
        <w:t xml:space="preserve"> </w:t>
      </w:r>
      <w:hyperlink w:history="1" r:id="rIdmxzu7khdt15w01er3xykt">
        <w:r>
          <w:rPr>
            <w:color w:val="1D4ED8"/>
            <w:sz w:val="17"/>
            <w:szCs w:val="17"/>
            <w:u w:val="single"/>
          </w:rPr>
          <w:t xml:space="preserve">https://doi.org/10.2118/6893-PA</w:t>
        </w:r>
      </w:hyperlink>
    </w:p>
    <w:p>
      <w:pPr>
        <w:tabs>
          <w:tab w:val="left" w:pos="567"/>
        </w:tabs>
        <w:spacing w:after="50"/>
        <w:ind w:left="567" w:hanging="567"/>
        <w:jc w:val="left"/>
      </w:pPr>
      <w:r>
        <w:rPr>
          <w:b/>
          <w:bCs/>
          <w:color w:val="1F3864"/>
          <w:sz w:val="17"/>
          <w:szCs w:val="17"/>
        </w:rPr>
        <w:t xml:space="preserve">[B5]	</w:t>
      </w:r>
      <w:r>
        <w:rPr>
          <w:sz w:val="17"/>
          <w:szCs w:val="17"/>
        </w:rPr>
        <w:t xml:space="preserve">Gorelick, S. M. (1983). A review of distributed parameter groundwater management modeling methods. </w:t>
      </w:r>
      <w:r>
        <w:rPr>
          <w:i/>
          <w:iCs/>
          <w:sz w:val="17"/>
          <w:szCs w:val="17"/>
        </w:rPr>
        <w:t xml:space="preserve">Water Resources Research</w:t>
      </w:r>
      <w:r>
        <w:rPr>
          <w:sz w:val="17"/>
          <w:szCs w:val="17"/>
        </w:rPr>
        <w:t xml:space="preserve">, 19(2), 305–319.</w:t>
      </w:r>
      <w:r>
        <w:rPr>
          <w:sz w:val="17"/>
          <w:szCs w:val="17"/>
        </w:rPr>
        <w:t xml:space="preserve"> </w:t>
      </w:r>
      <w:hyperlink w:history="1" r:id="rId72blz3mxfg3hgwhkduqo-">
        <w:r>
          <w:rPr>
            <w:color w:val="1D4ED8"/>
            <w:sz w:val="17"/>
            <w:szCs w:val="17"/>
            <w:u w:val="single"/>
          </w:rPr>
          <w:t xml:space="preserve">https://doi.org/10.1029/WR019i002p00305</w:t>
        </w:r>
      </w:hyperlink>
    </w:p>
    <w:p>
      <w:pPr>
        <w:tabs>
          <w:tab w:val="left" w:pos="567"/>
        </w:tabs>
        <w:spacing w:after="50"/>
        <w:ind w:left="567" w:hanging="567"/>
        <w:jc w:val="left"/>
      </w:pPr>
      <w:r>
        <w:rPr>
          <w:b/>
          <w:bCs/>
          <w:color w:val="1F3864"/>
          <w:sz w:val="17"/>
          <w:szCs w:val="17"/>
        </w:rPr>
        <w:t xml:space="preserve">[B6]	</w:t>
      </w:r>
      <w:r>
        <w:rPr>
          <w:sz w:val="17"/>
          <w:szCs w:val="17"/>
        </w:rPr>
        <w:t xml:space="preserve">Belotti, P., Kirches, C., Leyffer, S., Linderoth, J., Luedtke, J. &amp; Mahajan, A. (2013). Mixed-integer nonlinear optimization. </w:t>
      </w:r>
      <w:r>
        <w:rPr>
          <w:i/>
          <w:iCs/>
          <w:sz w:val="17"/>
          <w:szCs w:val="17"/>
        </w:rPr>
        <w:t xml:space="preserve">Acta Numerica</w:t>
      </w:r>
      <w:r>
        <w:rPr>
          <w:sz w:val="17"/>
          <w:szCs w:val="17"/>
        </w:rPr>
        <w:t xml:space="preserve">, 22, 1–131.</w:t>
      </w:r>
      <w:r>
        <w:rPr>
          <w:sz w:val="17"/>
          <w:szCs w:val="17"/>
        </w:rPr>
        <w:t xml:space="preserve"> </w:t>
      </w:r>
      <w:hyperlink w:history="1" r:id="rIdmqe_huii30vu1qppqrx8g">
        <w:r>
          <w:rPr>
            <w:color w:val="1D4ED8"/>
            <w:sz w:val="17"/>
            <w:szCs w:val="17"/>
            <w:u w:val="single"/>
          </w:rPr>
          <w:t xml:space="preserve">https://doi.org/10.1017/S0962492913000032</w:t>
        </w:r>
      </w:hyperlink>
    </w:p>
    <w:p>
      <w:pPr>
        <w:tabs>
          <w:tab w:val="left" w:pos="567"/>
        </w:tabs>
        <w:spacing w:after="50"/>
        <w:ind w:left="567" w:hanging="567"/>
        <w:jc w:val="left"/>
      </w:pPr>
      <w:r>
        <w:rPr>
          <w:b/>
          <w:bCs/>
          <w:color w:val="1F3864"/>
          <w:sz w:val="17"/>
          <w:szCs w:val="17"/>
        </w:rPr>
        <w:t xml:space="preserve">[B7]	</w:t>
      </w:r>
      <w:r>
        <w:rPr>
          <w:sz w:val="17"/>
          <w:szCs w:val="17"/>
        </w:rPr>
        <w:t xml:space="preserve">Evensen, G. (2009). </w:t>
      </w:r>
      <w:r>
        <w:rPr>
          <w:i/>
          <w:iCs/>
          <w:sz w:val="17"/>
          <w:szCs w:val="17"/>
        </w:rPr>
        <w:t xml:space="preserve">Data Assimilation: The Ensemble Kalman Filter</w:t>
      </w:r>
      <w:r>
        <w:rPr>
          <w:sz w:val="17"/>
          <w:szCs w:val="17"/>
        </w:rPr>
        <w:t xml:space="preserve"> (2nd ed.). Springer, Berlin.</w:t>
      </w:r>
      <w:r>
        <w:rPr>
          <w:sz w:val="17"/>
          <w:szCs w:val="17"/>
        </w:rPr>
        <w:t xml:space="preserve"> </w:t>
      </w:r>
      <w:hyperlink w:history="1" r:id="rIdlpftpmtb-m7fjslcxggmc">
        <w:r>
          <w:rPr>
            <w:color w:val="1D4ED8"/>
            <w:sz w:val="17"/>
            <w:szCs w:val="17"/>
            <w:u w:val="single"/>
          </w:rPr>
          <w:t xml:space="preserve">https://doi.org/10.1007/978-3-642-03711-5</w:t>
        </w:r>
      </w:hyperlink>
    </w:p>
    <w:p>
      <w:pPr>
        <w:tabs>
          <w:tab w:val="left" w:pos="567"/>
        </w:tabs>
        <w:spacing w:after="50"/>
        <w:ind w:left="567" w:hanging="567"/>
        <w:jc w:val="left"/>
      </w:pPr>
      <w:r>
        <w:rPr>
          <w:b/>
          <w:bCs/>
          <w:color w:val="1F3864"/>
          <w:sz w:val="17"/>
          <w:szCs w:val="17"/>
        </w:rPr>
        <w:t xml:space="preserve">[B8]	</w:t>
      </w:r>
      <w:r>
        <w:rPr>
          <w:sz w:val="17"/>
          <w:szCs w:val="17"/>
        </w:rPr>
        <w:t xml:space="preserve">Charnes, A. &amp; Cooper, W. W. (1959). Chance-constrained programming. </w:t>
      </w:r>
      <w:r>
        <w:rPr>
          <w:i/>
          <w:iCs/>
          <w:sz w:val="17"/>
          <w:szCs w:val="17"/>
        </w:rPr>
        <w:t xml:space="preserve">Management Science</w:t>
      </w:r>
      <w:r>
        <w:rPr>
          <w:sz w:val="17"/>
          <w:szCs w:val="17"/>
        </w:rPr>
        <w:t xml:space="preserve">, 6(1), 73–79.</w:t>
      </w:r>
      <w:r>
        <w:rPr>
          <w:sz w:val="17"/>
          <w:szCs w:val="17"/>
        </w:rPr>
        <w:t xml:space="preserve"> </w:t>
      </w:r>
      <w:hyperlink w:history="1" r:id="rId7hwl6jatmjuqai8yx30t8">
        <w:r>
          <w:rPr>
            <w:color w:val="1D4ED8"/>
            <w:sz w:val="17"/>
            <w:szCs w:val="17"/>
            <w:u w:val="single"/>
          </w:rPr>
          <w:t xml:space="preserve">https://doi.org/10.1287/mnsc.6.1.73</w:t>
        </w:r>
      </w:hyperlink>
    </w:p>
    <w:p>
      <w:pPr>
        <w:tabs>
          <w:tab w:val="left" w:pos="567"/>
        </w:tabs>
        <w:spacing w:after="50"/>
        <w:ind w:left="567" w:hanging="567"/>
        <w:jc w:val="left"/>
      </w:pPr>
      <w:r>
        <w:rPr>
          <w:b/>
          <w:bCs/>
          <w:color w:val="1F3864"/>
          <w:sz w:val="17"/>
          <w:szCs w:val="17"/>
        </w:rPr>
        <w:t xml:space="preserve">[B9]	</w:t>
      </w:r>
      <w:r>
        <w:rPr>
          <w:sz w:val="17"/>
          <w:szCs w:val="17"/>
        </w:rPr>
        <w:t xml:space="preserve">Nemirovski, A. &amp; Shapiro, A. (2006). Convex approximations of chance constrained programs. </w:t>
      </w:r>
      <w:r>
        <w:rPr>
          <w:i/>
          <w:iCs/>
          <w:sz w:val="17"/>
          <w:szCs w:val="17"/>
        </w:rPr>
        <w:t xml:space="preserve">SIAM Journal on Optimization</w:t>
      </w:r>
      <w:r>
        <w:rPr>
          <w:sz w:val="17"/>
          <w:szCs w:val="17"/>
        </w:rPr>
        <w:t xml:space="preserve">, 17(4), 969–996.</w:t>
      </w:r>
      <w:r>
        <w:rPr>
          <w:sz w:val="17"/>
          <w:szCs w:val="17"/>
        </w:rPr>
        <w:t xml:space="preserve"> </w:t>
      </w:r>
      <w:hyperlink w:history="1" r:id="rIdqeworrh0ec__ztphmwxx5">
        <w:r>
          <w:rPr>
            <w:color w:val="1D4ED8"/>
            <w:sz w:val="17"/>
            <w:szCs w:val="17"/>
            <w:u w:val="single"/>
          </w:rPr>
          <w:t xml:space="preserve">https://doi.org/10.1137/050622328</w:t>
        </w:r>
      </w:hyperlink>
    </w:p>
    <w:p>
      <w:pPr>
        <w:tabs>
          <w:tab w:val="left" w:pos="567"/>
        </w:tabs>
        <w:spacing w:after="50"/>
        <w:ind w:left="567" w:hanging="567"/>
        <w:jc w:val="left"/>
      </w:pPr>
      <w:r>
        <w:rPr>
          <w:b/>
          <w:bCs/>
          <w:color w:val="1F3864"/>
          <w:sz w:val="17"/>
          <w:szCs w:val="17"/>
        </w:rPr>
        <w:t xml:space="preserve">[B10]	</w:t>
      </w:r>
      <w:r>
        <w:rPr>
          <w:sz w:val="17"/>
          <w:szCs w:val="17"/>
        </w:rPr>
        <w:t xml:space="preserve">Hinze, M., Pinnau, R., Ulbrich, M. &amp; Ulbrich, S. (2009). </w:t>
      </w:r>
      <w:r>
        <w:rPr>
          <w:i/>
          <w:iCs/>
          <w:sz w:val="17"/>
          <w:szCs w:val="17"/>
        </w:rPr>
        <w:t xml:space="preserve">Optimization with PDE Constraints</w:t>
      </w:r>
      <w:r>
        <w:rPr>
          <w:sz w:val="17"/>
          <w:szCs w:val="17"/>
        </w:rPr>
        <w:t xml:space="preserve">. Springer, Dordrecht.</w:t>
      </w:r>
      <w:r>
        <w:rPr>
          <w:sz w:val="17"/>
          <w:szCs w:val="17"/>
        </w:rPr>
        <w:t xml:space="preserve"> </w:t>
      </w:r>
      <w:hyperlink w:history="1" r:id="rIdqbmflqmhlbdtbicegyb0b">
        <w:r>
          <w:rPr>
            <w:color w:val="1D4ED8"/>
            <w:sz w:val="17"/>
            <w:szCs w:val="17"/>
            <w:u w:val="single"/>
          </w:rPr>
          <w:t xml:space="preserve">https://doi.org/10.1007/978-1-4020-8839-1</w:t>
        </w:r>
      </w:hyperlink>
    </w:p>
    <w:p>
      <w:pPr>
        <w:tabs>
          <w:tab w:val="left" w:pos="567"/>
        </w:tabs>
        <w:spacing w:after="50"/>
        <w:ind w:left="567" w:hanging="567"/>
        <w:jc w:val="left"/>
      </w:pPr>
      <w:r>
        <w:rPr>
          <w:b/>
          <w:bCs/>
          <w:color w:val="1F3864"/>
          <w:sz w:val="17"/>
          <w:szCs w:val="17"/>
        </w:rPr>
        <w:t xml:space="preserve">[B11]	</w:t>
      </w:r>
      <w:r>
        <w:rPr>
          <w:sz w:val="17"/>
          <w:szCs w:val="17"/>
        </w:rPr>
        <w:t xml:space="preserve">Gorelick, S. M. &amp; Zheng, C. (2015). Global change and the groundwater management challenge. </w:t>
      </w:r>
      <w:r>
        <w:rPr>
          <w:i/>
          <w:iCs/>
          <w:sz w:val="17"/>
          <w:szCs w:val="17"/>
        </w:rPr>
        <w:t xml:space="preserve">Water Resources Research</w:t>
      </w:r>
      <w:r>
        <w:rPr>
          <w:sz w:val="17"/>
          <w:szCs w:val="17"/>
        </w:rPr>
        <w:t xml:space="preserve">, 51 (introduction to a special section; pages not verified).</w:t>
      </w:r>
      <w:r>
        <w:rPr>
          <w:sz w:val="17"/>
          <w:szCs w:val="17"/>
        </w:rPr>
        <w:t xml:space="preserve"> </w:t>
      </w:r>
      <w:hyperlink w:history="1" r:id="rIdkfkvky9h9jqgzz6haih0x">
        <w:r>
          <w:rPr>
            <w:color w:val="1D4ED8"/>
            <w:sz w:val="17"/>
            <w:szCs w:val="17"/>
            <w:u w:val="single"/>
          </w:rPr>
          <w:t xml:space="preserve">https://doi.org/10.1002/2014WR016825</w:t>
        </w:r>
      </w:hyperlink>
    </w:p>
    <w:p>
      <w:pPr>
        <w:tabs>
          <w:tab w:val="left" w:pos="567"/>
        </w:tabs>
        <w:spacing w:after="50"/>
        <w:ind w:left="567" w:hanging="567"/>
        <w:jc w:val="left"/>
      </w:pPr>
      <w:r>
        <w:rPr>
          <w:b/>
          <w:bCs/>
          <w:color w:val="1F3864"/>
          <w:sz w:val="17"/>
          <w:szCs w:val="17"/>
        </w:rPr>
        <w:t xml:space="preserve">[B12]	</w:t>
      </w:r>
      <w:r>
        <w:rPr>
          <w:sz w:val="17"/>
          <w:szCs w:val="17"/>
        </w:rPr>
        <w:t xml:space="preserve">Giles, M. B. &amp; Pierce, N. A. (2000). An introduction to the adjoint approach to design. </w:t>
      </w:r>
      <w:r>
        <w:rPr>
          <w:i/>
          <w:iCs/>
          <w:sz w:val="17"/>
          <w:szCs w:val="17"/>
        </w:rPr>
        <w:t xml:space="preserve">Flow, Turbulence and Combustion</w:t>
      </w:r>
      <w:r>
        <w:rPr>
          <w:sz w:val="17"/>
          <w:szCs w:val="17"/>
        </w:rPr>
        <w:t xml:space="preserve">, 65(3–4), 393–415.</w:t>
      </w:r>
      <w:r>
        <w:rPr>
          <w:sz w:val="17"/>
          <w:szCs w:val="17"/>
        </w:rPr>
        <w:t xml:space="preserve"> </w:t>
      </w:r>
      <w:hyperlink w:history="1" r:id="rId6zzv5c8tfgo4hg6o8l4pg">
        <w:r>
          <w:rPr>
            <w:color w:val="1D4ED8"/>
            <w:sz w:val="17"/>
            <w:szCs w:val="17"/>
            <w:u w:val="single"/>
          </w:rPr>
          <w:t xml:space="preserve">https://doi.org/10.1023/A:1011430410075</w:t>
        </w:r>
      </w:hyperlink>
    </w:p>
    <w:p>
      <w:pPr>
        <w:tabs>
          <w:tab w:val="left" w:pos="567"/>
        </w:tabs>
        <w:spacing w:after="50"/>
        <w:ind w:left="567" w:hanging="567"/>
        <w:jc w:val="left"/>
      </w:pPr>
      <w:r>
        <w:rPr>
          <w:b/>
          <w:bCs/>
          <w:color w:val="1F3864"/>
          <w:sz w:val="17"/>
          <w:szCs w:val="17"/>
        </w:rPr>
        <w:t xml:space="preserve">[B13]	</w:t>
      </w:r>
      <w:r>
        <w:rPr>
          <w:sz w:val="17"/>
          <w:szCs w:val="17"/>
        </w:rPr>
        <w:t xml:space="preserve">Becker, R. &amp; Rannacher, R. (2001). An optimal control approach to a posteriori error estimation in finite element methods. </w:t>
      </w:r>
      <w:r>
        <w:rPr>
          <w:i/>
          <w:iCs/>
          <w:sz w:val="17"/>
          <w:szCs w:val="17"/>
        </w:rPr>
        <w:t xml:space="preserve">Acta Numerica</w:t>
      </w:r>
      <w:r>
        <w:rPr>
          <w:sz w:val="17"/>
          <w:szCs w:val="17"/>
        </w:rPr>
        <w:t xml:space="preserve">, 10, 1–102.</w:t>
      </w:r>
      <w:r>
        <w:rPr>
          <w:sz w:val="17"/>
          <w:szCs w:val="17"/>
        </w:rPr>
        <w:t xml:space="preserve"> </w:t>
      </w:r>
      <w:hyperlink w:history="1" r:id="rIdk2xwob2jylhol9ovc4bns">
        <w:r>
          <w:rPr>
            <w:color w:val="1D4ED8"/>
            <w:sz w:val="17"/>
            <w:szCs w:val="17"/>
            <w:u w:val="single"/>
          </w:rPr>
          <w:t xml:space="preserve">https://doi.org/10.1017/S0962492901000010</w:t>
        </w:r>
      </w:hyperlink>
    </w:p>
    <w:p>
      <w:pPr>
        <w:pStyle w:val="Heading3"/>
      </w:pPr>
      <w:r>
        <w:rPr>
          <w:color w:val="1F3864"/>
        </w:rPr>
        <w:t xml:space="preserve">References of Part II (the 20 papers)</w:t>
      </w:r>
    </w:p>
    <w:p>
      <w:pPr>
        <w:tabs>
          <w:tab w:val="left" w:pos="567"/>
        </w:tabs>
        <w:spacing w:after="50"/>
        <w:ind w:left="567" w:hanging="567"/>
        <w:jc w:val="left"/>
      </w:pPr>
      <w:r>
        <w:rPr>
          <w:b/>
          <w:bCs/>
          <w:color w:val="002147"/>
          <w:sz w:val="17"/>
          <w:szCs w:val="17"/>
        </w:rPr>
        <w:t xml:space="preserve">[O1]	</w:t>
      </w:r>
      <w:r>
        <w:rPr>
          <w:sz w:val="17"/>
          <w:szCs w:val="17"/>
        </w:rPr>
        <w:t xml:space="preserve">Farrell, P. E., Kirby, R. C. &amp; Marchena-Menéndez, J. (2021). Irksome: automating Runge–Kutta time-stepping for finite element methods. </w:t>
      </w:r>
      <w:r>
        <w:rPr>
          <w:i/>
          <w:iCs/>
          <w:sz w:val="17"/>
          <w:szCs w:val="17"/>
        </w:rPr>
        <w:t xml:space="preserve">ACM Transactions on Mathematical Software</w:t>
      </w:r>
      <w:r>
        <w:rPr>
          <w:sz w:val="17"/>
          <w:szCs w:val="17"/>
        </w:rPr>
        <w:t xml:space="preserve">, 47(4), Article 30, 1–26.</w:t>
      </w:r>
      <w:r>
        <w:rPr>
          <w:sz w:val="17"/>
          <w:szCs w:val="17"/>
        </w:rPr>
        <w:t xml:space="preserve"> </w:t>
      </w:r>
      <w:hyperlink w:history="1" r:id="rIdxgbdgs_hjcke7pcicnjgx">
        <w:r>
          <w:rPr>
            <w:color w:val="1D4ED8"/>
            <w:sz w:val="17"/>
            <w:szCs w:val="17"/>
            <w:u w:val="single"/>
          </w:rPr>
          <w:t xml:space="preserve">https://doi.org/10.1145/3466168</w:t>
        </w:r>
      </w:hyperlink>
    </w:p>
    <w:p>
      <w:pPr>
        <w:tabs>
          <w:tab w:val="left" w:pos="567"/>
        </w:tabs>
        <w:spacing w:after="50"/>
        <w:ind w:left="567" w:hanging="567"/>
        <w:jc w:val="left"/>
      </w:pPr>
      <w:r>
        <w:rPr>
          <w:b/>
          <w:bCs/>
          <w:color w:val="002147"/>
          <w:sz w:val="17"/>
          <w:szCs w:val="17"/>
        </w:rPr>
        <w:t xml:space="preserve">[O2]	</w:t>
      </w:r>
      <w:r>
        <w:rPr>
          <w:sz w:val="17"/>
          <w:szCs w:val="17"/>
        </w:rPr>
        <w:t xml:space="preserve">Farrell, P. E., Knepley, M. G., Mitchell, L. &amp; Wechsung, F. (2021). PCPATCH: software for the topological construction of multigrid relaxation methods. </w:t>
      </w:r>
      <w:r>
        <w:rPr>
          <w:i/>
          <w:iCs/>
          <w:sz w:val="17"/>
          <w:szCs w:val="17"/>
        </w:rPr>
        <w:t xml:space="preserve">ACM Transactions on Mathematical Software</w:t>
      </w:r>
      <w:r>
        <w:rPr>
          <w:sz w:val="17"/>
          <w:szCs w:val="17"/>
        </w:rPr>
        <w:t xml:space="preserve">, 47(3), Article 25.</w:t>
      </w:r>
      <w:r>
        <w:rPr>
          <w:sz w:val="17"/>
          <w:szCs w:val="17"/>
        </w:rPr>
        <w:t xml:space="preserve"> </w:t>
      </w:r>
      <w:hyperlink w:history="1" r:id="rIdho3cd18mo3oib5jr0prrh">
        <w:r>
          <w:rPr>
            <w:color w:val="1D4ED8"/>
            <w:sz w:val="17"/>
            <w:szCs w:val="17"/>
            <w:u w:val="single"/>
          </w:rPr>
          <w:t xml:space="preserve">https://doi.org/10.1145/3445791</w:t>
        </w:r>
      </w:hyperlink>
    </w:p>
    <w:p>
      <w:pPr>
        <w:tabs>
          <w:tab w:val="left" w:pos="567"/>
        </w:tabs>
        <w:spacing w:after="50"/>
        <w:ind w:left="567" w:hanging="567"/>
        <w:jc w:val="left"/>
      </w:pPr>
      <w:r>
        <w:rPr>
          <w:b/>
          <w:bCs/>
          <w:color w:val="002147"/>
          <w:sz w:val="17"/>
          <w:szCs w:val="17"/>
        </w:rPr>
        <w:t xml:space="preserve">[O3]	</w:t>
      </w:r>
      <w:r>
        <w:rPr>
          <w:sz w:val="17"/>
          <w:szCs w:val="17"/>
        </w:rPr>
        <w:t xml:space="preserve">Brubeck, P. D. &amp; Farrell, P. E. (2022). A scalable and robust vertex-star relaxation for high-order FEM. </w:t>
      </w:r>
      <w:r>
        <w:rPr>
          <w:i/>
          <w:iCs/>
          <w:sz w:val="17"/>
          <w:szCs w:val="17"/>
        </w:rPr>
        <w:t xml:space="preserve">SIAM Journal on Scientific Computing</w:t>
      </w:r>
      <w:r>
        <w:rPr>
          <w:sz w:val="17"/>
          <w:szCs w:val="17"/>
        </w:rPr>
        <w:t xml:space="preserve">, 44(5), A2991–A3017.</w:t>
      </w:r>
      <w:r>
        <w:rPr>
          <w:sz w:val="17"/>
          <w:szCs w:val="17"/>
        </w:rPr>
        <w:t xml:space="preserve"> </w:t>
      </w:r>
      <w:hyperlink w:history="1" r:id="rId8iwfyidxhbjb1ivzqlvtz">
        <w:r>
          <w:rPr>
            <w:color w:val="1D4ED8"/>
            <w:sz w:val="17"/>
            <w:szCs w:val="17"/>
            <w:u w:val="single"/>
          </w:rPr>
          <w:t xml:space="preserve">https://doi.org/10.1137/21M1444187</w:t>
        </w:r>
      </w:hyperlink>
    </w:p>
    <w:p>
      <w:pPr>
        <w:tabs>
          <w:tab w:val="left" w:pos="567"/>
        </w:tabs>
        <w:spacing w:after="50"/>
        <w:ind w:left="567" w:hanging="567"/>
        <w:jc w:val="left"/>
      </w:pPr>
      <w:r>
        <w:rPr>
          <w:b/>
          <w:bCs/>
          <w:color w:val="002147"/>
          <w:sz w:val="17"/>
          <w:szCs w:val="17"/>
        </w:rPr>
        <w:t xml:space="preserve">[O4]	</w:t>
      </w:r>
      <w:r>
        <w:rPr>
          <w:sz w:val="17"/>
          <w:szCs w:val="17"/>
        </w:rPr>
        <w:t xml:space="preserve">Wan, X., Nguyen, V., Ha, H., Ru, B., Lu, C. &amp; Osborne, M. A. (2021). Think global and act local: Bayesian optimisation over high-dimensional categorical and mixed search spaces. </w:t>
      </w:r>
      <w:r>
        <w:rPr>
          <w:i/>
          <w:iCs/>
          <w:sz w:val="17"/>
          <w:szCs w:val="17"/>
        </w:rPr>
        <w:t xml:space="preserve">Proceedings of the 38th International Conference on Machine Learning</w:t>
      </w:r>
      <w:r>
        <w:rPr>
          <w:sz w:val="17"/>
          <w:szCs w:val="17"/>
        </w:rPr>
        <w:t xml:space="preserve">, PMLR 139, 10663–10674.</w:t>
      </w:r>
      <w:r>
        <w:rPr>
          <w:sz w:val="17"/>
          <w:szCs w:val="17"/>
        </w:rPr>
        <w:t xml:space="preserve"> </w:t>
      </w:r>
      <w:hyperlink w:history="1" r:id="rIdenbz0tfhmlcnw5pp4fxz1">
        <w:r>
          <w:rPr>
            <w:color w:val="1D4ED8"/>
            <w:sz w:val="17"/>
            <w:szCs w:val="17"/>
            <w:u w:val="single"/>
          </w:rPr>
          <w:t xml:space="preserve">https://proceedings.mlr.press/v139/wan21b.html</w:t>
        </w:r>
      </w:hyperlink>
    </w:p>
    <w:p>
      <w:pPr>
        <w:tabs>
          <w:tab w:val="left" w:pos="567"/>
        </w:tabs>
        <w:spacing w:after="50"/>
        <w:ind w:left="567" w:hanging="567"/>
        <w:jc w:val="left"/>
      </w:pPr>
      <w:r>
        <w:rPr>
          <w:b/>
          <w:bCs/>
          <w:color w:val="002147"/>
          <w:sz w:val="17"/>
          <w:szCs w:val="17"/>
        </w:rPr>
        <w:t xml:space="preserve">[O5]	</w:t>
      </w:r>
      <w:r>
        <w:rPr>
          <w:sz w:val="17"/>
          <w:szCs w:val="17"/>
        </w:rPr>
        <w:t xml:space="preserve">Hall, J. W., Mortazavi-Naeini, M., Borgomeo, E. et al. (2020). Risk-based water resources planning in practice: a blueprint for the water industry in England. </w:t>
      </w:r>
      <w:r>
        <w:rPr>
          <w:i/>
          <w:iCs/>
          <w:sz w:val="17"/>
          <w:szCs w:val="17"/>
        </w:rPr>
        <w:t xml:space="preserve">Water and Environment Journal</w:t>
      </w:r>
      <w:r>
        <w:rPr>
          <w:sz w:val="17"/>
          <w:szCs w:val="17"/>
        </w:rPr>
        <w:t xml:space="preserve">, 34(3), 441–454.</w:t>
      </w:r>
      <w:r>
        <w:rPr>
          <w:sz w:val="17"/>
          <w:szCs w:val="17"/>
        </w:rPr>
        <w:t xml:space="preserve"> </w:t>
      </w:r>
      <w:hyperlink w:history="1" r:id="rIdimkxqvbssjl6mjuqqv6dc">
        <w:r>
          <w:rPr>
            <w:color w:val="1D4ED8"/>
            <w:sz w:val="17"/>
            <w:szCs w:val="17"/>
            <w:u w:val="single"/>
          </w:rPr>
          <w:t xml:space="preserve">https://doi.org/10.1111/wej.12479</w:t>
        </w:r>
      </w:hyperlink>
    </w:p>
    <w:p>
      <w:pPr>
        <w:tabs>
          <w:tab w:val="left" w:pos="567"/>
        </w:tabs>
        <w:spacing w:after="50"/>
        <w:ind w:left="567" w:hanging="567"/>
        <w:jc w:val="left"/>
      </w:pPr>
      <w:r>
        <w:rPr>
          <w:b/>
          <w:bCs/>
          <w:color w:val="B4410C"/>
          <w:sz w:val="17"/>
          <w:szCs w:val="17"/>
        </w:rPr>
        <w:t xml:space="preserve">[C1]	</w:t>
      </w:r>
      <w:r>
        <w:rPr>
          <w:sz w:val="17"/>
          <w:szCs w:val="17"/>
        </w:rPr>
        <w:t xml:space="preserve">Azizzadenesheli, K., Kovachki, N., Li, Z., Liu-Schiaffini, M., Kossaifi, J. &amp; Anandkumar, A. (2024). Neural operators for accelerating scientific simulations and design. </w:t>
      </w:r>
      <w:r>
        <w:rPr>
          <w:i/>
          <w:iCs/>
          <w:sz w:val="17"/>
          <w:szCs w:val="17"/>
        </w:rPr>
        <w:t xml:space="preserve">Nature Reviews Physics</w:t>
      </w:r>
      <w:r>
        <w:rPr>
          <w:sz w:val="17"/>
          <w:szCs w:val="17"/>
        </w:rPr>
        <w:t xml:space="preserve">, 6(5), 320–328.</w:t>
      </w:r>
      <w:r>
        <w:rPr>
          <w:sz w:val="17"/>
          <w:szCs w:val="17"/>
        </w:rPr>
        <w:t xml:space="preserve"> </w:t>
      </w:r>
      <w:hyperlink w:history="1" r:id="rIdrghg_vemdz0zm2_omhmg4">
        <w:r>
          <w:rPr>
            <w:color w:val="1D4ED8"/>
            <w:sz w:val="17"/>
            <w:szCs w:val="17"/>
            <w:u w:val="single"/>
          </w:rPr>
          <w:t xml:space="preserve">https://doi.org/10.1038/s42254-024-00712-5</w:t>
        </w:r>
      </w:hyperlink>
    </w:p>
    <w:p>
      <w:pPr>
        <w:tabs>
          <w:tab w:val="left" w:pos="567"/>
        </w:tabs>
        <w:spacing w:after="50"/>
        <w:ind w:left="567" w:hanging="567"/>
        <w:jc w:val="left"/>
      </w:pPr>
      <w:r>
        <w:rPr>
          <w:b/>
          <w:bCs/>
          <w:color w:val="B4410C"/>
          <w:sz w:val="17"/>
          <w:szCs w:val="17"/>
        </w:rPr>
        <w:t xml:space="preserve">[C2]	</w:t>
      </w:r>
      <w:r>
        <w:rPr>
          <w:sz w:val="17"/>
          <w:szCs w:val="17"/>
        </w:rPr>
        <w:t xml:space="preserve">Chandra, A., Koch, M., Pawar, S., Panda, A., Azizzadenesheli, K., Snippe, J., Alpak, F. O., Hariri, F., Etienam, C., Devarakota, P., Anandkumar, A. &amp; Hohl, D. (2026). Accelerating porous media flow simulations with Fourier neural operators: an application to geologic storage of CO₂. </w:t>
      </w:r>
      <w:r>
        <w:rPr>
          <w:i/>
          <w:iCs/>
          <w:sz w:val="17"/>
          <w:szCs w:val="17"/>
        </w:rPr>
        <w:t xml:space="preserve">Advanced Theory and Simulations</w:t>
      </w:r>
      <w:r>
        <w:rPr>
          <w:sz w:val="17"/>
          <w:szCs w:val="17"/>
        </w:rPr>
        <w:t xml:space="preserve">, 9(1).</w:t>
      </w:r>
      <w:r>
        <w:rPr>
          <w:sz w:val="17"/>
          <w:szCs w:val="17"/>
        </w:rPr>
        <w:t xml:space="preserve"> </w:t>
      </w:r>
      <w:hyperlink w:history="1" r:id="rIdsdsdxmsbujgchqzgnaeii">
        <w:r>
          <w:rPr>
            <w:color w:val="1D4ED8"/>
            <w:sz w:val="17"/>
            <w:szCs w:val="17"/>
            <w:u w:val="single"/>
          </w:rPr>
          <w:t xml:space="preserve">https://doi.org/10.1002/adts.202500747</w:t>
        </w:r>
      </w:hyperlink>
    </w:p>
    <w:p>
      <w:pPr>
        <w:tabs>
          <w:tab w:val="left" w:pos="567"/>
        </w:tabs>
        <w:spacing w:after="50"/>
        <w:ind w:left="567" w:hanging="567"/>
        <w:jc w:val="left"/>
      </w:pPr>
      <w:r>
        <w:rPr>
          <w:b/>
          <w:bCs/>
          <w:color w:val="B4410C"/>
          <w:sz w:val="17"/>
          <w:szCs w:val="17"/>
        </w:rPr>
        <w:t xml:space="preserve">[C3]	</w:t>
      </w:r>
      <w:r>
        <w:rPr>
          <w:sz w:val="17"/>
          <w:szCs w:val="17"/>
        </w:rPr>
        <w:t xml:space="preserve">Zhou, T., Wan, X., Huang, D. Z., Li, Z., Peng, Z., Anandkumar, A., Brady, J. F., Sternberg, P. W. &amp; Daraio, C. (2024). AI-aided geometric design of anti-infection catheters. </w:t>
      </w:r>
      <w:r>
        <w:rPr>
          <w:i/>
          <w:iCs/>
          <w:sz w:val="17"/>
          <w:szCs w:val="17"/>
        </w:rPr>
        <w:t xml:space="preserve">Science Advances</w:t>
      </w:r>
      <w:r>
        <w:rPr>
          <w:sz w:val="17"/>
          <w:szCs w:val="17"/>
        </w:rPr>
        <w:t xml:space="preserve">, 10, eadj1741.</w:t>
      </w:r>
      <w:r>
        <w:rPr>
          <w:sz w:val="17"/>
          <w:szCs w:val="17"/>
        </w:rPr>
        <w:t xml:space="preserve"> </w:t>
      </w:r>
      <w:hyperlink w:history="1" r:id="rId4mybhzmsyauhslbjexmh6">
        <w:r>
          <w:rPr>
            <w:color w:val="1D4ED8"/>
            <w:sz w:val="17"/>
            <w:szCs w:val="17"/>
            <w:u w:val="single"/>
          </w:rPr>
          <w:t xml:space="preserve">https://doi.org/10.1126/sciadv.adj1741</w:t>
        </w:r>
      </w:hyperlink>
    </w:p>
    <w:p>
      <w:pPr>
        <w:tabs>
          <w:tab w:val="left" w:pos="567"/>
        </w:tabs>
        <w:spacing w:after="50"/>
        <w:ind w:left="567" w:hanging="567"/>
        <w:jc w:val="left"/>
      </w:pPr>
      <w:r>
        <w:rPr>
          <w:b/>
          <w:bCs/>
          <w:color w:val="B4410C"/>
          <w:sz w:val="17"/>
          <w:szCs w:val="17"/>
        </w:rPr>
        <w:t xml:space="preserve">[C4]	</w:t>
      </w:r>
      <w:r>
        <w:rPr>
          <w:sz w:val="17"/>
          <w:szCs w:val="17"/>
        </w:rPr>
        <w:t xml:space="preserve">Song, J., Lanka, R., Yue, Y. &amp; Dilkina, B. (2020). A general large neighborhood search framework for solving integer linear programs. </w:t>
      </w:r>
      <w:r>
        <w:rPr>
          <w:i/>
          <w:iCs/>
          <w:sz w:val="17"/>
          <w:szCs w:val="17"/>
        </w:rPr>
        <w:t xml:space="preserve">Advances in Neural Information Processing Systems 33</w:t>
      </w:r>
      <w:r>
        <w:rPr>
          <w:sz w:val="17"/>
          <w:szCs w:val="17"/>
        </w:rPr>
        <w:t xml:space="preserve"> (NeurIPS 2020).</w:t>
      </w:r>
      <w:r>
        <w:rPr>
          <w:sz w:val="17"/>
          <w:szCs w:val="17"/>
        </w:rPr>
        <w:t xml:space="preserve"> </w:t>
      </w:r>
      <w:hyperlink w:history="1" r:id="rIdon-qk_p7vizptf1ahc6fx">
        <w:r>
          <w:rPr>
            <w:color w:val="1D4ED8"/>
            <w:sz w:val="17"/>
            <w:szCs w:val="17"/>
            <w:u w:val="single"/>
          </w:rPr>
          <w:t xml:space="preserve">https://proceedings.neurips.cc/paper/2020/hash/e769e03a9d329b2e864b4bf4ff54ff39-Abstract.html</w:t>
        </w:r>
      </w:hyperlink>
    </w:p>
    <w:p>
      <w:pPr>
        <w:tabs>
          <w:tab w:val="left" w:pos="567"/>
        </w:tabs>
        <w:spacing w:after="50"/>
        <w:ind w:left="567" w:hanging="567"/>
        <w:jc w:val="left"/>
      </w:pPr>
      <w:r>
        <w:rPr>
          <w:b/>
          <w:bCs/>
          <w:color w:val="B4410C"/>
          <w:sz w:val="17"/>
          <w:szCs w:val="17"/>
        </w:rPr>
        <w:t xml:space="preserve">[C5]	</w:t>
      </w:r>
      <w:r>
        <w:rPr>
          <w:sz w:val="17"/>
          <w:szCs w:val="17"/>
        </w:rPr>
        <w:t xml:space="preserve">Lale, S., Renn, P. I., Azizzadenesheli, K., Hassibi, B., Gharib, M. &amp; Anandkumar, A. (2024). FALCON: Fourier adaptive learning and control for disturbance rejection under extreme turbulence. </w:t>
      </w:r>
      <w:r>
        <w:rPr>
          <w:i/>
          <w:iCs/>
          <w:sz w:val="17"/>
          <w:szCs w:val="17"/>
        </w:rPr>
        <w:t xml:space="preserve">npj Robotics</w:t>
      </w:r>
      <w:r>
        <w:rPr>
          <w:sz w:val="17"/>
          <w:szCs w:val="17"/>
        </w:rPr>
        <w:t xml:space="preserve">, 2.</w:t>
      </w:r>
      <w:r>
        <w:rPr>
          <w:sz w:val="17"/>
          <w:szCs w:val="17"/>
        </w:rPr>
        <w:t xml:space="preserve"> </w:t>
      </w:r>
      <w:hyperlink w:history="1" r:id="rIdr7dtonxj2wkv-uiaakubu">
        <w:r>
          <w:rPr>
            <w:color w:val="1D4ED8"/>
            <w:sz w:val="17"/>
            <w:szCs w:val="17"/>
            <w:u w:val="single"/>
          </w:rPr>
          <w:t xml:space="preserve">https://doi.org/10.1038/s44182-024-00013-0</w:t>
        </w:r>
      </w:hyperlink>
    </w:p>
    <w:p>
      <w:pPr>
        <w:tabs>
          <w:tab w:val="left" w:pos="567"/>
        </w:tabs>
        <w:spacing w:after="50"/>
        <w:ind w:left="567" w:hanging="567"/>
        <w:jc w:val="left"/>
      </w:pPr>
      <w:r>
        <w:rPr>
          <w:b/>
          <w:bCs/>
          <w:color w:val="A51C30"/>
          <w:sz w:val="17"/>
          <w:szCs w:val="17"/>
        </w:rPr>
        <w:t xml:space="preserve">[H1]	</w:t>
      </w:r>
      <w:r>
        <w:rPr>
          <w:sz w:val="17"/>
          <w:szCs w:val="17"/>
        </w:rPr>
        <w:t xml:space="preserve">Alhashim, M. G., Hausknecht, K. &amp; Brenner, M. P. (2025). Control of flow behavior in complex fluids using automatic differentiation. </w:t>
      </w:r>
      <w:r>
        <w:rPr>
          <w:i/>
          <w:iCs/>
          <w:sz w:val="17"/>
          <w:szCs w:val="17"/>
        </w:rPr>
        <w:t xml:space="preserve">Proceedings of the National Academy of Sciences</w:t>
      </w:r>
      <w:r>
        <w:rPr>
          <w:sz w:val="17"/>
          <w:szCs w:val="17"/>
        </w:rPr>
        <w:t xml:space="preserve">, 122(8), e2403644122.</w:t>
      </w:r>
      <w:r>
        <w:rPr>
          <w:sz w:val="17"/>
          <w:szCs w:val="17"/>
        </w:rPr>
        <w:t xml:space="preserve"> </w:t>
      </w:r>
      <w:hyperlink w:history="1" r:id="rIdwkj-8u1lvw_tf94ob14s5">
        <w:r>
          <w:rPr>
            <w:color w:val="1D4ED8"/>
            <w:sz w:val="17"/>
            <w:szCs w:val="17"/>
            <w:u w:val="single"/>
          </w:rPr>
          <w:t xml:space="preserve">https://doi.org/10.1073/pnas.2403644122</w:t>
        </w:r>
      </w:hyperlink>
    </w:p>
    <w:p>
      <w:pPr>
        <w:tabs>
          <w:tab w:val="left" w:pos="567"/>
        </w:tabs>
        <w:spacing w:after="50"/>
        <w:ind w:left="567" w:hanging="567"/>
        <w:jc w:val="left"/>
      </w:pPr>
      <w:r>
        <w:rPr>
          <w:b/>
          <w:bCs/>
          <w:color w:val="A51C30"/>
          <w:sz w:val="17"/>
          <w:szCs w:val="17"/>
        </w:rPr>
        <w:t xml:space="preserve">[H2]	</w:t>
      </w:r>
      <w:r>
        <w:rPr>
          <w:sz w:val="17"/>
          <w:szCs w:val="17"/>
        </w:rPr>
        <w:t xml:space="preserve">Amoudruz, L., Karnakov, P. &amp; Koumoutsakos, P. (2025). Contactless precision steering of particles in a fluid inside a cube with rotating walls. </w:t>
      </w:r>
      <w:r>
        <w:rPr>
          <w:i/>
          <w:iCs/>
          <w:sz w:val="17"/>
          <w:szCs w:val="17"/>
        </w:rPr>
        <w:t xml:space="preserve">Journal of Fluid Mechanics</w:t>
      </w:r>
      <w:r>
        <w:rPr>
          <w:sz w:val="17"/>
          <w:szCs w:val="17"/>
        </w:rPr>
        <w:t xml:space="preserve">, 1014, A15.</w:t>
      </w:r>
      <w:r>
        <w:rPr>
          <w:sz w:val="17"/>
          <w:szCs w:val="17"/>
        </w:rPr>
        <w:t xml:space="preserve"> </w:t>
      </w:r>
      <w:hyperlink w:history="1" r:id="rIdyx-jz7sc2ebmu0ovt5w10">
        <w:r>
          <w:rPr>
            <w:color w:val="1D4ED8"/>
            <w:sz w:val="17"/>
            <w:szCs w:val="17"/>
            <w:u w:val="single"/>
          </w:rPr>
          <w:t xml:space="preserve">https://doi.org/10.1017/jfm.2025.10174</w:t>
        </w:r>
      </w:hyperlink>
    </w:p>
    <w:p>
      <w:pPr>
        <w:tabs>
          <w:tab w:val="left" w:pos="567"/>
        </w:tabs>
        <w:spacing w:after="50"/>
        <w:ind w:left="567" w:hanging="567"/>
        <w:jc w:val="left"/>
      </w:pPr>
      <w:r>
        <w:rPr>
          <w:b/>
          <w:bCs/>
          <w:color w:val="A51C30"/>
          <w:sz w:val="17"/>
          <w:szCs w:val="17"/>
        </w:rPr>
        <w:t xml:space="preserve">[H3]	</w:t>
      </w:r>
      <w:r>
        <w:rPr>
          <w:sz w:val="17"/>
          <w:szCs w:val="17"/>
        </w:rPr>
        <w:t xml:space="preserve">Kelp, M. M., Fargiano, T. C., Lin, S., Liu, T., Turner, J. R., Kutz, J. N. &amp; Mickley, L. J. (2023). Data-driven placement of PM2.5 air quality sensors in the United States: an approach to target urban environmental injustice. </w:t>
      </w:r>
      <w:r>
        <w:rPr>
          <w:i/>
          <w:iCs/>
          <w:sz w:val="17"/>
          <w:szCs w:val="17"/>
        </w:rPr>
        <w:t xml:space="preserve">GeoHealth</w:t>
      </w:r>
      <w:r>
        <w:rPr>
          <w:sz w:val="17"/>
          <w:szCs w:val="17"/>
        </w:rPr>
        <w:t xml:space="preserve">, 7(9), e2023GH000834.</w:t>
      </w:r>
      <w:r>
        <w:rPr>
          <w:sz w:val="17"/>
          <w:szCs w:val="17"/>
        </w:rPr>
        <w:t xml:space="preserve"> </w:t>
      </w:r>
      <w:hyperlink w:history="1" r:id="rIdssyfnsyzhao6q-64ysm93">
        <w:r>
          <w:rPr>
            <w:color w:val="1D4ED8"/>
            <w:sz w:val="17"/>
            <w:szCs w:val="17"/>
            <w:u w:val="single"/>
          </w:rPr>
          <w:t xml:space="preserve">https://doi.org/10.1029/2023GH000834</w:t>
        </w:r>
      </w:hyperlink>
    </w:p>
    <w:p>
      <w:pPr>
        <w:tabs>
          <w:tab w:val="left" w:pos="567"/>
        </w:tabs>
        <w:spacing w:after="50"/>
        <w:ind w:left="567" w:hanging="567"/>
        <w:jc w:val="left"/>
      </w:pPr>
      <w:r>
        <w:rPr>
          <w:b/>
          <w:bCs/>
          <w:color w:val="A51C30"/>
          <w:sz w:val="17"/>
          <w:szCs w:val="17"/>
        </w:rPr>
        <w:t xml:space="preserve">[H4]	</w:t>
      </w:r>
      <w:r>
        <w:rPr>
          <w:sz w:val="17"/>
          <w:szCs w:val="17"/>
        </w:rPr>
        <w:t xml:space="preserve">Martin, S. M., Wälchli, D., Arampatzis, G., Economides, A. E., Karnakov, P. &amp; Koumoutsakos, P. (2022). Korali: efficient and scalable software framework for Bayesian uncertainty quantification and stochastic optimization. </w:t>
      </w:r>
      <w:r>
        <w:rPr>
          <w:i/>
          <w:iCs/>
          <w:sz w:val="17"/>
          <w:szCs w:val="17"/>
        </w:rPr>
        <w:t xml:space="preserve">Computer Methods in Applied Mechanics and Engineering</w:t>
      </w:r>
      <w:r>
        <w:rPr>
          <w:sz w:val="17"/>
          <w:szCs w:val="17"/>
        </w:rPr>
        <w:t xml:space="preserve">, 389, 114264.</w:t>
      </w:r>
      <w:r>
        <w:rPr>
          <w:sz w:val="17"/>
          <w:szCs w:val="17"/>
        </w:rPr>
        <w:t xml:space="preserve"> </w:t>
      </w:r>
      <w:hyperlink w:history="1" r:id="rIdim5vfd4f4zrgtp2dje_jc">
        <w:r>
          <w:rPr>
            <w:color w:val="1D4ED8"/>
            <w:sz w:val="17"/>
            <w:szCs w:val="17"/>
            <w:u w:val="single"/>
          </w:rPr>
          <w:t xml:space="preserve">https://doi.org/10.1016/j.cma.2021.114264</w:t>
        </w:r>
      </w:hyperlink>
    </w:p>
    <w:p>
      <w:pPr>
        <w:tabs>
          <w:tab w:val="left" w:pos="567"/>
        </w:tabs>
        <w:spacing w:after="50"/>
        <w:ind w:left="567" w:hanging="567"/>
        <w:jc w:val="left"/>
      </w:pPr>
      <w:r>
        <w:rPr>
          <w:b/>
          <w:bCs/>
          <w:color w:val="A51C30"/>
          <w:sz w:val="17"/>
          <w:szCs w:val="17"/>
        </w:rPr>
        <w:t xml:space="preserve">[H5]	</w:t>
      </w:r>
      <w:r>
        <w:rPr>
          <w:sz w:val="17"/>
          <w:szCs w:val="17"/>
        </w:rPr>
        <w:t xml:space="preserve">Zhuang, J., Kochkov, D., Bar-Sinai, Y., Brenner, M. P. &amp; Hoyer, S. (2021). Learned discretizations for passive scalar advection in a two-dimensional turbulent flow. </w:t>
      </w:r>
      <w:r>
        <w:rPr>
          <w:i/>
          <w:iCs/>
          <w:sz w:val="17"/>
          <w:szCs w:val="17"/>
        </w:rPr>
        <w:t xml:space="preserve">Physical Review Fluids</w:t>
      </w:r>
      <w:r>
        <w:rPr>
          <w:sz w:val="17"/>
          <w:szCs w:val="17"/>
        </w:rPr>
        <w:t xml:space="preserve">, 6(6), 064605.</w:t>
      </w:r>
      <w:r>
        <w:rPr>
          <w:sz w:val="17"/>
          <w:szCs w:val="17"/>
        </w:rPr>
        <w:t xml:space="preserve"> </w:t>
      </w:r>
      <w:hyperlink w:history="1" r:id="rIdnkbk1w9dq9gyqufqjxfcf">
        <w:r>
          <w:rPr>
            <w:color w:val="1D4ED8"/>
            <w:sz w:val="17"/>
            <w:szCs w:val="17"/>
            <w:u w:val="single"/>
          </w:rPr>
          <w:t xml:space="preserve">https://doi.org/10.1103/PhysRevFluids.6.064605</w:t>
        </w:r>
      </w:hyperlink>
    </w:p>
    <w:p>
      <w:pPr>
        <w:tabs>
          <w:tab w:val="left" w:pos="567"/>
        </w:tabs>
        <w:spacing w:after="50"/>
        <w:ind w:left="567" w:hanging="567"/>
        <w:jc w:val="left"/>
      </w:pPr>
      <w:r>
        <w:rPr>
          <w:b/>
          <w:bCs/>
          <w:color w:val="4D4D4F"/>
          <w:sz w:val="17"/>
          <w:szCs w:val="17"/>
        </w:rPr>
        <w:t xml:space="preserve">[M1]	</w:t>
      </w:r>
      <w:r>
        <w:rPr>
          <w:sz w:val="17"/>
          <w:szCs w:val="17"/>
        </w:rPr>
        <w:t xml:space="preserve">Maragno, D., Wiberg, H., Bertsimas, D., Birbil, Ş. İ., den Hertog, D. &amp; Fajemisin, A. O. (2025). Mixed-integer optimization with constraint learning. </w:t>
      </w:r>
      <w:r>
        <w:rPr>
          <w:i/>
          <w:iCs/>
          <w:sz w:val="17"/>
          <w:szCs w:val="17"/>
        </w:rPr>
        <w:t xml:space="preserve">Operations Research</w:t>
      </w:r>
      <w:r>
        <w:rPr>
          <w:sz w:val="17"/>
          <w:szCs w:val="17"/>
        </w:rPr>
        <w:t xml:space="preserve">, 73(2), 1011–1028.</w:t>
      </w:r>
      <w:r>
        <w:rPr>
          <w:sz w:val="17"/>
          <w:szCs w:val="17"/>
        </w:rPr>
        <w:t xml:space="preserve"> </w:t>
      </w:r>
      <w:hyperlink w:history="1" r:id="rId8gqtvbqykfd2ahwd-fqaj">
        <w:r>
          <w:rPr>
            <w:color w:val="1D4ED8"/>
            <w:sz w:val="17"/>
            <w:szCs w:val="17"/>
            <w:u w:val="single"/>
          </w:rPr>
          <w:t xml:space="preserve">https://doi.org/10.1287/opre.2021.0707</w:t>
        </w:r>
      </w:hyperlink>
    </w:p>
    <w:p>
      <w:pPr>
        <w:tabs>
          <w:tab w:val="left" w:pos="567"/>
        </w:tabs>
        <w:spacing w:after="50"/>
        <w:ind w:left="567" w:hanging="567"/>
        <w:jc w:val="left"/>
      </w:pPr>
      <w:r>
        <w:rPr>
          <w:b/>
          <w:bCs/>
          <w:color w:val="4D4D4F"/>
          <w:sz w:val="17"/>
          <w:szCs w:val="17"/>
        </w:rPr>
        <w:t xml:space="preserve">[M2]	</w:t>
      </w:r>
      <w:r>
        <w:rPr>
          <w:sz w:val="17"/>
          <w:szCs w:val="17"/>
        </w:rPr>
        <w:t xml:space="preserve">Bertsimas, D., Shtern, S. &amp; Sturt, B. (2022). Technical note—two-stage sample robust optimization. </w:t>
      </w:r>
      <w:r>
        <w:rPr>
          <w:i/>
          <w:iCs/>
          <w:sz w:val="17"/>
          <w:szCs w:val="17"/>
        </w:rPr>
        <w:t xml:space="preserve">Operations Research</w:t>
      </w:r>
      <w:r>
        <w:rPr>
          <w:sz w:val="17"/>
          <w:szCs w:val="17"/>
        </w:rPr>
        <w:t xml:space="preserve">, 70(1), 624–640.</w:t>
      </w:r>
      <w:r>
        <w:rPr>
          <w:sz w:val="17"/>
          <w:szCs w:val="17"/>
        </w:rPr>
        <w:t xml:space="preserve"> </w:t>
      </w:r>
      <w:hyperlink w:history="1" r:id="rIdrbsiwd83obgnxufjqivon">
        <w:r>
          <w:rPr>
            <w:color w:val="1D4ED8"/>
            <w:sz w:val="17"/>
            <w:szCs w:val="17"/>
            <w:u w:val="single"/>
          </w:rPr>
          <w:t xml:space="preserve">https://doi.org/10.1287/opre.2020.2096</w:t>
        </w:r>
      </w:hyperlink>
    </w:p>
    <w:p>
      <w:pPr>
        <w:tabs>
          <w:tab w:val="left" w:pos="567"/>
        </w:tabs>
        <w:spacing w:after="50"/>
        <w:ind w:left="567" w:hanging="567"/>
        <w:jc w:val="left"/>
      </w:pPr>
      <w:r>
        <w:rPr>
          <w:b/>
          <w:bCs/>
          <w:color w:val="4D4D4F"/>
          <w:sz w:val="17"/>
          <w:szCs w:val="17"/>
        </w:rPr>
        <w:t xml:space="preserve">[M3]	</w:t>
      </w:r>
      <w:r>
        <w:rPr>
          <w:sz w:val="17"/>
          <w:szCs w:val="17"/>
        </w:rPr>
        <w:t xml:space="preserve">Hager, B. H., Dieterich, J., Frohlich, C., Juanes, R., Mantica, S., Shaw, J. H., Bottazzi, F., Caresani, F., Castineira, D., Cominelli, A., Meda, M., Osculati, L., Petroselli, S. &amp; Plesch, A. (2021). A process-based approach to understanding and managing triggered seismicity. </w:t>
      </w:r>
      <w:r>
        <w:rPr>
          <w:i/>
          <w:iCs/>
          <w:sz w:val="17"/>
          <w:szCs w:val="17"/>
        </w:rPr>
        <w:t xml:space="preserve">Nature</w:t>
      </w:r>
      <w:r>
        <w:rPr>
          <w:sz w:val="17"/>
          <w:szCs w:val="17"/>
        </w:rPr>
        <w:t xml:space="preserve">, 595(7869), 684–689.</w:t>
      </w:r>
      <w:r>
        <w:rPr>
          <w:sz w:val="17"/>
          <w:szCs w:val="17"/>
        </w:rPr>
        <w:t xml:space="preserve"> </w:t>
      </w:r>
      <w:hyperlink w:history="1" r:id="rIdjdxojruug8zpsltqdjyjo">
        <w:r>
          <w:rPr>
            <w:color w:val="1D4ED8"/>
            <w:sz w:val="17"/>
            <w:szCs w:val="17"/>
            <w:u w:val="single"/>
          </w:rPr>
          <w:t xml:space="preserve">https://doi.org/10.1038/s41586-021-03668-z</w:t>
        </w:r>
      </w:hyperlink>
    </w:p>
    <w:p>
      <w:pPr>
        <w:tabs>
          <w:tab w:val="left" w:pos="567"/>
        </w:tabs>
        <w:spacing w:after="50"/>
        <w:ind w:left="567" w:hanging="567"/>
        <w:jc w:val="left"/>
      </w:pPr>
      <w:r>
        <w:rPr>
          <w:b/>
          <w:bCs/>
          <w:color w:val="4D4D4F"/>
          <w:sz w:val="17"/>
          <w:szCs w:val="17"/>
        </w:rPr>
        <w:t xml:space="preserve">[M4]	</w:t>
      </w:r>
      <w:r>
        <w:rPr>
          <w:sz w:val="17"/>
          <w:szCs w:val="17"/>
        </w:rPr>
        <w:t xml:space="preserve">Haghighat, E., Amini, D. &amp; Juanes, R. (2022). Physics-informed neural network simulation of multiphase poroelasticity using stress-split sequential training. </w:t>
      </w:r>
      <w:r>
        <w:rPr>
          <w:i/>
          <w:iCs/>
          <w:sz w:val="17"/>
          <w:szCs w:val="17"/>
        </w:rPr>
        <w:t xml:space="preserve">Computer Methods in Applied Mechanics and Engineering</w:t>
      </w:r>
      <w:r>
        <w:rPr>
          <w:sz w:val="17"/>
          <w:szCs w:val="17"/>
        </w:rPr>
        <w:t xml:space="preserve">, 397, 115141.</w:t>
      </w:r>
      <w:r>
        <w:rPr>
          <w:sz w:val="17"/>
          <w:szCs w:val="17"/>
        </w:rPr>
        <w:t xml:space="preserve"> </w:t>
      </w:r>
      <w:hyperlink w:history="1" r:id="rIdxfa74gbz1_yaoimpk2twh">
        <w:r>
          <w:rPr>
            <w:color w:val="1D4ED8"/>
            <w:sz w:val="17"/>
            <w:szCs w:val="17"/>
            <w:u w:val="single"/>
          </w:rPr>
          <w:t xml:space="preserve">https://doi.org/10.1016/j.cma.2022.115141</w:t>
        </w:r>
      </w:hyperlink>
    </w:p>
    <w:p>
      <w:pPr>
        <w:tabs>
          <w:tab w:val="left" w:pos="567"/>
        </w:tabs>
        <w:spacing w:after="50"/>
        <w:ind w:left="567" w:hanging="567"/>
        <w:jc w:val="left"/>
      </w:pPr>
      <w:r>
        <w:rPr>
          <w:b/>
          <w:bCs/>
          <w:color w:val="4D4D4F"/>
          <w:sz w:val="17"/>
          <w:szCs w:val="17"/>
        </w:rPr>
        <w:t xml:space="preserve">[M5]	</w:t>
      </w:r>
      <w:r>
        <w:rPr>
          <w:sz w:val="17"/>
          <w:szCs w:val="17"/>
        </w:rPr>
        <w:t xml:space="preserve">Lu, H., Saló-Salgado, L., Marzouk, Y. M. &amp; Juanes, R. (2025). Uncertainty quantification of fluid leakage and fault instability in geologic CO₂ storage. </w:t>
      </w:r>
      <w:r>
        <w:rPr>
          <w:i/>
          <w:iCs/>
          <w:sz w:val="17"/>
          <w:szCs w:val="17"/>
        </w:rPr>
        <w:t xml:space="preserve">Water Resources Research</w:t>
      </w:r>
      <w:r>
        <w:rPr>
          <w:sz w:val="17"/>
          <w:szCs w:val="17"/>
        </w:rPr>
        <w:t xml:space="preserve">, 61, e2024WR039275.</w:t>
      </w:r>
      <w:r>
        <w:rPr>
          <w:sz w:val="17"/>
          <w:szCs w:val="17"/>
        </w:rPr>
        <w:t xml:space="preserve"> </w:t>
      </w:r>
      <w:hyperlink w:history="1" r:id="rIdg9jomrnapbsoopa8npyws">
        <w:r>
          <w:rPr>
            <w:color w:val="1D4ED8"/>
            <w:sz w:val="17"/>
            <w:szCs w:val="17"/>
            <w:u w:val="single"/>
          </w:rPr>
          <w:t xml:space="preserve">https://doi.org/10.1029/2024WR039275</w:t>
        </w:r>
      </w:hyperlink>
    </w:p>
    <w:p>
      <w:pPr>
        <w:pStyle w:val="Heading3"/>
      </w:pPr>
      <w:r>
        <w:rPr>
          <w:color w:val="1F3864"/>
        </w:rPr>
        <w:t xml:space="preserve">Further reading (reserve papers)</w:t>
      </w:r>
    </w:p>
    <w:p>
      <w:pPr>
        <w:tabs>
          <w:tab w:val="left" w:pos="567"/>
        </w:tabs>
        <w:spacing w:after="50"/>
        <w:ind w:left="567" w:hanging="567"/>
        <w:jc w:val="left"/>
      </w:pPr>
      <w:r>
        <w:rPr>
          <w:b/>
          <w:bCs/>
          <w:color w:val="A51C30"/>
          <w:sz w:val="17"/>
          <w:szCs w:val="17"/>
        </w:rPr>
        <w:t xml:space="preserve">[HR1]	</w:t>
      </w:r>
      <w:r>
        <w:rPr>
          <w:sz w:val="17"/>
          <w:szCs w:val="17"/>
        </w:rPr>
        <w:t xml:space="preserve">Shankar, S., Raju, V. &amp; Mahadevan, L. (2022). Optimal transport and control of active drops. </w:t>
      </w:r>
      <w:r>
        <w:rPr>
          <w:i/>
          <w:iCs/>
          <w:sz w:val="17"/>
          <w:szCs w:val="17"/>
        </w:rPr>
        <w:t xml:space="preserve">Proceedings of the National Academy of Sciences</w:t>
      </w:r>
      <w:r>
        <w:rPr>
          <w:sz w:val="17"/>
          <w:szCs w:val="17"/>
        </w:rPr>
        <w:t xml:space="preserve">, 119(35), e2121985119. </w:t>
      </w:r>
      <w:r>
        <w:rPr>
          <w:i/>
          <w:iCs/>
          <w:sz w:val="17"/>
          <w:szCs w:val="17"/>
        </w:rPr>
        <w:t xml:space="preserve">Why it is useful:</w:t>
      </w:r>
      <w:r>
        <w:rPr>
          <w:sz w:val="17"/>
          <w:szCs w:val="17"/>
        </w:rPr>
        <w:t xml:space="preserve"> Harvard (Shankar, Raju, Mahadevan); optimal control of a conservation-law PDE through a distributed source, solved first on a reduced model and then on the full PDE, a recipe for scheduling recharge and pumping to move the toe of the wedge at least cost (opportunity 6).</w:t>
      </w:r>
      <w:r>
        <w:rPr>
          <w:sz w:val="17"/>
          <w:szCs w:val="17"/>
        </w:rPr>
        <w:t xml:space="preserve"> </w:t>
      </w:r>
      <w:hyperlink w:history="1" r:id="rIdfyhtyryahfispazs6s_6i">
        <w:r>
          <w:rPr>
            <w:color w:val="1D4ED8"/>
            <w:sz w:val="17"/>
            <w:szCs w:val="17"/>
            <w:u w:val="single"/>
          </w:rPr>
          <w:t xml:space="preserve">https://doi.org/10.1073/pnas.2121985119</w:t>
        </w:r>
      </w:hyperlink>
    </w:p>
    <w:p>
      <w:pPr>
        <w:tabs>
          <w:tab w:val="left" w:pos="567"/>
        </w:tabs>
        <w:spacing w:after="50"/>
        <w:ind w:left="567" w:hanging="567"/>
        <w:jc w:val="left"/>
      </w:pPr>
      <w:r>
        <w:rPr>
          <w:b/>
          <w:bCs/>
          <w:color w:val="A51C30"/>
          <w:sz w:val="17"/>
          <w:szCs w:val="17"/>
        </w:rPr>
        <w:t xml:space="preserve">[HR2]	</w:t>
      </w:r>
      <w:r>
        <w:rPr>
          <w:sz w:val="17"/>
          <w:szCs w:val="17"/>
        </w:rPr>
        <w:t xml:space="preserve">Kelp, M. M., Lin, S., Kutz, J. N. &amp; Mickley, L. J. (2022). A new approach for determining optimal placement of PM2.5 air quality sensors: case study for the contiguous United States. </w:t>
      </w:r>
      <w:r>
        <w:rPr>
          <w:i/>
          <w:iCs/>
          <w:sz w:val="17"/>
          <w:szCs w:val="17"/>
        </w:rPr>
        <w:t xml:space="preserve">Environmental Research Letters</w:t>
      </w:r>
      <w:r>
        <w:rPr>
          <w:sz w:val="17"/>
          <w:szCs w:val="17"/>
        </w:rPr>
        <w:t xml:space="preserve">, 17, 034034 (title as on arXiv:2201.01041). </w:t>
      </w:r>
      <w:r>
        <w:rPr>
          <w:i/>
          <w:iCs/>
          <w:sz w:val="17"/>
          <w:szCs w:val="17"/>
        </w:rPr>
        <w:t xml:space="preserve">Why it is useful:</w:t>
      </w:r>
      <w:r>
        <w:rPr>
          <w:sz w:val="17"/>
          <w:szCs w:val="17"/>
        </w:rPr>
        <w:t xml:space="preserve"> Harvard (Kelp, Lin, Mickley) with Kutz; the unconstrained version of [H3] applied to the contiguous United States, finding large gaps in the national monitoring network (opportunity 5).</w:t>
      </w:r>
      <w:r>
        <w:rPr>
          <w:sz w:val="17"/>
          <w:szCs w:val="17"/>
        </w:rPr>
        <w:t xml:space="preserve"> </w:t>
      </w:r>
      <w:hyperlink w:history="1" r:id="rIdej_uezzt4etixdsyrzlmo">
        <w:r>
          <w:rPr>
            <w:color w:val="1D4ED8"/>
            <w:sz w:val="17"/>
            <w:szCs w:val="17"/>
            <w:u w:val="single"/>
          </w:rPr>
          <w:t xml:space="preserve">https://doi.org/10.1088/1748-9326/ac548f</w:t>
        </w:r>
      </w:hyperlink>
    </w:p>
    <w:p>
      <w:pPr>
        <w:tabs>
          <w:tab w:val="left" w:pos="567"/>
        </w:tabs>
        <w:spacing w:after="50"/>
        <w:ind w:left="567" w:hanging="567"/>
        <w:jc w:val="left"/>
      </w:pPr>
      <w:r>
        <w:rPr>
          <w:b/>
          <w:bCs/>
          <w:color w:val="4D4D4F"/>
          <w:sz w:val="17"/>
          <w:szCs w:val="17"/>
        </w:rPr>
        <w:t xml:space="preserve">[MR1]	</w:t>
      </w:r>
      <w:r>
        <w:rPr>
          <w:sz w:val="17"/>
          <w:szCs w:val="17"/>
        </w:rPr>
        <w:t xml:space="preserve">Lu, L., Pestourie, R., Yao, W., Wang, Z., Verdugo, F. &amp; Johnson, S. G. (2021). Physics-informed neural networks with hard constraints for inverse design. </w:t>
      </w:r>
      <w:r>
        <w:rPr>
          <w:i/>
          <w:iCs/>
          <w:sz w:val="17"/>
          <w:szCs w:val="17"/>
        </w:rPr>
        <w:t xml:space="preserve">SIAM Journal on Scientific Computing</w:t>
      </w:r>
      <w:r>
        <w:rPr>
          <w:sz w:val="17"/>
          <w:szCs w:val="17"/>
        </w:rPr>
        <w:t xml:space="preserve">, 43(6), B1105–B1132. </w:t>
      </w:r>
      <w:r>
        <w:rPr>
          <w:i/>
          <w:iCs/>
          <w:sz w:val="17"/>
          <w:szCs w:val="17"/>
        </w:rPr>
        <w:t xml:space="preserve">Why it is useful:</w:t>
      </w:r>
      <w:r>
        <w:rPr>
          <w:sz w:val="17"/>
          <w:szCs w:val="17"/>
        </w:rPr>
        <w:t xml:space="preserve"> MIT (Johnson and co-authors); PDE-constrained design with physics-informed networks and hard constraints by augmented Lagrangians, a way to optimise a continuous recharge-intensity field under a chloride limit before rounding to well sites (opportunity 4).</w:t>
      </w:r>
      <w:r>
        <w:rPr>
          <w:sz w:val="17"/>
          <w:szCs w:val="17"/>
        </w:rPr>
        <w:t xml:space="preserve"> </w:t>
      </w:r>
      <w:hyperlink w:history="1" r:id="rIds0kvod4zscbiulob4da4i">
        <w:r>
          <w:rPr>
            <w:color w:val="1D4ED8"/>
            <w:sz w:val="17"/>
            <w:szCs w:val="17"/>
            <w:u w:val="single"/>
          </w:rPr>
          <w:t xml:space="preserve">https://doi.org/10.1137/21M1397908</w:t>
        </w:r>
      </w:hyperlink>
    </w:p>
    <w:p>
      <w:pPr>
        <w:spacing w:after="200"/>
      </w:pPr>
    </w:p>
    <w:p>
      <w:pPr>
        <w:spacing w:after="120"/>
      </w:pPr>
      <w:r>
        <w:rPr>
          <w:i/>
          <w:iCs/>
          <w:color w:val="5B6573"/>
          <w:sz w:val="18"/>
          <w:szCs w:val="18"/>
        </w:rPr>
        <w:t xml:space="preserve">Prepared from searches of 27 October 2026. Card codes: O = Oxford, C = Caltech, H = Harvard, M = MIT; [B…] are references of Part I. The assembly proposed in section 9 is the subject of the next document of the series.</w:t>
      </w:r>
    </w:p>
    <w:sectPr>
      <w:headerReference w:type="default" r:id="rId7"/>
      <w:headerReference w:type="first" r:id="rId8"/>
      <w:footerReference w:type="default" r:id="rId9"/>
      <w:footerReference w:type="first" r:id="rId10"/>
      <w:pgSz w:w="11906" w:h="16838" w:orient="portrait"/>
      <w:pgMar w:top="1134" w:right="1134" w:bottom="1134" w:left="1134"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6"/>
        <w:szCs w:val="16"/>
      </w:rPr>
      <w:t xml:space="preserve">Literature search · Assembling the equations, placing the wells · Oxford, Caltech, Harvard, MIT · 2020–2026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abstractNum w:abstractNumId="4"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0"/>
        <w:szCs w:val="20"/>
        <w:lang w:val="en-US"/>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C9D1DC" w:sz="6" w:space="4"/>
      </w:pBdr>
      <w:spacing w:after="200" w:before="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36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1F3864"/>
      <w:sz w:val="22"/>
      <w:szCs w:val="22"/>
    </w:rPr>
  </w:style>
  <w:style w:type="paragraph" w:styleId="Equation">
    <w:name w:val="Equation"/>
    <w:basedOn w:val="Normal"/>
    <w:next w:val="Normal"/>
    <w:pPr>
      <w:spacing w:after="100" w:before="80"/>
      <w:jc w:val="center"/>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i3sum5sonc0hqhnsfan6q" Type="http://schemas.openxmlformats.org/officeDocument/2006/relationships/hyperlink" Target="https://doi.org/10.1145/3466168" TargetMode="External"/><Relationship Id="rIdznlbpnopi1p1z5ofhrcvz" Type="http://schemas.openxmlformats.org/officeDocument/2006/relationships/hyperlink" Target="https://doi.org/10.1145/3445791" TargetMode="External"/><Relationship Id="rIdmnteptmmrnle3_zpozzvm" Type="http://schemas.openxmlformats.org/officeDocument/2006/relationships/hyperlink" Target="https://doi.org/10.1137/21M1444187" TargetMode="External"/><Relationship Id="rId7pmcxz8xjw9gh06lghgoo" Type="http://schemas.openxmlformats.org/officeDocument/2006/relationships/hyperlink" Target="https://proceedings.mlr.press/v139/wan21b.html" TargetMode="External"/><Relationship Id="rIdrxzhoaprsng_fbww1tboc" Type="http://schemas.openxmlformats.org/officeDocument/2006/relationships/hyperlink" Target="https://doi.org/10.1111/wej.12479" TargetMode="External"/><Relationship Id="rId4_wcxs8bqlzddzqgi5pbp" Type="http://schemas.openxmlformats.org/officeDocument/2006/relationships/hyperlink" Target="https://doi.org/10.1038/s42254-024-00712-5" TargetMode="External"/><Relationship Id="rId_cjehig9-hvyejc5b1wpu" Type="http://schemas.openxmlformats.org/officeDocument/2006/relationships/hyperlink" Target="https://doi.org/10.1002/adts.202500747" TargetMode="External"/><Relationship Id="rIdsoehyt3fa_b_q-nycgug-" Type="http://schemas.openxmlformats.org/officeDocument/2006/relationships/hyperlink" Target="https://doi.org/10.1126/sciadv.adj1741" TargetMode="External"/><Relationship Id="rIdpom6xvmwhoqkg2atqwllv" Type="http://schemas.openxmlformats.org/officeDocument/2006/relationships/hyperlink" Target="https://proceedings.neurips.cc/paper/2020/hash/e769e03a9d329b2e864b4bf4ff54ff39-Abstract.html" TargetMode="External"/><Relationship Id="rIduofewaxowprehmqc_tc4f" Type="http://schemas.openxmlformats.org/officeDocument/2006/relationships/hyperlink" Target="https://doi.org/10.1038/s44182-024-00013-0" TargetMode="External"/><Relationship Id="rIdp_pl5ox5jsj9qbvr7tpk4" Type="http://schemas.openxmlformats.org/officeDocument/2006/relationships/hyperlink" Target="https://doi.org/10.1073/pnas.2403644122" TargetMode="External"/><Relationship Id="rId7rabgvc_8lp3kpp7eqnmx" Type="http://schemas.openxmlformats.org/officeDocument/2006/relationships/hyperlink" Target="https://doi.org/10.1017/jfm.2025.10174" TargetMode="External"/><Relationship Id="rIdawyutzl1ikoko6mx9wvfd" Type="http://schemas.openxmlformats.org/officeDocument/2006/relationships/hyperlink" Target="https://doi.org/10.1029/2023GH000834" TargetMode="External"/><Relationship Id="rId6swsuvpy0xo1y7budqakn" Type="http://schemas.openxmlformats.org/officeDocument/2006/relationships/hyperlink" Target="https://doi.org/10.1016/j.cma.2021.114264" TargetMode="External"/><Relationship Id="rId5lnjuey0yueukoeia5f-l" Type="http://schemas.openxmlformats.org/officeDocument/2006/relationships/hyperlink" Target="https://doi.org/10.1103/PhysRevFluids.6.064605" TargetMode="External"/><Relationship Id="rIdwpzp2gtztdzbwq0_8ozfs" Type="http://schemas.openxmlformats.org/officeDocument/2006/relationships/hyperlink" Target="https://doi.org/10.1287/opre.2021.0707" TargetMode="External"/><Relationship Id="rIdft4mm5tuyd3nnpt5mbesw" Type="http://schemas.openxmlformats.org/officeDocument/2006/relationships/hyperlink" Target="https://doi.org/10.1287/opre.2020.2096" TargetMode="External"/><Relationship Id="rId5ngm2sf51bdvt6xfgpzct" Type="http://schemas.openxmlformats.org/officeDocument/2006/relationships/hyperlink" Target="https://doi.org/10.1038/s41586-021-03668-z" TargetMode="External"/><Relationship Id="rIdv-xesqf4sabiky7vaj_ot" Type="http://schemas.openxmlformats.org/officeDocument/2006/relationships/hyperlink" Target="https://doi.org/10.1016/j.cma.2022.115141" TargetMode="External"/><Relationship Id="rIdhhydo-746ngktdbebrkso" Type="http://schemas.openxmlformats.org/officeDocument/2006/relationships/hyperlink" Target="https://doi.org/10.1029/2024WR039275" TargetMode="External"/><Relationship Id="rIdatfy9h4n4v_5vkh9_ymzs" Type="http://schemas.openxmlformats.org/officeDocument/2006/relationships/hyperlink" Target="https://doi.org/10.1016/j.advwatres.2012.03.004" TargetMode="External"/><Relationship Id="rIdq_zaxeytb7pvx9fjrb0t5" Type="http://schemas.openxmlformats.org/officeDocument/2006/relationships/hyperlink" Target="https://doi.org/10.1029/WR012i006p01165" TargetMode="External"/><Relationship Id="rIdmxzu7khdt15w01er3xykt" Type="http://schemas.openxmlformats.org/officeDocument/2006/relationships/hyperlink" Target="https://doi.org/10.2118/6893-PA" TargetMode="External"/><Relationship Id="rId72blz3mxfg3hgwhkduqo-" Type="http://schemas.openxmlformats.org/officeDocument/2006/relationships/hyperlink" Target="https://doi.org/10.1029/WR019i002p00305" TargetMode="External"/><Relationship Id="rIdmqe_huii30vu1qppqrx8g" Type="http://schemas.openxmlformats.org/officeDocument/2006/relationships/hyperlink" Target="https://doi.org/10.1017/S0962492913000032" TargetMode="External"/><Relationship Id="rIdlpftpmtb-m7fjslcxggmc" Type="http://schemas.openxmlformats.org/officeDocument/2006/relationships/hyperlink" Target="https://doi.org/10.1007/978-3-642-03711-5" TargetMode="External"/><Relationship Id="rId7hwl6jatmjuqai8yx30t8" Type="http://schemas.openxmlformats.org/officeDocument/2006/relationships/hyperlink" Target="https://doi.org/10.1287/mnsc.6.1.73" TargetMode="External"/><Relationship Id="rIdqeworrh0ec__ztphmwxx5" Type="http://schemas.openxmlformats.org/officeDocument/2006/relationships/hyperlink" Target="https://doi.org/10.1137/050622328" TargetMode="External"/><Relationship Id="rIdqbmflqmhlbdtbicegyb0b" Type="http://schemas.openxmlformats.org/officeDocument/2006/relationships/hyperlink" Target="https://doi.org/10.1007/978-1-4020-8839-1" TargetMode="External"/><Relationship Id="rIdkfkvky9h9jqgzz6haih0x" Type="http://schemas.openxmlformats.org/officeDocument/2006/relationships/hyperlink" Target="https://doi.org/10.1002/2014WR016825" TargetMode="External"/><Relationship Id="rId6zzv5c8tfgo4hg6o8l4pg" Type="http://schemas.openxmlformats.org/officeDocument/2006/relationships/hyperlink" Target="https://doi.org/10.1023/A:1011430410075" TargetMode="External"/><Relationship Id="rIdk2xwob2jylhol9ovc4bns" Type="http://schemas.openxmlformats.org/officeDocument/2006/relationships/hyperlink" Target="https://doi.org/10.1017/S0962492901000010" TargetMode="External"/><Relationship Id="rIdxgbdgs_hjcke7pcicnjgx" Type="http://schemas.openxmlformats.org/officeDocument/2006/relationships/hyperlink" Target="https://doi.org/10.1145/3466168" TargetMode="External"/><Relationship Id="rIdho3cd18mo3oib5jr0prrh" Type="http://schemas.openxmlformats.org/officeDocument/2006/relationships/hyperlink" Target="https://doi.org/10.1145/3445791" TargetMode="External"/><Relationship Id="rId8iwfyidxhbjb1ivzqlvtz" Type="http://schemas.openxmlformats.org/officeDocument/2006/relationships/hyperlink" Target="https://doi.org/10.1137/21M1444187" TargetMode="External"/><Relationship Id="rIdenbz0tfhmlcnw5pp4fxz1" Type="http://schemas.openxmlformats.org/officeDocument/2006/relationships/hyperlink" Target="https://proceedings.mlr.press/v139/wan21b.html" TargetMode="External"/><Relationship Id="rIdimkxqvbssjl6mjuqqv6dc" Type="http://schemas.openxmlformats.org/officeDocument/2006/relationships/hyperlink" Target="https://doi.org/10.1111/wej.12479" TargetMode="External"/><Relationship Id="rIdrghg_vemdz0zm2_omhmg4" Type="http://schemas.openxmlformats.org/officeDocument/2006/relationships/hyperlink" Target="https://doi.org/10.1038/s42254-024-00712-5" TargetMode="External"/><Relationship Id="rIdsdsdxmsbujgchqzgnaeii" Type="http://schemas.openxmlformats.org/officeDocument/2006/relationships/hyperlink" Target="https://doi.org/10.1002/adts.202500747" TargetMode="External"/><Relationship Id="rId4mybhzmsyauhslbjexmh6" Type="http://schemas.openxmlformats.org/officeDocument/2006/relationships/hyperlink" Target="https://doi.org/10.1126/sciadv.adj1741" TargetMode="External"/><Relationship Id="rIdon-qk_p7vizptf1ahc6fx" Type="http://schemas.openxmlformats.org/officeDocument/2006/relationships/hyperlink" Target="https://proceedings.neurips.cc/paper/2020/hash/e769e03a9d329b2e864b4bf4ff54ff39-Abstract.html" TargetMode="External"/><Relationship Id="rIdr7dtonxj2wkv-uiaakubu" Type="http://schemas.openxmlformats.org/officeDocument/2006/relationships/hyperlink" Target="https://doi.org/10.1038/s44182-024-00013-0" TargetMode="External"/><Relationship Id="rIdwkj-8u1lvw_tf94ob14s5" Type="http://schemas.openxmlformats.org/officeDocument/2006/relationships/hyperlink" Target="https://doi.org/10.1073/pnas.2403644122" TargetMode="External"/><Relationship Id="rIdyx-jz7sc2ebmu0ovt5w10" Type="http://schemas.openxmlformats.org/officeDocument/2006/relationships/hyperlink" Target="https://doi.org/10.1017/jfm.2025.10174" TargetMode="External"/><Relationship Id="rIdssyfnsyzhao6q-64ysm93" Type="http://schemas.openxmlformats.org/officeDocument/2006/relationships/hyperlink" Target="https://doi.org/10.1029/2023GH000834" TargetMode="External"/><Relationship Id="rIdim5vfd4f4zrgtp2dje_jc" Type="http://schemas.openxmlformats.org/officeDocument/2006/relationships/hyperlink" Target="https://doi.org/10.1016/j.cma.2021.114264" TargetMode="External"/><Relationship Id="rIdnkbk1w9dq9gyqufqjxfcf" Type="http://schemas.openxmlformats.org/officeDocument/2006/relationships/hyperlink" Target="https://doi.org/10.1103/PhysRevFluids.6.064605" TargetMode="External"/><Relationship Id="rId8gqtvbqykfd2ahwd-fqaj" Type="http://schemas.openxmlformats.org/officeDocument/2006/relationships/hyperlink" Target="https://doi.org/10.1287/opre.2021.0707" TargetMode="External"/><Relationship Id="rIdrbsiwd83obgnxufjqivon" Type="http://schemas.openxmlformats.org/officeDocument/2006/relationships/hyperlink" Target="https://doi.org/10.1287/opre.2020.2096" TargetMode="External"/><Relationship Id="rIdjdxojruug8zpsltqdjyjo" Type="http://schemas.openxmlformats.org/officeDocument/2006/relationships/hyperlink" Target="https://doi.org/10.1038/s41586-021-03668-z" TargetMode="External"/><Relationship Id="rIdxfa74gbz1_yaoimpk2twh" Type="http://schemas.openxmlformats.org/officeDocument/2006/relationships/hyperlink" Target="https://doi.org/10.1016/j.cma.2022.115141" TargetMode="External"/><Relationship Id="rIdg9jomrnapbsoopa8npyws" Type="http://schemas.openxmlformats.org/officeDocument/2006/relationships/hyperlink" Target="https://doi.org/10.1029/2024WR039275" TargetMode="External"/><Relationship Id="rIdfyhtyryahfispazs6s_6i" Type="http://schemas.openxmlformats.org/officeDocument/2006/relationships/hyperlink" Target="https://doi.org/10.1073/pnas.2121985119" TargetMode="External"/><Relationship Id="rIdej_uezzt4etixdsyrzlmo" Type="http://schemas.openxmlformats.org/officeDocument/2006/relationships/hyperlink" Target="https://doi.org/10.1088/1748-9326/ac548f" TargetMode="External"/><Relationship Id="rIds0kvod4zscbiulob4da4i" Type="http://schemas.openxmlformats.org/officeDocument/2006/relationships/hyperlink" Target="https://doi.org/10.1137/21M1397908" TargetMode="External"/><Relationship Id="rId6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Assembling the equations, placing the wells: twenty papers from Oxford, Caltech, Harvard and MIT</dc:title>
  <dc:subject>Literature review: assembly and solution of coupled PDE systems, surrogates and assimilation, and optimal placement of recharge and pumping wells, 2020–2026</dc:subject>
  <dc:creator>D. Zeqiraj</dc:creator>
  <dc:description>Solving the coupled equations of a coastal aquifer as one system, and optimising where to place recharge and pumping wells on it (2020–2026), none used before in this series. With a theoretical introduction to the assembled system and the placement problem, and a proposed innovation for the assembly</dc:description>
  <cp:lastModifiedBy>D. Zeqiraj</cp:lastModifiedBy>
  <cp:revision>1</cp:revision>
  <dcterms:created xsi:type="dcterms:W3CDTF">2026-10-27T15:59:13.473Z</dcterms:created>
  <dcterms:modified xsi:type="dcterms:W3CDTF">2026-10-27T15:59:13.473Z</dcterms:modified>
</cp:coreProperties>
</file>

<file path=docProps/custom.xml><?xml version="1.0" encoding="utf-8"?>
<Properties xmlns="http://schemas.openxmlformats.org/officeDocument/2006/custom-properties" xmlns:vt="http://schemas.openxmlformats.org/officeDocument/2006/docPropsVTypes"/>
</file>