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left="340" w:hanging="340"/>
      </w:pPr>
      <w:r>
        <w:rPr>
          <w:rFonts w:ascii="Arial" w:hAnsi="Arial"/>
          <w:sz w:val="22"/>
        </w:rPr>
        <w:t>Abarca E et al. (2007) Adv. Water Resour. 30, 913–926.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Alexanderian A, Gloor PJ, Ghattas O (2016a) Bayesian Anal. 11, 671–695.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Alexanderian A et al. (2016b) SIAM J. Sci. Comput. 38, A243–A272.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Alexanderian A (2021) Inverse Probl. 37, 043001.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Appelo CAJ, Postma D (2005) Geochemistry, Groundwater and Pollution, 2nd ed. Balkema.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Attia A, Alexanderian A, Saibaba AK (2018) Inverse Probl. 34, 095009.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Barber D, Agakov F (2003) Adv. Neural Inf. Process. Syst. 16, 201–208.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Boudreau BP, Meysman FJR, Middelburg JJ (2004) Earth Planet. Sci. Lett. 222, 653–666.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Diersch H-JG, Kolditz O (2002) Adv. Water Resour. 25, 899–944.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Foster A et al. (2019) Adv. Neural Inf. Process. Syst. 32, 14036–14047.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Frind EO (1982) Adv. Water Resour. 5, 73–88.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Huan X, Jagalur J, Marzouk Y (2024) Acta Numer. 33, 715–840.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Huyakorn PS et al. (1987) Water Resour. Res. 23, 293–312.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Kourakos G, Mantoglou A (2009) Adv. Water Resour. 32, 507–521.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Koval K, Herzog R, Scheichl R (2024) Inverse Probl. 40, 125002.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Krause A, Singh A, Guestrin C (2008) J. Mach. Learn. Res. 9, 235–284.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Lal A, Datta B (2019) Int. J. Environ. Res. Public Health 16, 4365.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Leube PC, Geiges A, Nowak W (2012) Water Resour. Res. 48, W02501.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Lichtner PC (1985) Geochim. Cosmochim. Acta 49, 779–800.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Lykkegaard MB, Dodwell TJ (2022) Adv. Water Resour. 164, 104219.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Nemhauser GL, Wolsey LA, Fisher ML (1978) Math. Program. 14, 265–294.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Neuberger JN, Alexanderian A, van Bloemen Waanders B (2025) J. Sci. Comput. 105, 55.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Nowak W, de Barros FPJ, Rubin Y (2010) Water Resour. Res. 46, W03535.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Pauw PS et al. (2015) Hydrogeol. J. 23, 1415–1430.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Plummer M (2015) Stat. Comput. 25, 37–43.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Pool M, Carrera J (2010) Hydrogeol. J. 18, 95–105.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Rainforth T et al. (2024) Stat. Sci. 39, 100–114.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Rashidinejad P et al. (2022) IEEE Trans. Inf. Theory 68, 8156–8196.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Rolle M et al. (2013) Geochim. Cosmochim. Acta 120, 195–205.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Saaltink MW, Ayora C, Carrera J (1998) Water Resour. Res. 34, 1649–1656.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Simpson MJ, Clement TP (2004) Water Resour. Res. 40, W01504.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Sreekanth J, Datta B (2010) J. Hydrol. 393, 245–256.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Wagenmaker AJ, Simchowitz M, Jamieson K (2021) Proc. ICML, PMLR 139, 10641–10652.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Wöhling T, Geiges A, Nowak W (2016) Groundwater 54, 861–870.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Yoon S et al. (2020) Adv. Water Resour. 135, 103468.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Ziemann I, Sandberg H (2021) Proc. L4DC, PMLR 144, 213–226.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Directive 2000/60/EC, OJ L 327, 22.12.2000.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Directive (EU) 2026/805, OJ L 2026/805, 20.4.2026.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European Commission (2025) European Water Resilience Strategy, COM(2025) 280 final.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Directive 2007/2/EC (INSPIRE), OJ L 108, 25.4.2007.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OGC (2017) GroundWaterML 2, OGC 16-032r2.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IGRAC, Global Inventory of Managed Aquifer Recharge Schemes, ggis.un-igrac.org.</w:t>
      </w:r>
    </w:p>
    <w:p>
      <w:pPr>
        <w:spacing w:after="40"/>
        <w:ind w:left="340" w:hanging="340"/>
      </w:pPr>
      <w:r>
        <w:rPr>
          <w:rFonts w:ascii="Arial" w:hAnsi="Arial"/>
          <w:sz w:val="22"/>
        </w:rPr>
        <w:t>COST Actions CA21112, CA19120, CA22144 and 621, cost.eu.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