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D97706"/>
          <w:spacing w:val="30"/>
          <w:sz w:val="18"/>
          <w:szCs w:val="18"/>
        </w:rPr>
        <w:t xml:space="preserve">NOTE  ·  TWENTY CHLORIDE PAPERS AND ANCHOR REGRESSION  ·  OCTOBER 2026</w:t>
      </w:r>
    </w:p>
    <w:p>
      <w:pPr>
        <w:spacing w:after="140"/>
      </w:pPr>
      <w:r>
        <w:rPr>
          <w:rFonts w:ascii="Calibri" w:cs="Calibri" w:eastAsia="Calibri" w:hAnsi="Calibri"/>
          <w:b/>
          <w:bCs/>
          <w:color w:val="1F3864"/>
          <w:sz w:val="38"/>
          <w:szCs w:val="38"/>
        </w:rPr>
        <w:t xml:space="preserve">What the twenty chloride papers and anchor regression give the Fushë-Kuqe work: checks, extractions and a chloride alarm that survives the decision</w:t>
      </w:r>
    </w:p>
    <w:p>
      <w:pPr>
        <w:spacing w:after="30"/>
      </w:pPr>
      <w:r>
        <w:rPr>
          <w:b/>
          <w:bCs/>
          <w:sz w:val="21"/>
          <w:szCs w:val="21"/>
        </w:rPr>
        <w:t xml:space="preserve">D. Zeqiraj</w:t>
      </w:r>
    </w:p>
    <w:p>
      <w:pPr>
        <w:pBdr>
          <w:bottom w:val="single" w:color="1F3864" w:sz="8" w:space="6"/>
        </w:pBdr>
        <w:spacing w:after="160"/>
      </w:pPr>
      <w:r>
        <w:rPr>
          <w:i/>
          <w:iCs/>
          <w:color w:val="5B6573"/>
          <w:sz w:val="18"/>
          <w:szCs w:val="18"/>
        </w:rPr>
        <w:t xml:space="preserve">Faculty of Geology and Mining, Polytechnic University of Tirana, Albania. Reads the twenty-paper note of 19 October 2026 and the anchor-regression paper for the chloride manuscript and the assembled-system note, checks the three proposals of the twenty-paper note, and adds the innovation SPIRANCA-GO (spiranca: the anchor).</w:t>
      </w:r>
    </w:p>
    <w:p>
      <w:pPr>
        <w:keepNext w:val="false"/>
        <w:pBdr>
          <w:left w:val="single" w:color="1F3864" w:sz="18" w:space="6"/>
        </w:pBdr>
        <w:shd w:fill="F3F5F8" w:color="auto" w:val="clear"/>
        <w:spacing w:after="80" w:before="60"/>
        <w:ind w:left="140" w:right="60"/>
        <w:jc w:val="both"/>
      </w:pPr>
      <w:r>
        <w:rPr>
          <w:b/>
          <w:bCs/>
          <w:color w:val="1F3864"/>
        </w:rPr>
        <w:t xml:space="preserve">Abstract. </w:t>
      </w:r>
      <w:r>
        <w:t xml:space="preserve">This note reads two documents for the Fushë-Kuqe chloride work: the note of 19 October 2026 on twenty papers from Oxford, ETH Zürich, Berkeley, Harvard and Princeton, with its three proposals N1–N3, and the anchor-regression paper of Rothenhäusler, Meinshausen, Bühlmann and Peters (2021). The twenty-paper note is sound. The proofs of N1–N3 hold and so do numerical checks, with two refinements: the slope of N1 cannot tell a target outside the model's reach from one inside it at the effective sample sizes available (a true 4 is fitted as 3.5), while its intercept is accurate; and the analytic upper bound of N3 is 5–20 times looser than the information it bounds. Applied to the safe yields of the assembled-system note, the certified threshold of N2 costs 11.6% of the value with 25 draws and cannot be issued at δ = 5%. The innovation, SPIRANCA-GO, turns anchor regression into a chloride alarm that stays valid after the pumping decision. The recorded pumping and rainfall are the anchors; the decision is a known shift outside the record, which is corrected; a warming that the rain gauge does not see is an unknown one-sided shift in the span of the anchors, which is certified; and the goal is the exceedance of 250 mg/L, not a mean-square error. On 100 aquifers drawn from the prior of the chloride study, heads-only proxies over-predict in 91% of the future seasons, least squares on heads and anchors in 36% under the worst warming, and SPIRANCA-GO in 2.4%, against the 10% allowed, with a margin 32% smaller than the same certificate added to least squares. Choosing the three piezometers by the certified margin picks the inland well A13 in 94 of the 100 aquifers and cuts the margin by 26% against the design of largest record R². On the variable-density section of the assembled-system note, where the interface has memory and the heads are nonlinear, the certificate still covered the unrecorded warming in 18 of 20 aquifers. After the decision alone it failed in 9, where the decision moved the screen into a regime the record had not seen. Re-anchored by one chloride sample a year at the supply screen, the alarm over-predicted in 3.4% of the seasons, with fewer false alarms than any other safe alarm.</w:t>
      </w:r>
    </w:p>
    <w:p>
      <w:pPr>
        <w:spacing w:after="100"/>
      </w:pPr>
      <w:r>
        <w:rPr>
          <w:b/>
          <w:bCs/>
          <w:color w:val="1F3864"/>
          <w:sz w:val="18"/>
          <w:szCs w:val="18"/>
        </w:rPr>
        <w:t xml:space="preserve">Keywords: </w:t>
      </w:r>
      <w:r>
        <w:rPr>
          <w:color w:val="3A4350"/>
          <w:sz w:val="18"/>
          <w:szCs w:val="18"/>
        </w:rPr>
        <w:t xml:space="preserve">seawater intrusion; chloride; anchor regression; variable-density flow; memory; distribution shift; conformal prediction; certified alarm; monitoring design; Learn then Test; approximate Bayesian computation; expected information gain; Fushë-Kuqe</w:t>
      </w:r>
    </w:p>
    <w:p>
      <w:pPr>
        <w:pStyle w:val="Heading1"/>
      </w:pPr>
      <w:r>
        <w:t xml:space="preserve">1. The outcome</w:t>
      </w:r>
    </w:p>
    <w:p>
      <w:pPr>
        <w:spacing w:after="100"/>
        <w:jc w:val="both"/>
      </w:pPr>
      <w:r>
        <w:t xml:space="preserve">Two documents were read for the chloride manuscript [1], the companion of the base paper [2], and for the assembled-system note [3]: the note on twenty papers of 19 October 2026 [4] and the anchor-regression paper [5], which is paper [5] of that note. What they give, in short:</w:t>
      </w:r>
    </w:p>
    <w:p>
      <w:pPr>
        <w:pStyle w:val="ListParagraph"/>
        <w:numPr>
          <w:ilvl w:val="0"/>
          <w:numId w:val="2"/>
        </w:numPr>
        <w:spacing w:after="50"/>
        <w:jc w:val="both"/>
      </w:pPr>
      <w:r>
        <w:rPr>
          <w:b/>
          <w:bCs/>
        </w:rPr>
        <w:t xml:space="preserve">The twenty-paper note is sound.</w:t>
      </w:r>
      <w:r>
        <w:t xml:space="preserve"> Its three proposals N1–N3 have correct proofs. Numerical checks confirm them (Section 3), with two refinements. In N1, read the intercept </w:t>
      </w:r>
      <m:oMath>
        <m:sSup>
          <m:e>
            <m:acc>
              <m:accPr>
                <m:chr m:val="̂"/>
              </m:accPr>
              <m:e>
                <m:r>
                  <m:t>D</m:t>
                </m:r>
              </m:e>
            </m:acc>
          </m:e>
          <m:sup>
            <m:r>
              <m:rPr>
                <m:sty m:val="p"/>
              </m:rPr>
              <m:t>⋆</m:t>
            </m:r>
          </m:sup>
        </m:sSup>
      </m:oMath>
      <w:r>
        <w:t xml:space="preserve">, not the slope </w:t>
      </w:r>
      <m:oMath>
        <m:acc>
          <m:accPr>
            <m:chr m:val="̂"/>
          </m:accPr>
          <m:e>
            <m:r>
              <m:t>m</m:t>
            </m:r>
          </m:e>
        </m:acc>
      </m:oMath>
      <w:r>
        <w:t xml:space="preserve">: the slope is 2.96 and 2.00 where the theory says 3 and 2, but 3.46 where it says 4. In N3, the analytic upper bound is valid but 5–20 times larger than the information it bounds, so it prunes little.</w:t>
      </w:r>
    </w:p>
    <w:p>
      <w:pPr>
        <w:pStyle w:val="ListParagraph"/>
        <w:numPr>
          <w:ilvl w:val="0"/>
          <w:numId w:val="2"/>
        </w:numPr>
        <w:spacing w:after="50"/>
        <w:jc w:val="both"/>
      </w:pPr>
      <w:r>
        <w:rPr>
          <w:b/>
          <w:bCs/>
        </w:rPr>
        <w:t xml:space="preserve">One number for the assembled-system note.</w:t>
      </w:r>
      <w:r>
        <w:t xml:space="preserve"> The fixed-sequence certificate of N2 (Learn then Test [6]) applied to the safe yields of that note allows no exceedance at all among 25 draws: it lowers the value of the best layout by 11.6% at </w:t>
      </w:r>
      <m:oMath>
        <m:r>
          <m:t>δ</m:t>
        </m:r>
        <m:r>
          <m:rPr>
            <m:sty m:val="p"/>
          </m:rPr>
          <m:t>=</m:t>
        </m:r>
        <m:r>
          <m:t>10</m:t>
        </m:r>
        <m:r>
          <m:rPr>
            <m:sty m:val="p"/>
          </m:rPr>
          <m:t>%</m:t>
        </m:r>
      </m:oMath>
      <w:r>
        <w:t xml:space="preserve"> and cannot be issued at </w:t>
      </w:r>
      <m:oMath>
        <m:r>
          <m:t>δ</m:t>
        </m:r>
        <m:r>
          <m:rPr>
            <m:sty m:val="p"/>
          </m:rPr>
          <m:t>=</m:t>
        </m:r>
        <m:r>
          <m:t>5</m:t>
        </m:r>
        <m:r>
          <m:rPr>
            <m:sty m:val="p"/>
          </m:rPr>
          <m:t>%</m:t>
        </m:r>
      </m:oMath>
      <w:r>
        <w:t xml:space="preserve"> (Section 3.2).</w:t>
      </w:r>
    </w:p>
    <w:p>
      <w:pPr>
        <w:pStyle w:val="ListParagraph"/>
        <w:numPr>
          <w:ilvl w:val="0"/>
          <w:numId w:val="2"/>
        </w:numPr>
        <w:spacing w:after="50"/>
        <w:jc w:val="both"/>
      </w:pPr>
      <w:r>
        <w:rPr>
          <w:b/>
          <w:bCs/>
        </w:rPr>
        <w:t xml:space="preserve">An innovation from anchor regression: SPIRANCA-GO</w:t>
      </w:r>
      <w:r>
        <w:t xml:space="preserve"> (Sections 4–6). A head-based alarm for the chloride standard at a supply well, built before the pumping decision and certified to stay valid after it and under a warming that the rain gauge does not record. On 100 aquifers of the chloride study's model its over-prediction rate is 2.4% under the worst warming against 36.0% for least squares on heads and anchors and 90.8% for heads alone, with 10% allowed.</w:t>
      </w:r>
    </w:p>
    <w:p>
      <w:pPr>
        <w:pStyle w:val="ListParagraph"/>
        <w:numPr>
          <w:ilvl w:val="0"/>
          <w:numId w:val="2"/>
        </w:numPr>
        <w:spacing w:after="50"/>
        <w:jc w:val="both"/>
      </w:pPr>
      <w:r>
        <w:rPr>
          <w:b/>
          <w:bCs/>
        </w:rPr>
        <w:t xml:space="preserve">Where to put the piezometers for such an alarm.</w:t>
      </w:r>
      <w:r>
        <w:t xml:space="preserve"> Choosing three of the sixteen sector wells by the certified margin picks the inland well A13 in 94 of the 100 aquifers; the three wells nearest the supply well give margins 3.4 times larger and 22% false alarms.</w:t>
      </w:r>
    </w:p>
    <w:p>
      <w:pPr>
        <w:pStyle w:val="ListParagraph"/>
        <w:numPr>
          <w:ilvl w:val="0"/>
          <w:numId w:val="2"/>
        </w:numPr>
        <w:spacing w:after="50"/>
        <w:jc w:val="both"/>
      </w:pPr>
      <w:r>
        <w:rPr>
          <w:b/>
          <w:bCs/>
        </w:rPr>
        <w:t xml:space="preserve">On the variable-density section, the alarm needs one chloride sample a year.</w:t>
      </w:r>
      <w:r>
        <w:t xml:space="preserve"> With memory and nonlinear heads, the certificate alone failed after the decision in 9 of 20 aquifers (it held under the warming). Re-anchored by a yearly sample at the supply screen it held in 19 of 20 (3.4%), and re-anchoring without the certificate did not (24.7%). See Section 7.</w:t>
      </w:r>
    </w:p>
    <w:p>
      <w:pPr>
        <w:keepNext/>
        <w:spacing w:after="60" w:before="120"/>
        <w:jc w:val="both"/>
      </w:pPr>
      <w:r>
        <w:rPr>
          <w:b/>
          <w:bCs/>
          <w:color w:val="1F3864"/>
          <w:sz w:val="18"/>
          <w:szCs w:val="18"/>
        </w:rPr>
        <w:t xml:space="preserve">Table 1. </w:t>
      </w:r>
      <w:r>
        <w:rPr>
          <w:color w:val="3A4350"/>
          <w:sz w:val="18"/>
          <w:szCs w:val="18"/>
        </w:rPr>
        <w:t xml:space="preserve">What this note found in the two documents.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500"/>
        <w:gridCol w:w="1900"/>
        <w:gridCol w:w="4138"/>
        <w:gridCol w:w="1100"/>
      </w:tblGrid>
      <w:tr>
        <w:trPr>
          <w:cantSplit/>
          <w:tblHeader/>
        </w:trPr>
        <w:tc>
          <w:tcPr>
            <w:tcW w:type="dxa" w:w="25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Item</w:t>
            </w:r>
          </w:p>
        </w:tc>
        <w:tc>
          <w:tcPr>
            <w:tcW w:type="dxa" w:w="19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Status</w:t>
            </w:r>
          </w:p>
        </w:tc>
        <w:tc>
          <w:tcPr>
            <w:tcW w:type="dxa" w:w="4138"/>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What to do with it</w:t>
            </w:r>
          </w:p>
        </w:tc>
        <w:tc>
          <w:tcPr>
            <w:tcW w:type="dxa" w:w="11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Section</w:t>
            </w:r>
          </w:p>
        </w:tc>
      </w:tr>
      <w:tr>
        <w:trPr>
          <w:cantSplit/>
        </w:trPr>
        <w:tc>
          <w:tcPr>
            <w:tcW w:type="dxa" w:w="2500"/>
            <w:tcMar>
              <w:top w:type="dxa" w:w="40"/>
              <w:left w:type="dxa" w:w="80"/>
              <w:bottom w:type="dxa" w:w="40"/>
              <w:right w:type="dxa" w:w="80"/>
            </w:tcMar>
            <w:vAlign w:val="top"/>
          </w:tcPr>
          <w:p>
            <w:r>
              <w:rPr>
                <w:sz w:val="16"/>
                <w:szCs w:val="16"/>
              </w:rPr>
              <w:t xml:space="preserve">N1: misfit intercept and slope</w:t>
            </w:r>
          </w:p>
        </w:tc>
        <w:tc>
          <w:tcPr>
            <w:tcW w:type="dxa" w:w="1900"/>
            <w:tcMar>
              <w:top w:type="dxa" w:w="40"/>
              <w:left w:type="dxa" w:w="80"/>
              <w:bottom w:type="dxa" w:w="40"/>
              <w:right w:type="dxa" w:w="80"/>
            </w:tcMar>
            <w:vAlign w:val="top"/>
          </w:tcPr>
          <w:p>
            <w:r>
              <w:rPr>
                <w:sz w:val="16"/>
                <w:szCs w:val="16"/>
              </w:rPr>
              <w:t xml:space="preserve">proof correct; checked</w:t>
            </w:r>
          </w:p>
        </w:tc>
        <w:tc>
          <w:tcPr>
            <w:tcW w:type="dxa" w:w="4138"/>
            <w:tcMar>
              <w:top w:type="dxa" w:w="40"/>
              <w:left w:type="dxa" w:w="80"/>
              <w:bottom w:type="dxa" w:w="40"/>
              <w:right w:type="dxa" w:w="80"/>
            </w:tcMar>
            <w:vAlign w:val="top"/>
          </w:tcPr>
          <w:p>
            <w:r>
              <w:rPr>
                <w:sz w:val="16"/>
                <w:szCs w:val="16"/>
              </w:rPr>
              <w:t xml:space="preserve">report </w:t>
            </w:r>
            <m:oMath>
              <m:sSup>
                <m:e>
                  <m:acc>
                    <m:accPr>
                      <m:chr m:val="̂"/>
                    </m:accPr>
                    <m:e>
                      <m:r>
                        <m:t>D</m:t>
                      </m:r>
                    </m:e>
                  </m:acc>
                </m:e>
                <m:sup>
                  <m:r>
                    <m:rPr>
                      <m:sty m:val="p"/>
                    </m:rPr>
                    <m:t>⋆</m:t>
                  </m:r>
                </m:sup>
              </m:sSup>
            </m:oMath>
            <w:r>
              <w:rPr>
                <w:sz w:val="16"/>
                <w:szCs w:val="16"/>
              </w:rPr>
              <w:t xml:space="preserve"> with a bootstrap band; use </w:t>
            </w:r>
            <m:oMath>
              <m:acc>
                <m:accPr>
                  <m:chr m:val="̂"/>
                </m:accPr>
                <m:e>
                  <m:r>
                    <m:t>m</m:t>
                  </m:r>
                </m:e>
              </m:acc>
            </m:oMath>
            <w:r>
              <w:rPr>
                <w:sz w:val="16"/>
                <w:szCs w:val="16"/>
              </w:rPr>
              <w:t xml:space="preserve"> only to detect a redundant fact</w:t>
            </w:r>
          </w:p>
        </w:tc>
        <w:tc>
          <w:tcPr>
            <w:tcW w:type="dxa" w:w="1100"/>
            <w:tcMar>
              <w:top w:type="dxa" w:w="40"/>
              <w:left w:type="dxa" w:w="80"/>
              <w:bottom w:type="dxa" w:w="40"/>
              <w:right w:type="dxa" w:w="80"/>
            </w:tcMar>
            <w:vAlign w:val="top"/>
          </w:tcPr>
          <w:p>
            <w:r>
              <w:rPr>
                <w:sz w:val="16"/>
                <w:szCs w:val="16"/>
              </w:rPr>
              <w:t xml:space="preserve">3.1</w:t>
            </w:r>
          </w:p>
        </w:tc>
      </w:tr>
      <w:tr>
        <w:trPr>
          <w:cantSplit/>
        </w:trPr>
        <w:tc>
          <w:tcPr>
            <w:tcW w:type="dxa" w:w="2500"/>
            <w:shd w:fill="F7F9FC" w:color="auto" w:val="clear"/>
            <w:tcMar>
              <w:top w:type="dxa" w:w="40"/>
              <w:left w:type="dxa" w:w="80"/>
              <w:bottom w:type="dxa" w:w="40"/>
              <w:right w:type="dxa" w:w="80"/>
            </w:tcMar>
            <w:vAlign w:val="top"/>
          </w:tcPr>
          <w:p>
            <w:r>
              <w:rPr>
                <w:sz w:val="16"/>
                <w:szCs w:val="16"/>
              </w:rPr>
              <w:t xml:space="preserve">N2: fixed-sequence threshold</w:t>
            </w:r>
          </w:p>
        </w:tc>
        <w:tc>
          <w:tcPr>
            <w:tcW w:type="dxa" w:w="1900"/>
            <w:shd w:fill="F7F9FC" w:color="auto" w:val="clear"/>
            <w:tcMar>
              <w:top w:type="dxa" w:w="40"/>
              <w:left w:type="dxa" w:w="80"/>
              <w:bottom w:type="dxa" w:w="40"/>
              <w:right w:type="dxa" w:w="80"/>
            </w:tcMar>
            <w:vAlign w:val="top"/>
          </w:tcPr>
          <w:p>
            <w:r>
              <w:rPr>
                <w:sz w:val="16"/>
                <w:szCs w:val="16"/>
              </w:rPr>
              <w:t xml:space="preserve">proof correct; checked</w:t>
            </w:r>
          </w:p>
        </w:tc>
        <w:tc>
          <w:tcPr>
            <w:tcW w:type="dxa" w:w="4138"/>
            <w:shd w:fill="F7F9FC" w:color="auto" w:val="clear"/>
            <w:tcMar>
              <w:top w:type="dxa" w:w="40"/>
              <w:left w:type="dxa" w:w="80"/>
              <w:bottom w:type="dxa" w:w="40"/>
              <w:right w:type="dxa" w:w="80"/>
            </w:tcMar>
            <w:vAlign w:val="top"/>
          </w:tcPr>
          <w:p>
            <w:r>
              <w:rPr>
                <w:sz w:val="16"/>
                <w:szCs w:val="16"/>
              </w:rPr>
              <w:t xml:space="preserve">use it in KUFI-GO; in the assembled-system note state its cost with 25 draws</w:t>
            </w:r>
          </w:p>
        </w:tc>
        <w:tc>
          <w:tcPr>
            <w:tcW w:type="dxa" w:w="1100"/>
            <w:shd w:fill="F7F9FC" w:color="auto" w:val="clear"/>
            <w:tcMar>
              <w:top w:type="dxa" w:w="40"/>
              <w:left w:type="dxa" w:w="80"/>
              <w:bottom w:type="dxa" w:w="40"/>
              <w:right w:type="dxa" w:w="80"/>
            </w:tcMar>
            <w:vAlign w:val="top"/>
          </w:tcPr>
          <w:p>
            <w:r>
              <w:rPr>
                <w:sz w:val="16"/>
                <w:szCs w:val="16"/>
              </w:rPr>
              <w:t xml:space="preserve">3.2</w:t>
            </w:r>
          </w:p>
        </w:tc>
      </w:tr>
      <w:tr>
        <w:trPr>
          <w:cantSplit/>
        </w:trPr>
        <w:tc>
          <w:tcPr>
            <w:tcW w:type="dxa" w:w="2500"/>
            <w:tcMar>
              <w:top w:type="dxa" w:w="40"/>
              <w:left w:type="dxa" w:w="80"/>
              <w:bottom w:type="dxa" w:w="40"/>
              <w:right w:type="dxa" w:w="80"/>
            </w:tcMar>
            <w:vAlign w:val="top"/>
          </w:tcPr>
          <w:p>
            <w:r>
              <w:rPr>
                <w:sz w:val="16"/>
                <w:szCs w:val="16"/>
              </w:rPr>
              <w:t xml:space="preserve">N3: certified bracket for EIG</w:t>
            </w:r>
          </w:p>
        </w:tc>
        <w:tc>
          <w:tcPr>
            <w:tcW w:type="dxa" w:w="1900"/>
            <w:tcMar>
              <w:top w:type="dxa" w:w="40"/>
              <w:left w:type="dxa" w:w="80"/>
              <w:bottom w:type="dxa" w:w="40"/>
              <w:right w:type="dxa" w:w="80"/>
            </w:tcMar>
            <w:vAlign w:val="top"/>
          </w:tcPr>
          <w:p>
            <w:r>
              <w:rPr>
                <w:sz w:val="16"/>
                <w:szCs w:val="16"/>
              </w:rPr>
              <w:t xml:space="preserve">proof correct; checked</w:t>
            </w:r>
          </w:p>
        </w:tc>
        <w:tc>
          <w:tcPr>
            <w:tcW w:type="dxa" w:w="4138"/>
            <w:tcMar>
              <w:top w:type="dxa" w:w="40"/>
              <w:left w:type="dxa" w:w="80"/>
              <w:bottom w:type="dxa" w:w="40"/>
              <w:right w:type="dxa" w:w="80"/>
            </w:tcMar>
            <w:vAlign w:val="top"/>
          </w:tcPr>
          <w:p>
            <w:r>
              <w:rPr>
                <w:sz w:val="16"/>
                <w:szCs w:val="16"/>
              </w:rPr>
              <w:t xml:space="preserve">report the bracket; do not rely on it to prune designs</w:t>
            </w:r>
          </w:p>
        </w:tc>
        <w:tc>
          <w:tcPr>
            <w:tcW w:type="dxa" w:w="1100"/>
            <w:tcMar>
              <w:top w:type="dxa" w:w="40"/>
              <w:left w:type="dxa" w:w="80"/>
              <w:bottom w:type="dxa" w:w="40"/>
              <w:right w:type="dxa" w:w="80"/>
            </w:tcMar>
            <w:vAlign w:val="top"/>
          </w:tcPr>
          <w:p>
            <w:r>
              <w:rPr>
                <w:sz w:val="16"/>
                <w:szCs w:val="16"/>
              </w:rPr>
              <w:t xml:space="preserve">3.3</w:t>
            </w:r>
          </w:p>
        </w:tc>
      </w:tr>
      <w:tr>
        <w:trPr>
          <w:cantSplit/>
        </w:trPr>
        <w:tc>
          <w:tcPr>
            <w:tcW w:type="dxa" w:w="2500"/>
            <w:shd w:fill="F7F9FC" w:color="auto" w:val="clear"/>
            <w:tcMar>
              <w:top w:type="dxa" w:w="40"/>
              <w:left w:type="dxa" w:w="80"/>
              <w:bottom w:type="dxa" w:w="40"/>
              <w:right w:type="dxa" w:w="80"/>
            </w:tcMar>
            <w:vAlign w:val="top"/>
          </w:tcPr>
          <w:p>
            <w:r>
              <w:rPr>
                <w:sz w:val="16"/>
                <w:szCs w:val="16"/>
              </w:rPr>
              <w:t xml:space="preserve">Paper [5], anchor regression</w:t>
            </w:r>
          </w:p>
        </w:tc>
        <w:tc>
          <w:tcPr>
            <w:tcW w:type="dxa" w:w="1900"/>
            <w:shd w:fill="F7F9FC" w:color="auto" w:val="clear"/>
            <w:tcMar>
              <w:top w:type="dxa" w:w="40"/>
              <w:left w:type="dxa" w:w="80"/>
              <w:bottom w:type="dxa" w:w="40"/>
              <w:right w:type="dxa" w:w="80"/>
            </w:tcMar>
            <w:vAlign w:val="top"/>
          </w:tcPr>
          <w:p>
            <w:r>
              <w:rPr>
                <w:sz w:val="16"/>
                <w:szCs w:val="16"/>
              </w:rPr>
              <w:t xml:space="preserve">read in full</w:t>
            </w:r>
          </w:p>
        </w:tc>
        <w:tc>
          <w:tcPr>
            <w:tcW w:type="dxa" w:w="4138"/>
            <w:shd w:fill="F7F9FC" w:color="auto" w:val="clear"/>
            <w:tcMar>
              <w:top w:type="dxa" w:w="40"/>
              <w:left w:type="dxa" w:w="80"/>
              <w:bottom w:type="dxa" w:w="40"/>
              <w:right w:type="dxa" w:w="80"/>
            </w:tcMar>
            <w:vAlign w:val="top"/>
          </w:tcPr>
          <w:p>
            <w:r>
              <w:rPr>
                <w:sz w:val="16"/>
                <w:szCs w:val="16"/>
              </w:rPr>
              <w:t xml:space="preserve">cite in §5.4 of the manuscript; SPIRANCA-GO</w:t>
            </w:r>
          </w:p>
        </w:tc>
        <w:tc>
          <w:tcPr>
            <w:tcW w:type="dxa" w:w="1100"/>
            <w:shd w:fill="F7F9FC" w:color="auto" w:val="clear"/>
            <w:tcMar>
              <w:top w:type="dxa" w:w="40"/>
              <w:left w:type="dxa" w:w="80"/>
              <w:bottom w:type="dxa" w:w="40"/>
              <w:right w:type="dxa" w:w="80"/>
            </w:tcMar>
            <w:vAlign w:val="top"/>
          </w:tcPr>
          <w:p>
            <w:r>
              <w:rPr>
                <w:sz w:val="16"/>
                <w:szCs w:val="16"/>
              </w:rPr>
              <w:t xml:space="preserve">4–6</w:t>
            </w:r>
          </w:p>
        </w:tc>
      </w:tr>
      <w:tr>
        <w:trPr>
          <w:cantSplit/>
        </w:trPr>
        <w:tc>
          <w:tcPr>
            <w:tcW w:type="dxa" w:w="2500"/>
            <w:tcMar>
              <w:top w:type="dxa" w:w="40"/>
              <w:left w:type="dxa" w:w="80"/>
              <w:bottom w:type="dxa" w:w="40"/>
              <w:right w:type="dxa" w:w="80"/>
            </w:tcMar>
            <w:vAlign w:val="top"/>
          </w:tcPr>
          <w:p>
            <w:r>
              <w:rPr>
                <w:sz w:val="16"/>
                <w:szCs w:val="16"/>
              </w:rPr>
              <w:t xml:space="preserve">SPIRANCA-GO on the variable-density section</w:t>
            </w:r>
          </w:p>
        </w:tc>
        <w:tc>
          <w:tcPr>
            <w:tcW w:type="dxa" w:w="1900"/>
            <w:tcMar>
              <w:top w:type="dxa" w:w="40"/>
              <w:left w:type="dxa" w:w="80"/>
              <w:bottom w:type="dxa" w:w="40"/>
              <w:right w:type="dxa" w:w="80"/>
            </w:tcMar>
            <w:vAlign w:val="top"/>
          </w:tcPr>
          <w:p>
            <w:r>
              <w:rPr>
                <w:sz w:val="16"/>
                <w:szCs w:val="16"/>
              </w:rPr>
              <w:t xml:space="preserve">tested on 20 aquifers</w:t>
            </w:r>
          </w:p>
        </w:tc>
        <w:tc>
          <w:tcPr>
            <w:tcW w:type="dxa" w:w="4138"/>
            <w:tcMar>
              <w:top w:type="dxa" w:w="40"/>
              <w:left w:type="dxa" w:w="80"/>
              <w:bottom w:type="dxa" w:w="40"/>
              <w:right w:type="dxa" w:w="80"/>
            </w:tcMar>
            <w:vAlign w:val="top"/>
          </w:tcPr>
          <w:p>
            <w:r>
              <w:rPr>
                <w:sz w:val="16"/>
                <w:szCs w:val="16"/>
              </w:rPr>
              <w:t xml:space="preserve">re-anchor the alarm with one chloride sample a year at each supply screen</w:t>
            </w:r>
          </w:p>
        </w:tc>
        <w:tc>
          <w:tcPr>
            <w:tcW w:type="dxa" w:w="1100"/>
            <w:tcMar>
              <w:top w:type="dxa" w:w="40"/>
              <w:left w:type="dxa" w:w="80"/>
              <w:bottom w:type="dxa" w:w="40"/>
              <w:right w:type="dxa" w:w="80"/>
            </w:tcMar>
            <w:vAlign w:val="top"/>
          </w:tcPr>
          <w:p>
            <w:r>
              <w:rPr>
                <w:sz w:val="16"/>
                <w:szCs w:val="16"/>
              </w:rPr>
              <w:t xml:space="preserve">7</w:t>
            </w:r>
          </w:p>
        </w:tc>
      </w:tr>
      <w:tr>
        <w:trPr>
          <w:cantSplit/>
        </w:trPr>
        <w:tc>
          <w:tcPr>
            <w:tcW w:type="dxa" w:w="2500"/>
            <w:shd w:fill="F7F9FC" w:color="auto" w:val="clear"/>
            <w:tcMar>
              <w:top w:type="dxa" w:w="40"/>
              <w:left w:type="dxa" w:w="80"/>
              <w:bottom w:type="dxa" w:w="40"/>
              <w:right w:type="dxa" w:w="80"/>
            </w:tcMar>
            <w:vAlign w:val="top"/>
          </w:tcPr>
          <w:p>
            <w:r>
              <w:rPr>
                <w:sz w:val="16"/>
                <w:szCs w:val="16"/>
              </w:rPr>
              <w:t xml:space="preserve">The other nineteen papers</w:t>
            </w:r>
          </w:p>
        </w:tc>
        <w:tc>
          <w:tcPr>
            <w:tcW w:type="dxa" w:w="1900"/>
            <w:shd w:fill="F7F9FC" w:color="auto" w:val="clear"/>
            <w:tcMar>
              <w:top w:type="dxa" w:w="40"/>
              <w:left w:type="dxa" w:w="80"/>
              <w:bottom w:type="dxa" w:w="40"/>
              <w:right w:type="dxa" w:w="80"/>
            </w:tcMar>
            <w:vAlign w:val="top"/>
          </w:tcPr>
          <w:p>
            <w:r>
              <w:rPr>
                <w:sz w:val="16"/>
                <w:szCs w:val="16"/>
              </w:rPr>
              <w:t xml:space="preserve">as listed in the note</w:t>
            </w:r>
          </w:p>
        </w:tc>
        <w:tc>
          <w:tcPr>
            <w:tcW w:type="dxa" w:w="4138"/>
            <w:shd w:fill="F7F9FC" w:color="auto" w:val="clear"/>
            <w:tcMar>
              <w:top w:type="dxa" w:w="40"/>
              <w:left w:type="dxa" w:w="80"/>
              <w:bottom w:type="dxa" w:w="40"/>
              <w:right w:type="dxa" w:w="80"/>
            </w:tcMar>
            <w:vAlign w:val="top"/>
          </w:tcPr>
          <w:p>
            <w:r>
              <w:rPr>
                <w:sz w:val="16"/>
                <w:szCs w:val="16"/>
              </w:rPr>
              <w:t xml:space="preserve">one concrete use each (Table 2)</w:t>
            </w:r>
          </w:p>
        </w:tc>
        <w:tc>
          <w:tcPr>
            <w:tcW w:type="dxa" w:w="1100"/>
            <w:shd w:fill="F7F9FC" w:color="auto" w:val="clear"/>
            <w:tcMar>
              <w:top w:type="dxa" w:w="40"/>
              <w:left w:type="dxa" w:w="80"/>
              <w:bottom w:type="dxa" w:w="40"/>
              <w:right w:type="dxa" w:w="80"/>
            </w:tcMar>
            <w:vAlign w:val="top"/>
          </w:tcPr>
          <w:p>
            <w:r>
              <w:rPr>
                <w:sz w:val="16"/>
                <w:szCs w:val="16"/>
              </w:rPr>
              <w:t xml:space="preserve">2</w:t>
            </w:r>
          </w:p>
        </w:tc>
      </w:tr>
    </w:tbl>
    <w:p>
      <w:pPr>
        <w:spacing w:after="120"/>
      </w:pPr>
    </w:p>
    <w:p>
      <w:pPr>
        <w:pStyle w:val="Heading1"/>
      </w:pPr>
      <w:r>
        <w:t xml:space="preserve">2. What the twenty papers give</w:t>
      </w:r>
    </w:p>
    <w:p>
      <w:pPr>
        <w:spacing w:after="100"/>
        <w:jc w:val="both"/>
      </w:pPr>
      <w:r>
        <w:t xml:space="preserve">The note [4] groups the twenty papers by the five mathematical layers of the manuscript: calibration under misspecification, goal-oriented design, certified thresholds, causality and decision, and physical dynamics. Its bibliographic details were checked there against the publishers and are used here as given. Table 2 keeps one concrete use for each paper and adds one step further, so that each paper leaves something to build on. The step further is ours and is not claimed by the paper.</w:t>
      </w:r>
    </w:p>
    <w:p>
      <w:pPr>
        <w:keepNext/>
        <w:spacing w:after="60" w:before="120"/>
        <w:jc w:val="both"/>
      </w:pPr>
      <w:r>
        <w:rPr>
          <w:b/>
          <w:bCs/>
          <w:color w:val="1F3864"/>
          <w:sz w:val="18"/>
          <w:szCs w:val="18"/>
        </w:rPr>
        <w:t xml:space="preserve">Table 2. </w:t>
      </w:r>
      <w:r>
        <w:rPr>
          <w:color w:val="3A4350"/>
          <w:sz w:val="18"/>
          <w:szCs w:val="18"/>
        </w:rPr>
        <w:t xml:space="preserve">The twenty papers of the note [4]: what to take, where it goes in the manuscript (section numbers of the manuscript or module names of the series), and one step further. Paper [5] is developed in Sections 4–6.</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420"/>
        <w:gridCol w:w="1900"/>
        <w:gridCol w:w="2700"/>
        <w:gridCol w:w="1350"/>
        <w:gridCol w:w="3268"/>
      </w:tblGrid>
      <w:tr>
        <w:trPr>
          <w:cantSplit/>
          <w:tblHeader/>
        </w:trPr>
        <w:tc>
          <w:tcPr>
            <w:tcW w:type="dxa" w:w="42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No.</w:t>
            </w:r>
          </w:p>
        </w:tc>
        <w:tc>
          <w:tcPr>
            <w:tcW w:type="dxa" w:w="19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Paper</w:t>
            </w:r>
          </w:p>
        </w:tc>
        <w:tc>
          <w:tcPr>
            <w:tcW w:type="dxa" w:w="27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What to take</w:t>
            </w:r>
          </w:p>
        </w:tc>
        <w:tc>
          <w:tcPr>
            <w:tcW w:type="dxa" w:w="13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Where</w:t>
            </w:r>
          </w:p>
        </w:tc>
        <w:tc>
          <w:tcPr>
            <w:tcW w:type="dxa" w:w="3268"/>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One step further</w:t>
            </w:r>
          </w:p>
        </w:tc>
      </w:tr>
      <w:tr>
        <w:trPr>
          <w:cantSplit/>
        </w:trPr>
        <w:tc>
          <w:tcPr>
            <w:tcW w:type="dxa" w:w="420"/>
            <w:tcMar>
              <w:top w:type="dxa" w:w="40"/>
              <w:left w:type="dxa" w:w="80"/>
              <w:bottom w:type="dxa" w:w="40"/>
              <w:right w:type="dxa" w:w="80"/>
            </w:tcMar>
            <w:vAlign w:val="top"/>
          </w:tcPr>
          <w:p>
            <w:r>
              <w:rPr>
                <w:sz w:val="15"/>
                <w:szCs w:val="15"/>
              </w:rPr>
              <w:t xml:space="preserve">1</w:t>
            </w:r>
          </w:p>
        </w:tc>
        <w:tc>
          <w:tcPr>
            <w:tcW w:type="dxa" w:w="1900"/>
            <w:tcMar>
              <w:top w:type="dxa" w:w="40"/>
              <w:left w:type="dxa" w:w="80"/>
              <w:bottom w:type="dxa" w:w="40"/>
              <w:right w:type="dxa" w:w="80"/>
            </w:tcMar>
            <w:vAlign w:val="top"/>
          </w:tcPr>
          <w:p>
            <w:r>
              <w:rPr>
                <w:sz w:val="15"/>
                <w:szCs w:val="15"/>
              </w:rPr>
              <w:t xml:space="preserve">Frazier, Robert &amp; Rousseau 2020 [7]</w:t>
            </w:r>
          </w:p>
        </w:tc>
        <w:tc>
          <w:tcPr>
            <w:tcW w:type="dxa" w:w="2700"/>
            <w:tcMar>
              <w:top w:type="dxa" w:w="40"/>
              <w:left w:type="dxa" w:w="80"/>
              <w:bottom w:type="dxa" w:w="40"/>
              <w:right w:type="dxa" w:w="80"/>
            </w:tcMar>
            <w:vAlign w:val="top"/>
          </w:tcPr>
          <w:p>
            <w:r>
              <w:rPr>
                <w:sz w:val="15"/>
                <w:szCs w:val="15"/>
              </w:rPr>
              <w:t xml:space="preserve">ABC under misspecification concentrates on a pseudo-true θ*; credible sets miscover (Thm 2)</w:t>
            </w:r>
          </w:p>
        </w:tc>
        <w:tc>
          <w:tcPr>
            <w:tcW w:type="dxa" w:w="1350"/>
            <w:tcMar>
              <w:top w:type="dxa" w:w="40"/>
              <w:left w:type="dxa" w:w="80"/>
              <w:bottom w:type="dxa" w:w="40"/>
              <w:right w:type="dxa" w:w="80"/>
            </w:tcMar>
            <w:vAlign w:val="top"/>
          </w:tcPr>
          <w:p>
            <w:r>
              <w:rPr>
                <w:sz w:val="15"/>
                <w:szCs w:val="15"/>
              </w:rPr>
              <w:t xml:space="preserve">§3.3, §5.1</w:t>
            </w:r>
          </w:p>
        </w:tc>
        <w:tc>
          <w:tcPr>
            <w:tcW w:type="dxa" w:w="3268"/>
            <w:tcMar>
              <w:top w:type="dxa" w:w="40"/>
              <w:left w:type="dxa" w:w="80"/>
              <w:bottom w:type="dxa" w:w="40"/>
              <w:right w:type="dxa" w:w="80"/>
            </w:tcMar>
            <w:vAlign w:val="top"/>
          </w:tcPr>
          <w:p>
            <w:r>
              <w:rPr>
                <w:sz w:val="15"/>
                <w:szCs w:val="15"/>
              </w:rPr>
              <w:t xml:space="preserve">N1 turns ε* into a number from the stored draws; read the intercept (Section 3.1)</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2</w:t>
            </w:r>
          </w:p>
        </w:tc>
        <w:tc>
          <w:tcPr>
            <w:tcW w:type="dxa" w:w="1900"/>
            <w:shd w:fill="F7F9FC" w:color="auto" w:val="clear"/>
            <w:tcMar>
              <w:top w:type="dxa" w:w="40"/>
              <w:left w:type="dxa" w:w="80"/>
              <w:bottom w:type="dxa" w:w="40"/>
              <w:right w:type="dxa" w:w="80"/>
            </w:tcMar>
            <w:vAlign w:val="top"/>
          </w:tcPr>
          <w:p>
            <w:r>
              <w:rPr>
                <w:sz w:val="15"/>
                <w:szCs w:val="15"/>
              </w:rPr>
              <w:t xml:space="preserve">Fong &amp; Holmes 2020 [8]</w:t>
            </w:r>
          </w:p>
        </w:tc>
        <w:tc>
          <w:tcPr>
            <w:tcW w:type="dxa" w:w="2700"/>
            <w:shd w:fill="F7F9FC" w:color="auto" w:val="clear"/>
            <w:tcMar>
              <w:top w:type="dxa" w:w="40"/>
              <w:left w:type="dxa" w:w="80"/>
              <w:bottom w:type="dxa" w:w="40"/>
              <w:right w:type="dxa" w:w="80"/>
            </w:tcMar>
            <w:vAlign w:val="top"/>
          </w:tcPr>
          <w:p>
            <w:r>
              <w:rPr>
                <w:sz w:val="15"/>
                <w:szCs w:val="15"/>
              </w:rPr>
              <w:t xml:space="preserve">the marginal likelihood is a cumulative leave-p-out score; exp(−wℓ) is the only coherent tempered form</w:t>
            </w:r>
          </w:p>
        </w:tc>
        <w:tc>
          <w:tcPr>
            <w:tcW w:type="dxa" w:w="1350"/>
            <w:shd w:fill="F7F9FC" w:color="auto" w:val="clear"/>
            <w:tcMar>
              <w:top w:type="dxa" w:w="40"/>
              <w:left w:type="dxa" w:w="80"/>
              <w:bottom w:type="dxa" w:w="40"/>
              <w:right w:type="dxa" w:w="80"/>
            </w:tcMar>
            <w:vAlign w:val="top"/>
          </w:tcPr>
          <w:p>
            <w:r>
              <w:rPr>
                <w:sz w:val="15"/>
                <w:szCs w:val="15"/>
              </w:rPr>
              <w:t xml:space="preserve">§4.2, SAFE-GO</w:t>
            </w:r>
          </w:p>
        </w:tc>
        <w:tc>
          <w:tcPr>
            <w:tcW w:type="dxa" w:w="3268"/>
            <w:shd w:fill="F7F9FC" w:color="auto" w:val="clear"/>
            <w:tcMar>
              <w:top w:type="dxa" w:w="40"/>
              <w:left w:type="dxa" w:w="80"/>
              <w:bottom w:type="dxa" w:w="40"/>
              <w:right w:type="dxa" w:w="80"/>
            </w:tcMar>
            <w:vAlign w:val="top"/>
          </w:tcPr>
          <w:p>
            <w:r>
              <w:rPr>
                <w:sz w:val="15"/>
                <w:szCs w:val="15"/>
              </w:rPr>
              <w:t xml:space="preserve">score the well-340 check with the cumulative score for the sharp-interface model and its variants</w:t>
            </w:r>
          </w:p>
        </w:tc>
      </w:tr>
      <w:tr>
        <w:trPr>
          <w:cantSplit/>
        </w:trPr>
        <w:tc>
          <w:tcPr>
            <w:tcW w:type="dxa" w:w="420"/>
            <w:tcMar>
              <w:top w:type="dxa" w:w="40"/>
              <w:left w:type="dxa" w:w="80"/>
              <w:bottom w:type="dxa" w:w="40"/>
              <w:right w:type="dxa" w:w="80"/>
            </w:tcMar>
            <w:vAlign w:val="top"/>
          </w:tcPr>
          <w:p>
            <w:r>
              <w:rPr>
                <w:sz w:val="15"/>
                <w:szCs w:val="15"/>
              </w:rPr>
              <w:t xml:space="preserve">3</w:t>
            </w:r>
          </w:p>
        </w:tc>
        <w:tc>
          <w:tcPr>
            <w:tcW w:type="dxa" w:w="1900"/>
            <w:tcMar>
              <w:top w:type="dxa" w:w="40"/>
              <w:left w:type="dxa" w:w="80"/>
              <w:bottom w:type="dxa" w:w="40"/>
              <w:right w:type="dxa" w:w="80"/>
            </w:tcMar>
            <w:vAlign w:val="top"/>
          </w:tcPr>
          <w:p>
            <w:r>
              <w:rPr>
                <w:sz w:val="15"/>
                <w:szCs w:val="15"/>
              </w:rPr>
              <w:t xml:space="preserve">Miller 2021 [9]</w:t>
            </w:r>
          </w:p>
        </w:tc>
        <w:tc>
          <w:tcPr>
            <w:tcW w:type="dxa" w:w="2700"/>
            <w:tcMar>
              <w:top w:type="dxa" w:w="40"/>
              <w:left w:type="dxa" w:w="80"/>
              <w:bottom w:type="dxa" w:w="40"/>
              <w:right w:type="dxa" w:w="80"/>
            </w:tcMar>
            <w:vAlign w:val="top"/>
          </w:tcPr>
          <w:p>
            <w:r>
              <w:rPr>
                <w:sz w:val="15"/>
                <w:szCs w:val="15"/>
              </w:rPr>
              <w:t xml:space="preserve">Bernstein–von Mises for generalized posteriors; coverage exact iff H₀ = J₀</w:t>
            </w:r>
          </w:p>
        </w:tc>
        <w:tc>
          <w:tcPr>
            <w:tcW w:type="dxa" w:w="1350"/>
            <w:tcMar>
              <w:top w:type="dxa" w:w="40"/>
              <w:left w:type="dxa" w:w="80"/>
              <w:bottom w:type="dxa" w:w="40"/>
              <w:right w:type="dxa" w:w="80"/>
            </w:tcMar>
            <w:vAlign w:val="top"/>
          </w:tcPr>
          <w:p>
            <w:r>
              <w:rPr>
                <w:sz w:val="15"/>
                <w:szCs w:val="15"/>
              </w:rPr>
              <w:t xml:space="preserve">SAFE-GO, KALIB-GO</w:t>
            </w:r>
          </w:p>
        </w:tc>
        <w:tc>
          <w:tcPr>
            <w:tcW w:type="dxa" w:w="3268"/>
            <w:tcMar>
              <w:top w:type="dxa" w:w="40"/>
              <w:left w:type="dxa" w:w="80"/>
              <w:bottom w:type="dxa" w:w="40"/>
              <w:right w:type="dxa" w:w="80"/>
            </w:tcMar>
            <w:vAlign w:val="top"/>
          </w:tcPr>
          <w:p>
            <w:r>
              <w:rPr>
                <w:sz w:val="15"/>
                <w:szCs w:val="15"/>
              </w:rPr>
              <w:t xml:space="preserve">η = A/B equalises H₀ and J₀ (the note's derivation; the algebra checks)</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4</w:t>
            </w:r>
          </w:p>
        </w:tc>
        <w:tc>
          <w:tcPr>
            <w:tcW w:type="dxa" w:w="1900"/>
            <w:shd w:fill="F7F9FC" w:color="auto" w:val="clear"/>
            <w:tcMar>
              <w:top w:type="dxa" w:w="40"/>
              <w:left w:type="dxa" w:w="80"/>
              <w:bottom w:type="dxa" w:w="40"/>
              <w:right w:type="dxa" w:w="80"/>
            </w:tcMar>
            <w:vAlign w:val="top"/>
          </w:tcPr>
          <w:p>
            <w:r>
              <w:rPr>
                <w:sz w:val="15"/>
                <w:szCs w:val="15"/>
              </w:rPr>
              <w:t xml:space="preserve">Wagner, Marelli &amp; Sudret 2021 [10]</w:t>
            </w:r>
          </w:p>
        </w:tc>
        <w:tc>
          <w:tcPr>
            <w:tcW w:type="dxa" w:w="2700"/>
            <w:shd w:fill="F7F9FC" w:color="auto" w:val="clear"/>
            <w:tcMar>
              <w:top w:type="dxa" w:w="40"/>
              <w:left w:type="dxa" w:w="80"/>
              <w:bottom w:type="dxa" w:w="40"/>
              <w:right w:type="dxa" w:w="80"/>
            </w:tcMar>
            <w:vAlign w:val="top"/>
          </w:tcPr>
          <w:p>
            <w:r>
              <w:rPr>
                <w:sz w:val="15"/>
                <w:szCs w:val="15"/>
              </w:rPr>
              <w:t xml:space="preserve">evidence and posterior moments in closed form from a spectral expansion</w:t>
            </w:r>
          </w:p>
        </w:tc>
        <w:tc>
          <w:tcPr>
            <w:tcW w:type="dxa" w:w="1350"/>
            <w:shd w:fill="F7F9FC" w:color="auto" w:val="clear"/>
            <w:tcMar>
              <w:top w:type="dxa" w:w="40"/>
              <w:left w:type="dxa" w:w="80"/>
              <w:bottom w:type="dxa" w:w="40"/>
              <w:right w:type="dxa" w:w="80"/>
            </w:tcMar>
            <w:vAlign w:val="top"/>
          </w:tcPr>
          <w:p>
            <w:r>
              <w:rPr>
                <w:sz w:val="15"/>
                <w:szCs w:val="15"/>
              </w:rPr>
              <w:t xml:space="preserve">§3.3, Supplement</w:t>
            </w:r>
          </w:p>
        </w:tc>
        <w:tc>
          <w:tcPr>
            <w:tcW w:type="dxa" w:w="3268"/>
            <w:shd w:fill="F7F9FC" w:color="auto" w:val="clear"/>
            <w:tcMar>
              <w:top w:type="dxa" w:w="40"/>
              <w:left w:type="dxa" w:w="80"/>
              <w:bottom w:type="dxa" w:w="40"/>
              <w:right w:type="dxa" w:w="80"/>
            </w:tcMar>
            <w:vAlign w:val="top"/>
          </w:tcPr>
          <w:p>
            <w:r>
              <w:rPr>
                <w:sz w:val="15"/>
                <w:szCs w:val="15"/>
              </w:rPr>
              <w:t xml:space="preserve">an independent evidence for the sharp versus the dispersive interface</w:t>
            </w:r>
          </w:p>
        </w:tc>
      </w:tr>
      <w:tr>
        <w:trPr>
          <w:cantSplit/>
        </w:trPr>
        <w:tc>
          <w:tcPr>
            <w:tcW w:type="dxa" w:w="420"/>
            <w:tcMar>
              <w:top w:type="dxa" w:w="40"/>
              <w:left w:type="dxa" w:w="80"/>
              <w:bottom w:type="dxa" w:w="40"/>
              <w:right w:type="dxa" w:w="80"/>
            </w:tcMar>
            <w:vAlign w:val="top"/>
          </w:tcPr>
          <w:p>
            <w:r>
              <w:rPr>
                <w:sz w:val="15"/>
                <w:szCs w:val="15"/>
              </w:rPr>
              <w:t xml:space="preserve">5</w:t>
            </w:r>
          </w:p>
        </w:tc>
        <w:tc>
          <w:tcPr>
            <w:tcW w:type="dxa" w:w="1900"/>
            <w:tcMar>
              <w:top w:type="dxa" w:w="40"/>
              <w:left w:type="dxa" w:w="80"/>
              <w:bottom w:type="dxa" w:w="40"/>
              <w:right w:type="dxa" w:w="80"/>
            </w:tcMar>
            <w:vAlign w:val="top"/>
          </w:tcPr>
          <w:p>
            <w:r>
              <w:rPr>
                <w:sz w:val="15"/>
                <w:szCs w:val="15"/>
              </w:rPr>
              <w:t xml:space="preserve">Rothenhäusler et al. 2021 [5]</w:t>
            </w:r>
          </w:p>
        </w:tc>
        <w:tc>
          <w:tcPr>
            <w:tcW w:type="dxa" w:w="2700"/>
            <w:tcMar>
              <w:top w:type="dxa" w:w="40"/>
              <w:left w:type="dxa" w:w="80"/>
              <w:bottom w:type="dxa" w:w="40"/>
              <w:right w:type="dxa" w:w="80"/>
            </w:tcMar>
            <w:vAlign w:val="top"/>
          </w:tcPr>
          <w:p>
            <w:r>
              <w:rPr>
                <w:sz w:val="15"/>
                <w:szCs w:val="15"/>
              </w:rPr>
              <w:t xml:space="preserve">worst-case risk over shifts in the anchor span equals the anchor objective (Thm 1); anchor stability gives causality (Thm 4)</w:t>
            </w:r>
          </w:p>
        </w:tc>
        <w:tc>
          <w:tcPr>
            <w:tcW w:type="dxa" w:w="1350"/>
            <w:tcMar>
              <w:top w:type="dxa" w:w="40"/>
              <w:left w:type="dxa" w:w="80"/>
              <w:bottom w:type="dxa" w:w="40"/>
              <w:right w:type="dxa" w:w="80"/>
            </w:tcMar>
            <w:vAlign w:val="top"/>
          </w:tcPr>
          <w:p>
            <w:r>
              <w:rPr>
                <w:sz w:val="15"/>
                <w:szCs w:val="15"/>
              </w:rPr>
              <w:t xml:space="preserve">§5.4; this note</w:t>
            </w:r>
          </w:p>
        </w:tc>
        <w:tc>
          <w:tcPr>
            <w:tcW w:type="dxa" w:w="3268"/>
            <w:tcMar>
              <w:top w:type="dxa" w:w="40"/>
              <w:left w:type="dxa" w:w="80"/>
              <w:bottom w:type="dxa" w:w="40"/>
              <w:right w:type="dxa" w:w="80"/>
            </w:tcMar>
            <w:vAlign w:val="top"/>
          </w:tcPr>
          <w:p>
            <w:r>
              <w:rPr>
                <w:sz w:val="15"/>
                <w:szCs w:val="15"/>
              </w:rPr>
              <w:t xml:space="preserve">SPIRANCA-GO: the decision as a known shift, the warming as an unseen one-sided shift, the exceedance as the goal</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6</w:t>
            </w:r>
          </w:p>
        </w:tc>
        <w:tc>
          <w:tcPr>
            <w:tcW w:type="dxa" w:w="1900"/>
            <w:shd w:fill="F7F9FC" w:color="auto" w:val="clear"/>
            <w:tcMar>
              <w:top w:type="dxa" w:w="40"/>
              <w:left w:type="dxa" w:w="80"/>
              <w:bottom w:type="dxa" w:w="40"/>
              <w:right w:type="dxa" w:w="80"/>
            </w:tcMar>
            <w:vAlign w:val="top"/>
          </w:tcPr>
          <w:p>
            <w:r>
              <w:rPr>
                <w:sz w:val="15"/>
                <w:szCs w:val="15"/>
              </w:rPr>
              <w:t xml:space="preserve">Foster et al. 2020 [11]</w:t>
            </w:r>
          </w:p>
        </w:tc>
        <w:tc>
          <w:tcPr>
            <w:tcW w:type="dxa" w:w="2700"/>
            <w:shd w:fill="F7F9FC" w:color="auto" w:val="clear"/>
            <w:tcMar>
              <w:top w:type="dxa" w:w="40"/>
              <w:left w:type="dxa" w:w="80"/>
              <w:bottom w:type="dxa" w:w="40"/>
              <w:right w:type="dxa" w:w="80"/>
            </w:tcMar>
            <w:vAlign w:val="top"/>
          </w:tcPr>
          <w:p>
            <w:r>
              <w:rPr>
                <w:sz w:val="15"/>
                <w:szCs w:val="15"/>
              </w:rPr>
              <w:t xml:space="preserve">contrastive bounds on the expected information gain, valid for any critic</w:t>
            </w:r>
          </w:p>
        </w:tc>
        <w:tc>
          <w:tcPr>
            <w:tcW w:type="dxa" w:w="1350"/>
            <w:shd w:fill="F7F9FC" w:color="auto" w:val="clear"/>
            <w:tcMar>
              <w:top w:type="dxa" w:w="40"/>
              <w:left w:type="dxa" w:w="80"/>
              <w:bottom w:type="dxa" w:w="40"/>
              <w:right w:type="dxa" w:w="80"/>
            </w:tcMar>
            <w:vAlign w:val="top"/>
          </w:tcPr>
          <w:p>
            <w:r>
              <w:rPr>
                <w:sz w:val="15"/>
                <w:szCs w:val="15"/>
              </w:rPr>
              <w:t xml:space="preserve">§3.5, §5.5</w:t>
            </w:r>
          </w:p>
        </w:tc>
        <w:tc>
          <w:tcPr>
            <w:tcW w:type="dxa" w:w="3268"/>
            <w:shd w:fill="F7F9FC" w:color="auto" w:val="clear"/>
            <w:tcMar>
              <w:top w:type="dxa" w:w="40"/>
              <w:left w:type="dxa" w:w="80"/>
              <w:bottom w:type="dxa" w:w="40"/>
              <w:right w:type="dxa" w:w="80"/>
            </w:tcMar>
            <w:vAlign w:val="top"/>
          </w:tcPr>
          <w:p>
            <w:r>
              <w:rPr>
                <w:sz w:val="15"/>
                <w:szCs w:val="15"/>
              </w:rPr>
              <w:t xml:space="preserve">a numerical lower end for the N3 bracket</w:t>
            </w:r>
          </w:p>
        </w:tc>
      </w:tr>
      <w:tr>
        <w:trPr>
          <w:cantSplit/>
        </w:trPr>
        <w:tc>
          <w:tcPr>
            <w:tcW w:type="dxa" w:w="420"/>
            <w:tcMar>
              <w:top w:type="dxa" w:w="40"/>
              <w:left w:type="dxa" w:w="80"/>
              <w:bottom w:type="dxa" w:w="40"/>
              <w:right w:type="dxa" w:w="80"/>
            </w:tcMar>
            <w:vAlign w:val="top"/>
          </w:tcPr>
          <w:p>
            <w:r>
              <w:rPr>
                <w:sz w:val="15"/>
                <w:szCs w:val="15"/>
              </w:rPr>
              <w:t xml:space="preserve">7</w:t>
            </w:r>
          </w:p>
        </w:tc>
        <w:tc>
          <w:tcPr>
            <w:tcW w:type="dxa" w:w="1900"/>
            <w:tcMar>
              <w:top w:type="dxa" w:w="40"/>
              <w:left w:type="dxa" w:w="80"/>
              <w:bottom w:type="dxa" w:w="40"/>
              <w:right w:type="dxa" w:w="80"/>
            </w:tcMar>
            <w:vAlign w:val="top"/>
          </w:tcPr>
          <w:p>
            <w:r>
              <w:rPr>
                <w:sz w:val="15"/>
                <w:szCs w:val="15"/>
              </w:rPr>
              <w:t xml:space="preserve">Bickford Smith et al. 2023 [12]</w:t>
            </w:r>
          </w:p>
        </w:tc>
        <w:tc>
          <w:tcPr>
            <w:tcW w:type="dxa" w:w="2700"/>
            <w:tcMar>
              <w:top w:type="dxa" w:w="40"/>
              <w:left w:type="dxa" w:w="80"/>
              <w:bottom w:type="dxa" w:w="40"/>
              <w:right w:type="dxa" w:w="80"/>
            </w:tcMar>
            <w:vAlign w:val="top"/>
          </w:tcPr>
          <w:p>
            <w:r>
              <w:rPr>
                <w:sz w:val="15"/>
                <w:szCs w:val="15"/>
              </w:rPr>
              <w:t xml:space="preserve">information about predictions (EPIG) rather than parameters</w:t>
            </w:r>
          </w:p>
        </w:tc>
        <w:tc>
          <w:tcPr>
            <w:tcW w:type="dxa" w:w="1350"/>
            <w:tcMar>
              <w:top w:type="dxa" w:w="40"/>
              <w:left w:type="dxa" w:w="80"/>
              <w:bottom w:type="dxa" w:w="40"/>
              <w:right w:type="dxa" w:w="80"/>
            </w:tcMar>
            <w:vAlign w:val="top"/>
          </w:tcPr>
          <w:p>
            <w:r>
              <w:rPr>
                <w:sz w:val="15"/>
                <w:szCs w:val="15"/>
              </w:rPr>
              <w:t xml:space="preserve">§3.5, §4.5</w:t>
            </w:r>
          </w:p>
        </w:tc>
        <w:tc>
          <w:tcPr>
            <w:tcW w:type="dxa" w:w="3268"/>
            <w:tcMar>
              <w:top w:type="dxa" w:w="40"/>
              <w:left w:type="dxa" w:w="80"/>
              <w:bottom w:type="dxa" w:w="40"/>
              <w:right w:type="dxa" w:w="80"/>
            </w:tcMar>
            <w:vAlign w:val="top"/>
          </w:tcPr>
          <w:p>
            <w:r>
              <w:rPr>
                <w:sz w:val="15"/>
                <w:szCs w:val="15"/>
              </w:rPr>
              <w:t xml:space="preserve">the rigorous counterpart of the goal-versus-parameter gap of A13 and A10</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8</w:t>
            </w:r>
          </w:p>
        </w:tc>
        <w:tc>
          <w:tcPr>
            <w:tcW w:type="dxa" w:w="1900"/>
            <w:shd w:fill="F7F9FC" w:color="auto" w:val="clear"/>
            <w:tcMar>
              <w:top w:type="dxa" w:w="40"/>
              <w:left w:type="dxa" w:w="80"/>
              <w:bottom w:type="dxa" w:w="40"/>
              <w:right w:type="dxa" w:w="80"/>
            </w:tcMar>
            <w:vAlign w:val="top"/>
          </w:tcPr>
          <w:p>
            <w:r>
              <w:rPr>
                <w:sz w:val="15"/>
                <w:szCs w:val="15"/>
              </w:rPr>
              <w:t xml:space="preserve">Foster et al. 2021 [13]</w:t>
            </w:r>
          </w:p>
        </w:tc>
        <w:tc>
          <w:tcPr>
            <w:tcW w:type="dxa" w:w="2700"/>
            <w:shd w:fill="F7F9FC" w:color="auto" w:val="clear"/>
            <w:tcMar>
              <w:top w:type="dxa" w:w="40"/>
              <w:left w:type="dxa" w:w="80"/>
              <w:bottom w:type="dxa" w:w="40"/>
              <w:right w:type="dxa" w:w="80"/>
            </w:tcMar>
            <w:vAlign w:val="top"/>
          </w:tcPr>
          <w:p>
            <w:r>
              <w:rPr>
                <w:sz w:val="15"/>
                <w:szCs w:val="15"/>
              </w:rPr>
              <w:t xml:space="preserve">deep adaptive design; sequential bound rising at O(1/L)</w:t>
            </w:r>
          </w:p>
        </w:tc>
        <w:tc>
          <w:tcPr>
            <w:tcW w:type="dxa" w:w="1350"/>
            <w:shd w:fill="F7F9FC" w:color="auto" w:val="clear"/>
            <w:tcMar>
              <w:top w:type="dxa" w:w="40"/>
              <w:left w:type="dxa" w:w="80"/>
              <w:bottom w:type="dxa" w:w="40"/>
              <w:right w:type="dxa" w:w="80"/>
            </w:tcMar>
            <w:vAlign w:val="top"/>
          </w:tcPr>
          <w:p>
            <w:r>
              <w:rPr>
                <w:sz w:val="15"/>
                <w:szCs w:val="15"/>
              </w:rPr>
              <w:t xml:space="preserve">§5.3</w:t>
            </w:r>
          </w:p>
        </w:tc>
        <w:tc>
          <w:tcPr>
            <w:tcW w:type="dxa" w:w="3268"/>
            <w:shd w:fill="F7F9FC" w:color="auto" w:val="clear"/>
            <w:tcMar>
              <w:top w:type="dxa" w:w="40"/>
              <w:left w:type="dxa" w:w="80"/>
              <w:bottom w:type="dxa" w:w="40"/>
              <w:right w:type="dxa" w:w="80"/>
            </w:tcMar>
            <w:vAlign w:val="top"/>
          </w:tcPr>
          <w:p>
            <w:r>
              <w:rPr>
                <w:sz w:val="15"/>
                <w:szCs w:val="15"/>
              </w:rPr>
              <w:t xml:space="preserve">a trained policy for the order of chloride samples after the first campaign</w:t>
            </w:r>
          </w:p>
        </w:tc>
      </w:tr>
      <w:tr>
        <w:trPr>
          <w:cantSplit/>
        </w:trPr>
        <w:tc>
          <w:tcPr>
            <w:tcW w:type="dxa" w:w="420"/>
            <w:tcMar>
              <w:top w:type="dxa" w:w="40"/>
              <w:left w:type="dxa" w:w="80"/>
              <w:bottom w:type="dxa" w:w="40"/>
              <w:right w:type="dxa" w:w="80"/>
            </w:tcMar>
            <w:vAlign w:val="top"/>
          </w:tcPr>
          <w:p>
            <w:r>
              <w:rPr>
                <w:sz w:val="15"/>
                <w:szCs w:val="15"/>
              </w:rPr>
              <w:t xml:space="preserve">9</w:t>
            </w:r>
          </w:p>
        </w:tc>
        <w:tc>
          <w:tcPr>
            <w:tcW w:type="dxa" w:w="1900"/>
            <w:tcMar>
              <w:top w:type="dxa" w:w="40"/>
              <w:left w:type="dxa" w:w="80"/>
              <w:bottom w:type="dxa" w:w="40"/>
              <w:right w:type="dxa" w:w="80"/>
            </w:tcMar>
            <w:vAlign w:val="top"/>
          </w:tcPr>
          <w:p>
            <w:r>
              <w:rPr>
                <w:sz w:val="15"/>
                <w:szCs w:val="15"/>
              </w:rPr>
              <w:t xml:space="preserve">Hübotter et al. 2024 [14]</w:t>
            </w:r>
          </w:p>
        </w:tc>
        <w:tc>
          <w:tcPr>
            <w:tcW w:type="dxa" w:w="2700"/>
            <w:tcMar>
              <w:top w:type="dxa" w:w="40"/>
              <w:left w:type="dxa" w:w="80"/>
              <w:bottom w:type="dxa" w:w="40"/>
              <w:right w:type="dxa" w:w="80"/>
            </w:tcMar>
            <w:vAlign w:val="top"/>
          </w:tcPr>
          <w:p>
            <w:r>
              <w:rPr>
                <w:sz w:val="15"/>
                <w:szCs w:val="15"/>
              </w:rPr>
              <w:t xml:space="preserve">transductive learning; submodularity fails when the target lies outside the sampled set</w:t>
            </w:r>
          </w:p>
        </w:tc>
        <w:tc>
          <w:tcPr>
            <w:tcW w:type="dxa" w:w="1350"/>
            <w:tcMar>
              <w:top w:type="dxa" w:w="40"/>
              <w:left w:type="dxa" w:w="80"/>
              <w:bottom w:type="dxa" w:w="40"/>
              <w:right w:type="dxa" w:w="80"/>
            </w:tcMar>
            <w:vAlign w:val="top"/>
          </w:tcPr>
          <w:p>
            <w:r>
              <w:rPr>
                <w:sz w:val="15"/>
                <w:szCs w:val="15"/>
              </w:rPr>
              <w:t xml:space="preserve">§3.5 (SINERGO)</w:t>
            </w:r>
          </w:p>
        </w:tc>
        <w:tc>
          <w:tcPr>
            <w:tcW w:type="dxa" w:w="3268"/>
            <w:tcMar>
              <w:top w:type="dxa" w:w="40"/>
              <w:left w:type="dxa" w:w="80"/>
              <w:bottom w:type="dxa" w:w="40"/>
              <w:right w:type="dxa" w:w="80"/>
            </w:tcMar>
            <w:vAlign w:val="top"/>
          </w:tcPr>
          <w:p>
            <w:r>
              <w:rPr>
                <w:sz w:val="15"/>
                <w:szCs w:val="15"/>
              </w:rPr>
              <w:t xml:space="preserve">report the submodularity ratio and the irreducible variance as the ceiling of any network</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10</w:t>
            </w:r>
          </w:p>
        </w:tc>
        <w:tc>
          <w:tcPr>
            <w:tcW w:type="dxa" w:w="1900"/>
            <w:shd w:fill="F7F9FC" w:color="auto" w:val="clear"/>
            <w:tcMar>
              <w:top w:type="dxa" w:w="40"/>
              <w:left w:type="dxa" w:w="80"/>
              <w:bottom w:type="dxa" w:w="40"/>
              <w:right w:type="dxa" w:w="80"/>
            </w:tcMar>
            <w:vAlign w:val="top"/>
          </w:tcPr>
          <w:p>
            <w:r>
              <w:rPr>
                <w:sz w:val="15"/>
                <w:szCs w:val="15"/>
              </w:rPr>
              <w:t xml:space="preserve">Mutný &amp; Krause 2022 [15]</w:t>
            </w:r>
          </w:p>
        </w:tc>
        <w:tc>
          <w:tcPr>
            <w:tcW w:type="dxa" w:w="2700"/>
            <w:shd w:fill="F7F9FC" w:color="auto" w:val="clear"/>
            <w:tcMar>
              <w:top w:type="dxa" w:w="40"/>
              <w:left w:type="dxa" w:w="80"/>
              <w:bottom w:type="dxa" w:w="40"/>
              <w:right w:type="dxa" w:w="80"/>
            </w:tcMar>
            <w:vAlign w:val="top"/>
          </w:tcPr>
          <w:p>
            <w:r>
              <w:rPr>
                <w:sz w:val="15"/>
                <w:szCs w:val="15"/>
              </w:rPr>
              <w:t xml:space="preserve">c-optimal design with the bias explicit; convex relaxation</w:t>
            </w:r>
          </w:p>
        </w:tc>
        <w:tc>
          <w:tcPr>
            <w:tcW w:type="dxa" w:w="1350"/>
            <w:shd w:fill="F7F9FC" w:color="auto" w:val="clear"/>
            <w:tcMar>
              <w:top w:type="dxa" w:w="40"/>
              <w:left w:type="dxa" w:w="80"/>
              <w:bottom w:type="dxa" w:w="40"/>
              <w:right w:type="dxa" w:w="80"/>
            </w:tcMar>
            <w:vAlign w:val="top"/>
          </w:tcPr>
          <w:p>
            <w:r>
              <w:rPr>
                <w:sz w:val="15"/>
                <w:szCs w:val="15"/>
              </w:rPr>
              <w:t xml:space="preserve">§3.5, §4.5</w:t>
            </w:r>
          </w:p>
        </w:tc>
        <w:tc>
          <w:tcPr>
            <w:tcW w:type="dxa" w:w="3268"/>
            <w:shd w:fill="F7F9FC" w:color="auto" w:val="clear"/>
            <w:tcMar>
              <w:top w:type="dxa" w:w="40"/>
              <w:left w:type="dxa" w:w="80"/>
              <w:bottom w:type="dxa" w:w="40"/>
              <w:right w:type="dxa" w:w="80"/>
            </w:tcMar>
            <w:vAlign w:val="top"/>
          </w:tcPr>
          <w:p>
            <w:r>
              <w:rPr>
                <w:sz w:val="15"/>
                <w:szCs w:val="15"/>
              </w:rPr>
              <w:t xml:space="preserve">the simplex optimum as an upper reference for greedy and exhaustive search</w:t>
            </w:r>
          </w:p>
        </w:tc>
      </w:tr>
      <w:tr>
        <w:trPr>
          <w:cantSplit/>
        </w:trPr>
        <w:tc>
          <w:tcPr>
            <w:tcW w:type="dxa" w:w="420"/>
            <w:tcMar>
              <w:top w:type="dxa" w:w="40"/>
              <w:left w:type="dxa" w:w="80"/>
              <w:bottom w:type="dxa" w:w="40"/>
              <w:right w:type="dxa" w:w="80"/>
            </w:tcMar>
            <w:vAlign w:val="top"/>
          </w:tcPr>
          <w:p>
            <w:r>
              <w:rPr>
                <w:sz w:val="15"/>
                <w:szCs w:val="15"/>
              </w:rPr>
              <w:t xml:space="preserve">11</w:t>
            </w:r>
          </w:p>
        </w:tc>
        <w:tc>
          <w:tcPr>
            <w:tcW w:type="dxa" w:w="1900"/>
            <w:tcMar>
              <w:top w:type="dxa" w:w="40"/>
              <w:left w:type="dxa" w:w="80"/>
              <w:bottom w:type="dxa" w:w="40"/>
              <w:right w:type="dxa" w:w="80"/>
            </w:tcMar>
            <w:vAlign w:val="top"/>
          </w:tcPr>
          <w:p>
            <w:r>
              <w:rPr>
                <w:sz w:val="15"/>
                <w:szCs w:val="15"/>
              </w:rPr>
              <w:t xml:space="preserve">Angelopoulos et al. 2025 [6]</w:t>
            </w:r>
          </w:p>
        </w:tc>
        <w:tc>
          <w:tcPr>
            <w:tcW w:type="dxa" w:w="2700"/>
            <w:tcMar>
              <w:top w:type="dxa" w:w="40"/>
              <w:left w:type="dxa" w:w="80"/>
              <w:bottom w:type="dxa" w:w="40"/>
              <w:right w:type="dxa" w:w="80"/>
            </w:tcMar>
            <w:vAlign w:val="top"/>
          </w:tcPr>
          <w:p>
            <w:r>
              <w:rPr>
                <w:sz w:val="15"/>
                <w:szCs w:val="15"/>
              </w:rPr>
              <w:t xml:space="preserve">Learn then Test: family-wise certificates of risk without monotonicity</w:t>
            </w:r>
          </w:p>
        </w:tc>
        <w:tc>
          <w:tcPr>
            <w:tcW w:type="dxa" w:w="1350"/>
            <w:tcMar>
              <w:top w:type="dxa" w:w="40"/>
              <w:left w:type="dxa" w:w="80"/>
              <w:bottom w:type="dxa" w:w="40"/>
              <w:right w:type="dxa" w:w="80"/>
            </w:tcMar>
            <w:vAlign w:val="top"/>
          </w:tcPr>
          <w:p>
            <w:r>
              <w:rPr>
                <w:sz w:val="15"/>
                <w:szCs w:val="15"/>
              </w:rPr>
              <w:t xml:space="preserve">KUFI-GO</w:t>
            </w:r>
          </w:p>
        </w:tc>
        <w:tc>
          <w:tcPr>
            <w:tcW w:type="dxa" w:w="3268"/>
            <w:tcMar>
              <w:top w:type="dxa" w:w="40"/>
              <w:left w:type="dxa" w:w="80"/>
              <w:bottom w:type="dxa" w:w="40"/>
              <w:right w:type="dxa" w:w="80"/>
            </w:tcMar>
            <w:vAlign w:val="top"/>
          </w:tcPr>
          <w:p>
            <w:r>
              <w:rPr>
                <w:sz w:val="15"/>
                <w:szCs w:val="15"/>
              </w:rPr>
              <w:t xml:space="preserve">N2; and its cost on the safe yields of the assembled-system note (Section 3.2)</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12</w:t>
            </w:r>
          </w:p>
        </w:tc>
        <w:tc>
          <w:tcPr>
            <w:tcW w:type="dxa" w:w="1900"/>
            <w:shd w:fill="F7F9FC" w:color="auto" w:val="clear"/>
            <w:tcMar>
              <w:top w:type="dxa" w:w="40"/>
              <w:left w:type="dxa" w:w="80"/>
              <w:bottom w:type="dxa" w:w="40"/>
              <w:right w:type="dxa" w:w="80"/>
            </w:tcMar>
            <w:vAlign w:val="top"/>
          </w:tcPr>
          <w:p>
            <w:r>
              <w:rPr>
                <w:sz w:val="15"/>
                <w:szCs w:val="15"/>
              </w:rPr>
              <w:t xml:space="preserve">Bates et al. 2021 [16]</w:t>
            </w:r>
          </w:p>
        </w:tc>
        <w:tc>
          <w:tcPr>
            <w:tcW w:type="dxa" w:w="2700"/>
            <w:shd w:fill="F7F9FC" w:color="auto" w:val="clear"/>
            <w:tcMar>
              <w:top w:type="dxa" w:w="40"/>
              <w:left w:type="dxa" w:w="80"/>
              <w:bottom w:type="dxa" w:w="40"/>
              <w:right w:type="dxa" w:w="80"/>
            </w:tcMar>
            <w:vAlign w:val="top"/>
          </w:tcPr>
          <w:p>
            <w:r>
              <w:rPr>
                <w:sz w:val="15"/>
                <w:szCs w:val="15"/>
              </w:rPr>
              <w:t xml:space="preserve">risk-controlling prediction sets by an upper-bound scan</w:t>
            </w:r>
          </w:p>
        </w:tc>
        <w:tc>
          <w:tcPr>
            <w:tcW w:type="dxa" w:w="1350"/>
            <w:shd w:fill="F7F9FC" w:color="auto" w:val="clear"/>
            <w:tcMar>
              <w:top w:type="dxa" w:w="40"/>
              <w:left w:type="dxa" w:w="80"/>
              <w:bottom w:type="dxa" w:w="40"/>
              <w:right w:type="dxa" w:w="80"/>
            </w:tcMar>
            <w:vAlign w:val="top"/>
          </w:tcPr>
          <w:p>
            <w:r>
              <w:rPr>
                <w:sz w:val="15"/>
                <w:szCs w:val="15"/>
              </w:rPr>
              <w:t xml:space="preserve">KUFI-GO, §4.3</w:t>
            </w:r>
          </w:p>
        </w:tc>
        <w:tc>
          <w:tcPr>
            <w:tcW w:type="dxa" w:w="3268"/>
            <w:shd w:fill="F7F9FC" w:color="auto" w:val="clear"/>
            <w:tcMar>
              <w:top w:type="dxa" w:w="40"/>
              <w:left w:type="dxa" w:w="80"/>
              <w:bottom w:type="dxa" w:w="40"/>
              <w:right w:type="dxa" w:w="80"/>
            </w:tcMar>
            <w:vAlign w:val="top"/>
          </w:tcPr>
          <w:p>
            <w:r>
              <w:rPr>
                <w:sz w:val="15"/>
                <w:szCs w:val="15"/>
              </w:rPr>
              <w:t xml:space="preserve">certified exceedance zones on the synthetic tests</w:t>
            </w:r>
          </w:p>
        </w:tc>
      </w:tr>
      <w:tr>
        <w:trPr>
          <w:cantSplit/>
        </w:trPr>
        <w:tc>
          <w:tcPr>
            <w:tcW w:type="dxa" w:w="420"/>
            <w:tcMar>
              <w:top w:type="dxa" w:w="40"/>
              <w:left w:type="dxa" w:w="80"/>
              <w:bottom w:type="dxa" w:w="40"/>
              <w:right w:type="dxa" w:w="80"/>
            </w:tcMar>
            <w:vAlign w:val="top"/>
          </w:tcPr>
          <w:p>
            <w:r>
              <w:rPr>
                <w:sz w:val="15"/>
                <w:szCs w:val="15"/>
              </w:rPr>
              <w:t xml:space="preserve">13</w:t>
            </w:r>
          </w:p>
        </w:tc>
        <w:tc>
          <w:tcPr>
            <w:tcW w:type="dxa" w:w="1900"/>
            <w:tcMar>
              <w:top w:type="dxa" w:w="40"/>
              <w:left w:type="dxa" w:w="80"/>
              <w:bottom w:type="dxa" w:w="40"/>
              <w:right w:type="dxa" w:w="80"/>
            </w:tcMar>
            <w:vAlign w:val="top"/>
          </w:tcPr>
          <w:p>
            <w:r>
              <w:rPr>
                <w:sz w:val="15"/>
                <w:szCs w:val="15"/>
              </w:rPr>
              <w:t xml:space="preserve">Wu et al. 2024 [17]</w:t>
            </w:r>
          </w:p>
        </w:tc>
        <w:tc>
          <w:tcPr>
            <w:tcW w:type="dxa" w:w="2700"/>
            <w:tcMar>
              <w:top w:type="dxa" w:w="40"/>
              <w:left w:type="dxa" w:w="80"/>
              <w:bottom w:type="dxa" w:w="40"/>
              <w:right w:type="dxa" w:w="80"/>
            </w:tcMar>
            <w:vAlign w:val="top"/>
          </w:tcPr>
          <w:p>
            <w:r>
              <w:rPr>
                <w:sz w:val="15"/>
                <w:szCs w:val="15"/>
              </w:rPr>
              <w:t xml:space="preserve">causal exposure–response curve by matching on the generalized propensity score</w:t>
            </w:r>
          </w:p>
        </w:tc>
        <w:tc>
          <w:tcPr>
            <w:tcW w:type="dxa" w:w="1350"/>
            <w:tcMar>
              <w:top w:type="dxa" w:w="40"/>
              <w:left w:type="dxa" w:w="80"/>
              <w:bottom w:type="dxa" w:w="40"/>
              <w:right w:type="dxa" w:w="80"/>
            </w:tcMar>
            <w:vAlign w:val="top"/>
          </w:tcPr>
          <w:p>
            <w:r>
              <w:rPr>
                <w:sz w:val="15"/>
                <w:szCs w:val="15"/>
              </w:rPr>
              <w:t xml:space="preserve">KUFI-GO, TMLE-GO</w:t>
            </w:r>
          </w:p>
        </w:tc>
        <w:tc>
          <w:tcPr>
            <w:tcW w:type="dxa" w:w="3268"/>
            <w:tcMar>
              <w:top w:type="dxa" w:w="40"/>
              <w:left w:type="dxa" w:w="80"/>
              <w:bottom w:type="dxa" w:w="40"/>
              <w:right w:type="dxa" w:w="80"/>
            </w:tcMar>
            <w:vAlign w:val="top"/>
          </w:tcPr>
          <w:p>
            <w:r>
              <w:rPr>
                <w:sz w:val="15"/>
                <w:szCs w:val="15"/>
              </w:rPr>
              <w:t xml:space="preserve">pumping rate as the exposure; state the interference between wells as a limit</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14</w:t>
            </w:r>
          </w:p>
        </w:tc>
        <w:tc>
          <w:tcPr>
            <w:tcW w:type="dxa" w:w="1900"/>
            <w:shd w:fill="F7F9FC" w:color="auto" w:val="clear"/>
            <w:tcMar>
              <w:top w:type="dxa" w:w="40"/>
              <w:left w:type="dxa" w:w="80"/>
              <w:bottom w:type="dxa" w:w="40"/>
              <w:right w:type="dxa" w:w="80"/>
            </w:tcMar>
            <w:vAlign w:val="top"/>
          </w:tcPr>
          <w:p>
            <w:r>
              <w:rPr>
                <w:sz w:val="15"/>
                <w:szCs w:val="15"/>
              </w:rPr>
              <w:t xml:space="preserve">Rytgaard &amp; van der Laan 2024 [18]</w:t>
            </w:r>
          </w:p>
        </w:tc>
        <w:tc>
          <w:tcPr>
            <w:tcW w:type="dxa" w:w="2700"/>
            <w:shd w:fill="F7F9FC" w:color="auto" w:val="clear"/>
            <w:tcMar>
              <w:top w:type="dxa" w:w="40"/>
              <w:left w:type="dxa" w:w="80"/>
              <w:bottom w:type="dxa" w:w="40"/>
              <w:right w:type="dxa" w:w="80"/>
            </w:tcMar>
            <w:vAlign w:val="top"/>
          </w:tcPr>
          <w:p>
            <w:r>
              <w:rPr>
                <w:sz w:val="15"/>
                <w:szCs w:val="15"/>
              </w:rPr>
              <w:t xml:space="preserve">one-step TMLE with simultaneous bands for absolute risks</w:t>
            </w:r>
          </w:p>
        </w:tc>
        <w:tc>
          <w:tcPr>
            <w:tcW w:type="dxa" w:w="1350"/>
            <w:shd w:fill="F7F9FC" w:color="auto" w:val="clear"/>
            <w:tcMar>
              <w:top w:type="dxa" w:w="40"/>
              <w:left w:type="dxa" w:w="80"/>
              <w:bottom w:type="dxa" w:w="40"/>
              <w:right w:type="dxa" w:w="80"/>
            </w:tcMar>
            <w:vAlign w:val="top"/>
          </w:tcPr>
          <w:p>
            <w:r>
              <w:rPr>
                <w:sz w:val="15"/>
                <w:szCs w:val="15"/>
              </w:rPr>
              <w:t xml:space="preserve">TMLE-GO</w:t>
            </w:r>
          </w:p>
        </w:tc>
        <w:tc>
          <w:tcPr>
            <w:tcW w:type="dxa" w:w="3268"/>
            <w:shd w:fill="F7F9FC" w:color="auto" w:val="clear"/>
            <w:tcMar>
              <w:top w:type="dxa" w:w="40"/>
              <w:left w:type="dxa" w:w="80"/>
              <w:bottom w:type="dxa" w:w="40"/>
              <w:right w:type="dxa" w:w="80"/>
            </w:tcMar>
            <w:vAlign w:val="top"/>
          </w:tcPr>
          <w:p>
            <w:r>
              <w:rPr>
                <w:sz w:val="15"/>
                <w:szCs w:val="15"/>
              </w:rPr>
              <w:t xml:space="preserve">index the target by threshold and time to obtain the KUFI-GO band</w:t>
            </w:r>
          </w:p>
        </w:tc>
      </w:tr>
      <w:tr>
        <w:trPr>
          <w:cantSplit/>
        </w:trPr>
        <w:tc>
          <w:tcPr>
            <w:tcW w:type="dxa" w:w="420"/>
            <w:tcMar>
              <w:top w:type="dxa" w:w="40"/>
              <w:left w:type="dxa" w:w="80"/>
              <w:bottom w:type="dxa" w:w="40"/>
              <w:right w:type="dxa" w:w="80"/>
            </w:tcMar>
            <w:vAlign w:val="top"/>
          </w:tcPr>
          <w:p>
            <w:r>
              <w:rPr>
                <w:sz w:val="15"/>
                <w:szCs w:val="15"/>
              </w:rPr>
              <w:t xml:space="preserve">15</w:t>
            </w:r>
          </w:p>
        </w:tc>
        <w:tc>
          <w:tcPr>
            <w:tcW w:type="dxa" w:w="1900"/>
            <w:tcMar>
              <w:top w:type="dxa" w:w="40"/>
              <w:left w:type="dxa" w:w="80"/>
              <w:bottom w:type="dxa" w:w="40"/>
              <w:right w:type="dxa" w:w="80"/>
            </w:tcMar>
            <w:vAlign w:val="top"/>
          </w:tcPr>
          <w:p>
            <w:r>
              <w:rPr>
                <w:sz w:val="15"/>
                <w:szCs w:val="15"/>
              </w:rPr>
              <w:t xml:space="preserve">Zhang, Geng, Li &amp; Ding 2025 [19]</w:t>
            </w:r>
          </w:p>
        </w:tc>
        <w:tc>
          <w:tcPr>
            <w:tcW w:type="dxa" w:w="2700"/>
            <w:tcMar>
              <w:top w:type="dxa" w:w="40"/>
              <w:left w:type="dxa" w:w="80"/>
              <w:bottom w:type="dxa" w:w="40"/>
              <w:right w:type="dxa" w:w="80"/>
            </w:tcMar>
            <w:vAlign w:val="top"/>
          </w:tcPr>
          <w:p>
            <w:r>
              <w:rPr>
                <w:sz w:val="15"/>
                <w:szCs w:val="15"/>
              </w:rPr>
              <w:t xml:space="preserve">probability of necessity for ordinal outcomes; sharp bounds</w:t>
            </w:r>
          </w:p>
        </w:tc>
        <w:tc>
          <w:tcPr>
            <w:tcW w:type="dxa" w:w="1350"/>
            <w:tcMar>
              <w:top w:type="dxa" w:w="40"/>
              <w:left w:type="dxa" w:w="80"/>
              <w:bottom w:type="dxa" w:w="40"/>
              <w:right w:type="dxa" w:w="80"/>
            </w:tcMar>
            <w:vAlign w:val="top"/>
          </w:tcPr>
          <w:p>
            <w:r>
              <w:rPr>
                <w:sz w:val="15"/>
                <w:szCs w:val="15"/>
              </w:rPr>
              <w:t xml:space="preserve">ATRIB-GO</w:t>
            </w:r>
          </w:p>
        </w:tc>
        <w:tc>
          <w:tcPr>
            <w:tcW w:type="dxa" w:w="3268"/>
            <w:tcMar>
              <w:top w:type="dxa" w:w="40"/>
              <w:left w:type="dxa" w:w="80"/>
              <w:bottom w:type="dxa" w:w="40"/>
              <w:right w:type="dxa" w:w="80"/>
            </w:tcMar>
            <w:vAlign w:val="top"/>
          </w:tcPr>
          <w:p>
            <w:r>
              <w:rPr>
                <w:sz w:val="15"/>
                <w:szCs w:val="15"/>
              </w:rPr>
              <w:t xml:space="preserve">salinity classes fresh, brackish and saline as the ordinal outcome</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16</w:t>
            </w:r>
          </w:p>
        </w:tc>
        <w:tc>
          <w:tcPr>
            <w:tcW w:type="dxa" w:w="1900"/>
            <w:shd w:fill="F7F9FC" w:color="auto" w:val="clear"/>
            <w:tcMar>
              <w:top w:type="dxa" w:w="40"/>
              <w:left w:type="dxa" w:w="80"/>
              <w:bottom w:type="dxa" w:w="40"/>
              <w:right w:type="dxa" w:w="80"/>
            </w:tcMar>
            <w:vAlign w:val="top"/>
          </w:tcPr>
          <w:p>
            <w:r>
              <w:rPr>
                <w:sz w:val="15"/>
                <w:szCs w:val="15"/>
              </w:rPr>
              <w:t xml:space="preserve">Liao, Klasnja &amp; Murphy 2021 [20]</w:t>
            </w:r>
          </w:p>
        </w:tc>
        <w:tc>
          <w:tcPr>
            <w:tcW w:type="dxa" w:w="2700"/>
            <w:shd w:fill="F7F9FC" w:color="auto" w:val="clear"/>
            <w:tcMar>
              <w:top w:type="dxa" w:w="40"/>
              <w:left w:type="dxa" w:w="80"/>
              <w:bottom w:type="dxa" w:w="40"/>
              <w:right w:type="dxa" w:w="80"/>
            </w:tcMar>
            <w:vAlign w:val="top"/>
          </w:tcPr>
          <w:p>
            <w:r>
              <w:rPr>
                <w:sz w:val="15"/>
                <w:szCs w:val="15"/>
              </w:rPr>
              <w:t xml:space="preserve">off-policy estimate of a long-run average outcome</w:t>
            </w:r>
          </w:p>
        </w:tc>
        <w:tc>
          <w:tcPr>
            <w:tcW w:type="dxa" w:w="1350"/>
            <w:shd w:fill="F7F9FC" w:color="auto" w:val="clear"/>
            <w:tcMar>
              <w:top w:type="dxa" w:w="40"/>
              <w:left w:type="dxa" w:w="80"/>
              <w:bottom w:type="dxa" w:w="40"/>
              <w:right w:type="dxa" w:w="80"/>
            </w:tcMar>
            <w:vAlign w:val="top"/>
          </w:tcPr>
          <w:p>
            <w:r>
              <w:rPr>
                <w:sz w:val="15"/>
                <w:szCs w:val="15"/>
              </w:rPr>
              <w:t xml:space="preserve">TMLE-GO, KUFI-GO</w:t>
            </w:r>
          </w:p>
        </w:tc>
        <w:tc>
          <w:tcPr>
            <w:tcW w:type="dxa" w:w="3268"/>
            <w:shd w:fill="F7F9FC" w:color="auto" w:val="clear"/>
            <w:tcMar>
              <w:top w:type="dxa" w:w="40"/>
              <w:left w:type="dxa" w:w="80"/>
              <w:bottom w:type="dxa" w:w="40"/>
              <w:right w:type="dxa" w:w="80"/>
            </w:tcMar>
            <w:vAlign w:val="top"/>
          </w:tcPr>
          <w:p>
            <w:r>
              <w:rPr>
                <w:sz w:val="15"/>
                <w:szCs w:val="15"/>
              </w:rPr>
              <w:t xml:space="preserve">long-run exceedance frequency of a pumping rule from operator logs</w:t>
            </w:r>
          </w:p>
        </w:tc>
      </w:tr>
      <w:tr>
        <w:trPr>
          <w:cantSplit/>
        </w:trPr>
        <w:tc>
          <w:tcPr>
            <w:tcW w:type="dxa" w:w="420"/>
            <w:tcMar>
              <w:top w:type="dxa" w:w="40"/>
              <w:left w:type="dxa" w:w="80"/>
              <w:bottom w:type="dxa" w:w="40"/>
              <w:right w:type="dxa" w:w="80"/>
            </w:tcMar>
            <w:vAlign w:val="top"/>
          </w:tcPr>
          <w:p>
            <w:r>
              <w:rPr>
                <w:sz w:val="15"/>
                <w:szCs w:val="15"/>
              </w:rPr>
              <w:t xml:space="preserve">17</w:t>
            </w:r>
          </w:p>
        </w:tc>
        <w:tc>
          <w:tcPr>
            <w:tcW w:type="dxa" w:w="1900"/>
            <w:tcMar>
              <w:top w:type="dxa" w:w="40"/>
              <w:left w:type="dxa" w:w="80"/>
              <w:bottom w:type="dxa" w:w="40"/>
              <w:right w:type="dxa" w:w="80"/>
            </w:tcMar>
            <w:vAlign w:val="top"/>
          </w:tcPr>
          <w:p>
            <w:r>
              <w:rPr>
                <w:sz w:val="15"/>
                <w:szCs w:val="15"/>
              </w:rPr>
              <w:t xml:space="preserve">Elmachtoub &amp; Grigas 2022 [21]</w:t>
            </w:r>
          </w:p>
        </w:tc>
        <w:tc>
          <w:tcPr>
            <w:tcW w:type="dxa" w:w="2700"/>
            <w:tcMar>
              <w:top w:type="dxa" w:w="40"/>
              <w:left w:type="dxa" w:w="80"/>
              <w:bottom w:type="dxa" w:w="40"/>
              <w:right w:type="dxa" w:w="80"/>
            </w:tcMar>
            <w:vAlign w:val="top"/>
          </w:tcPr>
          <w:p>
            <w:r>
              <w:rPr>
                <w:sz w:val="15"/>
                <w:szCs w:val="15"/>
              </w:rPr>
              <w:t xml:space="preserve">learn for the decision (SPO+ loss), not for the prediction</w:t>
            </w:r>
          </w:p>
        </w:tc>
        <w:tc>
          <w:tcPr>
            <w:tcW w:type="dxa" w:w="1350"/>
            <w:tcMar>
              <w:top w:type="dxa" w:w="40"/>
              <w:left w:type="dxa" w:w="80"/>
              <w:bottom w:type="dxa" w:w="40"/>
              <w:right w:type="dxa" w:w="80"/>
            </w:tcMar>
            <w:vAlign w:val="top"/>
          </w:tcPr>
          <w:p>
            <w:r>
              <w:rPr>
                <w:sz w:val="15"/>
                <w:szCs w:val="15"/>
              </w:rPr>
              <w:t xml:space="preserve">§5.4</w:t>
            </w:r>
          </w:p>
        </w:tc>
        <w:tc>
          <w:tcPr>
            <w:tcW w:type="dxa" w:w="3268"/>
            <w:tcMar>
              <w:top w:type="dxa" w:w="40"/>
              <w:left w:type="dxa" w:w="80"/>
              <w:bottom w:type="dxa" w:w="40"/>
              <w:right w:type="dxa" w:w="80"/>
            </w:tcMar>
            <w:vAlign w:val="top"/>
          </w:tcPr>
          <w:p>
            <w:r>
              <w:rPr>
                <w:sz w:val="15"/>
                <w:szCs w:val="15"/>
              </w:rPr>
              <w:t xml:space="preserve">train the cheap assembly of the assembled-system note on decision regret</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18</w:t>
            </w:r>
          </w:p>
        </w:tc>
        <w:tc>
          <w:tcPr>
            <w:tcW w:type="dxa" w:w="1900"/>
            <w:shd w:fill="F7F9FC" w:color="auto" w:val="clear"/>
            <w:tcMar>
              <w:top w:type="dxa" w:w="40"/>
              <w:left w:type="dxa" w:w="80"/>
              <w:bottom w:type="dxa" w:w="40"/>
              <w:right w:type="dxa" w:w="80"/>
            </w:tcMar>
            <w:vAlign w:val="top"/>
          </w:tcPr>
          <w:p>
            <w:r>
              <w:rPr>
                <w:sz w:val="15"/>
                <w:szCs w:val="15"/>
              </w:rPr>
              <w:t xml:space="preserve">Ahmadi &amp; El Khadir 2023 [22]</w:t>
            </w:r>
          </w:p>
        </w:tc>
        <w:tc>
          <w:tcPr>
            <w:tcW w:type="dxa" w:w="2700"/>
            <w:shd w:fill="F7F9FC" w:color="auto" w:val="clear"/>
            <w:tcMar>
              <w:top w:type="dxa" w:w="40"/>
              <w:left w:type="dxa" w:w="80"/>
              <w:bottom w:type="dxa" w:w="40"/>
              <w:right w:type="dxa" w:w="80"/>
            </w:tcMar>
            <w:vAlign w:val="top"/>
          </w:tcPr>
          <w:p>
            <w:r>
              <w:rPr>
                <w:sz w:val="15"/>
                <w:szCs w:val="15"/>
              </w:rPr>
              <w:t xml:space="preserve">dynamics learned under side information as sum-of-squares constraints</w:t>
            </w:r>
          </w:p>
        </w:tc>
        <w:tc>
          <w:tcPr>
            <w:tcW w:type="dxa" w:w="1350"/>
            <w:shd w:fill="F7F9FC" w:color="auto" w:val="clear"/>
            <w:tcMar>
              <w:top w:type="dxa" w:w="40"/>
              <w:left w:type="dxa" w:w="80"/>
              <w:bottom w:type="dxa" w:w="40"/>
              <w:right w:type="dxa" w:w="80"/>
            </w:tcMar>
            <w:vAlign w:val="top"/>
          </w:tcPr>
          <w:p>
            <w:r>
              <w:rPr>
                <w:sz w:val="15"/>
                <w:szCs w:val="15"/>
              </w:rPr>
              <w:t xml:space="preserve">§3.3, KRITIK-GO</w:t>
            </w:r>
          </w:p>
        </w:tc>
        <w:tc>
          <w:tcPr>
            <w:tcW w:type="dxa" w:w="3268"/>
            <w:shd w:fill="F7F9FC" w:color="auto" w:val="clear"/>
            <w:tcMar>
              <w:top w:type="dxa" w:w="40"/>
              <w:left w:type="dxa" w:w="80"/>
              <w:bottom w:type="dxa" w:w="40"/>
              <w:right w:type="dxa" w:w="80"/>
            </w:tcMar>
            <w:vAlign w:val="top"/>
          </w:tcPr>
          <w:p>
            <w:r>
              <w:rPr>
                <w:sz w:val="15"/>
                <w:szCs w:val="15"/>
              </w:rPr>
              <w:t xml:space="preserve">toe monotone in pumping and 0 ≤ c ≤ 1 as hard constraints</w:t>
            </w:r>
          </w:p>
        </w:tc>
      </w:tr>
      <w:tr>
        <w:trPr>
          <w:cantSplit/>
        </w:trPr>
        <w:tc>
          <w:tcPr>
            <w:tcW w:type="dxa" w:w="420"/>
            <w:tcMar>
              <w:top w:type="dxa" w:w="40"/>
              <w:left w:type="dxa" w:w="80"/>
              <w:bottom w:type="dxa" w:w="40"/>
              <w:right w:type="dxa" w:w="80"/>
            </w:tcMar>
            <w:vAlign w:val="top"/>
          </w:tcPr>
          <w:p>
            <w:r>
              <w:rPr>
                <w:sz w:val="15"/>
                <w:szCs w:val="15"/>
              </w:rPr>
              <w:t xml:space="preserve">19</w:t>
            </w:r>
          </w:p>
        </w:tc>
        <w:tc>
          <w:tcPr>
            <w:tcW w:type="dxa" w:w="1900"/>
            <w:tcMar>
              <w:top w:type="dxa" w:w="40"/>
              <w:left w:type="dxa" w:w="80"/>
              <w:bottom w:type="dxa" w:w="40"/>
              <w:right w:type="dxa" w:w="80"/>
            </w:tcMar>
            <w:vAlign w:val="top"/>
          </w:tcPr>
          <w:p>
            <w:r>
              <w:rPr>
                <w:sz w:val="15"/>
                <w:szCs w:val="15"/>
              </w:rPr>
              <w:t xml:space="preserve">Ahmadi et al. 2026 [23]</w:t>
            </w:r>
          </w:p>
        </w:tc>
        <w:tc>
          <w:tcPr>
            <w:tcW w:type="dxa" w:w="2700"/>
            <w:tcMar>
              <w:top w:type="dxa" w:w="40"/>
              <w:left w:type="dxa" w:w="80"/>
              <w:bottom w:type="dxa" w:w="40"/>
              <w:right w:type="dxa" w:w="80"/>
            </w:tcMar>
            <w:vAlign w:val="top"/>
          </w:tcPr>
          <w:p>
            <w:r>
              <w:rPr>
                <w:sz w:val="15"/>
                <w:szCs w:val="15"/>
              </w:rPr>
              <w:t xml:space="preserve">safe learning: stay in the safe set for every model consistent with the data</w:t>
            </w:r>
          </w:p>
        </w:tc>
        <w:tc>
          <w:tcPr>
            <w:tcW w:type="dxa" w:w="1350"/>
            <w:tcMar>
              <w:top w:type="dxa" w:w="40"/>
              <w:left w:type="dxa" w:w="80"/>
              <w:bottom w:type="dxa" w:w="40"/>
              <w:right w:type="dxa" w:w="80"/>
            </w:tcMar>
            <w:vAlign w:val="top"/>
          </w:tcPr>
          <w:p>
            <w:r>
              <w:rPr>
                <w:sz w:val="15"/>
                <w:szCs w:val="15"/>
              </w:rPr>
              <w:t xml:space="preserve">§3.5, KUFI-GO</w:t>
            </w:r>
          </w:p>
        </w:tc>
        <w:tc>
          <w:tcPr>
            <w:tcW w:type="dxa" w:w="3268"/>
            <w:tcMar>
              <w:top w:type="dxa" w:w="40"/>
              <w:left w:type="dxa" w:w="80"/>
              <w:bottom w:type="dxa" w:w="40"/>
              <w:right w:type="dxa" w:w="80"/>
            </w:tcMar>
            <w:vAlign w:val="top"/>
          </w:tcPr>
          <w:p>
            <w:r>
              <w:rPr>
                <w:sz w:val="15"/>
                <w:szCs w:val="15"/>
              </w:rPr>
              <w:t xml:space="preserve">pumping tests that keep the toe seaward of the screens for every credible parameter</w:t>
            </w:r>
          </w:p>
        </w:tc>
      </w:tr>
      <w:tr>
        <w:trPr>
          <w:cantSplit/>
        </w:trPr>
        <w:tc>
          <w:tcPr>
            <w:tcW w:type="dxa" w:w="420"/>
            <w:shd w:fill="F7F9FC" w:color="auto" w:val="clear"/>
            <w:tcMar>
              <w:top w:type="dxa" w:w="40"/>
              <w:left w:type="dxa" w:w="80"/>
              <w:bottom w:type="dxa" w:w="40"/>
              <w:right w:type="dxa" w:w="80"/>
            </w:tcMar>
            <w:vAlign w:val="top"/>
          </w:tcPr>
          <w:p>
            <w:r>
              <w:rPr>
                <w:sz w:val="15"/>
                <w:szCs w:val="15"/>
              </w:rPr>
              <w:t xml:space="preserve">20</w:t>
            </w:r>
          </w:p>
        </w:tc>
        <w:tc>
          <w:tcPr>
            <w:tcW w:type="dxa" w:w="1900"/>
            <w:shd w:fill="F7F9FC" w:color="auto" w:val="clear"/>
            <w:tcMar>
              <w:top w:type="dxa" w:w="40"/>
              <w:left w:type="dxa" w:w="80"/>
              <w:bottom w:type="dxa" w:w="40"/>
              <w:right w:type="dxa" w:w="80"/>
            </w:tcMar>
            <w:vAlign w:val="top"/>
          </w:tcPr>
          <w:p>
            <w:r>
              <w:rPr>
                <w:sz w:val="15"/>
                <w:szCs w:val="15"/>
              </w:rPr>
              <w:t xml:space="preserve">Perri &amp; Porporato 2022 [24]</w:t>
            </w:r>
          </w:p>
        </w:tc>
        <w:tc>
          <w:tcPr>
            <w:tcW w:type="dxa" w:w="2700"/>
            <w:shd w:fill="F7F9FC" w:color="auto" w:val="clear"/>
            <w:tcMar>
              <w:top w:type="dxa" w:w="40"/>
              <w:left w:type="dxa" w:w="80"/>
              <w:bottom w:type="dxa" w:w="40"/>
              <w:right w:type="dxa" w:w="80"/>
            </w:tcMar>
            <w:vAlign w:val="top"/>
          </w:tcPr>
          <w:p>
            <w:r>
              <w:rPr>
                <w:sz w:val="15"/>
                <w:szCs w:val="15"/>
              </w:rPr>
              <w:t xml:space="preserve">concentration as a ratio M/V, with heavy tails as V → 0</w:t>
            </w:r>
          </w:p>
        </w:tc>
        <w:tc>
          <w:tcPr>
            <w:tcW w:type="dxa" w:w="1350"/>
            <w:shd w:fill="F7F9FC" w:color="auto" w:val="clear"/>
            <w:tcMar>
              <w:top w:type="dxa" w:w="40"/>
              <w:left w:type="dxa" w:w="80"/>
              <w:bottom w:type="dxa" w:w="40"/>
              <w:right w:type="dxa" w:w="80"/>
            </w:tcMar>
            <w:vAlign w:val="top"/>
          </w:tcPr>
          <w:p>
            <w:r>
              <w:rPr>
                <w:sz w:val="15"/>
                <w:szCs w:val="15"/>
              </w:rPr>
              <w:t xml:space="preserve">§4.3, §5.5</w:t>
            </w:r>
          </w:p>
        </w:tc>
        <w:tc>
          <w:tcPr>
            <w:tcW w:type="dxa" w:w="3268"/>
            <w:shd w:fill="F7F9FC" w:color="auto" w:val="clear"/>
            <w:tcMar>
              <w:top w:type="dxa" w:w="40"/>
              <w:left w:type="dxa" w:w="80"/>
              <w:bottom w:type="dxa" w:w="40"/>
              <w:right w:type="dxa" w:w="80"/>
            </w:tcMar>
            <w:vAlign w:val="top"/>
          </w:tcPr>
          <w:p>
            <w:r>
              <w:rPr>
                <w:sz w:val="15"/>
                <w:szCs w:val="15"/>
              </w:rPr>
              <w:t xml:space="preserve">chloride as salt mass over freshwater volume in dry seasons</w:t>
            </w:r>
          </w:p>
        </w:tc>
      </w:tr>
    </w:tbl>
    <w:p>
      <w:pPr>
        <w:spacing w:after="120"/>
      </w:pPr>
    </w:p>
    <w:p>
      <w:pPr>
        <w:pStyle w:val="Heading1"/>
      </w:pPr>
      <w:r>
        <w:t xml:space="preserve">3. The three proposals of the note, checked</w:t>
      </w:r>
    </w:p>
    <w:p>
      <w:pPr>
        <w:spacing w:after="100"/>
        <w:jc w:val="both"/>
      </w:pPr>
      <w:r>
        <w:t xml:space="preserve">The note proposes three improvements, N1–N3, with proofs. The proofs were read line by line and are correct under the conditions they state. The checks below are numerical; the code is experiments/spiranca_go/sg_checks.py and sg_ltt.py.</w:t>
      </w:r>
    </w:p>
    <w:p>
      <w:pPr>
        <w:pStyle w:val="Heading2"/>
      </w:pPr>
      <w:r>
        <w:t xml:space="preserve">3.1 N1: the intercept is reliable, the slope is not</w:t>
      </w:r>
    </w:p>
    <w:p>
      <w:pPr>
        <w:spacing w:after="100"/>
        <w:jc w:val="both"/>
      </w:pPr>
      <w:r>
        <w:t xml:space="preserve">N1 tempers the importance weights of the calibration, </w:t>
      </w:r>
      <m:oMath>
        <m:sSub>
          <m:e>
            <m:r>
              <m:t>w</m:t>
            </m:r>
          </m:e>
          <m:sub>
            <m:r>
              <m:t>i</m:t>
            </m:r>
          </m:sub>
        </m:sSub>
        <m:d>
          <m:dPr>
            <m:begChr m:val="("/>
            <m:sepChr m:val=""/>
            <m:endChr m:val=")"/>
            <m:grow/>
          </m:dPr>
          <m:e>
            <m:r>
              <m:t>τ</m:t>
            </m:r>
          </m:e>
        </m:d>
        <m:r>
          <m:rPr>
            <m:sty m:val="p"/>
          </m:rPr>
          <m:t>∝</m:t>
        </m:r>
        <m:r>
          <m:rPr>
            <m:sty m:val="p"/>
          </m:rPr>
          <m:t>exp</m:t>
        </m:r>
        <m:d>
          <m:dPr>
            <m:begChr m:val="("/>
            <m:sepChr m:val=""/>
            <m:endChr m:val=")"/>
            <m:grow/>
          </m:dPr>
          <m:e>
            <m:r>
              <m:rPr>
                <m:sty m:val="p"/>
              </m:rPr>
              <m:t>−</m:t>
            </m:r>
            <m:sSub>
              <m:e>
                <m:r>
                  <m:t>D</m:t>
                </m:r>
              </m:e>
              <m:sub>
                <m:r>
                  <m:t>i</m:t>
                </m:r>
              </m:sub>
            </m:sSub>
            <m:r>
              <m:rPr>
                <m:sty m:val="p"/>
              </m:rPr>
              <m:t>/</m:t>
            </m:r>
            <m:r>
              <m:t>2</m:t>
            </m:r>
            <m:sSup>
              <m:e>
                <m:r>
                  <m:t>τ</m:t>
                </m:r>
              </m:e>
              <m:sup>
                <m:r>
                  <m:t>2</m:t>
                </m:r>
              </m:sup>
            </m:sSup>
          </m:e>
        </m:d>
      </m:oMath>
      <w:r>
        <w:t xml:space="preserve">, where </w:t>
      </w:r>
      <m:oMath>
        <m:sSub>
          <m:e>
            <m:r>
              <m:t>D</m:t>
            </m:r>
          </m:e>
          <m:sub>
            <m:r>
              <m:t>i</m:t>
            </m:r>
          </m:sub>
        </m:sSub>
      </m:oMath>
      <w:r>
        <w:t xml:space="preserve"> is the squared misfit of draw </w:t>
      </w:r>
      <m:oMath>
        <m:r>
          <m:t>i</m:t>
        </m:r>
      </m:oMath>
      <w:r>
        <w:t xml:space="preserve"> to the documented facts, and reads the misspecification from the mean misfit: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sSub>
                  <m:e>
                    <m:r>
                      <m:rPr>
                        <m:scr m:val="double-struck"/>
                        <m:sty m:val="p"/>
                      </m:rPr>
                      <m:t>E</m:t>
                    </m:r>
                  </m:e>
                  <m:sub>
                    <m:r>
                      <m:t>τ</m:t>
                    </m:r>
                  </m:sub>
                </m:sSub>
                <m:d>
                  <m:dPr>
                    <m:begChr m:val="["/>
                    <m:sepChr m:val=""/>
                    <m:endChr m:val="]"/>
                    <m:grow/>
                  </m:dPr>
                  <m:e>
                    <m:r>
                      <m:t>D</m:t>
                    </m:r>
                  </m:e>
                </m:d>
                <m:r>
                  <m:rPr>
                    <m:sty m:val="p"/>
                  </m:rPr>
                  <m:t>=</m:t>
                </m:r>
                <m:sSup>
                  <m:e>
                    <m:r>
                      <m:t>D</m:t>
                    </m:r>
                  </m:e>
                  <m:sup>
                    <m:r>
                      <m:rPr>
                        <m:sty m:val="p"/>
                      </m:rPr>
                      <m:t>⋆</m:t>
                    </m:r>
                  </m:sup>
                </m:sSup>
                <m:r>
                  <m:rPr>
                    <m:sty m:val="p"/>
                  </m:rPr>
                  <m:t>+</m:t>
                </m:r>
                <m:r>
                  <m:t>m</m:t>
                </m:r>
                <m:r>
                  <m:t> </m:t>
                </m:r>
                <m:sSup>
                  <m:e>
                    <m:r>
                      <m:t>τ</m:t>
                    </m:r>
                  </m:e>
                  <m:sup>
                    <m:r>
                      <m:t>2</m:t>
                    </m:r>
                  </m:sup>
                </m:sSup>
                <m:r>
                  <m:rPr>
                    <m:sty m:val="p"/>
                  </m:rPr>
                  <m:t>+</m:t>
                </m:r>
                <m:r>
                  <m:t>o</m:t>
                </m:r>
                <m:d>
                  <m:dPr>
                    <m:begChr m:val="("/>
                    <m:sepChr m:val=""/>
                    <m:endChr m:val=")"/>
                    <m:grow/>
                  </m:dPr>
                  <m:e>
                    <m:sSup>
                      <m:e>
                        <m:r>
                          <m:t>τ</m:t>
                        </m:r>
                      </m:e>
                      <m:sup>
                        <m:r>
                          <m:t>2</m:t>
                        </m:r>
                      </m:sup>
                    </m:sSup>
                  </m:e>
                </m:d>
                <m:r>
                  <m:rPr>
                    <m:sty m:val="p"/>
                  </m:rPr>
                  <m:t>,</m:t>
                </m:r>
                <m:r>
                  <m:t>  </m:t>
                </m:r>
                <m:f>
                  <m:fPr>
                    <m:type m:val="bar"/>
                  </m:fPr>
                  <m:num>
                    <m:r>
                      <m:rPr>
                        <m:sty m:val="p"/>
                      </m:rPr>
                      <m:t>E</m:t>
                    </m:r>
                    <m:r>
                      <m:rPr>
                        <m:sty m:val="p"/>
                      </m:rPr>
                      <m:t>S</m:t>
                    </m:r>
                    <m:r>
                      <m:rPr>
                        <m:sty m:val="p"/>
                      </m:rPr>
                      <m:t>S</m:t>
                    </m:r>
                    <m:d>
                      <m:dPr>
                        <m:begChr m:val="("/>
                        <m:sepChr m:val=""/>
                        <m:endChr m:val=")"/>
                        <m:grow/>
                      </m:dPr>
                      <m:e>
                        <m:r>
                          <m:t>τ</m:t>
                        </m:r>
                      </m:e>
                    </m:d>
                  </m:num>
                  <m:den>
                    <m:r>
                      <m:t>N</m:t>
                    </m:r>
                  </m:den>
                </m:f>
                <m:r>
                  <m:rPr>
                    <m:sty m:val="p"/>
                  </m:rPr>
                  <m:t>≍</m:t>
                </m:r>
                <m:sSup>
                  <m:e>
                    <m:r>
                      <m:t>τ</m:t>
                    </m:r>
                  </m:e>
                  <m:sup>
                    <m:r>
                      <m:t>m</m:t>
                    </m:r>
                  </m:sup>
                </m:sSup>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(1)</w:t>
            </w:r>
          </w:p>
        </w:tc>
      </w:tr>
    </w:tbl>
    <w:p>
      <w:pPr>
        <w:spacing w:after="120" w:before="20"/>
        <w:ind w:left="284"/>
        <w:jc w:val="left"/>
      </w:pPr>
      <w:r>
        <w:rPr>
          <w:i/>
          <w:iCs/>
          <w:color w:val="3A4350"/>
          <w:sz w:val="19"/>
          <w:szCs w:val="19"/>
        </w:rPr>
        <w:t xml:space="preserve">where </w:t>
      </w:r>
      <m:oMath>
        <m:sSup>
          <m:e>
            <m:r>
              <m:t>D</m:t>
            </m:r>
          </m:e>
          <m:sup>
            <m:r>
              <m:rPr>
                <m:sty m:val="p"/>
              </m:rPr>
              <m:t>⋆</m:t>
            </m:r>
          </m:sup>
        </m:sSup>
      </m:oMath>
      <w:r>
        <w:rPr>
          <w:color w:val="3A4350"/>
          <w:sz w:val="19"/>
          <w:szCs w:val="19"/>
        </w:rPr>
        <w:t xml:space="preserve"> is the smallest misfit the model can reach (zero when the facts are compatible; the squared distance </w:t>
      </w:r>
      <m:oMath>
        <m:sSup>
          <m:e>
            <m:r>
              <m:t>ϵ</m:t>
            </m:r>
          </m:e>
          <m:sup>
            <m:r>
              <m:rPr>
                <m:sty m:val="p"/>
              </m:rPr>
              <m:t>⋆</m:t>
            </m:r>
            <m:r>
              <m:t>2</m:t>
            </m:r>
          </m:sup>
        </m:sSup>
      </m:oMath>
      <w:r>
        <w:rPr>
          <w:color w:val="3A4350"/>
          <w:sz w:val="19"/>
          <w:szCs w:val="19"/>
        </w:rPr>
        <w:t xml:space="preserve"> of Frazier et al. [7] otherwise) and </w:t>
      </w:r>
      <m:oMath>
        <m:r>
          <m:t>m</m:t>
        </m:r>
      </m:oMath>
      <w:r>
        <w:rPr>
          <w:color w:val="3A4350"/>
          <w:sz w:val="19"/>
          <w:szCs w:val="19"/>
        </w:rPr>
        <w:t xml:space="preserve"> is 3 when the target lies inside the reach of the model, 4 when it lies outside it and the nearest point is on a smooth boundary, and smaller when a fact is redundant.</w:t>
      </w:r>
    </w:p>
    <w:p>
      <w:pPr>
        <w:spacing w:after="100"/>
        <w:jc w:val="both"/>
      </w:pPr>
      <w:r>
        <w:t xml:space="preserve">The check draws </w:t>
      </w:r>
      <m:oMath>
        <m:r>
          <m:t>N</m:t>
        </m:r>
        <m:r>
          <m:rPr>
            <m:sty m:val="p"/>
          </m:rPr>
          <m:t>=</m:t>
        </m:r>
        <m:r>
          <m:t>20</m:t>
        </m:r>
        <m:r>
          <m:t> </m:t>
        </m:r>
        <m:r>
          <m:t>000</m:t>
        </m:r>
      </m:oMath>
      <w:r>
        <w:t xml:space="preserve"> summaries uniformly in a cube (three facts) and fits (1) for </w:t>
      </w:r>
      <m:oMath>
        <m:r>
          <m:t>τ</m:t>
        </m:r>
      </m:oMath>
      <w:r>
        <w:t xml:space="preserve"> down to the value where the effective sample size is 100, as the note prescribes. Inside the reach the fitted slope is 2.96 (theory 3) and the exponent of the effective sample size 3.05; with a redundant fact both are 2.00 and 1.99 (theory 2). Outside the reach, the intercept is 0.271 against a true 0.272, but the slope is 3.46 where the theory says 4. The slope stays near 3.6–3.7 even with </w:t>
      </w:r>
      <m:oMath>
        <m:r>
          <m:t>2</m:t>
        </m:r>
        <m:r>
          <m:rPr>
            <m:sty m:val="p"/>
          </m:rPr>
          <m:t>×</m:t>
        </m:r>
        <m:sSup>
          <m:e>
            <m:r>
              <m:t>10</m:t>
            </m:r>
          </m:e>
          <m:sup>
            <m:r>
              <m:t>6</m:t>
            </m:r>
          </m:sup>
        </m:sSup>
      </m:oMath>
      <w:r>
        <w:t xml:space="preserve"> draws: the misfit grows linearly in the normal direction and quadratically along the boundary, and the quadratic correction is not small at any </w:t>
      </w:r>
      <m:oMath>
        <m:r>
          <m:t>τ</m:t>
        </m:r>
      </m:oMath>
      <w:r>
        <w:t xml:space="preserve"> the effective sample size allows (Figure 1a). So </w:t>
      </w:r>
      <m:oMath>
        <m:sSup>
          <m:e>
            <m:acc>
              <m:accPr>
                <m:chr m:val="̂"/>
              </m:accPr>
              <m:e>
                <m:r>
                  <m:t>D</m:t>
                </m:r>
              </m:e>
            </m:acc>
          </m:e>
          <m:sup>
            <m:r>
              <m:rPr>
                <m:sty m:val="p"/>
              </m:rPr>
              <m:t>⋆</m:t>
            </m:r>
          </m:sup>
        </m:sSup>
      </m:oMath>
      <w:r>
        <w:t xml:space="preserve"> answers the question N1 asks, whether the facts can be met at all, and </w:t>
      </w:r>
      <m:oMath>
        <m:acc>
          <m:accPr>
            <m:chr m:val="̂"/>
          </m:accPr>
          <m:e>
            <m:r>
              <m:t>m</m:t>
            </m:r>
          </m:e>
        </m:acc>
      </m:oMath>
      <w:r>
        <w:t xml:space="preserve"> separates only a redundant fact (2) from the rest; it should not be used to tell an inside target (3) from an outside one (4). A bootstrap over the 20 000 stored draws gives the band of </w:t>
      </w:r>
      <m:oMath>
        <m:sSup>
          <m:e>
            <m:acc>
              <m:accPr>
                <m:chr m:val="̂"/>
              </m:accPr>
              <m:e>
                <m:r>
                  <m:t>D</m:t>
                </m:r>
              </m:e>
            </m:acc>
          </m:e>
          <m:sup>
            <m:r>
              <m:rPr>
                <m:sty m:val="p"/>
              </m:rPr>
              <m:t>⋆</m:t>
            </m:r>
          </m:sup>
        </m:sSup>
      </m:oMath>
      <w:r>
        <w:t xml:space="preserve"> at no extra model run.</w:t>
      </w:r>
    </w:p>
    <w:p>
      <w:pPr>
        <w:pStyle w:val="Heading2"/>
      </w:pPr>
      <w:r>
        <w:t xml:space="preserve">3.2 N2: certified thresholds, and what they cost in the assembled-system note</w:t>
      </w:r>
    </w:p>
    <w:p>
      <w:pPr>
        <w:spacing w:after="100"/>
        <w:jc w:val="both"/>
      </w:pPr>
      <w:r>
        <w:t xml:space="preserve">N2 tests the pumping thresholds in increasing order and certifies the largest one before the first non-rejection: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sSub>
                  <m:e>
                    <m:r>
                      <m:t>H</m:t>
                    </m:r>
                  </m:e>
                  <m:sub>
                    <m:r>
                      <m:t>j</m:t>
                    </m:r>
                  </m:sub>
                </m:sSub>
                <m:r>
                  <m:rPr>
                    <m:sty m:val="p"/>
                  </m:rPr>
                  <m:t>:</m:t>
                </m:r>
                <m:r>
                  <m:t> </m:t>
                </m:r>
                <m:r>
                  <m:t>R</m:t>
                </m:r>
                <m:d>
                  <m:dPr>
                    <m:begChr m:val="("/>
                    <m:sepChr m:val=""/>
                    <m:endChr m:val=")"/>
                    <m:grow/>
                  </m:dPr>
                  <m:e>
                    <m:sSub>
                      <m:e>
                        <m:r>
                          <m:t>Q</m:t>
                        </m:r>
                      </m:e>
                      <m:sub>
                        <m:r>
                          <m:t>j</m:t>
                        </m:r>
                      </m:sub>
                    </m:sSub>
                  </m:e>
                </m:d>
                <m:r>
                  <m:rPr>
                    <m:sty m:val="p"/>
                  </m:rPr>
                  <m:t>&gt;</m:t>
                </m:r>
                <m:r>
                  <m:t>α</m:t>
                </m:r>
                <m:r>
                  <m:rPr>
                    <m:sty m:val="p"/>
                  </m:rPr>
                  <m:t>,</m:t>
                </m:r>
                <m:r>
                  <m:t>  </m:t>
                </m:r>
                <m:sSub>
                  <m:e>
                    <m:r>
                      <m:t>p</m:t>
                    </m:r>
                  </m:e>
                  <m:sub>
                    <m:r>
                      <m:t>j</m:t>
                    </m:r>
                  </m:sub>
                </m:sSub>
                <m:r>
                  <m:rPr>
                    <m:sty m:val="p"/>
                  </m:rPr>
                  <m:t>=</m:t>
                </m:r>
                <m:r>
                  <m:rPr>
                    <m:sty m:val="p"/>
                  </m:rPr>
                  <m:t>Pr</m:t>
                </m:r>
                <m:r>
                  <m:rPr>
                    <m:sty m:val="p"/>
                  </m:rPr>
                  <m:t>{</m:t>
                </m:r>
                <m:r>
                  <m:rPr>
                    <m:sty m:val="p"/>
                  </m:rPr>
                  <m:t>B</m:t>
                </m:r>
                <m:r>
                  <m:rPr>
                    <m:sty m:val="p"/>
                  </m:rPr>
                  <m:t>i</m:t>
                </m:r>
                <m:r>
                  <m:rPr>
                    <m:sty m:val="p"/>
                  </m:rPr>
                  <m:t>n</m:t>
                </m:r>
                <m:d>
                  <m:dPr>
                    <m:begChr m:val="("/>
                    <m:sepChr m:val=""/>
                    <m:endChr m:val=")"/>
                    <m:grow/>
                  </m:dPr>
                  <m:e>
                    <m:sSub>
                      <m:e>
                        <m:r>
                          <m:t>n</m:t>
                        </m:r>
                      </m:e>
                      <m:sub>
                        <m:r>
                          <m:t>j</m:t>
                        </m:r>
                      </m:sub>
                    </m:sSub>
                    <m:r>
                      <m:rPr>
                        <m:sty m:val="p"/>
                      </m:rPr>
                      <m:t>,</m:t>
                    </m:r>
                    <m:r>
                      <m:t>α</m:t>
                    </m:r>
                  </m:e>
                </m:d>
                <m:r>
                  <m:rPr>
                    <m:sty m:val="p"/>
                  </m:rPr>
                  <m:t>≤</m:t>
                </m:r>
                <m:sSub>
                  <m:e>
                    <m:r>
                      <m:t>X</m:t>
                    </m:r>
                  </m:e>
                  <m:sub>
                    <m:r>
                      <m:t>j</m:t>
                    </m:r>
                  </m:sub>
                </m:sSub>
                <m:r>
                  <m:rPr>
                    <m:sty m:val="p"/>
                  </m:rPr>
                  <m:t>}</m:t>
                </m:r>
                <m:r>
                  <m:rPr>
                    <m:sty m:val="p"/>
                  </m:rPr>
                  <m:t>,</m:t>
                </m:r>
                <m:r>
                  <m:t>  </m:t>
                </m:r>
                <m:acc>
                  <m:accPr>
                    <m:chr m:val="̂"/>
                  </m:accPr>
                  <m:e>
                    <m:r>
                      <m:t>j</m:t>
                    </m:r>
                  </m:e>
                </m:acc>
                <m:r>
                  <m:rPr>
                    <m:sty m:val="p"/>
                  </m:rPr>
                  <m:t>=</m:t>
                </m:r>
                <m:r>
                  <m:rPr>
                    <m:sty m:val="p"/>
                  </m:rPr>
                  <m:t>max</m:t>
                </m:r>
                <m:r>
                  <m:rPr>
                    <m:sty m:val="p"/>
                  </m:rPr>
                  <m:t>{</m:t>
                </m:r>
                <m:r>
                  <m:t>j</m:t>
                </m:r>
                <m:r>
                  <m:rPr>
                    <m:sty m:val="p"/>
                  </m:rPr>
                  <m:t>:</m:t>
                </m:r>
                <m:r>
                  <m:t> </m:t>
                </m:r>
                <m:sSub>
                  <m:e>
                    <m:r>
                      <m:t>p</m:t>
                    </m:r>
                  </m:e>
                  <m:sub>
                    <m:r>
                      <m:t>1</m:t>
                    </m:r>
                  </m:sub>
                </m:sSub>
                <m:r>
                  <m:rPr>
                    <m:sty m:val="p"/>
                  </m:rPr>
                  <m:t>≤</m:t>
                </m:r>
                <m:r>
                  <m:t>δ</m:t>
                </m:r>
                <m:r>
                  <m:rPr>
                    <m:sty m:val="p"/>
                  </m:rPr>
                  <m:t>,</m:t>
                </m:r>
                <m:r>
                  <m:rPr>
                    <m:sty m:val="p"/>
                  </m:rPr>
                  <m:t>…</m:t>
                </m:r>
                <m:r>
                  <m:rPr>
                    <m:sty m:val="p"/>
                  </m:rPr>
                  <m:t>,</m:t>
                </m:r>
                <m:sSub>
                  <m:e>
                    <m:r>
                      <m:t>p</m:t>
                    </m:r>
                  </m:e>
                  <m:sub>
                    <m:r>
                      <m:t>j</m:t>
                    </m:r>
                  </m:sub>
                </m:sSub>
                <m:r>
                  <m:rPr>
                    <m:sty m:val="p"/>
                  </m:rPr>
                  <m:t>≤</m:t>
                </m:r>
                <m:r>
                  <m:t>δ</m:t>
                </m:r>
                <m:r>
                  <m:rPr>
                    <m:sty m:val="p"/>
                  </m:rPr>
                  <m:t>}</m:t>
                </m:r>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(2)</w:t>
            </w:r>
          </w:p>
        </w:tc>
      </w:tr>
    </w:tbl>
    <w:p>
      <w:pPr>
        <w:spacing w:after="120" w:before="20"/>
        <w:ind w:left="284"/>
        <w:jc w:val="left"/>
      </w:pPr>
      <w:r>
        <w:rPr>
          <w:i/>
          <w:iCs/>
          <w:color w:val="3A4350"/>
          <w:sz w:val="19"/>
          <w:szCs w:val="19"/>
        </w:rPr>
        <w:t xml:space="preserve">where </w:t>
      </w:r>
      <m:oMath>
        <m:sSub>
          <m:e>
            <m:r>
              <m:t>X</m:t>
            </m:r>
          </m:e>
          <m:sub>
            <m:r>
              <m:t>j</m:t>
            </m:r>
          </m:sub>
        </m:sSub>
      </m:oMath>
      <w:r>
        <w:rPr>
          <w:color w:val="3A4350"/>
          <w:sz w:val="19"/>
          <w:szCs w:val="19"/>
        </w:rPr>
        <w:t xml:space="preserve"> is the number of exceedances among the </w:t>
      </w:r>
      <m:oMath>
        <m:sSub>
          <m:e>
            <m:r>
              <m:t>n</m:t>
            </m:r>
          </m:e>
          <m:sub>
            <m:r>
              <m:t>j</m:t>
            </m:r>
          </m:sub>
        </m:sSub>
      </m:oMath>
      <w:r>
        <w:rPr>
          <w:color w:val="3A4350"/>
          <w:sz w:val="19"/>
          <w:szCs w:val="19"/>
        </w:rPr>
        <w:t xml:space="preserve"> units run at threshold </w:t>
      </w:r>
      <m:oMath>
        <m:sSub>
          <m:e>
            <m:r>
              <m:t>Q</m:t>
            </m:r>
          </m:e>
          <m:sub>
            <m:r>
              <m:t>j</m:t>
            </m:r>
          </m:sub>
        </m:sSub>
      </m:oMath>
      <w:r>
        <w:rPr>
          <w:color w:val="3A4350"/>
          <w:sz w:val="19"/>
          <w:szCs w:val="19"/>
        </w:rPr>
        <w:t xml:space="preserve">. The family-wise error is at most </w:t>
      </w:r>
      <m:oMath>
        <m:r>
          <m:t>δ</m:t>
        </m:r>
      </m:oMath>
      <w:r>
        <w:rPr>
          <w:color w:val="3A4350"/>
          <w:sz w:val="19"/>
          <w:szCs w:val="19"/>
        </w:rPr>
        <w:t xml:space="preserve"> without any monotonicity of the risk [6].</w:t>
      </w:r>
    </w:p>
    <w:p>
      <w:pPr>
        <w:spacing w:after="100"/>
        <w:jc w:val="both"/>
      </w:pPr>
      <w:r>
        <w:t xml:space="preserve">With a risk curve that is not monotone (a bump above </w:t>
      </w:r>
      <m:oMath>
        <m:r>
          <m:t>α</m:t>
        </m:r>
      </m:oMath>
      <w:r>
        <w:t xml:space="preserve"> in the middle), </w:t>
      </w:r>
      <m:oMath>
        <m:r>
          <m:t>n</m:t>
        </m:r>
        <m:r>
          <m:rPr>
            <m:sty m:val="p"/>
          </m:rPr>
          <m:t>=</m:t>
        </m:r>
        <m:r>
          <m:t>40</m:t>
        </m:r>
      </m:oMath>
      <w:r>
        <w:t xml:space="preserve"> units per arm and 20 000 repetitions, the family-wise error was 0.002 against </w:t>
      </w:r>
      <m:oMath>
        <m:r>
          <m:t>δ</m:t>
        </m:r>
        <m:r>
          <m:rPr>
            <m:sty m:val="p"/>
          </m:rPr>
          <m:t>=</m:t>
        </m:r>
        <m:r>
          <m:t>0.1</m:t>
        </m:r>
      </m:oMath>
      <w:r>
        <w:t xml:space="preserve">, and the fixed sequence never certified a smaller threshold than the simultaneous band with the same Wald statistics (0 violations; mean certified index 1.70 against 0.61). Part (c) of the note's claim holds.</w:t>
      </w:r>
    </w:p>
    <w:p>
      <w:pPr>
        <w:spacing w:after="100"/>
        <w:jc w:val="both"/>
      </w:pPr>
      <w:r>
        <w:t xml:space="preserve">The same certificate can be put on the safe yield of the assembled-system note [3], which takes the 3rd smallest of 25 critical rates as the safe rate at </w:t>
      </w:r>
      <m:oMath>
        <m:r>
          <m:t>α</m:t>
        </m:r>
        <m:r>
          <m:rPr>
            <m:sty m:val="p"/>
          </m:rPr>
          <m:t>=</m:t>
        </m:r>
        <m:r>
          <m:t>10</m:t>
        </m:r>
        <m:r>
          <m:rPr>
            <m:sty m:val="p"/>
          </m:rPr>
          <m:t>%</m:t>
        </m:r>
      </m:oMath>
      <w:r>
        <w:t xml:space="preserve">. A certificate at level </w:t>
      </w:r>
      <m:oMath>
        <m:d>
          <m:dPr>
            <m:begChr m:val="("/>
            <m:sepChr m:val=""/>
            <m:endChr m:val=")"/>
            <m:grow/>
          </m:dPr>
          <m:e>
            <m:r>
              <m:t>α</m:t>
            </m:r>
            <m:r>
              <m:rPr>
                <m:sty m:val="p"/>
              </m:rPr>
              <m:t>,</m:t>
            </m:r>
            <m:r>
              <m:t>δ</m:t>
            </m:r>
          </m:e>
        </m:d>
      </m:oMath>
      <w:r>
        <w:t xml:space="preserve"> allows </w:t>
      </w:r>
      <m:oMath>
        <m:r>
          <m:t>k</m:t>
        </m:r>
      </m:oMath>
      <w:r>
        <w:t xml:space="preserve"> exceedances among </w:t>
      </w:r>
      <m:oMath>
        <m:r>
          <m:t>N</m:t>
        </m:r>
      </m:oMath>
      <w:r>
        <w:t xml:space="preserve"> draws only if </w:t>
      </w:r>
      <m:oMath>
        <m:r>
          <m:rPr>
            <m:sty m:val="p"/>
          </m:rPr>
          <m:t>Pr</m:t>
        </m:r>
        <m:r>
          <m:rPr>
            <m:sty m:val="p"/>
          </m:rPr>
          <m:t>{</m:t>
        </m:r>
        <m:r>
          <m:rPr>
            <m:sty m:val="p"/>
          </m:rPr>
          <m:t>B</m:t>
        </m:r>
        <m:r>
          <m:rPr>
            <m:sty m:val="p"/>
          </m:rPr>
          <m:t>i</m:t>
        </m:r>
        <m:r>
          <m:rPr>
            <m:sty m:val="p"/>
          </m:rPr>
          <m:t>n</m:t>
        </m:r>
        <m:d>
          <m:dPr>
            <m:begChr m:val="("/>
            <m:sepChr m:val=""/>
            <m:endChr m:val=")"/>
            <m:grow/>
          </m:dPr>
          <m:e>
            <m:r>
              <m:t>N</m:t>
            </m:r>
            <m:r>
              <m:rPr>
                <m:sty m:val="p"/>
              </m:rPr>
              <m:t>,</m:t>
            </m:r>
            <m:r>
              <m:t>α</m:t>
            </m:r>
          </m:e>
        </m:d>
        <m:r>
          <m:rPr>
            <m:sty m:val="p"/>
          </m:rPr>
          <m:t>≤</m:t>
        </m:r>
        <m:r>
          <m:t>k</m:t>
        </m:r>
        <m:r>
          <m:rPr>
            <m:sty m:val="p"/>
          </m:rPr>
          <m:t>}</m:t>
        </m:r>
        <m:r>
          <m:rPr>
            <m:sty m:val="p"/>
          </m:rPr>
          <m:t>≤</m:t>
        </m:r>
        <m:r>
          <m:t>δ</m:t>
        </m:r>
      </m:oMath>
      <w:r>
        <w:t xml:space="preserve">. With </w:t>
      </w:r>
      <m:oMath>
        <m:r>
          <m:t>N</m:t>
        </m:r>
        <m:r>
          <m:rPr>
            <m:sty m:val="p"/>
          </m:rPr>
          <m:t>=</m:t>
        </m:r>
        <m:r>
          <m:t>25</m:t>
        </m:r>
      </m:oMath>
      <w:r>
        <w:t xml:space="preserve"> this allows 0 exceedances at </w:t>
      </w:r>
      <m:oMath>
        <m:r>
          <m:t>δ</m:t>
        </m:r>
        <m:r>
          <m:rPr>
            <m:sty m:val="p"/>
          </m:rPr>
          <m:t>=</m:t>
        </m:r>
        <m:r>
          <m:t>10</m:t>
        </m:r>
        <m:r>
          <m:rPr>
            <m:sty m:val="p"/>
          </m:rPr>
          <m:t>%</m:t>
        </m:r>
      </m:oMath>
      <w:r>
        <w:t xml:space="preserve"> and none can be certified at </w:t>
      </w:r>
      <m:oMath>
        <m:r>
          <m:t>δ</m:t>
        </m:r>
        <m:r>
          <m:rPr>
            <m:sty m:val="p"/>
          </m:rPr>
          <m:t>=</m:t>
        </m:r>
        <m:r>
          <m:t>5</m:t>
        </m:r>
        <m:r>
          <m:rPr>
            <m:sty m:val="p"/>
          </m:rPr>
          <m:t>%</m:t>
        </m:r>
      </m:oMath>
      <w:r>
        <w:t xml:space="preserve">, since </w:t>
      </w:r>
      <m:oMath>
        <m:sSup>
          <m:e>
            <m:r>
              <m:t>0.9</m:t>
            </m:r>
          </m:e>
          <m:sup>
            <m:r>
              <m:t>25</m:t>
            </m:r>
          </m:sup>
        </m:sSup>
        <m:r>
          <m:rPr>
            <m:sty m:val="p"/>
          </m:rPr>
          <m:t>=</m:t>
        </m:r>
        <m:r>
          <m:t>0.072</m:t>
        </m:r>
      </m:oMath>
      <w:r>
        <w:t xml:space="preserve">. On the complete assembly the best layout stays the same (supply well at 3.5 km, recharge well at 3.0 km), but its certified rate is 5.70 instead of 6.36 m²/d per metre of coast and its value 11.6% lower (Table 3). The order statistic of that note controls the risk on the draws used; the certificate adds a guarantee at confidence </w:t>
      </w:r>
      <m:oMath>
        <m:r>
          <m:t>1</m:t>
        </m:r>
        <m:r>
          <m:rPr>
            <m:sty m:val="p"/>
          </m:rPr>
          <m:t>−</m:t>
        </m:r>
        <m:r>
          <m:t>δ</m:t>
        </m:r>
      </m:oMath>
      <w:r>
        <w:t xml:space="preserve">, and with 25 draws it costs a ninth of the water.</w:t>
      </w:r>
    </w:p>
    <w:p>
      <w:pPr>
        <w:keepNext/>
        <w:spacing w:after="60" w:before="120"/>
        <w:jc w:val="both"/>
      </w:pPr>
      <w:r>
        <w:rPr>
          <w:b/>
          <w:bCs/>
          <w:color w:val="1F3864"/>
          <w:sz w:val="18"/>
          <w:szCs w:val="18"/>
        </w:rPr>
        <w:t xml:space="preserve">Table 3. </w:t>
      </w:r>
      <w:r>
        <w:rPr>
          <w:color w:val="3A4350"/>
          <w:sz w:val="18"/>
          <w:szCs w:val="18"/>
        </w:rPr>
        <w:t xml:space="preserve">How many exceedances a certified safe yield at </w:t>
      </w:r>
      <m:oMath>
        <m:r>
          <m:t>α</m:t>
        </m:r>
        <m:r>
          <m:rPr>
            <m:sty m:val="p"/>
          </m:rPr>
          <m:t>=</m:t>
        </m:r>
        <m:r>
          <m:t>10</m:t>
        </m:r>
        <m:r>
          <m:rPr>
            <m:sty m:val="p"/>
          </m:rPr>
          <m:t>%</m:t>
        </m:r>
      </m:oMath>
      <w:r>
        <w:rPr>
          <w:color w:val="3A4350"/>
          <w:sz w:val="18"/>
          <w:szCs w:val="18"/>
        </w:rPr>
        <w:t xml:space="preserve"> may contain, against the order statistic of the assembled-system note. With 25 draws, the certificate at </w:t>
      </w:r>
      <m:oMath>
        <m:r>
          <m:t>δ</m:t>
        </m:r>
        <m:r>
          <m:rPr>
            <m:sty m:val="p"/>
          </m:rPr>
          <m:t>=</m:t>
        </m:r>
        <m:r>
          <m:t>10</m:t>
        </m:r>
        <m:r>
          <m:rPr>
            <m:sty m:val="p"/>
          </m:rPr>
          <m:t>%</m:t>
        </m:r>
      </m:oMath>
      <w:r>
        <w:rPr>
          <w:color w:val="3A4350"/>
          <w:sz w:val="18"/>
          <w:szCs w:val="18"/>
        </w:rPr>
        <w:t xml:space="preserve"> takes the smallest critical rate.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800"/>
        <w:gridCol w:w="2900"/>
        <w:gridCol w:w="2200"/>
        <w:gridCol w:w="2738"/>
      </w:tblGrid>
      <w:tr>
        <w:trPr>
          <w:cantSplit/>
          <w:tblHeader/>
        </w:trPr>
        <w:tc>
          <w:tcPr>
            <w:tcW w:type="dxa" w:w="18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Draws N</w:t>
            </w:r>
          </w:p>
        </w:tc>
        <w:tc>
          <w:tcPr>
            <w:tcW w:type="dxa" w:w="29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Exceedances allowed at δ = 10%</w:t>
            </w:r>
          </w:p>
        </w:tc>
        <w:tc>
          <w:tcPr>
            <w:tcW w:type="dxa" w:w="22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at δ = 5%</w:t>
            </w:r>
          </w:p>
        </w:tc>
        <w:tc>
          <w:tcPr>
            <w:tcW w:type="dxa" w:w="2738"/>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Order statistic ⌊αN⌋</w:t>
            </w:r>
          </w:p>
        </w:tc>
      </w:tr>
      <w:tr>
        <w:trPr>
          <w:cantSplit/>
        </w:trPr>
        <w:tc>
          <w:tcPr>
            <w:tcW w:type="dxa" w:w="1800"/>
            <w:tcMar>
              <w:top w:type="dxa" w:w="40"/>
              <w:left w:type="dxa" w:w="80"/>
              <w:bottom w:type="dxa" w:w="40"/>
              <w:right w:type="dxa" w:w="80"/>
            </w:tcMar>
            <w:vAlign w:val="top"/>
          </w:tcPr>
          <w:p>
            <w:r>
              <w:rPr>
                <w:sz w:val="16"/>
                <w:szCs w:val="16"/>
              </w:rPr>
              <w:t xml:space="preserve">25</w:t>
            </w:r>
          </w:p>
        </w:tc>
        <w:tc>
          <w:tcPr>
            <w:tcW w:type="dxa" w:w="2900"/>
            <w:tcMar>
              <w:top w:type="dxa" w:w="40"/>
              <w:left w:type="dxa" w:w="80"/>
              <w:bottom w:type="dxa" w:w="40"/>
              <w:right w:type="dxa" w:w="80"/>
            </w:tcMar>
            <w:vAlign w:val="top"/>
          </w:tcPr>
          <w:p>
            <w:r>
              <w:rPr>
                <w:sz w:val="16"/>
                <w:szCs w:val="16"/>
              </w:rPr>
              <w:t xml:space="preserve">0</w:t>
            </w:r>
          </w:p>
        </w:tc>
        <w:tc>
          <w:tcPr>
            <w:tcW w:type="dxa" w:w="2200"/>
            <w:tcMar>
              <w:top w:type="dxa" w:w="40"/>
              <w:left w:type="dxa" w:w="80"/>
              <w:bottom w:type="dxa" w:w="40"/>
              <w:right w:type="dxa" w:w="80"/>
            </w:tcMar>
            <w:vAlign w:val="top"/>
          </w:tcPr>
          <w:p>
            <w:r>
              <w:rPr>
                <w:sz w:val="16"/>
                <w:szCs w:val="16"/>
              </w:rPr>
              <w:t xml:space="preserve">none certifiable</w:t>
            </w:r>
          </w:p>
        </w:tc>
        <w:tc>
          <w:tcPr>
            <w:tcW w:type="dxa" w:w="2738"/>
            <w:tcMar>
              <w:top w:type="dxa" w:w="40"/>
              <w:left w:type="dxa" w:w="80"/>
              <w:bottom w:type="dxa" w:w="40"/>
              <w:right w:type="dxa" w:w="80"/>
            </w:tcMar>
            <w:vAlign w:val="top"/>
          </w:tcPr>
          <w:p>
            <w:r>
              <w:rPr>
                <w:sz w:val="16"/>
                <w:szCs w:val="16"/>
              </w:rPr>
              <w:t xml:space="preserve">2</w:t>
            </w:r>
          </w:p>
        </w:tc>
      </w:tr>
      <w:tr>
        <w:trPr>
          <w:cantSplit/>
        </w:trPr>
        <w:tc>
          <w:tcPr>
            <w:tcW w:type="dxa" w:w="1800"/>
            <w:shd w:fill="F7F9FC" w:color="auto" w:val="clear"/>
            <w:tcMar>
              <w:top w:type="dxa" w:w="40"/>
              <w:left w:type="dxa" w:w="80"/>
              <w:bottom w:type="dxa" w:w="40"/>
              <w:right w:type="dxa" w:w="80"/>
            </w:tcMar>
            <w:vAlign w:val="top"/>
          </w:tcPr>
          <w:p>
            <w:r>
              <w:rPr>
                <w:sz w:val="16"/>
                <w:szCs w:val="16"/>
              </w:rPr>
              <w:t xml:space="preserve">29</w:t>
            </w:r>
          </w:p>
        </w:tc>
        <w:tc>
          <w:tcPr>
            <w:tcW w:type="dxa" w:w="2900"/>
            <w:shd w:fill="F7F9FC" w:color="auto" w:val="clear"/>
            <w:tcMar>
              <w:top w:type="dxa" w:w="40"/>
              <w:left w:type="dxa" w:w="80"/>
              <w:bottom w:type="dxa" w:w="40"/>
              <w:right w:type="dxa" w:w="80"/>
            </w:tcMar>
            <w:vAlign w:val="top"/>
          </w:tcPr>
          <w:p>
            <w:r>
              <w:rPr>
                <w:sz w:val="16"/>
                <w:szCs w:val="16"/>
              </w:rPr>
              <w:t xml:space="preserve">0</w:t>
            </w:r>
          </w:p>
        </w:tc>
        <w:tc>
          <w:tcPr>
            <w:tcW w:type="dxa" w:w="2200"/>
            <w:shd w:fill="F7F9FC" w:color="auto" w:val="clear"/>
            <w:tcMar>
              <w:top w:type="dxa" w:w="40"/>
              <w:left w:type="dxa" w:w="80"/>
              <w:bottom w:type="dxa" w:w="40"/>
              <w:right w:type="dxa" w:w="80"/>
            </w:tcMar>
            <w:vAlign w:val="top"/>
          </w:tcPr>
          <w:p>
            <w:r>
              <w:rPr>
                <w:sz w:val="16"/>
                <w:szCs w:val="16"/>
              </w:rPr>
              <w:t xml:space="preserve">0</w:t>
            </w:r>
          </w:p>
        </w:tc>
        <w:tc>
          <w:tcPr>
            <w:tcW w:type="dxa" w:w="2738"/>
            <w:shd w:fill="F7F9FC" w:color="auto" w:val="clear"/>
            <w:tcMar>
              <w:top w:type="dxa" w:w="40"/>
              <w:left w:type="dxa" w:w="80"/>
              <w:bottom w:type="dxa" w:w="40"/>
              <w:right w:type="dxa" w:w="80"/>
            </w:tcMar>
            <w:vAlign w:val="top"/>
          </w:tcPr>
          <w:p>
            <w:r>
              <w:rPr>
                <w:sz w:val="16"/>
                <w:szCs w:val="16"/>
              </w:rPr>
              <w:t xml:space="preserve">2</w:t>
            </w:r>
          </w:p>
        </w:tc>
      </w:tr>
      <w:tr>
        <w:trPr>
          <w:cantSplit/>
        </w:trPr>
        <w:tc>
          <w:tcPr>
            <w:tcW w:type="dxa" w:w="1800"/>
            <w:tcMar>
              <w:top w:type="dxa" w:w="40"/>
              <w:left w:type="dxa" w:w="80"/>
              <w:bottom w:type="dxa" w:w="40"/>
              <w:right w:type="dxa" w:w="80"/>
            </w:tcMar>
            <w:vAlign w:val="top"/>
          </w:tcPr>
          <w:p>
            <w:r>
              <w:rPr>
                <w:sz w:val="16"/>
                <w:szCs w:val="16"/>
              </w:rPr>
              <w:t xml:space="preserve">50</w:t>
            </w:r>
          </w:p>
        </w:tc>
        <w:tc>
          <w:tcPr>
            <w:tcW w:type="dxa" w:w="2900"/>
            <w:tcMar>
              <w:top w:type="dxa" w:w="40"/>
              <w:left w:type="dxa" w:w="80"/>
              <w:bottom w:type="dxa" w:w="40"/>
              <w:right w:type="dxa" w:w="80"/>
            </w:tcMar>
            <w:vAlign w:val="top"/>
          </w:tcPr>
          <w:p>
            <w:r>
              <w:rPr>
                <w:sz w:val="16"/>
                <w:szCs w:val="16"/>
              </w:rPr>
              <w:t xml:space="preserve">1</w:t>
            </w:r>
          </w:p>
        </w:tc>
        <w:tc>
          <w:tcPr>
            <w:tcW w:type="dxa" w:w="2200"/>
            <w:tcMar>
              <w:top w:type="dxa" w:w="40"/>
              <w:left w:type="dxa" w:w="80"/>
              <w:bottom w:type="dxa" w:w="40"/>
              <w:right w:type="dxa" w:w="80"/>
            </w:tcMar>
            <w:vAlign w:val="top"/>
          </w:tcPr>
          <w:p>
            <w:r>
              <w:rPr>
                <w:sz w:val="16"/>
                <w:szCs w:val="16"/>
              </w:rPr>
              <w:t xml:space="preserve">1</w:t>
            </w:r>
          </w:p>
        </w:tc>
        <w:tc>
          <w:tcPr>
            <w:tcW w:type="dxa" w:w="2738"/>
            <w:tcMar>
              <w:top w:type="dxa" w:w="40"/>
              <w:left w:type="dxa" w:w="80"/>
              <w:bottom w:type="dxa" w:w="40"/>
              <w:right w:type="dxa" w:w="80"/>
            </w:tcMar>
            <w:vAlign w:val="top"/>
          </w:tcPr>
          <w:p>
            <w:r>
              <w:rPr>
                <w:sz w:val="16"/>
                <w:szCs w:val="16"/>
              </w:rPr>
              <w:t xml:space="preserve">5</w:t>
            </w:r>
          </w:p>
        </w:tc>
      </w:tr>
      <w:tr>
        <w:trPr>
          <w:cantSplit/>
        </w:trPr>
        <w:tc>
          <w:tcPr>
            <w:tcW w:type="dxa" w:w="1800"/>
            <w:shd w:fill="F7F9FC" w:color="auto" w:val="clear"/>
            <w:tcMar>
              <w:top w:type="dxa" w:w="40"/>
              <w:left w:type="dxa" w:w="80"/>
              <w:bottom w:type="dxa" w:w="40"/>
              <w:right w:type="dxa" w:w="80"/>
            </w:tcMar>
            <w:vAlign w:val="top"/>
          </w:tcPr>
          <w:p>
            <w:r>
              <w:rPr>
                <w:sz w:val="16"/>
                <w:szCs w:val="16"/>
              </w:rPr>
              <w:t xml:space="preserve">100</w:t>
            </w:r>
          </w:p>
        </w:tc>
        <w:tc>
          <w:tcPr>
            <w:tcW w:type="dxa" w:w="2900"/>
            <w:shd w:fill="F7F9FC" w:color="auto" w:val="clear"/>
            <w:tcMar>
              <w:top w:type="dxa" w:w="40"/>
              <w:left w:type="dxa" w:w="80"/>
              <w:bottom w:type="dxa" w:w="40"/>
              <w:right w:type="dxa" w:w="80"/>
            </w:tcMar>
            <w:vAlign w:val="top"/>
          </w:tcPr>
          <w:p>
            <w:r>
              <w:rPr>
                <w:sz w:val="16"/>
                <w:szCs w:val="16"/>
              </w:rPr>
              <w:t xml:space="preserve">5</w:t>
            </w:r>
          </w:p>
        </w:tc>
        <w:tc>
          <w:tcPr>
            <w:tcW w:type="dxa" w:w="2200"/>
            <w:shd w:fill="F7F9FC" w:color="auto" w:val="clear"/>
            <w:tcMar>
              <w:top w:type="dxa" w:w="40"/>
              <w:left w:type="dxa" w:w="80"/>
              <w:bottom w:type="dxa" w:w="40"/>
              <w:right w:type="dxa" w:w="80"/>
            </w:tcMar>
            <w:vAlign w:val="top"/>
          </w:tcPr>
          <w:p>
            <w:r>
              <w:rPr>
                <w:sz w:val="16"/>
                <w:szCs w:val="16"/>
              </w:rPr>
              <w:t xml:space="preserve">4</w:t>
            </w:r>
          </w:p>
        </w:tc>
        <w:tc>
          <w:tcPr>
            <w:tcW w:type="dxa" w:w="2738"/>
            <w:shd w:fill="F7F9FC" w:color="auto" w:val="clear"/>
            <w:tcMar>
              <w:top w:type="dxa" w:w="40"/>
              <w:left w:type="dxa" w:w="80"/>
              <w:bottom w:type="dxa" w:w="40"/>
              <w:right w:type="dxa" w:w="80"/>
            </w:tcMar>
            <w:vAlign w:val="top"/>
          </w:tcPr>
          <w:p>
            <w:r>
              <w:rPr>
                <w:sz w:val="16"/>
                <w:szCs w:val="16"/>
              </w:rPr>
              <w:t xml:space="preserve">10</w:t>
            </w:r>
          </w:p>
        </w:tc>
      </w:tr>
      <w:tr>
        <w:trPr>
          <w:cantSplit/>
        </w:trPr>
        <w:tc>
          <w:tcPr>
            <w:tcW w:type="dxa" w:w="1800"/>
            <w:tcMar>
              <w:top w:type="dxa" w:w="40"/>
              <w:left w:type="dxa" w:w="80"/>
              <w:bottom w:type="dxa" w:w="40"/>
              <w:right w:type="dxa" w:w="80"/>
            </w:tcMar>
            <w:vAlign w:val="top"/>
          </w:tcPr>
          <w:p>
            <w:r>
              <w:rPr>
                <w:sz w:val="16"/>
                <w:szCs w:val="16"/>
              </w:rPr>
              <w:t xml:space="preserve">200</w:t>
            </w:r>
          </w:p>
        </w:tc>
        <w:tc>
          <w:tcPr>
            <w:tcW w:type="dxa" w:w="2900"/>
            <w:tcMar>
              <w:top w:type="dxa" w:w="40"/>
              <w:left w:type="dxa" w:w="80"/>
              <w:bottom w:type="dxa" w:w="40"/>
              <w:right w:type="dxa" w:w="80"/>
            </w:tcMar>
            <w:vAlign w:val="top"/>
          </w:tcPr>
          <w:p>
            <w:r>
              <w:rPr>
                <w:sz w:val="16"/>
                <w:szCs w:val="16"/>
              </w:rPr>
              <w:t xml:space="preserve">14</w:t>
            </w:r>
          </w:p>
        </w:tc>
        <w:tc>
          <w:tcPr>
            <w:tcW w:type="dxa" w:w="2200"/>
            <w:tcMar>
              <w:top w:type="dxa" w:w="40"/>
              <w:left w:type="dxa" w:w="80"/>
              <w:bottom w:type="dxa" w:w="40"/>
              <w:right w:type="dxa" w:w="80"/>
            </w:tcMar>
            <w:vAlign w:val="top"/>
          </w:tcPr>
          <w:p>
            <w:r>
              <w:rPr>
                <w:sz w:val="16"/>
                <w:szCs w:val="16"/>
              </w:rPr>
              <w:t xml:space="preserve">12</w:t>
            </w:r>
          </w:p>
        </w:tc>
        <w:tc>
          <w:tcPr>
            <w:tcW w:type="dxa" w:w="2738"/>
            <w:tcMar>
              <w:top w:type="dxa" w:w="40"/>
              <w:left w:type="dxa" w:w="80"/>
              <w:bottom w:type="dxa" w:w="40"/>
              <w:right w:type="dxa" w:w="80"/>
            </w:tcMar>
            <w:vAlign w:val="top"/>
          </w:tcPr>
          <w:p>
            <w:r>
              <w:rPr>
                <w:sz w:val="16"/>
                <w:szCs w:val="16"/>
              </w:rPr>
              <w:t xml:space="preserve">20</w:t>
            </w:r>
          </w:p>
        </w:tc>
      </w:tr>
      <w:tr>
        <w:trPr>
          <w:cantSplit/>
        </w:trPr>
        <w:tc>
          <w:tcPr>
            <w:tcW w:type="dxa" w:w="1800"/>
            <w:shd w:fill="F7F9FC" w:color="auto" w:val="clear"/>
            <w:tcMar>
              <w:top w:type="dxa" w:w="40"/>
              <w:left w:type="dxa" w:w="80"/>
              <w:bottom w:type="dxa" w:w="40"/>
              <w:right w:type="dxa" w:w="80"/>
            </w:tcMar>
            <w:vAlign w:val="top"/>
          </w:tcPr>
          <w:p>
            <w:r>
              <w:rPr>
                <w:sz w:val="16"/>
                <w:szCs w:val="16"/>
              </w:rPr>
              <w:t xml:space="preserve">400</w:t>
            </w:r>
          </w:p>
        </w:tc>
        <w:tc>
          <w:tcPr>
            <w:tcW w:type="dxa" w:w="2900"/>
            <w:shd w:fill="F7F9FC" w:color="auto" w:val="clear"/>
            <w:tcMar>
              <w:top w:type="dxa" w:w="40"/>
              <w:left w:type="dxa" w:w="80"/>
              <w:bottom w:type="dxa" w:w="40"/>
              <w:right w:type="dxa" w:w="80"/>
            </w:tcMar>
            <w:vAlign w:val="top"/>
          </w:tcPr>
          <w:p>
            <w:r>
              <w:rPr>
                <w:sz w:val="16"/>
                <w:szCs w:val="16"/>
              </w:rPr>
              <w:t xml:space="preserve">31</w:t>
            </w:r>
          </w:p>
        </w:tc>
        <w:tc>
          <w:tcPr>
            <w:tcW w:type="dxa" w:w="2200"/>
            <w:shd w:fill="F7F9FC" w:color="auto" w:val="clear"/>
            <w:tcMar>
              <w:top w:type="dxa" w:w="40"/>
              <w:left w:type="dxa" w:w="80"/>
              <w:bottom w:type="dxa" w:w="40"/>
              <w:right w:type="dxa" w:w="80"/>
            </w:tcMar>
            <w:vAlign w:val="top"/>
          </w:tcPr>
          <w:p>
            <w:r>
              <w:rPr>
                <w:sz w:val="16"/>
                <w:szCs w:val="16"/>
              </w:rPr>
              <w:t xml:space="preserve">29</w:t>
            </w:r>
          </w:p>
        </w:tc>
        <w:tc>
          <w:tcPr>
            <w:tcW w:type="dxa" w:w="2738"/>
            <w:shd w:fill="F7F9FC" w:color="auto" w:val="clear"/>
            <w:tcMar>
              <w:top w:type="dxa" w:w="40"/>
              <w:left w:type="dxa" w:w="80"/>
              <w:bottom w:type="dxa" w:w="40"/>
              <w:right w:type="dxa" w:w="80"/>
            </w:tcMar>
            <w:vAlign w:val="top"/>
          </w:tcPr>
          <w:p>
            <w:r>
              <w:rPr>
                <w:sz w:val="16"/>
                <w:szCs w:val="16"/>
              </w:rPr>
              <w:t xml:space="preserve">40</w:t>
            </w:r>
          </w:p>
        </w:tc>
      </w:tr>
    </w:tbl>
    <w:p>
      <w:pPr>
        <w:spacing w:after="120"/>
      </w:pPr>
    </w:p>
    <w:p>
      <w:pPr>
        <w:pStyle w:val="Heading2"/>
      </w:pPr>
      <w:r>
        <w:t xml:space="preserve">3.3 N3: the bracket holds, the analytic end is loose</w:t>
      </w:r>
    </w:p>
    <w:p>
      <w:pPr>
        <w:spacing w:after="100"/>
        <w:jc w:val="both"/>
      </w:pPr>
      <w:r>
        <w:t xml:space="preserve">N3 brackets the information that a chloride campaign </w:t>
      </w:r>
      <m:oMath>
        <m:r>
          <m:t>S</m:t>
        </m:r>
      </m:oMath>
      <w:r>
        <w:t xml:space="preserve"> gives about the goal </w:t>
      </w:r>
      <m:oMath>
        <m:r>
          <m:t>Q</m:t>
        </m:r>
      </m:oMath>
      <w:r>
        <w:t xml:space="preserve"> (the area above 250 mg/L):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sSubSup>
                  <m:e>
                    <m:r>
                      <m:rPr>
                        <m:sty m:val="p"/>
                      </m:rPr>
                      <m:t>E</m:t>
                    </m:r>
                    <m:r>
                      <m:rPr>
                        <m:sty m:val="p"/>
                      </m:rPr>
                      <m:t>I</m:t>
                    </m:r>
                    <m:r>
                      <m:rPr>
                        <m:sty m:val="p"/>
                      </m:rPr>
                      <m:t>G</m:t>
                    </m:r>
                  </m:e>
                  <m:sub>
                    <m:r>
                      <m:t>e</m:t>
                    </m:r>
                    <m:r>
                      <m:t>x</m:t>
                    </m:r>
                  </m:sub>
                  <m:sup>
                    <m:d>
                      <m:dPr>
                        <m:begChr m:val="("/>
                        <m:sepChr m:val=""/>
                        <m:endChr m:val=")"/>
                        <m:grow/>
                      </m:dPr>
                      <m:e>
                        <m:r>
                          <m:t>8</m:t>
                        </m:r>
                      </m:e>
                    </m:d>
                  </m:sup>
                </m:sSubSup>
                <m:d>
                  <m:dPr>
                    <m:begChr m:val="("/>
                    <m:sepChr m:val=""/>
                    <m:endChr m:val=")"/>
                    <m:grow/>
                  </m:dPr>
                  <m:e>
                    <m:r>
                      <m:t>S</m:t>
                    </m:r>
                  </m:e>
                </m:d>
                <m:r>
                  <m:rPr>
                    <m:sty m:val="p"/>
                  </m:rPr>
                  <m:t>≤</m:t>
                </m:r>
                <m:sSubSup>
                  <m:e>
                    <m:r>
                      <m:rPr>
                        <m:sty m:val="p"/>
                      </m:rPr>
                      <m:t>E</m:t>
                    </m:r>
                    <m:r>
                      <m:rPr>
                        <m:sty m:val="p"/>
                      </m:rPr>
                      <m:t>I</m:t>
                    </m:r>
                    <m:r>
                      <m:rPr>
                        <m:sty m:val="p"/>
                      </m:rPr>
                      <m:t>G</m:t>
                    </m:r>
                  </m:e>
                  <m:sub>
                    <m:r>
                      <m:t>e</m:t>
                    </m:r>
                    <m:r>
                      <m:t>x</m:t>
                    </m:r>
                  </m:sub>
                  <m:sup>
                    <m:d>
                      <m:dPr>
                        <m:begChr m:val="("/>
                        <m:sepChr m:val=""/>
                        <m:endChr m:val=")"/>
                        <m:grow/>
                      </m:dPr>
                      <m:e>
                        <m:r>
                          <m:t>16</m:t>
                        </m:r>
                      </m:e>
                    </m:d>
                  </m:sup>
                </m:sSubSup>
                <m:d>
                  <m:dPr>
                    <m:begChr m:val="("/>
                    <m:sepChr m:val=""/>
                    <m:endChr m:val=")"/>
                    <m:grow/>
                  </m:dPr>
                  <m:e>
                    <m:r>
                      <m:t>S</m:t>
                    </m:r>
                  </m:e>
                </m:d>
                <m:r>
                  <m:rPr>
                    <m:sty m:val="p"/>
                  </m:rPr>
                  <m:t>≤</m:t>
                </m:r>
                <m:r>
                  <m:t>I</m:t>
                </m:r>
                <m:d>
                  <m:dPr>
                    <m:begChr m:val="("/>
                    <m:sepChr m:val=""/>
                    <m:endChr m:val=")"/>
                    <m:grow/>
                  </m:dPr>
                  <m:e>
                    <m:r>
                      <m:t>Q</m:t>
                    </m:r>
                    <m:r>
                      <m:rPr>
                        <m:sty m:val="p"/>
                      </m:rPr>
                      <m:t>;</m:t>
                    </m:r>
                    <m:sSub>
                      <m:e>
                        <m:r>
                          <m:t>y</m:t>
                        </m:r>
                      </m:e>
                      <m:sub>
                        <m:r>
                          <m:t>S</m:t>
                        </m:r>
                      </m:sub>
                    </m:sSub>
                  </m:e>
                </m:d>
                <m:r>
                  <m:rPr>
                    <m:sty m:val="p"/>
                  </m:rPr>
                  <m:t>≤</m:t>
                </m:r>
                <m:r>
                  <m:t>I</m:t>
                </m:r>
                <m:d>
                  <m:dPr>
                    <m:begChr m:val="("/>
                    <m:sepChr m:val=""/>
                    <m:endChr m:val=")"/>
                    <m:grow/>
                  </m:dPr>
                  <m:e>
                    <m:r>
                      <m:t>θ</m:t>
                    </m:r>
                    <m:r>
                      <m:rPr>
                        <m:sty m:val="p"/>
                      </m:rPr>
                      <m:t>;</m:t>
                    </m:r>
                    <m:sSub>
                      <m:e>
                        <m:r>
                          <m:t>y</m:t>
                        </m:r>
                      </m:e>
                      <m:sub>
                        <m:r>
                          <m:t>S</m:t>
                        </m:r>
                      </m:sub>
                    </m:sSub>
                  </m:e>
                </m:d>
                <m:r>
                  <m:rPr>
                    <m:sty m:val="p"/>
                  </m:rPr>
                  <m:t>≤</m:t>
                </m:r>
                <m:f>
                  <m:fPr>
                    <m:type m:val="lin"/>
                  </m:fPr>
                  <m:num>
                    <m:r>
                      <m:t>1</m:t>
                    </m:r>
                  </m:num>
                  <m:den>
                    <m:r>
                      <m:t>2</m:t>
                    </m:r>
                  </m:den>
                </m:f>
                <m:r>
                  <m:rPr>
                    <m:sty m:val="p"/>
                  </m:rPr>
                  <m:t>ln</m:t>
                </m:r>
                <m:r>
                  <m:rPr>
                    <m:sty m:val="p"/>
                  </m:rPr>
                  <m:t>det</m:t>
                </m:r>
                <m:r>
                  <m:t>​</m:t>
                </m:r>
                <m:d>
                  <m:dPr>
                    <m:begChr m:val="("/>
                    <m:sepChr m:val=""/>
                    <m:endChr m:val=")"/>
                    <m:grow/>
                  </m:dPr>
                  <m:e>
                    <m:r>
                      <m:rPr>
                        <m:sty m:val="b"/>
                      </m:rPr>
                      <m:t>I</m:t>
                    </m:r>
                    <m:r>
                      <m:rPr>
                        <m:sty m:val="p"/>
                      </m:rPr>
                      <m:t>+</m:t>
                    </m:r>
                    <m:sSup>
                      <m:e>
                        <m:r>
                          <m:t>σ</m:t>
                        </m:r>
                      </m:e>
                      <m:sup>
                        <m:r>
                          <m:rPr>
                            <m:sty m:val="p"/>
                          </m:rPr>
                          <m:t>−</m:t>
                        </m:r>
                        <m:r>
                          <m:t>2</m:t>
                        </m:r>
                      </m:sup>
                    </m:sSup>
                    <m:sSub>
                      <m:e>
                        <m:r>
                          <m:rPr>
                            <m:sty m:val="b"/>
                          </m:rPr>
                          <m:t>C</m:t>
                        </m:r>
                      </m:e>
                      <m:sub>
                        <m:r>
                          <m:t>S</m:t>
                        </m:r>
                        <m:r>
                          <m:t>S</m:t>
                        </m:r>
                      </m:sub>
                    </m:sSub>
                  </m:e>
                </m:d>
                <m:r>
                  <m:rPr>
                    <m:sty m:val="p"/>
                  </m:rPr>
                  <m:t>≤</m:t>
                </m:r>
                <m:nary>
                  <m:naryPr>
                    <m:chr m:val="∑"/>
                    <m:limLoc m:val="undOvr"/>
                    <m:subHide m:val="off"/>
                    <m:supHide m:val="on"/>
                  </m:naryPr>
                  <m:sub>
                    <m:r>
                      <m:t>s</m:t>
                    </m:r>
                    <m:r>
                      <m:rPr>
                        <m:sty m:val="p"/>
                      </m:rPr>
                      <m:t>∈</m:t>
                    </m:r>
                    <m:r>
                      <m:t>S</m:t>
                    </m:r>
                  </m:sub>
                  <m:sup>
                    <m:r>
                      <m:t>​</m:t>
                    </m:r>
                  </m:sup>
                  <m:e>
                    <m:f>
                      <m:fPr>
                        <m:type m:val="lin"/>
                      </m:fPr>
                      <m:num>
                        <m:r>
                          <m:t>1</m:t>
                        </m:r>
                      </m:num>
                      <m:den>
                        <m:r>
                          <m:t>2</m:t>
                        </m:r>
                      </m:den>
                    </m:f>
                  </m:e>
                </m:nary>
                <m:r>
                  <m:rPr>
                    <m:sty m:val="p"/>
                  </m:rPr>
                  <m:t>ln</m:t>
                </m:r>
                <m:r>
                  <m:t>​</m:t>
                </m:r>
                <m:d>
                  <m:dPr>
                    <m:begChr m:val="("/>
                    <m:sepChr m:val=""/>
                    <m:endChr m:val=")"/>
                    <m:grow/>
                  </m:dPr>
                  <m:e>
                    <m:r>
                      <m:t>1</m:t>
                    </m:r>
                    <m:r>
                      <m:rPr>
                        <m:sty m:val="p"/>
                      </m:rPr>
                      <m:t>+</m:t>
                    </m:r>
                    <m:f>
                      <m:fPr>
                        <m:type m:val="bar"/>
                      </m:fPr>
                      <m:num>
                        <m:sSub>
                          <m:e>
                            <m:r>
                              <m:t>C</m:t>
                            </m:r>
                          </m:e>
                          <m:sub>
                            <m:r>
                              <m:t>s</m:t>
                            </m:r>
                            <m:r>
                              <m:t>s</m:t>
                            </m:r>
                          </m:sub>
                        </m:sSub>
                      </m:num>
                      <m:den>
                        <m:sSup>
                          <m:e>
                            <m:r>
                              <m:t>σ</m:t>
                            </m:r>
                          </m:e>
                          <m:sup>
                            <m:r>
                              <m:t>2</m:t>
                            </m:r>
                          </m:sup>
                        </m:sSup>
                      </m:den>
                    </m:f>
                  </m:e>
                </m:d>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(3)</w:t>
            </w:r>
          </w:p>
        </w:tc>
      </w:tr>
    </w:tbl>
    <w:p>
      <w:pPr>
        <w:spacing w:after="120" w:before="20"/>
        <w:ind w:left="284"/>
        <w:jc w:val="left"/>
      </w:pPr>
      <w:r>
        <w:rPr>
          <w:i/>
          <w:iCs/>
          <w:color w:val="3A4350"/>
          <w:sz w:val="19"/>
          <w:szCs w:val="19"/>
        </w:rPr>
        <w:t xml:space="preserve">where </w:t>
      </w:r>
      <w:r>
        <w:rPr>
          <w:color w:val="3A4350"/>
          <w:sz w:val="19"/>
          <w:szCs w:val="19"/>
        </w:rPr>
        <w:t xml:space="preserve">the first two terms are the information about 8 and 16 equiprobable classes of </w:t>
      </w:r>
      <m:oMath>
        <m:r>
          <m:t>Q</m:t>
        </m:r>
      </m:oMath>
      <w:r>
        <w:rPr>
          <w:color w:val="3A4350"/>
          <w:sz w:val="19"/>
          <w:szCs w:val="19"/>
        </w:rPr>
        <w:t xml:space="preserve">, and </w:t>
      </w:r>
      <m:oMath>
        <m:sSub>
          <m:e>
            <m:r>
              <m:rPr>
                <m:sty m:val="b"/>
              </m:rPr>
              <m:t>C</m:t>
            </m:r>
          </m:e>
          <m:sub>
            <m:r>
              <m:t>S</m:t>
            </m:r>
            <m:r>
              <m:t>S</m:t>
            </m:r>
          </m:sub>
        </m:sSub>
      </m:oMath>
      <w:r>
        <w:rPr>
          <w:color w:val="3A4350"/>
          <w:sz w:val="19"/>
          <w:szCs w:val="19"/>
        </w:rPr>
        <w:t xml:space="preserve"> is the ensemble covariance of log-chloride at the samples.</w:t>
      </w:r>
    </w:p>
    <w:p>
      <w:pPr>
        <w:spacing w:after="100"/>
        <w:jc w:val="both"/>
      </w:pPr>
      <w:r>
        <w:t xml:space="preserve">On a linear-Gaussian ensemble (five parameters, six candidates, every design of three) the chain held in all 8 designs, with </w:t>
      </w:r>
      <m:oMath>
        <m:r>
          <m:t>I</m:t>
        </m:r>
        <m:d>
          <m:dPr>
            <m:begChr m:val="("/>
            <m:sepChr m:val=""/>
            <m:endChr m:val=")"/>
            <m:grow/>
          </m:dPr>
          <m:e>
            <m:r>
              <m:t>Q</m:t>
            </m:r>
            <m:r>
              <m:rPr>
                <m:sty m:val="p"/>
              </m:rPr>
              <m:t>;</m:t>
            </m:r>
            <m:sSub>
              <m:e>
                <m:r>
                  <m:t>y</m:t>
                </m:r>
              </m:e>
              <m:sub>
                <m:r>
                  <m:t>S</m:t>
                </m:r>
              </m:sub>
            </m:sSub>
          </m:e>
        </m:d>
      </m:oMath>
      <w:r>
        <w:t xml:space="preserve"> computed exactly. The logdet term, however, was 5–20 times larger than </w:t>
      </w:r>
      <m:oMath>
        <m:r>
          <m:t>I</m:t>
        </m:r>
        <m:d>
          <m:dPr>
            <m:begChr m:val="("/>
            <m:sepChr m:val=""/>
            <m:endChr m:val=")"/>
            <m:grow/>
          </m:dPr>
          <m:e>
            <m:r>
              <m:t>Q</m:t>
            </m:r>
            <m:r>
              <m:rPr>
                <m:sty m:val="p"/>
              </m:rPr>
              <m:t>;</m:t>
            </m:r>
            <m:sSub>
              <m:e>
                <m:r>
                  <m:t>y</m:t>
                </m:r>
              </m:e>
              <m:sub>
                <m:r>
                  <m:t>S</m:t>
                </m:r>
              </m:sub>
            </m:sSub>
          </m:e>
        </m:d>
      </m:oMath>
      <w:r>
        <w:t xml:space="preserve"> (Figure 1b): it counts all the information about the parameters, most of which does not concern </w:t>
      </w:r>
      <m:oMath>
        <m:r>
          <m:t>Q</m:t>
        </m:r>
      </m:oMath>
      <w:r>
        <w:t xml:space="preserve">. The branch-and-bound proposed in the note will prune only candidates whose own variance is small; it is still worth reporting the bracket in Table 4 of the manuscript, as the note says, but not worth relying on for the search.</w:t>
      </w:r>
    </w:p>
    <w:p>
      <w:pPr>
        <w:keepNext/>
        <w:spacing w:after="40" w:before="120"/>
        <w:jc w:val="center"/>
      </w:pPr>
      <w:r>
        <w:drawing>
          <wp:inline distT="0" distB="0" distL="0" distR="0">
            <wp:extent cx="6124575" cy="2171700"/>
            <wp:effectExtent t="0" r="0" b="0" l="0"/>
            <wp:docPr id="1" name="Checks of N1 and N3" descr="Checks of N1 and N3" title="Checks of N1 and 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71700"/>
                    </a:xfrm>
                    <a:prstGeom prst="rect">
                      <a:avLst/>
                    </a:prstGeom>
                  </pic:spPr>
                </pic:pic>
              </a:graphicData>
            </a:graphic>
          </wp:inline>
        </w:drawing>
      </w:r>
    </w:p>
    <w:p>
      <w:pPr>
        <w:spacing w:after="180"/>
        <w:jc w:val="both"/>
      </w:pPr>
      <w:r>
        <w:rPr>
          <w:b/>
          <w:bCs/>
          <w:color w:val="1F3864"/>
          <w:sz w:val="18"/>
          <w:szCs w:val="18"/>
        </w:rPr>
        <w:t xml:space="preserve">Figure 1. </w:t>
      </w:r>
      <w:r>
        <w:rPr>
          <w:color w:val="3A4350"/>
          <w:sz w:val="18"/>
          <w:szCs w:val="18"/>
        </w:rPr>
        <w:t xml:space="preserve">(a) N1: mean misfit above </w:t>
      </w:r>
      <m:oMath>
        <m:sSup>
          <m:e>
            <m:r>
              <m:t>D</m:t>
            </m:r>
          </m:e>
          <m:sup>
            <m:r>
              <m:rPr>
                <m:sty m:val="p"/>
              </m:rPr>
              <m:t>⋆</m:t>
            </m:r>
          </m:sup>
        </m:sSup>
      </m:oMath>
      <w:r>
        <w:rPr>
          <w:color w:val="3A4350"/>
          <w:sz w:val="18"/>
          <w:szCs w:val="18"/>
        </w:rPr>
        <w:t xml:space="preserve"> against </w:t>
      </w:r>
      <m:oMath>
        <m:sSup>
          <m:e>
            <m:r>
              <m:t>τ</m:t>
            </m:r>
          </m:e>
          <m:sup>
            <m:r>
              <m:t>2</m:t>
            </m:r>
          </m:sup>
        </m:sSup>
      </m:oMath>
      <w:r>
        <w:rPr>
          <w:color w:val="3A4350"/>
          <w:sz w:val="18"/>
          <w:szCs w:val="18"/>
        </w:rPr>
        <w:t xml:space="preserve"> for a target inside the reach of the model (theory slope 3), outside it (theory 4) and with a redundant fact (theory 2); lines: </w:t>
      </w:r>
      <m:oMath>
        <m:r>
          <m:t>m</m:t>
        </m:r>
        <m:sSup>
          <m:e>
            <m:r>
              <m:t>τ</m:t>
            </m:r>
          </m:e>
          <m:sup>
            <m:r>
              <m:t>2</m:t>
            </m:r>
          </m:sup>
        </m:sSup>
      </m:oMath>
      <w:r>
        <w:rPr>
          <w:color w:val="3A4350"/>
          <w:sz w:val="18"/>
          <w:szCs w:val="18"/>
        </w:rPr>
        <w:t xml:space="preserve">. The boundary case bends below its asymptote over the whole usable range. (b) N3: the five terms of (3) for eight designs (log scale); the chain holds, but the analytic terms are an order of magnitude above </w:t>
      </w:r>
      <m:oMath>
        <m:r>
          <m:t>I</m:t>
        </m:r>
        <m:d>
          <m:dPr>
            <m:begChr m:val="("/>
            <m:sepChr m:val=""/>
            <m:endChr m:val=")"/>
            <m:grow/>
          </m:dPr>
          <m:e>
            <m:r>
              <m:t>Q</m:t>
            </m:r>
            <m:r>
              <m:rPr>
                <m:sty m:val="p"/>
              </m:rPr>
              <m:t>;</m:t>
            </m:r>
            <m:r>
              <m:t>y</m:t>
            </m:r>
          </m:e>
        </m:d>
      </m:oMath>
      <w:r>
        <w:rPr>
          <w:color w:val="3A4350"/>
          <w:sz w:val="18"/>
          <w:szCs w:val="18"/>
        </w:rPr>
        <w:t xml:space="preserve">.</w:t>
      </w:r>
    </w:p>
    <w:p>
      <w:pPr>
        <w:pStyle w:val="Heading1"/>
      </w:pPr>
      <w:r>
        <w:t xml:space="preserve">4. What anchor regression gives, and where it stops</w:t>
      </w:r>
    </w:p>
    <w:p>
      <w:pPr>
        <w:spacing w:after="100"/>
        <w:jc w:val="both"/>
      </w:pPr>
      <w:r>
        <w:t xml:space="preserve">Anchor regression [5] starts from a linear structural model in which exogenous variables </w:t>
      </w:r>
      <m:oMath>
        <m:r>
          <m:t>A</m:t>
        </m:r>
      </m:oMath>
      <w:r>
        <w:t xml:space="preserve">, the anchors, push the covariates </w:t>
      </w:r>
      <m:oMath>
        <m:r>
          <m:t>X</m:t>
        </m:r>
      </m:oMath>
      <w:r>
        <w:t xml:space="preserve">, the target </w:t>
      </w:r>
      <m:oMath>
        <m:r>
          <m:t>Y</m:t>
        </m:r>
      </m:oMath>
      <w:r>
        <w:t xml:space="preserve"> and hidden variables </w:t>
      </w:r>
      <m:oMath>
        <m:r>
          <m:t>H</m:t>
        </m:r>
      </m:oMath>
      <w: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d>
                  <m:dPr>
                    <m:begChr m:val="("/>
                    <m:sepChr m:val=""/>
                    <m:endChr m:val=")"/>
                    <m:grow/>
                  </m:dPr>
                  <m:e>
                    <m:m>
                      <m:mPr>
                        <m:baseJc m:val="center"/>
                        <m:plcHide m:val="on"/>
                        <m:mcs>
                          <m:mc>
                            <m:mcPr>
                              <m:count m:val="1"/>
                              <m:mcJc m:val="center"/>
                            </m:mcPr>
                          </m:mc>
                        </m:mcs>
                      </m:mPr>
                      <m:mr>
                        <m:e>
                          <m:r>
                            <m:t>X</m:t>
                          </m:r>
                        </m:e>
                      </m:mr>
                      <m:mr>
                        <m:e>
                          <m:r>
                            <m:t>Y</m:t>
                          </m:r>
                        </m:e>
                      </m:mr>
                      <m:mr>
                        <m:e>
                          <m:r>
                            <m:t>H</m:t>
                          </m:r>
                        </m:e>
                      </m:mr>
                    </m:m>
                  </m:e>
                </m:d>
                <m:r>
                  <m:rPr>
                    <m:sty m:val="p"/>
                  </m:rPr>
                  <m:t>=</m:t>
                </m:r>
                <m:r>
                  <m:rPr>
                    <m:sty m:val="b"/>
                  </m:rPr>
                  <m:t>B</m:t>
                </m:r>
                <m:d>
                  <m:dPr>
                    <m:begChr m:val="("/>
                    <m:sepChr m:val=""/>
                    <m:endChr m:val=")"/>
                    <m:grow/>
                  </m:dPr>
                  <m:e>
                    <m:m>
                      <m:mPr>
                        <m:baseJc m:val="center"/>
                        <m:plcHide m:val="on"/>
                        <m:mcs>
                          <m:mc>
                            <m:mcPr>
                              <m:count m:val="1"/>
                              <m:mcJc m:val="center"/>
                            </m:mcPr>
                          </m:mc>
                        </m:mcs>
                      </m:mPr>
                      <m:mr>
                        <m:e>
                          <m:r>
                            <m:t>X</m:t>
                          </m:r>
                        </m:e>
                      </m:mr>
                      <m:mr>
                        <m:e>
                          <m:r>
                            <m:t>Y</m:t>
                          </m:r>
                        </m:e>
                      </m:mr>
                      <m:mr>
                        <m:e>
                          <m:r>
                            <m:t>H</m:t>
                          </m:r>
                        </m:e>
                      </m:mr>
                    </m:m>
                  </m:e>
                </m:d>
                <m:r>
                  <m:rPr>
                    <m:sty m:val="p"/>
                  </m:rPr>
                  <m:t>+</m:t>
                </m:r>
                <m:r>
                  <m:t>ε</m:t>
                </m:r>
                <m:r>
                  <m:rPr>
                    <m:sty m:val="p"/>
                  </m:rPr>
                  <m:t>+</m:t>
                </m:r>
                <m:r>
                  <m:rPr>
                    <m:sty m:val="b"/>
                  </m:rPr>
                  <m:t>M</m:t>
                </m:r>
                <m:r>
                  <m:t>A</m:t>
                </m:r>
                <m:r>
                  <m:rPr>
                    <m:sty m:val="p"/>
                  </m:rPr>
                  <m:t>,</m:t>
                </m:r>
                <m:r>
                  <m:t>  </m:t>
                </m:r>
                <m:r>
                  <m:t>A</m:t>
                </m:r>
                <m:r>
                  <m:t> </m:t>
                </m:r>
                <m:r>
                  <m:rPr>
                    <m:nor/>
                  </m:rPr>
                  <m:t>independent of</m:t>
                </m:r>
                <m:r>
                  <m:t> </m:t>
                </m:r>
                <m:r>
                  <m:t>ε</m:t>
                </m:r>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(4)</w:t>
            </w:r>
          </w:p>
        </w:tc>
      </w:tr>
    </w:tbl>
    <w:p>
      <w:pPr>
        <w:spacing w:after="120" w:before="20"/>
        <w:ind w:left="284"/>
        <w:jc w:val="left"/>
      </w:pPr>
      <w:r>
        <w:rPr>
          <w:i/>
          <w:iCs/>
          <w:color w:val="3A4350"/>
          <w:sz w:val="19"/>
          <w:szCs w:val="19"/>
        </w:rPr>
        <w:t xml:space="preserve">where </w:t>
      </w:r>
      <m:oMath>
        <m:r>
          <m:rPr>
            <m:sty m:val="b"/>
          </m:rPr>
          <m:t>M</m:t>
        </m:r>
      </m:oMath>
      <w:r>
        <w:rPr>
          <w:color w:val="3A4350"/>
          <w:sz w:val="19"/>
          <w:szCs w:val="19"/>
        </w:rPr>
        <w:t xml:space="preserve"> is the shift matrix. The anchors may act on </w:t>
      </w:r>
      <m:oMath>
        <m:r>
          <m:t>Y</m:t>
        </m:r>
      </m:oMath>
      <w:r>
        <w:rPr>
          <w:color w:val="3A4350"/>
          <w:sz w:val="19"/>
          <w:szCs w:val="19"/>
        </w:rPr>
        <w:t xml:space="preserve"> and </w:t>
      </w:r>
      <m:oMath>
        <m:r>
          <m:t>H</m:t>
        </m:r>
      </m:oMath>
      <w:r>
        <w:rPr>
          <w:color w:val="3A4350"/>
          <w:sz w:val="19"/>
          <w:szCs w:val="19"/>
        </w:rPr>
        <w:t xml:space="preserve"> directly, so they need not be valid instruments.</w:t>
      </w:r>
    </w:p>
    <w:p>
      <w:pPr>
        <w:spacing w:after="100"/>
        <w:jc w:val="both"/>
      </w:pPr>
      <w:r>
        <w:t xml:space="preserve">For </w:t>
      </w:r>
      <m:oMath>
        <m:r>
          <m:t>γ</m:t>
        </m:r>
        <m:r>
          <m:rPr>
            <m:sty m:val="p"/>
          </m:rPr>
          <m:t>≥</m:t>
        </m:r>
        <m:r>
          <m:t>0</m:t>
        </m:r>
      </m:oMath>
      <w:r>
        <w:t xml:space="preserve"> the anchor estimator penalises the part of the residual that the anchors explain, and Theorem 1 of the paper identifies the penalty with a worst case over shifts </w:t>
      </w:r>
      <m:oMath>
        <m:r>
          <m:t>v</m:t>
        </m:r>
      </m:oMath>
      <w:r>
        <w:t xml:space="preserve"> in the span of </w:t>
      </w:r>
      <m:oMath>
        <m:r>
          <m:rPr>
            <m:sty m:val="b"/>
          </m:rPr>
          <m:t>M</m:t>
        </m:r>
      </m:oMath>
      <w:r>
        <w:t xml:space="preserve"> (the paper writes a supremum; it is attained on the closed set </w:t>
      </w:r>
      <m:oMath>
        <m:sSup>
          <m:e>
            <m:r>
              <m:t>C</m:t>
            </m:r>
          </m:e>
          <m:sup>
            <m:r>
              <m:t>γ</m:t>
            </m:r>
          </m:sup>
        </m:sSup>
      </m:oMath>
      <w: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r>
                  <m:rPr>
                    <m:scr m:val="double-struck"/>
                    <m:sty m:val="p"/>
                  </m:rPr>
                  <m:t>E</m:t>
                </m:r>
                <m:r>
                  <m:t>​</m:t>
                </m:r>
                <m:d>
                  <m:dPr>
                    <m:begChr m:val="["/>
                    <m:sepChr m:val=""/>
                    <m:endChr m:val="]"/>
                    <m:grow/>
                  </m:dPr>
                  <m:e>
                    <m:r>
                      <m:rPr>
                        <m:sty m:val="p"/>
                      </m:rPr>
                      <m:t>(</m:t>
                    </m:r>
                    <m:d>
                      <m:dPr>
                        <m:begChr m:val="("/>
                        <m:sepChr m:val=""/>
                        <m:endChr m:val=")"/>
                        <m:grow/>
                      </m:dPr>
                      <m:e>
                        <m:r>
                          <m:rPr>
                            <m:sty m:val="p"/>
                          </m:rPr>
                          <m:t>I</m:t>
                        </m:r>
                        <m:r>
                          <m:rPr>
                            <m:sty m:val="p"/>
                          </m:rPr>
                          <m:t>d</m:t>
                        </m:r>
                        <m:r>
                          <m:rPr>
                            <m:sty m:val="p"/>
                          </m:rPr>
                          <m:t>−</m:t>
                        </m:r>
                        <m:sSub>
                          <m:e>
                            <m:r>
                              <m:t>P</m:t>
                            </m:r>
                          </m:e>
                          <m:sub>
                            <m:r>
                              <m:t>A</m:t>
                            </m:r>
                          </m:sub>
                        </m:sSub>
                      </m:e>
                    </m:d>
                    <m:d>
                      <m:dPr>
                        <m:begChr m:val="("/>
                        <m:sepChr m:val=""/>
                        <m:endChr m:val=")"/>
                        <m:grow/>
                      </m:dPr>
                      <m:e>
                        <m:r>
                          <m:t>Y</m:t>
                        </m:r>
                        <m:r>
                          <m:rPr>
                            <m:sty m:val="p"/>
                          </m:rPr>
                          <m:t>−</m:t>
                        </m:r>
                        <m:sSup>
                          <m:e>
                            <m:r>
                              <m:t>X</m:t>
                            </m:r>
                          </m:e>
                          <m:sup>
                            <m:r>
                              <m:rPr>
                                <m:sty m:val="p"/>
                              </m:rPr>
                              <m:t>⊤</m:t>
                            </m:r>
                          </m:sup>
                        </m:sSup>
                        <m:r>
                          <m:t>b</m:t>
                        </m:r>
                      </m:e>
                    </m:d>
                    <m:sSup>
                      <m:e>
                        <m:r>
                          <m:rPr>
                            <m:sty m:val="p"/>
                          </m:rPr>
                          <m:t>)</m:t>
                        </m:r>
                      </m:e>
                      <m:sup>
                        <m:r>
                          <m:t>2</m:t>
                        </m:r>
                      </m:sup>
                    </m:sSup>
                  </m:e>
                </m:d>
                <m:r>
                  <m:rPr>
                    <m:sty m:val="p"/>
                  </m:rPr>
                  <m:t>+</m:t>
                </m:r>
                <m:r>
                  <m:t>γ</m:t>
                </m:r>
                <m:r>
                  <m:t> </m:t>
                </m:r>
                <m:r>
                  <m:rPr>
                    <m:scr m:val="double-struck"/>
                    <m:sty m:val="p"/>
                  </m:rPr>
                  <m:t>E</m:t>
                </m:r>
                <m:r>
                  <m:t>​</m:t>
                </m:r>
                <m:d>
                  <m:dPr>
                    <m:begChr m:val="["/>
                    <m:sepChr m:val=""/>
                    <m:endChr m:val="]"/>
                    <m:grow/>
                  </m:dPr>
                  <m:e>
                    <m:r>
                      <m:rPr>
                        <m:sty m:val="p"/>
                      </m:rPr>
                      <m:t>(</m:t>
                    </m:r>
                    <m:sSub>
                      <m:e>
                        <m:r>
                          <m:t>P</m:t>
                        </m:r>
                      </m:e>
                      <m:sub>
                        <m:r>
                          <m:t>A</m:t>
                        </m:r>
                      </m:sub>
                    </m:sSub>
                    <m:d>
                      <m:dPr>
                        <m:begChr m:val="("/>
                        <m:sepChr m:val=""/>
                        <m:endChr m:val=")"/>
                        <m:grow/>
                      </m:dPr>
                      <m:e>
                        <m:r>
                          <m:t>Y</m:t>
                        </m:r>
                        <m:r>
                          <m:rPr>
                            <m:sty m:val="p"/>
                          </m:rPr>
                          <m:t>−</m:t>
                        </m:r>
                        <m:sSup>
                          <m:e>
                            <m:r>
                              <m:t>X</m:t>
                            </m:r>
                          </m:e>
                          <m:sup>
                            <m:r>
                              <m:rPr>
                                <m:sty m:val="p"/>
                              </m:rPr>
                              <m:t>⊤</m:t>
                            </m:r>
                          </m:sup>
                        </m:sSup>
                        <m:r>
                          <m:t>b</m:t>
                        </m:r>
                      </m:e>
                    </m:d>
                    <m:sSup>
                      <m:e>
                        <m:r>
                          <m:rPr>
                            <m:sty m:val="p"/>
                          </m:rPr>
                          <m:t>)</m:t>
                        </m:r>
                      </m:e>
                      <m:sup>
                        <m:r>
                          <m:t>2</m:t>
                        </m:r>
                      </m:sup>
                    </m:sSup>
                  </m:e>
                </m:d>
                <m:r>
                  <m:rPr>
                    <m:sty m:val="p"/>
                  </m:rPr>
                  <m:t>=</m:t>
                </m:r>
                <m:limLow>
                  <m:e>
                    <m:r>
                      <m:rPr>
                        <m:sty m:val="p"/>
                      </m:rPr>
                      <m:t>max</m:t>
                    </m:r>
                  </m:e>
                  <m:lim>
                    <m:r>
                      <m:t>v</m:t>
                    </m:r>
                    <m:r>
                      <m:rPr>
                        <m:sty m:val="p"/>
                      </m:rPr>
                      <m:t>∈</m:t>
                    </m:r>
                    <m:sSup>
                      <m:e>
                        <m:r>
                          <m:t>C</m:t>
                        </m:r>
                      </m:e>
                      <m:sup>
                        <m:r>
                          <m:t>γ</m:t>
                        </m:r>
                      </m:sup>
                    </m:sSup>
                  </m:lim>
                </m:limLow>
                <m:sSub>
                  <m:e>
                    <m:r>
                      <m:rPr>
                        <m:scr m:val="double-struck"/>
                        <m:sty m:val="p"/>
                      </m:rPr>
                      <m:t>E</m:t>
                    </m:r>
                  </m:e>
                  <m:sub>
                    <m:r>
                      <m:t>v</m:t>
                    </m:r>
                  </m:sub>
                </m:sSub>
                <m:r>
                  <m:t>​</m:t>
                </m:r>
                <m:d>
                  <m:dPr>
                    <m:begChr m:val="["/>
                    <m:sepChr m:val=""/>
                    <m:endChr m:val="]"/>
                    <m:grow/>
                  </m:dPr>
                  <m:e>
                    <m:sSup>
                      <m:e>
                        <m:d>
                          <m:dPr>
                            <m:begChr m:val="("/>
                            <m:sepChr m:val=""/>
                            <m:endChr m:val=")"/>
                            <m:grow/>
                          </m:dPr>
                          <m:e>
                            <m:r>
                              <m:t>Y</m:t>
                            </m:r>
                            <m:r>
                              <m:rPr>
                                <m:sty m:val="p"/>
                              </m:rPr>
                              <m:t>−</m:t>
                            </m:r>
                            <m:sSup>
                              <m:e>
                                <m:r>
                                  <m:t>X</m:t>
                                </m:r>
                              </m:e>
                              <m:sup>
                                <m:r>
                                  <m:rPr>
                                    <m:sty m:val="p"/>
                                  </m:rPr>
                                  <m:t>⊤</m:t>
                                </m:r>
                              </m:sup>
                            </m:sSup>
                            <m:r>
                              <m:t>b</m:t>
                            </m:r>
                          </m:e>
                        </m:d>
                      </m:e>
                      <m:sup>
                        <m:r>
                          <m:t>2</m:t>
                        </m:r>
                      </m:sup>
                    </m:sSup>
                  </m:e>
                </m:d>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(5)</w:t>
            </w:r>
          </w:p>
        </w:tc>
      </w:tr>
    </w:tbl>
    <w:p>
      <w:pPr>
        <w:spacing w:after="120" w:before="20"/>
        <w:ind w:left="284"/>
        <w:jc w:val="left"/>
      </w:pPr>
      <w:r>
        <w:rPr>
          <w:i/>
          <w:iCs/>
          <w:color w:val="3A4350"/>
          <w:sz w:val="19"/>
          <w:szCs w:val="19"/>
        </w:rPr>
        <w:t xml:space="preserve">where </w:t>
      </w:r>
      <m:oMath>
        <m:sSub>
          <m:e>
            <m:r>
              <m:t>P</m:t>
            </m:r>
          </m:e>
          <m:sub>
            <m:r>
              <m:t>A</m:t>
            </m:r>
          </m:sub>
        </m:sSub>
      </m:oMath>
      <w:r>
        <w:rPr>
          <w:color w:val="3A4350"/>
          <w:sz w:val="19"/>
          <w:szCs w:val="19"/>
        </w:rPr>
        <w:t xml:space="preserve"> is the projection on the span of the anchors and </w:t>
      </w:r>
      <m:oMath>
        <m:sSup>
          <m:e>
            <m:r>
              <m:t>C</m:t>
            </m:r>
          </m:e>
          <m:sup>
            <m:r>
              <m:t>γ</m:t>
            </m:r>
          </m:sup>
        </m:sSup>
        <m:r>
          <m:rPr>
            <m:sty m:val="p"/>
          </m:rPr>
          <m:t>=</m:t>
        </m:r>
        <m:r>
          <m:rPr>
            <m:sty m:val="p"/>
          </m:rPr>
          <m:t>{</m:t>
        </m:r>
        <m:r>
          <m:t>v</m:t>
        </m:r>
        <m:r>
          <m:rPr>
            <m:sty m:val="p"/>
          </m:rPr>
          <m:t>:</m:t>
        </m:r>
        <m:r>
          <m:t> </m:t>
        </m:r>
        <m:r>
          <m:t>v</m:t>
        </m:r>
        <m:sSup>
          <m:e>
            <m:r>
              <m:t>v</m:t>
            </m:r>
          </m:e>
          <m:sup>
            <m:r>
              <m:rPr>
                <m:sty m:val="p"/>
              </m:rPr>
              <m:t>⊤</m:t>
            </m:r>
          </m:sup>
        </m:sSup>
        <m:r>
          <m:rPr>
            <m:sty m:val="p"/>
          </m:rPr>
          <m:t>≼</m:t>
        </m:r>
        <m:r>
          <m:t>γ</m:t>
        </m:r>
        <m:r>
          <m:t> </m:t>
        </m:r>
        <m:r>
          <m:rPr>
            <m:sty m:val="b"/>
          </m:rPr>
          <m:t>M</m:t>
        </m:r>
        <m:r>
          <m:t> </m:t>
        </m:r>
        <m:r>
          <m:rPr>
            <m:scr m:val="double-struck"/>
            <m:sty m:val="p"/>
          </m:rPr>
          <m:t>E</m:t>
        </m:r>
        <m:d>
          <m:dPr>
            <m:begChr m:val="["/>
            <m:sepChr m:val=""/>
            <m:endChr m:val="]"/>
            <m:grow/>
          </m:dPr>
          <m:e>
            <m:r>
              <m:t>A</m:t>
            </m:r>
            <m:sSup>
              <m:e>
                <m:r>
                  <m:t>A</m:t>
                </m:r>
              </m:e>
              <m:sup>
                <m:r>
                  <m:rPr>
                    <m:sty m:val="p"/>
                  </m:rPr>
                  <m:t>⊤</m:t>
                </m:r>
              </m:sup>
            </m:sSup>
          </m:e>
        </m:d>
        <m:r>
          <m:t> </m:t>
        </m:r>
        <m:sSup>
          <m:e>
            <m:r>
              <m:rPr>
                <m:sty m:val="b"/>
              </m:rPr>
              <m:t>M</m:t>
            </m:r>
          </m:e>
          <m:sup>
            <m:r>
              <m:rPr>
                <m:sty m:val="p"/>
              </m:rPr>
              <m:t>⊤</m:t>
            </m:r>
          </m:sup>
        </m:sSup>
        <m:r>
          <m:rPr>
            <m:sty m:val="p"/>
          </m:rPr>
          <m:t>}</m:t>
        </m:r>
      </m:oMath>
      <w:r>
        <w:rPr>
          <w:color w:val="3A4350"/>
          <w:sz w:val="19"/>
          <w:szCs w:val="19"/>
        </w:rPr>
        <w:t xml:space="preserve">. The choice </w:t>
      </w:r>
      <m:oMath>
        <m:r>
          <m:t>γ</m:t>
        </m:r>
        <m:r>
          <m:rPr>
            <m:sty m:val="p"/>
          </m:rPr>
          <m:t>=</m:t>
        </m:r>
        <m:r>
          <m:t>1</m:t>
        </m:r>
      </m:oMath>
      <w:r>
        <w:rPr>
          <w:color w:val="3A4350"/>
          <w:sz w:val="19"/>
          <w:szCs w:val="19"/>
        </w:rPr>
        <w:t xml:space="preserve"> is least squares, </w:t>
      </w:r>
      <m:oMath>
        <m:r>
          <m:t>γ</m:t>
        </m:r>
        <m:r>
          <m:rPr>
            <m:sty m:val="p"/>
          </m:rPr>
          <m:t>=</m:t>
        </m:r>
        <m:r>
          <m:t>0</m:t>
        </m:r>
      </m:oMath>
      <w:r>
        <w:rPr>
          <w:color w:val="3A4350"/>
          <w:sz w:val="19"/>
          <w:szCs w:val="19"/>
        </w:rPr>
        <w:t xml:space="preserve"> partials the anchors out and </w:t>
      </w:r>
      <m:oMath>
        <m:r>
          <m:t>γ</m:t>
        </m:r>
        <m:r>
          <m:rPr>
            <m:sty m:val="p"/>
          </m:rPr>
          <m:t>→</m:t>
        </m:r>
        <m:r>
          <m:rPr>
            <m:sty m:val="p"/>
          </m:rPr>
          <m:t>∞</m:t>
        </m:r>
      </m:oMath>
      <w:r>
        <w:rPr>
          <w:color w:val="3A4350"/>
          <w:sz w:val="19"/>
          <w:szCs w:val="19"/>
        </w:rPr>
        <w:t xml:space="preserve"> is two-stage least squares.</w:t>
      </w:r>
    </w:p>
    <w:p>
      <w:pPr>
        <w:spacing w:after="100"/>
        <w:jc w:val="both"/>
      </w:pPr>
      <w:r>
        <w:t xml:space="preserve">The paper adds three results the series can use directly. For Gaussian data the objective is a quantile of the conditional error with </w:t>
      </w:r>
      <m:oMath>
        <m:r>
          <m:t>γ</m:t>
        </m:r>
      </m:oMath>
      <w:r>
        <w:t xml:space="preserve"> a </w:t>
      </w:r>
      <m:oMath>
        <m:sSubSup>
          <m:e>
            <m:r>
              <m:t>χ</m:t>
            </m:r>
          </m:e>
          <m:sub>
            <m:r>
              <m:t>1</m:t>
            </m:r>
          </m:sub>
          <m:sup>
            <m:r>
              <m:t>2</m:t>
            </m:r>
          </m:sup>
        </m:sSubSup>
      </m:oMath>
      <w:r>
        <w:t xml:space="preserve"> quantile (Lemma 1). The coefficients that make the residual orthogonal to the anchors are the same in any data set that differs by shifts in the span of </w:t>
      </w:r>
      <m:oMath>
        <m:r>
          <m:rPr>
            <m:sty m:val="b"/>
          </m:rPr>
          <m:t>M</m:t>
        </m:r>
      </m:oMath>
      <w:r>
        <w:t xml:space="preserve"> (Theorem 2). If the two ends of the path agree, the coefficients are causal and there is no hidden confounder between </w:t>
      </w:r>
      <m:oMath>
        <m:r>
          <m:t>X</m:t>
        </m:r>
      </m:oMath>
      <w:r>
        <w:t xml:space="preserve"> and </w:t>
      </w:r>
      <m:oMath>
        <m:r>
          <m:t>Y</m:t>
        </m:r>
      </m:oMath>
      <w:r>
        <w:t xml:space="preserve"> (Theorems 3–4, anchor stability). For the manuscript the natural anchors are what is recorded and exogenous: the pumping of each well, set by the operator, and the rainfall at the gauge. Anchor stability is then a test of whether a relation learned under one pumping regime holds under another, which is how the note reads the failed prediction at well 340.</w:t>
      </w:r>
    </w:p>
    <w:p>
      <w:pPr>
        <w:spacing w:after="100"/>
        <w:jc w:val="both"/>
      </w:pPr>
      <w:r>
        <w:t xml:space="preserve">For a pumping decision, three things in anchor regression do not fit. </w:t>
      </w:r>
      <w:r>
        <w:rPr>
          <w:b/>
          <w:bCs/>
        </w:rPr>
        <w:t xml:space="preserve">The decision is not a random perturbation.</w:t>
      </w:r>
      <w:r>
        <w:t xml:space="preserve"> The new pumping is known, chosen by the utility, and lies outside the record; protecting against it in a ball of size </w:t>
      </w:r>
      <m:oMath>
        <m:r>
          <m:t>γ</m:t>
        </m:r>
      </m:oMath>
      <w:r>
        <w:t xml:space="preserve"> wastes the knowledge and needs a large </w:t>
      </w:r>
      <m:oMath>
        <m:r>
          <m:t>γ</m:t>
        </m:r>
      </m:oMath>
      <w:r>
        <w:t xml:space="preserve">. </w:t>
      </w:r>
      <w:r>
        <w:rPr>
          <w:b/>
          <w:bCs/>
        </w:rPr>
        <w:t xml:space="preserve">The goal is not a mean-square error.</w:t>
      </w:r>
      <w:r>
        <w:t xml:space="preserve"> The utility needs an alarm that does not miss the chloride standard, which is a one-sided quantile. </w:t>
      </w:r>
      <w:r>
        <w:rPr>
          <w:b/>
          <w:bCs/>
        </w:rPr>
        <w:t xml:space="preserve">The climate shifts in one direction.</w:t>
      </w:r>
      <w:r>
        <w:t xml:space="preserve"> A warmer climate lowers recharge and raises irrigation pumping; it does not raise recharge, and the rain gauge may not record it at all. The paper recommends choosing </w:t>
      </w:r>
      <m:oMath>
        <m:r>
          <m:t>γ</m:t>
        </m:r>
      </m:oMath>
      <w:r>
        <w:t xml:space="preserve"> by cross-validation across anchor levels, which protects against shifts like those already seen. SPIRANCA-GO keeps the structure of Theorem 1 and changes these three things.</w:t>
      </w:r>
    </w:p>
    <w:p>
      <w:pPr>
        <w:pStyle w:val="Heading1"/>
      </w:pPr>
      <w:r>
        <w:t xml:space="preserve">5. SPIRANCA-GO: a chloride alarm that survives the decision</w:t>
      </w:r>
    </w:p>
    <w:p>
      <w:pPr>
        <w:keepNext w:val="false"/>
        <w:pBdr>
          <w:left w:val="single" w:color="D97706" w:sz="18" w:space="6"/>
        </w:pBdr>
        <w:shd w:fill="FFF5E1" w:color="auto" w:val="clear"/>
        <w:spacing w:after="160" w:before="120"/>
        <w:ind w:left="140" w:right="60"/>
        <w:jc w:val="both"/>
      </w:pPr>
      <w:r>
        <w:rPr>
          <w:b/>
          <w:bCs/>
          <w:color w:val="92400E"/>
        </w:rPr>
        <w:t xml:space="preserve">INNOVATION </w:t>
      </w:r>
      <w:r>
        <w:rPr>
          <w:b/>
          <w:bCs/>
        </w:rPr>
        <w:t xml:space="preserve">SPIRANCA-GO</w:t>
      </w:r>
      <w:r>
        <w:t xml:space="preserve"> (</w:t>
      </w:r>
      <w:r>
        <w:rPr>
          <w:i/>
          <w:iCs/>
        </w:rPr>
        <w:t xml:space="preserve">spiranca</w:t>
      </w:r>
      <w:r>
        <w:t xml:space="preserve">: the anchor). The cheap and continuous measurements of a coastal aquifer are heads; chloride is measured rarely. A head-based alarm for the chloride standard at a supply well is learned from the record, and the record ends where the decision starts: new pumping, outside anything recorded, and a warming that the rain gauge may not register. SPIRANCA-GO splits the future into a </w:t>
      </w:r>
      <w:r>
        <w:rPr>
          <w:b/>
          <w:bCs/>
        </w:rPr>
        <w:t xml:space="preserve">known shift</w:t>
      </w:r>
      <w:r>
        <w:t xml:space="preserve"> (the decision, applied through the recorded anchors and corrected exactly), an </w:t>
      </w:r>
      <w:r>
        <w:rPr>
          <w:b/>
          <w:bCs/>
        </w:rPr>
        <w:t xml:space="preserve">unseen one-sided shift</w:t>
      </w:r>
      <w:r>
        <w:t xml:space="preserve"> in the span of the anchors (the warming, bounded by the planning scenario) and the </w:t>
      </w:r>
      <w:r>
        <w:rPr>
          <w:b/>
          <w:bCs/>
        </w:rPr>
        <w:t xml:space="preserve">goal</w:t>
      </w:r>
      <w:r>
        <w:t xml:space="preserve"> (an exceedance, not a mean-square error). It chooses the head weights that minimise the certified margin of the alarm, and it chooses the piezometers the same way. Proposition S1 gives the law of the alarm's error after the decision from data recorded before it; Theorem S2 certifies the alarm; Proposition S3 gives the weights in closed form; Proposition S4 says which piezometers can make the alarm shift-proof. On 100 aquifers of the chloride study's model the alarm kept its error rate at 2.4% under the worst warming, where least squares on heads and anchors reached 36.0%. On the variable-density section of the assembled-system note, where the interface has memory, the certificate alone was not enough after the decision. Re-anchored by one chloride sample a year at the supply screen (Proposition S5), the alarm kept its rate at 3.4%.</w:t>
      </w:r>
    </w:p>
    <w:p>
      <w:pPr>
        <w:pStyle w:val="Heading2"/>
      </w:pPr>
      <w:r>
        <w:t xml:space="preserve">5.1 Setting</w:t>
      </w:r>
    </w:p>
    <w:p>
      <w:pPr>
        <w:spacing w:after="100"/>
        <w:jc w:val="both"/>
      </w:pPr>
      <w:r>
        <w:t xml:space="preserve">Take the model (4) with three anchors, </w:t>
      </w:r>
      <m:oMath>
        <m:r>
          <m:t>A</m:t>
        </m:r>
        <m:r>
          <m:rPr>
            <m:sty m:val="p"/>
          </m:rPr>
          <m:t>=</m:t>
        </m:r>
        <m:d>
          <m:dPr>
            <m:begChr m:val="("/>
            <m:sepChr m:val=""/>
            <m:endChr m:val=")"/>
            <m:grow/>
          </m:dPr>
          <m:e>
            <m:r>
              <m:t>r</m:t>
            </m:r>
            <m:r>
              <m:rPr>
                <m:sty m:val="p"/>
              </m:rPr>
              <m:t>,</m:t>
            </m:r>
            <m:sSub>
              <m:e>
                <m:r>
                  <m:t>u</m:t>
                </m:r>
              </m:e>
              <m:sub>
                <m:r>
                  <m:t>A</m:t>
                </m:r>
              </m:sub>
            </m:sSub>
            <m:r>
              <m:rPr>
                <m:sty m:val="p"/>
              </m:rPr>
              <m:t>,</m:t>
            </m:r>
            <m:sSub>
              <m:e>
                <m:r>
                  <m:t>u</m:t>
                </m:r>
              </m:e>
              <m:sub>
                <m:r>
                  <m:t>B</m:t>
                </m:r>
              </m:sub>
            </m:sSub>
          </m:e>
        </m:d>
      </m:oMath>
      <w:r>
        <w:t xml:space="preserve">: the rainfall anomaly at the gauge and the operator's pumping anomalies of the two supply wells. The covariates </w:t>
      </w:r>
      <m:oMath>
        <m:r>
          <m:t>X</m:t>
        </m:r>
      </m:oMath>
      <w:r>
        <w:t xml:space="preserve"> are heads at monitoring wells (converted to the Strack potential [25]), the target </w:t>
      </w:r>
      <m:oMath>
        <m:r>
          <m:t>Y</m:t>
        </m:r>
      </m:oMath>
      <w:r>
        <w:t xml:space="preserve"> is the potential at the supply well, and the chloride of its screen exceeds 250 mg/L exactly when </w:t>
      </w:r>
      <m:oMath>
        <m:r>
          <m:t>Y</m:t>
        </m:r>
        <m:r>
          <m:rPr>
            <m:sty m:val="p"/>
          </m:rPr>
          <m:t>&lt;</m:t>
        </m:r>
        <m:sSup>
          <m:e>
            <m:r>
              <m:t>y</m:t>
            </m:r>
          </m:e>
          <m:sup>
            <m:r>
              <m:rPr>
                <m:sty m:val="p"/>
              </m:rPr>
              <m:t>⋆</m:t>
            </m:r>
          </m:sup>
        </m:sSup>
      </m:oMath>
      <w:r>
        <w:t xml:space="preserve">, by the monotone map of the chloride study [1]. For any weights </w:t>
      </w:r>
      <m:oMath>
        <m:r>
          <m:t>b</m:t>
        </m:r>
      </m:oMath>
      <w:r>
        <w:t xml:space="preserve"> the residual splits into an anchor part and an anchor-free part: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r>
                  <m:t>Y</m:t>
                </m:r>
                <m:r>
                  <m:rPr>
                    <m:sty m:val="p"/>
                  </m:rPr>
                  <m:t>−</m:t>
                </m:r>
                <m:sSup>
                  <m:e>
                    <m:r>
                      <m:t>X</m:t>
                    </m:r>
                  </m:e>
                  <m:sup>
                    <m:r>
                      <m:rPr>
                        <m:sty m:val="p"/>
                      </m:rPr>
                      <m:t>⊤</m:t>
                    </m:r>
                  </m:sup>
                </m:sSup>
                <m:r>
                  <m:t>b</m:t>
                </m:r>
                <m:r>
                  <m:rPr>
                    <m:sty m:val="p"/>
                  </m:rPr>
                  <m:t>=</m:t>
                </m:r>
                <m:sSub>
                  <m:e>
                    <m:r>
                      <m:t>η</m:t>
                    </m:r>
                  </m:e>
                  <m:sub>
                    <m:r>
                      <m:t>b</m:t>
                    </m:r>
                  </m:sub>
                </m:sSub>
                <m:r>
                  <m:rPr>
                    <m:sty m:val="p"/>
                  </m:rPr>
                  <m:t>+</m:t>
                </m:r>
                <m:sSubSup>
                  <m:e>
                    <m:r>
                      <m:t>w</m:t>
                    </m:r>
                  </m:e>
                  <m:sub>
                    <m:r>
                      <m:t>b</m:t>
                    </m:r>
                  </m:sub>
                  <m:sup>
                    <m:r>
                      <m:rPr>
                        <m:sty m:val="p"/>
                      </m:rPr>
                      <m:t>⊤</m:t>
                    </m:r>
                  </m:sup>
                </m:sSubSup>
                <m:r>
                  <m:t>A</m:t>
                </m:r>
                <m:r>
                  <m:rPr>
                    <m:sty m:val="p"/>
                  </m:rPr>
                  <m:t>,</m:t>
                </m:r>
                <m:r>
                  <m:t>  </m:t>
                </m:r>
                <m:sSub>
                  <m:e>
                    <m:r>
                      <m:t>w</m:t>
                    </m:r>
                  </m:e>
                  <m:sub>
                    <m:r>
                      <m:t>b</m:t>
                    </m:r>
                  </m:sub>
                </m:sSub>
                <m:r>
                  <m:rPr>
                    <m:sty m:val="p"/>
                  </m:rPr>
                  <m:t>=</m:t>
                </m:r>
                <m:r>
                  <m:rPr>
                    <m:scr m:val="double-struck"/>
                    <m:sty m:val="p"/>
                  </m:rPr>
                  <m:t>E</m:t>
                </m:r>
                <m:sSup>
                  <m:e>
                    <m:d>
                      <m:dPr>
                        <m:begChr m:val="["/>
                        <m:sepChr m:val=""/>
                        <m:endChr m:val="]"/>
                        <m:grow/>
                      </m:dPr>
                      <m:e>
                        <m:r>
                          <m:t>A</m:t>
                        </m:r>
                        <m:sSup>
                          <m:e>
                            <m:r>
                              <m:t>A</m:t>
                            </m:r>
                          </m:e>
                          <m:sup>
                            <m:r>
                              <m:rPr>
                                <m:sty m:val="p"/>
                              </m:rPr>
                              <m:t>⊤</m:t>
                            </m:r>
                          </m:sup>
                        </m:sSup>
                      </m:e>
                    </m:d>
                  </m:e>
                  <m:sup>
                    <m:r>
                      <m:rPr>
                        <m:sty m:val="p"/>
                      </m:rPr>
                      <m:t>−</m:t>
                    </m:r>
                    <m:r>
                      <m:t>1</m:t>
                    </m:r>
                  </m:sup>
                </m:sSup>
                <m:r>
                  <m:rPr>
                    <m:scr m:val="double-struck"/>
                    <m:sty m:val="p"/>
                  </m:rPr>
                  <m:t>E</m:t>
                </m:r>
                <m:d>
                  <m:dPr>
                    <m:begChr m:val="["/>
                    <m:sepChr m:val=""/>
                    <m:endChr m:val="]"/>
                    <m:grow/>
                  </m:dPr>
                  <m:e>
                    <m:r>
                      <m:t>A</m:t>
                    </m:r>
                    <m:r>
                      <m:t> </m:t>
                    </m:r>
                    <m:d>
                      <m:dPr>
                        <m:begChr m:val="("/>
                        <m:sepChr m:val=""/>
                        <m:endChr m:val=")"/>
                        <m:grow/>
                      </m:dPr>
                      <m:e>
                        <m:r>
                          <m:t>Y</m:t>
                        </m:r>
                        <m:r>
                          <m:rPr>
                            <m:sty m:val="p"/>
                          </m:rPr>
                          <m:t>−</m:t>
                        </m:r>
                        <m:sSup>
                          <m:e>
                            <m:r>
                              <m:t>X</m:t>
                            </m:r>
                          </m:e>
                          <m:sup>
                            <m:r>
                              <m:rPr>
                                <m:sty m:val="p"/>
                              </m:rPr>
                              <m:t>⊤</m:t>
                            </m:r>
                          </m:sup>
                        </m:sSup>
                        <m:r>
                          <m:t>b</m:t>
                        </m:r>
                      </m:e>
                    </m:d>
                  </m:e>
                </m:d>
                <m:r>
                  <m:rPr>
                    <m:sty m:val="p"/>
                  </m:rPr>
                  <m:t>=</m:t>
                </m:r>
                <m:sSub>
                  <m:e>
                    <m:r>
                      <m:t>w</m:t>
                    </m:r>
                  </m:e>
                  <m:sub>
                    <m:r>
                      <m:t>Y</m:t>
                    </m:r>
                  </m:sub>
                </m:sSub>
                <m:r>
                  <m:rPr>
                    <m:sty m:val="p"/>
                  </m:rPr>
                  <m:t>−</m:t>
                </m:r>
                <m:sSub>
                  <m:e>
                    <m:r>
                      <m:rPr>
                        <m:sty m:val="b"/>
                      </m:rPr>
                      <m:t>W</m:t>
                    </m:r>
                  </m:e>
                  <m:sub>
                    <m:r>
                      <m:t>X</m:t>
                    </m:r>
                  </m:sub>
                </m:sSub>
                <m:r>
                  <m:t> </m:t>
                </m:r>
                <m:r>
                  <m:t>b</m:t>
                </m:r>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(6)</w:t>
            </w:r>
          </w:p>
        </w:tc>
      </w:tr>
    </w:tbl>
    <w:p>
      <w:pPr>
        <w:spacing w:after="120" w:before="20"/>
        <w:ind w:left="284"/>
        <w:jc w:val="left"/>
      </w:pPr>
      <w:r>
        <w:rPr>
          <w:i/>
          <w:iCs/>
          <w:color w:val="3A4350"/>
          <w:sz w:val="19"/>
          <w:szCs w:val="19"/>
        </w:rPr>
        <w:t xml:space="preserve">where </w:t>
      </w:r>
      <m:oMath>
        <m:sSub>
          <m:e>
            <m:r>
              <m:t>η</m:t>
            </m:r>
          </m:e>
          <m:sub>
            <m:r>
              <m:t>b</m:t>
            </m:r>
          </m:sub>
        </m:sSub>
        <m:r>
          <m:rPr>
            <m:sty m:val="p"/>
          </m:rPr>
          <m:t>=</m:t>
        </m:r>
        <m:d>
          <m:dPr>
            <m:begChr m:val="("/>
            <m:sepChr m:val=""/>
            <m:endChr m:val=")"/>
            <m:grow/>
          </m:dPr>
          <m:e>
            <m:r>
              <m:rPr>
                <m:sty m:val="p"/>
              </m:rPr>
              <m:t>I</m:t>
            </m:r>
            <m:r>
              <m:rPr>
                <m:sty m:val="p"/>
              </m:rPr>
              <m:t>d</m:t>
            </m:r>
            <m:r>
              <m:rPr>
                <m:sty m:val="p"/>
              </m:rPr>
              <m:t>−</m:t>
            </m:r>
            <m:sSub>
              <m:e>
                <m:r>
                  <m:t>P</m:t>
                </m:r>
              </m:e>
              <m:sub>
                <m:r>
                  <m:t>A</m:t>
                </m:r>
              </m:sub>
            </m:sSub>
          </m:e>
        </m:d>
        <m:d>
          <m:dPr>
            <m:begChr m:val="("/>
            <m:sepChr m:val=""/>
            <m:endChr m:val=")"/>
            <m:grow/>
          </m:dPr>
          <m:e>
            <m:r>
              <m:t>Y</m:t>
            </m:r>
            <m:r>
              <m:rPr>
                <m:sty m:val="p"/>
              </m:rPr>
              <m:t>−</m:t>
            </m:r>
            <m:sSup>
              <m:e>
                <m:r>
                  <m:t>X</m:t>
                </m:r>
              </m:e>
              <m:sup>
                <m:r>
                  <m:rPr>
                    <m:sty m:val="p"/>
                  </m:rPr>
                  <m:t>⊤</m:t>
                </m:r>
              </m:sup>
            </m:sSup>
            <m:r>
              <m:t>b</m:t>
            </m:r>
          </m:e>
        </m:d>
      </m:oMath>
      <w:r>
        <w:rPr>
          <w:color w:val="3A4350"/>
          <w:sz w:val="19"/>
          <w:szCs w:val="19"/>
        </w:rPr>
        <w:t xml:space="preserve">, and </w:t>
      </w:r>
      <m:oMath>
        <m:sSub>
          <m:e>
            <m:r>
              <m:t>w</m:t>
            </m:r>
          </m:e>
          <m:sub>
            <m:r>
              <m:t>Y</m:t>
            </m:r>
          </m:sub>
        </m:sSub>
      </m:oMath>
      <w:r>
        <w:rPr>
          <w:color w:val="3A4350"/>
          <w:sz w:val="19"/>
          <w:szCs w:val="19"/>
        </w:rPr>
        <w:t xml:space="preserve">, </w:t>
      </w:r>
      <m:oMath>
        <m:sSub>
          <m:e>
            <m:r>
              <m:rPr>
                <m:sty m:val="b"/>
              </m:rPr>
              <m:t>W</m:t>
            </m:r>
          </m:e>
          <m:sub>
            <m:r>
              <m:t>X</m:t>
            </m:r>
          </m:sub>
        </m:sSub>
      </m:oMath>
      <w:r>
        <w:rPr>
          <w:color w:val="3A4350"/>
          <w:sz w:val="19"/>
          <w:szCs w:val="19"/>
        </w:rPr>
        <w:t xml:space="preserve"> are the coefficients of </w:t>
      </w:r>
      <m:oMath>
        <m:r>
          <m:t>Y</m:t>
        </m:r>
      </m:oMath>
      <w:r>
        <w:rPr>
          <w:color w:val="3A4350"/>
          <w:sz w:val="19"/>
          <w:szCs w:val="19"/>
        </w:rPr>
        <w:t xml:space="preserve"> and </w:t>
      </w:r>
      <m:oMath>
        <m:r>
          <m:t>X</m:t>
        </m:r>
      </m:oMath>
      <w:r>
        <w:rPr>
          <w:color w:val="3A4350"/>
          <w:sz w:val="19"/>
          <w:szCs w:val="19"/>
        </w:rPr>
        <w:t xml:space="preserve"> on the anchors (data centred).</w:t>
      </w:r>
    </w:p>
    <w:p>
      <w:pPr>
        <w:spacing w:after="100"/>
        <w:jc w:val="both"/>
      </w:pPr>
      <w:r>
        <w:t xml:space="preserve">The future is a family </w:t>
      </w:r>
      <m:oMath>
        <m:r>
          <m:t>F</m:t>
        </m:r>
        <m:d>
          <m:dPr>
            <m:begChr m:val="("/>
            <m:sepChr m:val=""/>
            <m:endChr m:val=")"/>
            <m:grow/>
          </m:dPr>
          <m:e>
            <m:r>
              <m:t>δ</m:t>
            </m:r>
          </m:e>
        </m:d>
      </m:oMath>
      <w:r>
        <w:t xml:space="preserve">: the decision sets </w:t>
      </w:r>
      <m:oMath>
        <m:d>
          <m:dPr>
            <m:begChr m:val="("/>
            <m:sepChr m:val=""/>
            <m:endChr m:val=")"/>
            <m:grow/>
          </m:dPr>
          <m:e>
            <m:sSub>
              <m:e>
                <m:r>
                  <m:t>u</m:t>
                </m:r>
              </m:e>
              <m:sub>
                <m:r>
                  <m:t>A</m:t>
                </m:r>
              </m:sub>
            </m:sSub>
            <m:r>
              <m:rPr>
                <m:sty m:val="p"/>
              </m:rPr>
              <m:t>,</m:t>
            </m:r>
            <m:sSub>
              <m:e>
                <m:r>
                  <m:t>u</m:t>
                </m:r>
              </m:e>
              <m:sub>
                <m:r>
                  <m:t>B</m:t>
                </m:r>
              </m:sub>
            </m:sSub>
          </m:e>
        </m:d>
        <m:r>
          <m:rPr>
            <m:sty m:val="p"/>
          </m:rPr>
          <m:t>=</m:t>
        </m:r>
        <m:sSub>
          <m:e>
            <m:r>
              <m:t>a</m:t>
            </m:r>
          </m:e>
          <m:sub>
            <m:r>
              <m:t>d</m:t>
            </m:r>
          </m:sub>
        </m:sSub>
      </m:oMath>
      <w:r>
        <w:t xml:space="preserve">, known and outside the record; the rainfall anomaly keeps its law and is recorded; and a warming adds an unrecorded shift </w:t>
      </w:r>
      <m:oMath>
        <m:r>
          <m:t>v</m:t>
        </m:r>
        <m:r>
          <m:rPr>
            <m:sty m:val="p"/>
          </m:rPr>
          <m:t>=</m:t>
        </m:r>
        <m:r>
          <m:rPr>
            <m:sty m:val="p"/>
          </m:rPr>
          <m:t>−</m:t>
        </m:r>
        <m:r>
          <m:t>δ</m:t>
        </m:r>
        <m:r>
          <m:t> </m:t>
        </m:r>
        <m:r>
          <m:rPr>
            <m:sty m:val="b"/>
          </m:rPr>
          <m:t>M</m:t>
        </m:r>
        <m:sSub>
          <m:e>
            <m:r>
              <m:t>e</m:t>
            </m:r>
          </m:e>
          <m:sub>
            <m:r>
              <m:t>r</m:t>
            </m:r>
          </m:sub>
        </m:sSub>
      </m:oMath>
      <w:r>
        <w:t xml:space="preserve"> with </w:t>
      </w:r>
      <m:oMath>
        <m:r>
          <m:t>0</m:t>
        </m:r>
        <m:r>
          <m:rPr>
            <m:sty m:val="p"/>
          </m:rPr>
          <m:t>≤</m:t>
        </m:r>
        <m:r>
          <m:t>δ</m:t>
        </m:r>
        <m:r>
          <m:rPr>
            <m:sty m:val="p"/>
          </m:rPr>
          <m:t>≤</m:t>
        </m:r>
        <m:bar>
          <m:barPr>
            <m:pos m:val="top"/>
          </m:barPr>
          <m:e>
            <m:r>
              <m:t>δ</m:t>
            </m:r>
          </m:e>
        </m:bar>
      </m:oMath>
      <w:r>
        <w:t xml:space="preserve">, the direction in which a dry year moves recharge and private abstraction, with a size set by the planning scenario. The alarm predicts </w:t>
      </w:r>
      <m:oMath>
        <m:sSub>
          <m:e>
            <m:acc>
              <m:accPr>
                <m:chr m:val="̂"/>
              </m:accPr>
              <m:e>
                <m:r>
                  <m:t>Y</m:t>
                </m:r>
              </m:e>
            </m:acc>
          </m:e>
          <m:sub>
            <m:r>
              <m:t>b</m:t>
            </m:r>
          </m:sub>
        </m:sSub>
        <m:r>
          <m:rPr>
            <m:sty m:val="p"/>
          </m:rPr>
          <m:t>=</m:t>
        </m:r>
        <m:sSup>
          <m:e>
            <m:r>
              <m:t>X</m:t>
            </m:r>
          </m:e>
          <m:sup>
            <m:r>
              <m:rPr>
                <m:sty m:val="p"/>
              </m:rPr>
              <m:t>⊤</m:t>
            </m:r>
          </m:sup>
        </m:sSup>
        <m:r>
          <m:t>b</m:t>
        </m:r>
        <m:r>
          <m:rPr>
            <m:sty m:val="p"/>
          </m:rPr>
          <m:t>+</m:t>
        </m:r>
        <m:sSubSup>
          <m:e>
            <m:r>
              <m:t>w</m:t>
            </m:r>
          </m:e>
          <m:sub>
            <m:r>
              <m:t>b</m:t>
            </m:r>
          </m:sub>
          <m:sup>
            <m:r>
              <m:rPr>
                <m:sty m:val="p"/>
              </m:rPr>
              <m:t>⊤</m:t>
            </m:r>
          </m:sup>
        </m:sSubSup>
        <m:r>
          <m:t>A</m:t>
        </m:r>
      </m:oMath>
      <w:r>
        <w:t xml:space="preserve"> from the heads and the recorded anchors, and sounds when </w:t>
      </w:r>
      <m:oMath>
        <m:sSub>
          <m:e>
            <m:acc>
              <m:accPr>
                <m:chr m:val="̂"/>
              </m:accPr>
              <m:e>
                <m:r>
                  <m:t>Y</m:t>
                </m:r>
              </m:e>
            </m:acc>
          </m:e>
          <m:sub>
            <m:r>
              <m:t>b</m:t>
            </m:r>
          </m:sub>
        </m:sSub>
        <m:r>
          <m:rPr>
            <m:sty m:val="p"/>
          </m:rPr>
          <m:t>≤</m:t>
        </m:r>
        <m:sSup>
          <m:e>
            <m:r>
              <m:t>y</m:t>
            </m:r>
          </m:e>
          <m:sup>
            <m:r>
              <m:rPr>
                <m:sty m:val="p"/>
              </m:rPr>
              <m:t>⋆</m:t>
            </m:r>
          </m:sup>
        </m:sSup>
        <m:r>
          <m:rPr>
            <m:sty m:val="p"/>
          </m:rPr>
          <m:t>+</m:t>
        </m:r>
        <m:r>
          <m:t>m</m:t>
        </m:r>
      </m:oMath>
      <w:r>
        <w:t xml:space="preserve">.</w:t>
      </w:r>
    </w:p>
    <w:p>
      <w:pPr>
        <w:pStyle w:val="Heading2"/>
      </w:pPr>
      <w:r>
        <w:t xml:space="preserve">5.2 The law of the error after the decision</w:t>
      </w:r>
    </w:p>
    <w:p>
      <w:pPr>
        <w:keepNext/>
        <w:pBdr>
          <w:left w:val="single" w:color="C2410C" w:sz="18" w:space="6"/>
        </w:pBdr>
        <w:shd w:fill="FDF2E9" w:color="auto" w:val="clear"/>
        <w:spacing w:after="100" w:before="100"/>
        <w:ind w:left="140" w:right="60"/>
        <w:jc w:val="left"/>
      </w:pPr>
      <w:r>
        <w:rPr>
          <w:b/>
          <w:bCs/>
          <w:color w:val="C2410C"/>
        </w:rPr>
        <w:t xml:space="preserve">Proposition S1 (the post-decision error is identified before the decision). </w:t>
      </w:r>
      <w:r>
        <w:t xml:space="preserve">Under (4), for every </w:t>
      </w:r>
      <m:oMath>
        <m:r>
          <m:t>b</m:t>
        </m:r>
      </m:oMath>
      <w:r>
        <w:t xml:space="preserve"> and every future </w:t>
      </w:r>
      <m:oMath>
        <m:r>
          <m:t>F</m:t>
        </m:r>
        <m:d>
          <m:dPr>
            <m:begChr m:val="("/>
            <m:sepChr m:val=""/>
            <m:endChr m:val=")"/>
            <m:grow/>
          </m:dPr>
          <m:e>
            <m:r>
              <m:t>δ</m:t>
            </m:r>
          </m:e>
        </m:d>
      </m:oMath>
      <w: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r>
                  <m:t>Y</m:t>
                </m:r>
                <m:r>
                  <m:rPr>
                    <m:sty m:val="p"/>
                  </m:rPr>
                  <m:t>−</m:t>
                </m:r>
                <m:sSub>
                  <m:e>
                    <m:acc>
                      <m:accPr>
                        <m:chr m:val="̂"/>
                      </m:accPr>
                      <m:e>
                        <m:r>
                          <m:t>Y</m:t>
                        </m:r>
                      </m:e>
                    </m:acc>
                  </m:e>
                  <m:sub>
                    <m:r>
                      <m:t>b</m:t>
                    </m:r>
                  </m:sub>
                </m:sSub>
                <m:r>
                  <m:t> </m:t>
                </m:r>
                <m:limUpp>
                  <m:e>
                    <m:r>
                      <m:rPr>
                        <m:sty m:val="p"/>
                      </m:rPr>
                      <m:t>=</m:t>
                    </m:r>
                  </m:e>
                  <m:lim>
                    <m:r>
                      <m:t>d</m:t>
                    </m:r>
                  </m:lim>
                </m:limUpp>
                <m:r>
                  <m:t> </m:t>
                </m:r>
                <m:sSub>
                  <m:e>
                    <m:r>
                      <m:t>η</m:t>
                    </m:r>
                  </m:e>
                  <m:sub>
                    <m:r>
                      <m:t>b</m:t>
                    </m:r>
                  </m:sub>
                </m:sSub>
                <m:r>
                  <m:rPr>
                    <m:sty m:val="p"/>
                  </m:rPr>
                  <m:t>−</m:t>
                </m:r>
                <m:r>
                  <m:t>δ</m:t>
                </m:r>
                <m:r>
                  <m:t> </m:t>
                </m:r>
                <m:r>
                  <m:rPr>
                    <m:sty m:val="p"/>
                  </m:rPr>
                  <m:t>ℓ</m:t>
                </m:r>
                <m:d>
                  <m:dPr>
                    <m:begChr m:val="("/>
                    <m:sepChr m:val=""/>
                    <m:endChr m:val=")"/>
                    <m:grow/>
                  </m:dPr>
                  <m:e>
                    <m:r>
                      <m:t>b</m:t>
                    </m:r>
                  </m:e>
                </m:d>
                <m:r>
                  <m:rPr>
                    <m:sty m:val="p"/>
                  </m:rPr>
                  <m:t>,</m:t>
                </m:r>
                <m:r>
                  <m:t>  </m:t>
                </m:r>
                <m:r>
                  <m:rPr>
                    <m:sty m:val="p"/>
                  </m:rPr>
                  <m:t>ℓ</m:t>
                </m:r>
                <m:d>
                  <m:dPr>
                    <m:begChr m:val="("/>
                    <m:sepChr m:val=""/>
                    <m:endChr m:val=")"/>
                    <m:grow/>
                  </m:dPr>
                  <m:e>
                    <m:r>
                      <m:t>b</m:t>
                    </m:r>
                  </m:e>
                </m:d>
                <m:r>
                  <m:rPr>
                    <m:sty m:val="p"/>
                  </m:rPr>
                  <m:t>=</m:t>
                </m:r>
                <m:sSubSup>
                  <m:e>
                    <m:r>
                      <m:t>e</m:t>
                    </m:r>
                  </m:e>
                  <m:sub>
                    <m:r>
                      <m:t>r</m:t>
                    </m:r>
                  </m:sub>
                  <m:sup>
                    <m:r>
                      <m:rPr>
                        <m:sty m:val="p"/>
                      </m:rPr>
                      <m:t>⊤</m:t>
                    </m:r>
                  </m:sup>
                </m:sSubSup>
                <m:sSub>
                  <m:e>
                    <m:r>
                      <m:t>w</m:t>
                    </m:r>
                  </m:e>
                  <m:sub>
                    <m:r>
                      <m:t>b</m:t>
                    </m:r>
                  </m:sub>
                </m:sSub>
                <m:r>
                  <m:rPr>
                    <m:sty m:val="p"/>
                  </m:rPr>
                  <m:t>=</m:t>
                </m:r>
                <m:sSub>
                  <m:e>
                    <m:r>
                      <m:t>w</m:t>
                    </m:r>
                  </m:e>
                  <m:sub>
                    <m:r>
                      <m:t>Y</m:t>
                    </m:r>
                    <m:r>
                      <m:rPr>
                        <m:sty m:val="p"/>
                      </m:rPr>
                      <m:t>,</m:t>
                    </m:r>
                    <m:r>
                      <m:t>r</m:t>
                    </m:r>
                  </m:sub>
                </m:sSub>
                <m:r>
                  <m:rPr>
                    <m:sty m:val="p"/>
                  </m:rPr>
                  <m:t>−</m:t>
                </m:r>
                <m:sSub>
                  <m:e>
                    <m:r>
                      <m:rPr>
                        <m:sty m:val="b"/>
                      </m:rPr>
                      <m:t>W</m:t>
                    </m:r>
                  </m:e>
                  <m:sub>
                    <m:r>
                      <m:t>X</m:t>
                    </m:r>
                    <m:r>
                      <m:rPr>
                        <m:sty m:val="p"/>
                      </m:rPr>
                      <m:t>,</m:t>
                    </m:r>
                    <m:r>
                      <m:t>r</m:t>
                    </m:r>
                  </m:sub>
                </m:sSub>
                <m:r>
                  <m:t> </m:t>
                </m:r>
                <m:r>
                  <m:t>b</m:t>
                </m:r>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(7)</w:t>
            </w:r>
          </w:p>
        </w:tc>
      </w:tr>
    </w:tbl>
    <w:p>
      <w:pPr>
        <w:spacing w:after="120" w:before="20"/>
        <w:ind w:left="284"/>
        <w:jc w:val="left"/>
      </w:pPr>
      <w:r>
        <w:rPr>
          <w:i/>
          <w:iCs/>
          <w:color w:val="3A4350"/>
          <w:sz w:val="19"/>
          <w:szCs w:val="19"/>
        </w:rPr>
        <w:t xml:space="preserve">where </w:t>
      </w:r>
      <m:oMath>
        <m:sSub>
          <m:e>
            <m:r>
              <m:t>η</m:t>
            </m:r>
          </m:e>
          <m:sub>
            <m:r>
              <m:t>b</m:t>
            </m:r>
          </m:sub>
        </m:sSub>
      </m:oMath>
      <w:r>
        <w:rPr>
          <w:color w:val="3A4350"/>
          <w:sz w:val="19"/>
          <w:szCs w:val="19"/>
        </w:rPr>
        <w:t xml:space="preserve"> has its law in the record. The decision, however far outside the record, enters only through the recorded anchors and is corrected by </w:t>
      </w:r>
      <m:oMath>
        <m:sSubSup>
          <m:e>
            <m:r>
              <m:t>w</m:t>
            </m:r>
          </m:e>
          <m:sub>
            <m:r>
              <m:t>b</m:t>
            </m:r>
          </m:sub>
          <m:sup>
            <m:r>
              <m:rPr>
                <m:sty m:val="p"/>
              </m:rPr>
              <m:t>⊤</m:t>
            </m:r>
          </m:sup>
        </m:sSubSup>
        <m:r>
          <m:t>A</m:t>
        </m:r>
      </m:oMath>
      <w:r>
        <w:rPr>
          <w:color w:val="3A4350"/>
          <w:sz w:val="19"/>
          <w:szCs w:val="19"/>
        </w:rPr>
        <w:t xml:space="preserve">; the unrecorded warming moves the error by </w:t>
      </w:r>
      <m:oMath>
        <m:r>
          <m:t>δ</m:t>
        </m:r>
        <m:r>
          <m:t> </m:t>
        </m:r>
        <m:r>
          <m:rPr>
            <m:sty m:val="p"/>
          </m:rPr>
          <m:t>ℓ</m:t>
        </m:r>
        <m:d>
          <m:dPr>
            <m:begChr m:val="("/>
            <m:sepChr m:val=""/>
            <m:endChr m:val=")"/>
            <m:grow/>
          </m:dPr>
          <m:e>
            <m:r>
              <m:t>b</m:t>
            </m:r>
          </m:e>
        </m:d>
      </m:oMath>
      <w:r>
        <w:rPr>
          <w:color w:val="3A4350"/>
          <w:sz w:val="19"/>
          <w:szCs w:val="19"/>
        </w:rPr>
        <w:t xml:space="preserve">, the response of the residual to rainfall with pumping held fixed.</w:t>
      </w:r>
    </w:p>
    <w:p>
      <w:pPr>
        <w:spacing w:after="110"/>
        <w:jc w:val="both"/>
      </w:pPr>
      <w:r>
        <w:rPr>
          <w:i/>
          <w:iCs/>
        </w:rPr>
        <w:t xml:space="preserve">Proof. </w:t>
      </w:r>
      <w:r>
        <w:t xml:space="preserve">Write </w:t>
      </w:r>
      <m:oMath>
        <m:d>
          <m:dPr>
            <m:begChr m:val="("/>
            <m:sepChr m:val=""/>
            <m:endChr m:val=")"/>
            <m:grow/>
          </m:dPr>
          <m:e>
            <m:r>
              <m:t>X</m:t>
            </m:r>
            <m:r>
              <m:rPr>
                <m:sty m:val="p"/>
              </m:rPr>
              <m:t>,</m:t>
            </m:r>
            <m:r>
              <m:t>Y</m:t>
            </m:r>
            <m:r>
              <m:rPr>
                <m:sty m:val="p"/>
              </m:rPr>
              <m:t>,</m:t>
            </m:r>
            <m:r>
              <m:t>H</m:t>
            </m:r>
          </m:e>
        </m:d>
        <m:r>
          <m:rPr>
            <m:sty m:val="p"/>
          </m:rPr>
          <m:t>=</m:t>
        </m:r>
        <m:sSup>
          <m:e>
            <m:d>
              <m:dPr>
                <m:begChr m:val="("/>
                <m:sepChr m:val=""/>
                <m:endChr m:val=")"/>
                <m:grow/>
              </m:dPr>
              <m:e>
                <m:r>
                  <m:rPr>
                    <m:sty m:val="p"/>
                  </m:rPr>
                  <m:t>I</m:t>
                </m:r>
                <m:r>
                  <m:rPr>
                    <m:sty m:val="p"/>
                  </m:rPr>
                  <m:t>d</m:t>
                </m:r>
                <m:r>
                  <m:rPr>
                    <m:sty m:val="p"/>
                  </m:rPr>
                  <m:t>−</m:t>
                </m:r>
                <m:r>
                  <m:rPr>
                    <m:sty m:val="b"/>
                  </m:rPr>
                  <m:t>B</m:t>
                </m:r>
              </m:e>
            </m:d>
          </m:e>
          <m:sup>
            <m:r>
              <m:rPr>
                <m:sty m:val="p"/>
              </m:rPr>
              <m:t>−</m:t>
            </m:r>
            <m:r>
              <m:t>1</m:t>
            </m:r>
          </m:sup>
        </m:sSup>
        <m:d>
          <m:dPr>
            <m:begChr m:val="("/>
            <m:sepChr m:val=""/>
            <m:endChr m:val=")"/>
            <m:grow/>
          </m:dPr>
          <m:e>
            <m:r>
              <m:t>ε</m:t>
            </m:r>
            <m:r>
              <m:rPr>
                <m:sty m:val="p"/>
              </m:rPr>
              <m:t>+</m:t>
            </m:r>
            <m:r>
              <m:rPr>
                <m:sty m:val="b"/>
              </m:rPr>
              <m:t>M</m:t>
            </m:r>
            <m:r>
              <m:t>A</m:t>
            </m:r>
            <m:r>
              <m:rPr>
                <m:sty m:val="p"/>
              </m:rPr>
              <m:t>+</m:t>
            </m:r>
            <m:r>
              <m:t>v</m:t>
            </m:r>
          </m:e>
        </m:d>
      </m:oMath>
      <w:r>
        <w:t xml:space="preserve"> and </w:t>
      </w:r>
      <m:oMath>
        <m:sSub>
          <m:e>
            <m:r>
              <m:t>g</m:t>
            </m:r>
          </m:e>
          <m:sub>
            <m:r>
              <m:t>b</m:t>
            </m:r>
          </m:sub>
        </m:sSub>
        <m:r>
          <m:rPr>
            <m:sty m:val="p"/>
          </m:rPr>
          <m:t>=</m:t>
        </m:r>
        <m:sSup>
          <m:e>
            <m:d>
              <m:dPr>
                <m:begChr m:val="("/>
                <m:sepChr m:val=""/>
                <m:endChr m:val=")"/>
                <m:grow/>
              </m:dPr>
              <m:e>
                <m:r>
                  <m:rPr>
                    <m:sty m:val="p"/>
                  </m:rPr>
                  <m:t>I</m:t>
                </m:r>
                <m:r>
                  <m:rPr>
                    <m:sty m:val="p"/>
                  </m:rPr>
                  <m:t>d</m:t>
                </m:r>
                <m:r>
                  <m:rPr>
                    <m:sty m:val="p"/>
                  </m:rPr>
                  <m:t>−</m:t>
                </m:r>
                <m:r>
                  <m:rPr>
                    <m:sty m:val="b"/>
                  </m:rPr>
                  <m:t>B</m:t>
                </m:r>
              </m:e>
            </m:d>
          </m:e>
          <m:sup>
            <m:r>
              <m:rPr>
                <m:sty m:val="p"/>
              </m:rPr>
              <m:t>−</m:t>
            </m:r>
            <m:r>
              <m:rPr>
                <m:sty m:val="p"/>
              </m:rPr>
              <m:t>⊤</m:t>
            </m:r>
          </m:sup>
        </m:sSup>
        <m:d>
          <m:dPr>
            <m:begChr m:val="("/>
            <m:sepChr m:val=""/>
            <m:endChr m:val=")"/>
            <m:grow/>
          </m:dPr>
          <m:e>
            <m:r>
              <m:rPr>
                <m:sty m:val="p"/>
              </m:rPr>
              <m:t>−</m:t>
            </m:r>
            <m:r>
              <m:t>b</m:t>
            </m:r>
            <m:r>
              <m:rPr>
                <m:sty m:val="p"/>
              </m:rPr>
              <m:t>,</m:t>
            </m:r>
            <m:r>
              <m:t>1</m:t>
            </m:r>
            <m:r>
              <m:rPr>
                <m:sty m:val="p"/>
              </m:rPr>
              <m:t>,</m:t>
            </m:r>
            <m:r>
              <m:t>0</m:t>
            </m:r>
          </m:e>
        </m:d>
      </m:oMath>
      <w:r>
        <w:t xml:space="preserve">, so that </w:t>
      </w:r>
      <m:oMath>
        <m:r>
          <m:t>Y</m:t>
        </m:r>
        <m:r>
          <m:rPr>
            <m:sty m:val="p"/>
          </m:rPr>
          <m:t>−</m:t>
        </m:r>
        <m:sSup>
          <m:e>
            <m:r>
              <m:t>X</m:t>
            </m:r>
          </m:e>
          <m:sup>
            <m:r>
              <m:rPr>
                <m:sty m:val="p"/>
              </m:rPr>
              <m:t>⊤</m:t>
            </m:r>
          </m:sup>
        </m:sSup>
        <m:r>
          <m:t>b</m:t>
        </m:r>
        <m:r>
          <m:rPr>
            <m:sty m:val="p"/>
          </m:rPr>
          <m:t>=</m:t>
        </m:r>
        <m:sSubSup>
          <m:e>
            <m:r>
              <m:t>g</m:t>
            </m:r>
          </m:e>
          <m:sub>
            <m:r>
              <m:t>b</m:t>
            </m:r>
          </m:sub>
          <m:sup>
            <m:r>
              <m:rPr>
                <m:sty m:val="p"/>
              </m:rPr>
              <m:t>⊤</m:t>
            </m:r>
          </m:sup>
        </m:sSubSup>
        <m:r>
          <m:t>ε</m:t>
        </m:r>
        <m:r>
          <m:rPr>
            <m:sty m:val="p"/>
          </m:rPr>
          <m:t>+</m:t>
        </m:r>
        <m:sSubSup>
          <m:e>
            <m:r>
              <m:t>g</m:t>
            </m:r>
          </m:e>
          <m:sub>
            <m:r>
              <m:t>b</m:t>
            </m:r>
          </m:sub>
          <m:sup>
            <m:r>
              <m:rPr>
                <m:sty m:val="p"/>
              </m:rPr>
              <m:t>⊤</m:t>
            </m:r>
          </m:sup>
        </m:sSubSup>
        <m:r>
          <m:rPr>
            <m:sty m:val="b"/>
          </m:rPr>
          <m:t>M</m:t>
        </m:r>
        <m:r>
          <m:t>A</m:t>
        </m:r>
        <m:r>
          <m:rPr>
            <m:sty m:val="p"/>
          </m:rPr>
          <m:t>+</m:t>
        </m:r>
        <m:sSubSup>
          <m:e>
            <m:r>
              <m:t>g</m:t>
            </m:r>
          </m:e>
          <m:sub>
            <m:r>
              <m:t>b</m:t>
            </m:r>
          </m:sub>
          <m:sup>
            <m:r>
              <m:rPr>
                <m:sty m:val="p"/>
              </m:rPr>
              <m:t>⊤</m:t>
            </m:r>
          </m:sup>
        </m:sSubSup>
        <m:r>
          <m:t>v</m:t>
        </m:r>
      </m:oMath>
      <w:r>
        <w:t xml:space="preserve">. In the record </w:t>
      </w:r>
      <m:oMath>
        <m:r>
          <m:t>v</m:t>
        </m:r>
        <m:r>
          <m:rPr>
            <m:sty m:val="p"/>
          </m:rPr>
          <m:t>=</m:t>
        </m:r>
        <m:r>
          <m:t>0</m:t>
        </m:r>
      </m:oMath>
      <w:r>
        <w:t xml:space="preserve"> and </w:t>
      </w:r>
      <m:oMath>
        <m:r>
          <m:t>A</m:t>
        </m:r>
      </m:oMath>
      <w:r>
        <w:t xml:space="preserve"> is independent of the centred </w:t>
      </w:r>
      <m:oMath>
        <m:r>
          <m:t>ε</m:t>
        </m:r>
      </m:oMath>
      <w:r>
        <w:t xml:space="preserve">, so </w:t>
      </w:r>
      <m:oMath>
        <m:sSub>
          <m:e>
            <m:r>
              <m:t>P</m:t>
            </m:r>
          </m:e>
          <m:sub>
            <m:r>
              <m:t>A</m:t>
            </m:r>
          </m:sub>
        </m:sSub>
        <m:d>
          <m:dPr>
            <m:begChr m:val="("/>
            <m:sepChr m:val=""/>
            <m:endChr m:val=")"/>
            <m:grow/>
          </m:dPr>
          <m:e>
            <m:r>
              <m:t>Y</m:t>
            </m:r>
            <m:r>
              <m:rPr>
                <m:sty m:val="p"/>
              </m:rPr>
              <m:t>−</m:t>
            </m:r>
            <m:sSup>
              <m:e>
                <m:r>
                  <m:t>X</m:t>
                </m:r>
              </m:e>
              <m:sup>
                <m:r>
                  <m:rPr>
                    <m:sty m:val="p"/>
                  </m:rPr>
                  <m:t>⊤</m:t>
                </m:r>
              </m:sup>
            </m:sSup>
            <m:r>
              <m:t>b</m:t>
            </m:r>
          </m:e>
        </m:d>
        <m:r>
          <m:rPr>
            <m:sty m:val="p"/>
          </m:rPr>
          <m:t>=</m:t>
        </m:r>
        <m:sSubSup>
          <m:e>
            <m:r>
              <m:t>g</m:t>
            </m:r>
          </m:e>
          <m:sub>
            <m:r>
              <m:t>b</m:t>
            </m:r>
          </m:sub>
          <m:sup>
            <m:r>
              <m:rPr>
                <m:sty m:val="p"/>
              </m:rPr>
              <m:t>⊤</m:t>
            </m:r>
          </m:sup>
        </m:sSubSup>
        <m:r>
          <m:rPr>
            <m:sty m:val="b"/>
          </m:rPr>
          <m:t>M</m:t>
        </m:r>
        <m:r>
          <m:t>A</m:t>
        </m:r>
      </m:oMath>
      <w:r>
        <w:t xml:space="preserve">, hence </w:t>
      </w:r>
      <m:oMath>
        <m:sSubSup>
          <m:e>
            <m:r>
              <m:t>w</m:t>
            </m:r>
          </m:e>
          <m:sub>
            <m:r>
              <m:t>b</m:t>
            </m:r>
          </m:sub>
          <m:sup>
            <m:r>
              <m:rPr>
                <m:sty m:val="p"/>
              </m:rPr>
              <m:t>⊤</m:t>
            </m:r>
          </m:sup>
        </m:sSubSup>
        <m:r>
          <m:rPr>
            <m:sty m:val="p"/>
          </m:rPr>
          <m:t>=</m:t>
        </m:r>
        <m:sSubSup>
          <m:e>
            <m:r>
              <m:t>g</m:t>
            </m:r>
          </m:e>
          <m:sub>
            <m:r>
              <m:t>b</m:t>
            </m:r>
          </m:sub>
          <m:sup>
            <m:r>
              <m:rPr>
                <m:sty m:val="p"/>
              </m:rPr>
              <m:t>⊤</m:t>
            </m:r>
          </m:sup>
        </m:sSubSup>
        <m:r>
          <m:rPr>
            <m:sty m:val="b"/>
          </m:rPr>
          <m:t>M</m:t>
        </m:r>
      </m:oMath>
      <w:r>
        <w:t xml:space="preserve"> and </w:t>
      </w:r>
      <m:oMath>
        <m:sSub>
          <m:e>
            <m:r>
              <m:t>η</m:t>
            </m:r>
          </m:e>
          <m:sub>
            <m:r>
              <m:t>b</m:t>
            </m:r>
          </m:sub>
        </m:sSub>
        <m:r>
          <m:rPr>
            <m:sty m:val="p"/>
          </m:rPr>
          <m:t>=</m:t>
        </m:r>
        <m:sSubSup>
          <m:e>
            <m:r>
              <m:t>g</m:t>
            </m:r>
          </m:e>
          <m:sub>
            <m:r>
              <m:t>b</m:t>
            </m:r>
          </m:sub>
          <m:sup>
            <m:r>
              <m:rPr>
                <m:sty m:val="p"/>
              </m:rPr>
              <m:t>⊤</m:t>
            </m:r>
          </m:sup>
        </m:sSubSup>
        <m:r>
          <m:t>ε</m:t>
        </m:r>
      </m:oMath>
      <w:r>
        <w:t xml:space="preserve">. In the future </w:t>
      </w:r>
      <m:oMath>
        <m:r>
          <m:t>A</m:t>
        </m:r>
      </m:oMath>
      <w:r>
        <w:t xml:space="preserve"> takes its recorded value, the decision included, and </w:t>
      </w:r>
      <m:oMath>
        <m:r>
          <m:t>v</m:t>
        </m:r>
        <m:r>
          <m:rPr>
            <m:sty m:val="p"/>
          </m:rPr>
          <m:t>=</m:t>
        </m:r>
        <m:r>
          <m:rPr>
            <m:sty m:val="p"/>
          </m:rPr>
          <m:t>−</m:t>
        </m:r>
        <m:r>
          <m:t>δ</m:t>
        </m:r>
        <m:r>
          <m:rPr>
            <m:sty m:val="b"/>
          </m:rPr>
          <m:t>M</m:t>
        </m:r>
        <m:sSub>
          <m:e>
            <m:r>
              <m:t>e</m:t>
            </m:r>
          </m:e>
          <m:sub>
            <m:r>
              <m:t>r</m:t>
            </m:r>
          </m:sub>
        </m:sSub>
      </m:oMath>
      <w:r>
        <w:t xml:space="preserve"> adds </w:t>
      </w:r>
      <m:oMath>
        <m:r>
          <m:rPr>
            <m:sty m:val="p"/>
          </m:rPr>
          <m:t>−</m:t>
        </m:r>
        <m:r>
          <m:t>δ</m:t>
        </m:r>
        <m:sSubSup>
          <m:e>
            <m:r>
              <m:t>g</m:t>
            </m:r>
          </m:e>
          <m:sub>
            <m:r>
              <m:t>b</m:t>
            </m:r>
          </m:sub>
          <m:sup>
            <m:r>
              <m:rPr>
                <m:sty m:val="p"/>
              </m:rPr>
              <m:t>⊤</m:t>
            </m:r>
          </m:sup>
        </m:sSubSup>
        <m:r>
          <m:rPr>
            <m:sty m:val="b"/>
          </m:rPr>
          <m:t>M</m:t>
        </m:r>
        <m:sSub>
          <m:e>
            <m:r>
              <m:t>e</m:t>
            </m:r>
          </m:e>
          <m:sub>
            <m:r>
              <m:t>r</m:t>
            </m:r>
          </m:sub>
        </m:sSub>
        <m:r>
          <m:rPr>
            <m:sty m:val="p"/>
          </m:rPr>
          <m:t>=</m:t>
        </m:r>
        <m:r>
          <m:rPr>
            <m:sty m:val="p"/>
          </m:rPr>
          <m:t>−</m:t>
        </m:r>
        <m:r>
          <m:t>δ</m:t>
        </m:r>
        <m:r>
          <m:rPr>
            <m:sty m:val="p"/>
          </m:rPr>
          <m:t>ℓ</m:t>
        </m:r>
        <m:d>
          <m:dPr>
            <m:begChr m:val="("/>
            <m:sepChr m:val=""/>
            <m:endChr m:val=")"/>
            <m:grow/>
          </m:dPr>
          <m:e>
            <m:r>
              <m:t>b</m:t>
            </m:r>
          </m:e>
        </m:d>
      </m:oMath>
      <w:r>
        <w:t xml:space="preserve">. The law of </w:t>
      </w:r>
      <m:oMath>
        <m:r>
          <m:t>ε</m:t>
        </m:r>
      </m:oMath>
      <w:r>
        <w:t xml:space="preserve"> is unchanged, so </w:t>
      </w:r>
      <m:oMath>
        <m:sSubSup>
          <m:e>
            <m:r>
              <m:t>g</m:t>
            </m:r>
          </m:e>
          <m:sub>
            <m:r>
              <m:t>b</m:t>
            </m:r>
          </m:sub>
          <m:sup>
            <m:r>
              <m:rPr>
                <m:sty m:val="p"/>
              </m:rPr>
              <m:t>⊤</m:t>
            </m:r>
          </m:sup>
        </m:sSubSup>
        <m:r>
          <m:t>ε</m:t>
        </m:r>
      </m:oMath>
      <w:r>
        <w:t xml:space="preserve"> has the law of </w:t>
      </w:r>
      <m:oMath>
        <m:sSub>
          <m:e>
            <m:r>
              <m:t>η</m:t>
            </m:r>
          </m:e>
          <m:sub>
            <m:r>
              <m:t>b</m:t>
            </m:r>
          </m:sub>
        </m:sSub>
      </m:oMath>
      <w:r>
        <w:t xml:space="preserve"> in the record.</w:t>
      </w:r>
      <w:r>
        <w:t xml:space="preserve"> □</w:t>
      </w:r>
    </w:p>
    <w:p>
      <w:pPr>
        <w:pStyle w:val="Heading2"/>
      </w:pPr>
      <w:r>
        <w:t xml:space="preserve">5.3 The certified alarm</w:t>
      </w:r>
    </w:p>
    <w:p>
      <w:pPr>
        <w:keepNext w:val="false"/>
        <w:pBdr>
          <w:left w:val="single" w:color="C2410C" w:sz="18" w:space="6"/>
        </w:pBdr>
        <w:shd w:fill="FDF2E9" w:color="auto" w:val="clear"/>
        <w:spacing w:after="100" w:before="100"/>
        <w:ind w:left="140" w:right="60"/>
        <w:jc w:val="left"/>
      </w:pPr>
      <w:r>
        <w:rPr>
          <w:b/>
          <w:bCs/>
          <w:color w:val="C2410C"/>
        </w:rPr>
        <w:t xml:space="preserve">Theorem S2 (certified alarm). </w:t>
      </w:r>
      <w:r>
        <w:t xml:space="preserve">Let </w:t>
      </w:r>
      <m:oMath>
        <m:sSub>
          <m:e>
            <m:r>
              <m:t>q</m:t>
            </m:r>
          </m:e>
          <m:sub>
            <m:r>
              <m:t>1</m:t>
            </m:r>
            <m:r>
              <m:rPr>
                <m:sty m:val="p"/>
              </m:rPr>
              <m:t>−</m:t>
            </m:r>
            <m:r>
              <m:t>α</m:t>
            </m:r>
          </m:sub>
        </m:sSub>
        <m:d>
          <m:dPr>
            <m:begChr m:val="("/>
            <m:sepChr m:val=""/>
            <m:endChr m:val=")"/>
            <m:grow/>
          </m:dPr>
          <m:e>
            <m:r>
              <m:t>b</m:t>
            </m:r>
          </m:e>
        </m:d>
      </m:oMath>
      <w:r>
        <w:t xml:space="preserve"> be the </w:t>
      </w:r>
      <m:oMath>
        <m:d>
          <m:dPr>
            <m:begChr m:val="("/>
            <m:sepChr m:val=""/>
            <m:endChr m:val=")"/>
            <m:grow/>
          </m:dPr>
          <m:e>
            <m:r>
              <m:t>1</m:t>
            </m:r>
            <m:r>
              <m:rPr>
                <m:sty m:val="p"/>
              </m:rPr>
              <m:t>−</m:t>
            </m:r>
            <m:r>
              <m:t>α</m:t>
            </m:r>
          </m:e>
        </m:d>
      </m:oMath>
      <w:r>
        <w:t xml:space="preserve">-quantile of </w:t>
      </w:r>
      <m:oMath>
        <m:r>
          <m:rPr>
            <m:sty m:val="p"/>
          </m:rPr>
          <m:t>−</m:t>
        </m:r>
        <m:sSub>
          <m:e>
            <m:r>
              <m:t>η</m:t>
            </m:r>
          </m:e>
          <m:sub>
            <m:r>
              <m:t>b</m:t>
            </m:r>
          </m:sub>
        </m:sSub>
      </m:oMath>
      <w:r>
        <w:t xml:space="preserve"> and </w:t>
      </w:r>
      <m:oMath>
        <m:r>
          <m:t>m</m:t>
        </m:r>
        <m:d>
          <m:dPr>
            <m:begChr m:val="("/>
            <m:sepChr m:val=""/>
            <m:endChr m:val=")"/>
            <m:grow/>
          </m:dPr>
          <m:e>
            <m:r>
              <m:t>b</m:t>
            </m:r>
          </m:e>
        </m:d>
        <m:r>
          <m:rPr>
            <m:sty m:val="p"/>
          </m:rPr>
          <m:t>=</m:t>
        </m:r>
        <m:sSub>
          <m:e>
            <m:r>
              <m:t>q</m:t>
            </m:r>
          </m:e>
          <m:sub>
            <m:r>
              <m:t>1</m:t>
            </m:r>
            <m:r>
              <m:rPr>
                <m:sty m:val="p"/>
              </m:rPr>
              <m:t>−</m:t>
            </m:r>
            <m:r>
              <m:t>α</m:t>
            </m:r>
          </m:sub>
        </m:sSub>
        <m:d>
          <m:dPr>
            <m:begChr m:val="("/>
            <m:sepChr m:val=""/>
            <m:endChr m:val=")"/>
            <m:grow/>
          </m:dPr>
          <m:e>
            <m:r>
              <m:t>b</m:t>
            </m:r>
          </m:e>
        </m:d>
        <m:r>
          <m:rPr>
            <m:sty m:val="p"/>
          </m:rPr>
          <m:t>+</m:t>
        </m:r>
        <m:bar>
          <m:barPr>
            <m:pos m:val="top"/>
          </m:barPr>
          <m:e>
            <m:r>
              <m:t>δ</m:t>
            </m:r>
          </m:e>
        </m:bar>
        <m:r>
          <m:rPr>
            <m:sty m:val="p"/>
          </m:rPr>
          <m:t>max</m:t>
        </m:r>
        <m:r>
          <m:rPr>
            <m:sty m:val="p"/>
          </m:rPr>
          <m:t>{</m:t>
        </m:r>
        <m:r>
          <m:t>0</m:t>
        </m:r>
        <m:r>
          <m:rPr>
            <m:sty m:val="p"/>
          </m:rPr>
          <m:t>,</m:t>
        </m:r>
        <m:r>
          <m:rPr>
            <m:sty m:val="p"/>
          </m:rPr>
          <m:t>ℓ</m:t>
        </m:r>
        <m:d>
          <m:dPr>
            <m:begChr m:val="("/>
            <m:sepChr m:val=""/>
            <m:endChr m:val=")"/>
            <m:grow/>
          </m:dPr>
          <m:e>
            <m:r>
              <m:t>b</m:t>
            </m:r>
          </m:e>
        </m:d>
        <m:r>
          <m:rPr>
            <m:sty m:val="p"/>
          </m:rPr>
          <m:t>}</m:t>
        </m:r>
      </m:oMath>
      <w:r>
        <w:t xml:space="preserve">. For every </w:t>
      </w:r>
      <m:oMath>
        <m:r>
          <m:t>δ</m:t>
        </m:r>
        <m:r>
          <m:rPr>
            <m:sty m:val="p"/>
          </m:rPr>
          <m:t>∈</m:t>
        </m:r>
        <m:d>
          <m:dPr>
            <m:begChr m:val="["/>
            <m:sepChr m:val=""/>
            <m:endChr m:val="]"/>
            <m:grow/>
          </m:dPr>
          <m:e>
            <m:r>
              <m:t>0</m:t>
            </m:r>
            <m:r>
              <m:rPr>
                <m:sty m:val="p"/>
              </m:rPr>
              <m:t>,</m:t>
            </m:r>
            <m:bar>
              <m:barPr>
                <m:pos m:val="top"/>
              </m:barPr>
              <m:e>
                <m:r>
                  <m:t>δ</m:t>
                </m:r>
              </m:e>
            </m:bar>
          </m:e>
        </m:d>
      </m:oMath>
      <w:r>
        <w:t xml:space="preserve">, </w:t>
      </w:r>
      <m:oMath>
        <m:sSub>
          <m:e>
            <m:r>
              <m:rPr>
                <m:sty m:val="p"/>
              </m:rPr>
              <m:t>Pr</m:t>
            </m:r>
          </m:e>
          <m:sub>
            <m:r>
              <m:t>F</m:t>
            </m:r>
            <m:d>
              <m:dPr>
                <m:begChr m:val="("/>
                <m:sepChr m:val=""/>
                <m:endChr m:val=")"/>
                <m:grow/>
              </m:dPr>
              <m:e>
                <m:r>
                  <m:t>δ</m:t>
                </m:r>
              </m:e>
            </m:d>
          </m:sub>
        </m:sSub>
        <m:r>
          <m:rPr>
            <m:sty m:val="p"/>
          </m:rPr>
          <m:t>{</m:t>
        </m:r>
        <m:sSub>
          <m:e>
            <m:acc>
              <m:accPr>
                <m:chr m:val="̂"/>
              </m:accPr>
              <m:e>
                <m:r>
                  <m:t>Y</m:t>
                </m:r>
              </m:e>
            </m:acc>
          </m:e>
          <m:sub>
            <m:r>
              <m:t>b</m:t>
            </m:r>
          </m:sub>
        </m:sSub>
        <m:r>
          <m:rPr>
            <m:sty m:val="p"/>
          </m:rPr>
          <m:t>−</m:t>
        </m:r>
        <m:r>
          <m:t>Y</m:t>
        </m:r>
        <m:r>
          <m:rPr>
            <m:sty m:val="p"/>
          </m:rPr>
          <m:t>&gt;</m:t>
        </m:r>
        <m:r>
          <m:t>m</m:t>
        </m:r>
        <m:d>
          <m:dPr>
            <m:begChr m:val="("/>
            <m:sepChr m:val=""/>
            <m:endChr m:val=")"/>
            <m:grow/>
          </m:dPr>
          <m:e>
            <m:r>
              <m:t>b</m:t>
            </m:r>
          </m:e>
        </m:d>
        <m:r>
          <m:rPr>
            <m:sty m:val="p"/>
          </m:rPr>
          <m:t>}</m:t>
        </m:r>
        <m:r>
          <m:rPr>
            <m:sty m:val="p"/>
          </m:rPr>
          <m:t>≤</m:t>
        </m:r>
        <m:r>
          <m:t>α</m:t>
        </m:r>
      </m:oMath>
      <w:r>
        <w:t xml:space="preserve">, so the alarm </w:t>
      </w:r>
      <m:oMath>
        <m:sSub>
          <m:e>
            <m:acc>
              <m:accPr>
                <m:chr m:val="̂"/>
              </m:accPr>
              <m:e>
                <m:r>
                  <m:t>Y</m:t>
                </m:r>
              </m:e>
            </m:acc>
          </m:e>
          <m:sub>
            <m:r>
              <m:t>b</m:t>
            </m:r>
          </m:sub>
        </m:sSub>
        <m:r>
          <m:rPr>
            <m:sty m:val="p"/>
          </m:rPr>
          <m:t>≤</m:t>
        </m:r>
        <m:sSup>
          <m:e>
            <m:r>
              <m:t>y</m:t>
            </m:r>
          </m:e>
          <m:sup>
            <m:r>
              <m:rPr>
                <m:sty m:val="p"/>
              </m:rPr>
              <m:t>⋆</m:t>
            </m:r>
          </m:sup>
        </m:sSup>
        <m:r>
          <m:rPr>
            <m:sty m:val="p"/>
          </m:rPr>
          <m:t>+</m:t>
        </m:r>
        <m:r>
          <m:t>m</m:t>
        </m:r>
        <m:d>
          <m:dPr>
            <m:begChr m:val="("/>
            <m:sepChr m:val=""/>
            <m:endChr m:val=")"/>
            <m:grow/>
          </m:dPr>
          <m:e>
            <m:r>
              <m:t>b</m:t>
            </m:r>
          </m:e>
        </m:d>
      </m:oMath>
      <w:r>
        <w:t xml:space="preserve"> misses an exceedance </w:t>
      </w:r>
      <m:oMath>
        <m:r>
          <m:t>Y</m:t>
        </m:r>
        <m:r>
          <m:rPr>
            <m:sty m:val="p"/>
          </m:rPr>
          <m:t>&lt;</m:t>
        </m:r>
        <m:sSup>
          <m:e>
            <m:r>
              <m:t>y</m:t>
            </m:r>
          </m:e>
          <m:sup>
            <m:r>
              <m:rPr>
                <m:sty m:val="p"/>
              </m:rPr>
              <m:t>⋆</m:t>
            </m:r>
          </m:sup>
        </m:sSup>
      </m:oMath>
      <w:r>
        <w:t xml:space="preserve"> with probability at most </w:t>
      </w:r>
      <m:oMath>
        <m:r>
          <m:t>α</m:t>
        </m:r>
      </m:oMath>
      <w:r>
        <w:t xml:space="preserve"> in every future of the family. No smaller constant has this property when </w:t>
      </w:r>
      <m:oMath>
        <m:sSub>
          <m:e>
            <m:r>
              <m:t>η</m:t>
            </m:r>
          </m:e>
          <m:sub>
            <m:r>
              <m:t>b</m:t>
            </m:r>
          </m:sub>
        </m:sSub>
      </m:oMath>
      <w:r>
        <w:t xml:space="preserve"> is continuous.</w:t>
      </w:r>
    </w:p>
    <w:p>
      <w:pPr>
        <w:spacing w:after="110"/>
        <w:jc w:val="both"/>
      </w:pPr>
      <w:r>
        <w:rPr>
          <w:i/>
          <w:iCs/>
        </w:rPr>
        <w:t xml:space="preserve">Proof. </w:t>
      </w:r>
      <w:r>
        <w:t xml:space="preserve">By Proposition S1, </w:t>
      </w:r>
      <m:oMath>
        <m:sSub>
          <m:e>
            <m:acc>
              <m:accPr>
                <m:chr m:val="̂"/>
              </m:accPr>
              <m:e>
                <m:r>
                  <m:t>Y</m:t>
                </m:r>
              </m:e>
            </m:acc>
          </m:e>
          <m:sub>
            <m:r>
              <m:t>b</m:t>
            </m:r>
          </m:sub>
        </m:sSub>
        <m:r>
          <m:rPr>
            <m:sty m:val="p"/>
          </m:rPr>
          <m:t>−</m:t>
        </m:r>
        <m:r>
          <m:t>Y</m:t>
        </m:r>
        <m:r>
          <m:rPr>
            <m:sty m:val="p"/>
          </m:rPr>
          <m:t>=</m:t>
        </m:r>
        <m:r>
          <m:rPr>
            <m:sty m:val="p"/>
          </m:rPr>
          <m:t>−</m:t>
        </m:r>
        <m:sSub>
          <m:e>
            <m:r>
              <m:t>η</m:t>
            </m:r>
          </m:e>
          <m:sub>
            <m:r>
              <m:t>b</m:t>
            </m:r>
          </m:sub>
        </m:sSub>
        <m:r>
          <m:rPr>
            <m:sty m:val="p"/>
          </m:rPr>
          <m:t>+</m:t>
        </m:r>
        <m:r>
          <m:t>δ</m:t>
        </m:r>
        <m:r>
          <m:rPr>
            <m:sty m:val="p"/>
          </m:rPr>
          <m:t>ℓ</m:t>
        </m:r>
        <m:d>
          <m:dPr>
            <m:begChr m:val="("/>
            <m:sepChr m:val=""/>
            <m:endChr m:val=")"/>
            <m:grow/>
          </m:dPr>
          <m:e>
            <m:r>
              <m:t>b</m:t>
            </m:r>
          </m:e>
        </m:d>
        <m:r>
          <m:rPr>
            <m:sty m:val="p"/>
          </m:rPr>
          <m:t>≤</m:t>
        </m:r>
        <m:r>
          <m:rPr>
            <m:sty m:val="p"/>
          </m:rPr>
          <m:t>−</m:t>
        </m:r>
        <m:sSub>
          <m:e>
            <m:r>
              <m:t>η</m:t>
            </m:r>
          </m:e>
          <m:sub>
            <m:r>
              <m:t>b</m:t>
            </m:r>
          </m:sub>
        </m:sSub>
        <m:r>
          <m:rPr>
            <m:sty m:val="p"/>
          </m:rPr>
          <m:t>+</m:t>
        </m:r>
        <m:bar>
          <m:barPr>
            <m:pos m:val="top"/>
          </m:barPr>
          <m:e>
            <m:r>
              <m:t>δ</m:t>
            </m:r>
          </m:e>
        </m:bar>
        <m:r>
          <m:rPr>
            <m:sty m:val="p"/>
          </m:rPr>
          <m:t>max</m:t>
        </m:r>
        <m:r>
          <m:rPr>
            <m:sty m:val="p"/>
          </m:rPr>
          <m:t>{</m:t>
        </m:r>
        <m:r>
          <m:t>0</m:t>
        </m:r>
        <m:r>
          <m:rPr>
            <m:sty m:val="p"/>
          </m:rPr>
          <m:t>,</m:t>
        </m:r>
        <m:r>
          <m:rPr>
            <m:sty m:val="p"/>
          </m:rPr>
          <m:t>ℓ</m:t>
        </m:r>
        <m:d>
          <m:dPr>
            <m:begChr m:val="("/>
            <m:sepChr m:val=""/>
            <m:endChr m:val=")"/>
            <m:grow/>
          </m:dPr>
          <m:e>
            <m:r>
              <m:t>b</m:t>
            </m:r>
          </m:e>
        </m:d>
        <m:r>
          <m:rPr>
            <m:sty m:val="p"/>
          </m:rPr>
          <m:t>}</m:t>
        </m:r>
      </m:oMath>
      <w:r>
        <w:t xml:space="preserve">, and </w:t>
      </w:r>
      <m:oMath>
        <m:r>
          <m:rPr>
            <m:sty m:val="p"/>
          </m:rPr>
          <m:t>Pr</m:t>
        </m:r>
        <m:r>
          <m:rPr>
            <m:sty m:val="p"/>
          </m:rPr>
          <m:t>{</m:t>
        </m:r>
        <m:r>
          <m:rPr>
            <m:sty m:val="p"/>
          </m:rPr>
          <m:t>−</m:t>
        </m:r>
        <m:sSub>
          <m:e>
            <m:r>
              <m:t>η</m:t>
            </m:r>
          </m:e>
          <m:sub>
            <m:r>
              <m:t>b</m:t>
            </m:r>
          </m:sub>
        </m:sSub>
        <m:r>
          <m:rPr>
            <m:sty m:val="p"/>
          </m:rPr>
          <m:t>&gt;</m:t>
        </m:r>
        <m:sSub>
          <m:e>
            <m:r>
              <m:t>q</m:t>
            </m:r>
          </m:e>
          <m:sub>
            <m:r>
              <m:t>1</m:t>
            </m:r>
            <m:r>
              <m:rPr>
                <m:sty m:val="p"/>
              </m:rPr>
              <m:t>−</m:t>
            </m:r>
            <m:r>
              <m:t>α</m:t>
            </m:r>
          </m:sub>
        </m:sSub>
        <m:r>
          <m:rPr>
            <m:sty m:val="p"/>
          </m:rPr>
          <m:t>}</m:t>
        </m:r>
        <m:r>
          <m:rPr>
            <m:sty m:val="p"/>
          </m:rPr>
          <m:t>≤</m:t>
        </m:r>
        <m:r>
          <m:t>α</m:t>
        </m:r>
      </m:oMath>
      <w:r>
        <w:t xml:space="preserve">. A miss needs </w:t>
      </w:r>
      <m:oMath>
        <m:r>
          <m:t>Y</m:t>
        </m:r>
        <m:r>
          <m:rPr>
            <m:sty m:val="p"/>
          </m:rPr>
          <m:t>&lt;</m:t>
        </m:r>
        <m:sSup>
          <m:e>
            <m:r>
              <m:t>y</m:t>
            </m:r>
          </m:e>
          <m:sup>
            <m:r>
              <m:rPr>
                <m:sty m:val="p"/>
              </m:rPr>
              <m:t>⋆</m:t>
            </m:r>
          </m:sup>
        </m:sSup>
      </m:oMath>
      <w:r>
        <w:t xml:space="preserve"> and </w:t>
      </w:r>
      <m:oMath>
        <m:sSub>
          <m:e>
            <m:acc>
              <m:accPr>
                <m:chr m:val="̂"/>
              </m:accPr>
              <m:e>
                <m:r>
                  <m:t>Y</m:t>
                </m:r>
              </m:e>
            </m:acc>
          </m:e>
          <m:sub>
            <m:r>
              <m:t>b</m:t>
            </m:r>
          </m:sub>
        </m:sSub>
        <m:r>
          <m:rPr>
            <m:sty m:val="p"/>
          </m:rPr>
          <m:t>&gt;</m:t>
        </m:r>
        <m:sSup>
          <m:e>
            <m:r>
              <m:t>y</m:t>
            </m:r>
          </m:e>
          <m:sup>
            <m:r>
              <m:rPr>
                <m:sty m:val="p"/>
              </m:rPr>
              <m:t>⋆</m:t>
            </m:r>
          </m:sup>
        </m:sSup>
        <m:r>
          <m:rPr>
            <m:sty m:val="p"/>
          </m:rPr>
          <m:t>+</m:t>
        </m:r>
        <m:r>
          <m:t>m</m:t>
        </m:r>
        <m:d>
          <m:dPr>
            <m:begChr m:val="("/>
            <m:sepChr m:val=""/>
            <m:endChr m:val=")"/>
            <m:grow/>
          </m:dPr>
          <m:e>
            <m:r>
              <m:t>b</m:t>
            </m:r>
          </m:e>
        </m:d>
      </m:oMath>
      <w:r>
        <w:t xml:space="preserve">, hence </w:t>
      </w:r>
      <m:oMath>
        <m:sSub>
          <m:e>
            <m:acc>
              <m:accPr>
                <m:chr m:val="̂"/>
              </m:accPr>
              <m:e>
                <m:r>
                  <m:t>Y</m:t>
                </m:r>
              </m:e>
            </m:acc>
          </m:e>
          <m:sub>
            <m:r>
              <m:t>b</m:t>
            </m:r>
          </m:sub>
        </m:sSub>
        <m:r>
          <m:rPr>
            <m:sty m:val="p"/>
          </m:rPr>
          <m:t>−</m:t>
        </m:r>
        <m:r>
          <m:t>Y</m:t>
        </m:r>
        <m:r>
          <m:rPr>
            <m:sty m:val="p"/>
          </m:rPr>
          <m:t>&gt;</m:t>
        </m:r>
        <m:r>
          <m:t>m</m:t>
        </m:r>
        <m:d>
          <m:dPr>
            <m:begChr m:val="("/>
            <m:sepChr m:val=""/>
            <m:endChr m:val=")"/>
            <m:grow/>
          </m:dPr>
          <m:e>
            <m:r>
              <m:t>b</m:t>
            </m:r>
          </m:e>
        </m:d>
      </m:oMath>
      <w:r>
        <w:t xml:space="preserve">. The bound is attained at </w:t>
      </w:r>
      <m:oMath>
        <m:r>
          <m:t>δ</m:t>
        </m:r>
        <m:r>
          <m:rPr>
            <m:sty m:val="p"/>
          </m:rPr>
          <m:t>=</m:t>
        </m:r>
        <m:bar>
          <m:barPr>
            <m:pos m:val="top"/>
          </m:barPr>
          <m:e>
            <m:r>
              <m:t>δ</m:t>
            </m:r>
          </m:e>
        </m:bar>
      </m:oMath>
      <w:r>
        <w:t xml:space="preserve"> if </w:t>
      </w:r>
      <m:oMath>
        <m:r>
          <m:rPr>
            <m:sty m:val="p"/>
          </m:rPr>
          <m:t>ℓ</m:t>
        </m:r>
        <m:d>
          <m:dPr>
            <m:begChr m:val="("/>
            <m:sepChr m:val=""/>
            <m:endChr m:val=")"/>
            <m:grow/>
          </m:dPr>
          <m:e>
            <m:r>
              <m:t>b</m:t>
            </m:r>
          </m:e>
        </m:d>
        <m:r>
          <m:rPr>
            <m:sty m:val="p"/>
          </m:rPr>
          <m:t>&gt;</m:t>
        </m:r>
        <m:r>
          <m:t>0</m:t>
        </m:r>
      </m:oMath>
      <w:r>
        <w:t xml:space="preserve"> and at </w:t>
      </w:r>
      <m:oMath>
        <m:r>
          <m:t>δ</m:t>
        </m:r>
        <m:r>
          <m:rPr>
            <m:sty m:val="p"/>
          </m:rPr>
          <m:t>=</m:t>
        </m:r>
        <m:r>
          <m:t>0</m:t>
        </m:r>
      </m:oMath>
      <w:r>
        <w:t xml:space="preserve"> otherwise.</w:t>
      </w:r>
      <w:r>
        <w:t xml:space="preserve"> □</w:t>
      </w:r>
    </w:p>
    <w:p>
      <w:pPr>
        <w:spacing w:after="100"/>
        <w:jc w:val="both"/>
      </w:pPr>
      <w:r>
        <w:t xml:space="preserve">The certificate is one-sided: a warming that makes the alarm sound earlier costs nothing, and only </w:t>
      </w:r>
      <m:oMath>
        <m:r>
          <m:rPr>
            <m:sty m:val="p"/>
          </m:rPr>
          <m:t>ℓ</m:t>
        </m:r>
        <m:d>
          <m:dPr>
            <m:begChr m:val="("/>
            <m:sepChr m:val=""/>
            <m:endChr m:val=")"/>
            <m:grow/>
          </m:dPr>
          <m:e>
            <m:r>
              <m:t>b</m:t>
            </m:r>
          </m:e>
        </m:d>
        <m:r>
          <m:rPr>
            <m:sty m:val="p"/>
          </m:rPr>
          <m:t>&gt;</m:t>
        </m:r>
        <m:r>
          <m:t>0</m:t>
        </m:r>
      </m:oMath>
      <w:r>
        <w:t xml:space="preserve"> is paid for. Replacing the one-sided interval by a symmetric one and the quantile by the second moment gives </w:t>
      </w:r>
      <m:oMath>
        <m:r>
          <m:rPr>
            <m:scr m:val="double-struck"/>
            <m:sty m:val="p"/>
          </m:rPr>
          <m:t>E</m:t>
        </m:r>
        <m:d>
          <m:dPr>
            <m:begChr m:val="["/>
            <m:sepChr m:val=""/>
            <m:endChr m:val="]"/>
            <m:grow/>
          </m:dPr>
          <m:e>
            <m:sSubSup>
              <m:e>
                <m:r>
                  <m:t>η</m:t>
                </m:r>
              </m:e>
              <m:sub>
                <m:r>
                  <m:t>b</m:t>
                </m:r>
              </m:sub>
              <m:sup>
                <m:r>
                  <m:t>2</m:t>
                </m:r>
              </m:sup>
            </m:sSubSup>
          </m:e>
        </m:d>
        <m:r>
          <m:rPr>
            <m:sty m:val="p"/>
          </m:rPr>
          <m:t>+</m:t>
        </m:r>
        <m:sSup>
          <m:e>
            <m:bar>
              <m:barPr>
                <m:pos m:val="top"/>
              </m:barPr>
              <m:e>
                <m:r>
                  <m:t>δ</m:t>
                </m:r>
              </m:e>
            </m:bar>
          </m:e>
          <m:sup>
            <m:r>
              <m:t>2</m:t>
            </m:r>
          </m:sup>
        </m:sSup>
        <m:r>
          <m:rPr>
            <m:sty m:val="p"/>
          </m:rPr>
          <m:t>ℓ</m:t>
        </m:r>
        <m:sSup>
          <m:e>
            <m:d>
              <m:dPr>
                <m:begChr m:val="("/>
                <m:sepChr m:val=""/>
                <m:endChr m:val=")"/>
                <m:grow/>
              </m:dPr>
              <m:e>
                <m:r>
                  <m:t>b</m:t>
                </m:r>
              </m:e>
            </m:d>
          </m:e>
          <m:sup>
            <m:r>
              <m:t>2</m:t>
            </m:r>
          </m:sup>
        </m:sSup>
      </m:oMath>
      <w:r>
        <w:t xml:space="preserve">, the anchor objective (5) restricted to the rainfall direction after the recorded anchors are partialled out. SPIRANCA-GO is therefore anchor regression with three changes: the known part of the shift is corrected, the unknown part is one-sided and set by the scenario, and the loss is the quantile the decision needs.</w:t>
      </w:r>
    </w:p>
    <w:p>
      <w:pPr>
        <w:spacing w:after="100"/>
        <w:jc w:val="both"/>
      </w:pPr>
      <w:r>
        <w:t xml:space="preserve">In practice </w:t>
      </w:r>
      <m:oMath>
        <m:sSub>
          <m:e>
            <m:r>
              <m:t>q</m:t>
            </m:r>
          </m:e>
          <m:sub>
            <m:r>
              <m:t>1</m:t>
            </m:r>
            <m:r>
              <m:rPr>
                <m:sty m:val="p"/>
              </m:rPr>
              <m:t>−</m:t>
            </m:r>
            <m:r>
              <m:t>α</m:t>
            </m:r>
          </m:sub>
        </m:sSub>
      </m:oMath>
      <w:r>
        <w:t xml:space="preserve">, </w:t>
      </w:r>
      <m:oMath>
        <m:sSub>
          <m:e>
            <m:r>
              <m:t>w</m:t>
            </m:r>
          </m:e>
          <m:sub>
            <m:r>
              <m:t>b</m:t>
            </m:r>
          </m:sub>
        </m:sSub>
      </m:oMath>
      <w:r>
        <w:t xml:space="preserve"> and </w:t>
      </w:r>
      <m:oMath>
        <m:r>
          <m:rPr>
            <m:sty m:val="p"/>
          </m:rPr>
          <m:t>ℓ</m:t>
        </m:r>
        <m:d>
          <m:dPr>
            <m:begChr m:val="("/>
            <m:sepChr m:val=""/>
            <m:endChr m:val=")"/>
            <m:grow/>
          </m:dPr>
          <m:e>
            <m:r>
              <m:t>b</m:t>
            </m:r>
          </m:e>
        </m:d>
      </m:oMath>
      <w:r>
        <w:t xml:space="preserve"> are estimated. The test uses a split: the first 120 seasons of the record fit </w:t>
      </w:r>
      <m:oMath>
        <m:r>
          <m:t>b</m:t>
        </m:r>
      </m:oMath>
      <w:r>
        <w:t xml:space="preserve"> and the anchor coefficients, and the last 40 calibrate the quantile in the split-conformal way [26]. One-sided 95% bounds are added for the two estimated shifts, so the margin is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acc>
                  <m:accPr>
                    <m:chr m:val="̂"/>
                  </m:accPr>
                  <m:e>
                    <m:r>
                      <m:t>m</m:t>
                    </m:r>
                  </m:e>
                </m:acc>
                <m:d>
                  <m:dPr>
                    <m:begChr m:val="("/>
                    <m:sepChr m:val=""/>
                    <m:endChr m:val=")"/>
                    <m:grow/>
                  </m:dPr>
                  <m:e>
                    <m:r>
                      <m:t>b</m:t>
                    </m:r>
                  </m:e>
                </m:d>
                <m:r>
                  <m:rPr>
                    <m:sty m:val="p"/>
                  </m:rPr>
                  <m:t>=</m:t>
                </m:r>
                <m:sSubSup>
                  <m:e>
                    <m:acc>
                      <m:accPr>
                        <m:chr m:val="̂"/>
                      </m:accPr>
                      <m:e>
                        <m:r>
                          <m:t>q</m:t>
                        </m:r>
                      </m:e>
                    </m:acc>
                  </m:e>
                  <m:sub>
                    <m:r>
                      <m:t>1</m:t>
                    </m:r>
                    <m:r>
                      <m:rPr>
                        <m:sty m:val="p"/>
                      </m:rPr>
                      <m:t>−</m:t>
                    </m:r>
                    <m:r>
                      <m:t>α</m:t>
                    </m:r>
                  </m:sub>
                  <m:sup>
                    <m:r>
                      <m:t> </m:t>
                    </m:r>
                    <m:r>
                      <m:rPr>
                        <m:sty m:val="p"/>
                      </m:rPr>
                      <m:t>c</m:t>
                    </m:r>
                    <m:r>
                      <m:rPr>
                        <m:sty m:val="p"/>
                      </m:rPr>
                      <m:t>o</m:t>
                    </m:r>
                    <m:r>
                      <m:rPr>
                        <m:sty m:val="p"/>
                      </m:rPr>
                      <m:t>n</m:t>
                    </m:r>
                    <m:r>
                      <m:rPr>
                        <m:sty m:val="p"/>
                      </m:rPr>
                      <m:t>f</m:t>
                    </m:r>
                  </m:sup>
                </m:sSubSup>
                <m:d>
                  <m:dPr>
                    <m:begChr m:val="("/>
                    <m:sepChr m:val=""/>
                    <m:endChr m:val=")"/>
                    <m:grow/>
                  </m:dPr>
                  <m:e>
                    <m:r>
                      <m:t>b</m:t>
                    </m:r>
                  </m:e>
                </m:d>
                <m:r>
                  <m:rPr>
                    <m:sty m:val="p"/>
                  </m:rPr>
                  <m:t>+</m:t>
                </m:r>
                <m:r>
                  <m:t>κ</m:t>
                </m:r>
                <m:r>
                  <m:t> </m:t>
                </m:r>
                <m:sSub>
                  <m:e>
                    <m:r>
                      <m:t>c</m:t>
                    </m:r>
                  </m:e>
                  <m:sub>
                    <m:r>
                      <m:t>d</m:t>
                    </m:r>
                  </m:sub>
                </m:sSub>
                <m:r>
                  <m:t> </m:t>
                </m:r>
                <m:sSub>
                  <m:e>
                    <m:acc>
                      <m:accPr>
                        <m:chr m:val="̂"/>
                      </m:accPr>
                      <m:e>
                        <m:r>
                          <m:t>s</m:t>
                        </m:r>
                      </m:e>
                    </m:acc>
                  </m:e>
                  <m:sub>
                    <m:r>
                      <m:t>b</m:t>
                    </m:r>
                  </m:sub>
                </m:sSub>
                <m:r>
                  <m:rPr>
                    <m:sty m:val="p"/>
                  </m:rPr>
                  <m:t>+</m:t>
                </m:r>
                <m:bar>
                  <m:barPr>
                    <m:pos m:val="top"/>
                  </m:barPr>
                  <m:e>
                    <m:r>
                      <m:t>δ</m:t>
                    </m:r>
                  </m:e>
                </m:bar>
                <m:r>
                  <m:rPr>
                    <m:sty m:val="p"/>
                  </m:rPr>
                  <m:t>max</m:t>
                </m:r>
                <m:r>
                  <m:rPr>
                    <m:sty m:val="p"/>
                  </m:rPr>
                  <m:t>{</m:t>
                </m:r>
                <m:r>
                  <m:t>0</m:t>
                </m:r>
                <m:r>
                  <m:rPr>
                    <m:sty m:val="p"/>
                  </m:rPr>
                  <m:t>,</m:t>
                </m:r>
                <m:r>
                  <m:t> </m:t>
                </m:r>
                <m:acc>
                  <m:accPr>
                    <m:chr m:val="̂"/>
                  </m:accPr>
                  <m:e>
                    <m:r>
                      <m:rPr>
                        <m:sty m:val="p"/>
                      </m:rPr>
                      <m:t>ℓ</m:t>
                    </m:r>
                  </m:e>
                </m:acc>
                <m:d>
                  <m:dPr>
                    <m:begChr m:val="("/>
                    <m:sepChr m:val=""/>
                    <m:endChr m:val=")"/>
                    <m:grow/>
                  </m:dPr>
                  <m:e>
                    <m:r>
                      <m:t>b</m:t>
                    </m:r>
                  </m:e>
                </m:d>
                <m:r>
                  <m:rPr>
                    <m:sty m:val="p"/>
                  </m:rPr>
                  <m:t>+</m:t>
                </m:r>
                <m:r>
                  <m:t>κ</m:t>
                </m:r>
                <m:r>
                  <m:t> </m:t>
                </m:r>
                <m:sSub>
                  <m:e>
                    <m:r>
                      <m:t>c</m:t>
                    </m:r>
                  </m:e>
                  <m:sub>
                    <m:r>
                      <m:t>r</m:t>
                    </m:r>
                  </m:sub>
                </m:sSub>
                <m:r>
                  <m:t> </m:t>
                </m:r>
                <m:sSub>
                  <m:e>
                    <m:acc>
                      <m:accPr>
                        <m:chr m:val="̂"/>
                      </m:accPr>
                      <m:e>
                        <m:r>
                          <m:t>s</m:t>
                        </m:r>
                      </m:e>
                    </m:acc>
                  </m:e>
                  <m:sub>
                    <m:r>
                      <m:t>b</m:t>
                    </m:r>
                  </m:sub>
                </m:sSub>
                <m:r>
                  <m:rPr>
                    <m:sty m:val="p"/>
                  </m:rPr>
                  <m:t>}</m:t>
                </m:r>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(8)</w:t>
            </w:r>
          </w:p>
        </w:tc>
      </w:tr>
    </w:tbl>
    <w:p>
      <w:pPr>
        <w:spacing w:after="120" w:before="20"/>
        <w:ind w:left="284"/>
        <w:jc w:val="left"/>
      </w:pPr>
      <w:r>
        <w:rPr>
          <w:i/>
          <w:iCs/>
          <w:color w:val="3A4350"/>
          <w:sz w:val="19"/>
          <w:szCs w:val="19"/>
        </w:rPr>
        <w:t xml:space="preserve">where </w:t>
      </w:r>
      <m:oMath>
        <m:sSub>
          <m:e>
            <m:acc>
              <m:accPr>
                <m:chr m:val="̂"/>
              </m:accPr>
              <m:e>
                <m:r>
                  <m:t>s</m:t>
                </m:r>
              </m:e>
            </m:acc>
          </m:e>
          <m:sub>
            <m:r>
              <m:t>b</m:t>
            </m:r>
          </m:sub>
        </m:sSub>
      </m:oMath>
      <w:r>
        <w:rPr>
          <w:color w:val="3A4350"/>
          <w:sz w:val="19"/>
          <w:szCs w:val="19"/>
        </w:rPr>
        <w:t xml:space="preserve"> is the standard deviation of the anchor-free residual, </w:t>
      </w:r>
      <m:oMath>
        <m:sSub>
          <m:e>
            <m:r>
              <m:t>c</m:t>
            </m:r>
          </m:e>
          <m:sub>
            <m:r>
              <m:t>d</m:t>
            </m:r>
          </m:sub>
        </m:sSub>
        <m:sSub>
          <m:e>
            <m:acc>
              <m:accPr>
                <m:chr m:val="̂"/>
              </m:accPr>
              <m:e>
                <m:r>
                  <m:t>s</m:t>
                </m:r>
              </m:e>
            </m:acc>
          </m:e>
          <m:sub>
            <m:r>
              <m:t>b</m:t>
            </m:r>
          </m:sub>
        </m:sSub>
      </m:oMath>
      <w:r>
        <w:rPr>
          <w:color w:val="3A4350"/>
          <w:sz w:val="19"/>
          <w:szCs w:val="19"/>
        </w:rPr>
        <w:t xml:space="preserve"> and </w:t>
      </w:r>
      <m:oMath>
        <m:sSub>
          <m:e>
            <m:r>
              <m:t>c</m:t>
            </m:r>
          </m:e>
          <m:sub>
            <m:r>
              <m:t>r</m:t>
            </m:r>
          </m:sub>
        </m:sSub>
        <m:sSub>
          <m:e>
            <m:acc>
              <m:accPr>
                <m:chr m:val="̂"/>
              </m:accPr>
              <m:e>
                <m:r>
                  <m:t>s</m:t>
                </m:r>
              </m:e>
            </m:acc>
          </m:e>
          <m:sub>
            <m:r>
              <m:t>b</m:t>
            </m:r>
          </m:sub>
        </m:sSub>
      </m:oMath>
      <w:r>
        <w:rPr>
          <w:color w:val="3A4350"/>
          <w:sz w:val="19"/>
          <w:szCs w:val="19"/>
        </w:rPr>
        <w:t xml:space="preserve"> are the standard errors of the anchor correction at the decision and of </w:t>
      </w:r>
      <m:oMath>
        <m:acc>
          <m:accPr>
            <m:chr m:val="̂"/>
          </m:accPr>
          <m:e>
            <m:r>
              <m:rPr>
                <m:sty m:val="p"/>
              </m:rPr>
              <m:t>ℓ</m:t>
            </m:r>
          </m:e>
        </m:acc>
        <m:d>
          <m:dPr>
            <m:begChr m:val="("/>
            <m:sepChr m:val=""/>
            <m:endChr m:val=")"/>
            <m:grow/>
          </m:dPr>
          <m:e>
            <m:r>
              <m:t>b</m:t>
            </m:r>
          </m:e>
        </m:d>
      </m:oMath>
      <w:r>
        <w:rPr>
          <w:color w:val="3A4350"/>
          <w:sz w:val="19"/>
          <w:szCs w:val="19"/>
        </w:rPr>
        <w:t xml:space="preserve"> from the regression on the anchors, and </w:t>
      </w:r>
      <m:oMath>
        <m:r>
          <m:t>κ</m:t>
        </m:r>
        <m:r>
          <m:rPr>
            <m:sty m:val="p"/>
          </m:rPr>
          <m:t>=</m:t>
        </m:r>
        <m:sSub>
          <m:e>
            <m:r>
              <m:t>z</m:t>
            </m:r>
          </m:e>
          <m:sub>
            <m:r>
              <m:t>0.95</m:t>
            </m:r>
          </m:sub>
        </m:sSub>
      </m:oMath>
      <w:r>
        <w:rPr>
          <w:color w:val="3A4350"/>
          <w:sz w:val="19"/>
          <w:szCs w:val="19"/>
        </w:rPr>
        <w:t xml:space="preserve">. The first term carries the finite-sample guarantee of conformal prediction; the other two are confidence bounds, so (8) is a practical certificate rather than an exact one.</w:t>
      </w:r>
    </w:p>
    <w:p>
      <w:pPr>
        <w:pStyle w:val="Heading2"/>
      </w:pPr>
      <w:r>
        <w:t xml:space="preserve">5.4 The weights</w:t>
      </w:r>
    </w:p>
    <w:p>
      <w:pPr>
        <w:keepNext w:val="false"/>
        <w:pBdr>
          <w:left w:val="single" w:color="C2410C" w:sz="18" w:space="6"/>
        </w:pBdr>
        <w:shd w:fill="FDF2E9" w:color="auto" w:val="clear"/>
        <w:spacing w:after="100" w:before="100"/>
        <w:ind w:left="140" w:right="60"/>
        <w:jc w:val="left"/>
      </w:pPr>
      <w:r>
        <w:rPr>
          <w:b/>
          <w:bCs/>
          <w:color w:val="C2410C"/>
        </w:rPr>
        <w:t xml:space="preserve">Proposition S3 (the goal-oriented weights lie on a line). </w:t>
      </w:r>
      <w:r>
        <w:t xml:space="preserve">With the Gaussian quantile </w:t>
      </w:r>
      <m:oMath>
        <m:sSub>
          <m:e>
            <m:r>
              <m:t>q</m:t>
            </m:r>
          </m:e>
          <m:sub>
            <m:r>
              <m:t>1</m:t>
            </m:r>
            <m:r>
              <m:rPr>
                <m:sty m:val="p"/>
              </m:rPr>
              <m:t>−</m:t>
            </m:r>
            <m:r>
              <m:t>α</m:t>
            </m:r>
          </m:sub>
        </m:sSub>
        <m:d>
          <m:dPr>
            <m:begChr m:val="("/>
            <m:sepChr m:val=""/>
            <m:endChr m:val=")"/>
            <m:grow/>
          </m:dPr>
          <m:e>
            <m:r>
              <m:t>b</m:t>
            </m:r>
          </m:e>
        </m:d>
        <m:r>
          <m:rPr>
            <m:sty m:val="p"/>
          </m:rPr>
          <m:t>=</m:t>
        </m:r>
        <m:sSub>
          <m:e>
            <m:r>
              <m:t>z</m:t>
            </m:r>
          </m:e>
          <m:sub>
            <m:r>
              <m:t>1</m:t>
            </m:r>
            <m:r>
              <m:rPr>
                <m:sty m:val="p"/>
              </m:rPr>
              <m:t>−</m:t>
            </m:r>
            <m:r>
              <m:t>α</m:t>
            </m:r>
          </m:sub>
        </m:sSub>
        <m:r>
          <m:t> </m:t>
        </m:r>
        <m:r>
          <m:rPr>
            <m:sty m:val="p"/>
          </m:rPr>
          <m:t>s</m:t>
        </m:r>
        <m:r>
          <m:rPr>
            <m:sty m:val="p"/>
          </m:rPr>
          <m:t>d</m:t>
        </m:r>
        <m:d>
          <m:dPr>
            <m:begChr m:val="("/>
            <m:sepChr m:val=""/>
            <m:endChr m:val=")"/>
            <m:grow/>
          </m:dPr>
          <m:e>
            <m:sSub>
              <m:e>
                <m:r>
                  <m:t>η</m:t>
                </m:r>
              </m:e>
              <m:sub>
                <m:r>
                  <m:t>b</m:t>
                </m:r>
              </m:sub>
            </m:sSub>
          </m:e>
        </m:d>
      </m:oMath>
      <w:r>
        <w:t xml:space="preserve">, the problem </w:t>
      </w:r>
      <m:oMath>
        <m:sSub>
          <m:e>
            <m:r>
              <m:rPr>
                <m:sty m:val="p"/>
              </m:rPr>
              <m:t>min</m:t>
            </m:r>
          </m:e>
          <m:sub>
            <m:r>
              <m:t>b</m:t>
            </m:r>
          </m:sub>
        </m:sSub>
        <m:r>
          <m:t>m</m:t>
        </m:r>
        <m:d>
          <m:dPr>
            <m:begChr m:val="("/>
            <m:sepChr m:val=""/>
            <m:endChr m:val=")"/>
            <m:grow/>
          </m:dPr>
          <m:e>
            <m:r>
              <m:t>b</m:t>
            </m:r>
          </m:e>
        </m:d>
      </m:oMath>
      <w:r>
        <w:t xml:space="preserve"> is convex and its solution lies on the line </w:t>
      </w:r>
      <m:oMath>
        <m:r>
          <m:t>b</m:t>
        </m:r>
        <m:d>
          <m:dPr>
            <m:begChr m:val="("/>
            <m:sepChr m:val=""/>
            <m:endChr m:val=")"/>
            <m:grow/>
          </m:dPr>
          <m:e>
            <m:r>
              <m:t>τ</m:t>
            </m:r>
          </m:e>
        </m:d>
        <m:r>
          <m:rPr>
            <m:sty m:val="p"/>
          </m:rPr>
          <m:t>=</m:t>
        </m:r>
        <m:sSub>
          <m:e>
            <m:r>
              <m:t>b</m:t>
            </m:r>
          </m:e>
          <m:sub>
            <m:r>
              <m:t>0</m:t>
            </m:r>
          </m:sub>
        </m:sSub>
        <m:r>
          <m:rPr>
            <m:sty m:val="p"/>
          </m:rPr>
          <m:t>+</m:t>
        </m:r>
        <m:r>
          <m:t>τ</m:t>
        </m:r>
        <m:r>
          <m:t> </m:t>
        </m:r>
        <m:sSup>
          <m:e>
            <m:r>
              <m:rPr>
                <m:sty m:val="b"/>
              </m:rPr>
              <m:t>S</m:t>
            </m:r>
          </m:e>
          <m:sup>
            <m:r>
              <m:rPr>
                <m:sty m:val="p"/>
              </m:rPr>
              <m:t>−</m:t>
            </m:r>
            <m:r>
              <m:t>1</m:t>
            </m:r>
          </m:sup>
        </m:sSup>
        <m:r>
          <m:t>g</m:t>
        </m:r>
        <m:r>
          <m:rPr>
            <m:sty m:val="p"/>
          </m:rPr>
          <m:t>/</m:t>
        </m:r>
        <m:d>
          <m:dPr>
            <m:begChr m:val="|"/>
            <m:sepChr m:val=""/>
            <m:endChr m:val="|"/>
            <m:grow/>
          </m:dPr>
          <m:e>
            <m:r>
              <m:t>h</m:t>
            </m:r>
          </m:e>
        </m:d>
      </m:oMath>
      <w:r>
        <w:t xml:space="preserve">, where </w:t>
      </w:r>
      <m:oMath>
        <m:sSub>
          <m:e>
            <m:r>
              <m:t>b</m:t>
            </m:r>
          </m:e>
          <m:sub>
            <m:r>
              <m:t>0</m:t>
            </m:r>
          </m:sub>
        </m:sSub>
      </m:oMath>
      <w:r>
        <w:t xml:space="preserve"> is the partialling-out solution, </w:t>
      </w:r>
      <m:oMath>
        <m:r>
          <m:rPr>
            <m:sty m:val="b"/>
          </m:rPr>
          <m:t>S</m:t>
        </m:r>
      </m:oMath>
      <w:r>
        <w:t xml:space="preserve"> the covariance of the anchor-free heads, </w:t>
      </w:r>
      <m:oMath>
        <m:r>
          <m:t>g</m:t>
        </m:r>
        <m:r>
          <m:rPr>
            <m:sty m:val="p"/>
          </m:rPr>
          <m:t>=</m:t>
        </m:r>
        <m:sSubSup>
          <m:e>
            <m:r>
              <m:rPr>
                <m:sty m:val="b"/>
              </m:rPr>
              <m:t>W</m:t>
            </m:r>
          </m:e>
          <m:sub>
            <m:r>
              <m:t>X</m:t>
            </m:r>
            <m:r>
              <m:rPr>
                <m:sty m:val="p"/>
              </m:rPr>
              <m:t>,</m:t>
            </m:r>
            <m:r>
              <m:t>r</m:t>
            </m:r>
          </m:sub>
          <m:sup>
            <m:r>
              <m:rPr>
                <m:sty m:val="p"/>
              </m:rPr>
              <m:t>⊤</m:t>
            </m:r>
          </m:sup>
        </m:sSubSup>
      </m:oMath>
      <w:r>
        <w:t xml:space="preserve"> and </w:t>
      </w:r>
      <m:oMath>
        <m:d>
          <m:dPr>
            <m:begChr m:val="|"/>
            <m:sepChr m:val=""/>
            <m:endChr m:val="|"/>
            <m:grow/>
          </m:dPr>
          <m:e>
            <m:r>
              <m:t>h</m:t>
            </m:r>
          </m:e>
        </m:d>
        <m:r>
          <m:rPr>
            <m:sty m:val="p"/>
          </m:rPr>
          <m:t>=</m:t>
        </m:r>
        <m:sSup>
          <m:e>
            <m:d>
              <m:dPr>
                <m:begChr m:val="("/>
                <m:sepChr m:val=""/>
                <m:endChr m:val=")"/>
                <m:grow/>
              </m:dPr>
              <m:e>
                <m:sSup>
                  <m:e>
                    <m:r>
                      <m:t>g</m:t>
                    </m:r>
                  </m:e>
                  <m:sup>
                    <m:r>
                      <m:rPr>
                        <m:sty m:val="p"/>
                      </m:rPr>
                      <m:t>⊤</m:t>
                    </m:r>
                  </m:sup>
                </m:sSup>
                <m:sSup>
                  <m:e>
                    <m:r>
                      <m:rPr>
                        <m:sty m:val="b"/>
                      </m:rPr>
                      <m:t>S</m:t>
                    </m:r>
                  </m:e>
                  <m:sup>
                    <m:r>
                      <m:rPr>
                        <m:sty m:val="p"/>
                      </m:rPr>
                      <m:t>−</m:t>
                    </m:r>
                    <m:r>
                      <m:t>1</m:t>
                    </m:r>
                  </m:sup>
                </m:sSup>
                <m:r>
                  <m:t>g</m:t>
                </m:r>
              </m:e>
            </m:d>
          </m:e>
          <m:sup>
            <m:r>
              <m:t>1</m:t>
            </m:r>
            <m:r>
              <m:rPr>
                <m:sty m:val="p"/>
              </m:rPr>
              <m:t>/</m:t>
            </m:r>
            <m:r>
              <m:t>2</m:t>
            </m:r>
          </m:sup>
        </m:sSup>
      </m:oMath>
      <w:r>
        <w:t xml:space="preserve">. Along it </w:t>
      </w:r>
      <m:oMath>
        <m:r>
          <m:rPr>
            <m:sty m:val="p"/>
          </m:rPr>
          <m:t>s</m:t>
        </m:r>
        <m:r>
          <m:rPr>
            <m:sty m:val="p"/>
          </m:rPr>
          <m:t>d</m:t>
        </m:r>
        <m:d>
          <m:dPr>
            <m:begChr m:val="("/>
            <m:sepChr m:val=""/>
            <m:endChr m:val=")"/>
            <m:grow/>
          </m:dPr>
          <m:e>
            <m:sSub>
              <m:e>
                <m:r>
                  <m:t>η</m:t>
                </m:r>
              </m:e>
              <m:sub>
                <m:r>
                  <m:t>b</m:t>
                </m:r>
              </m:sub>
            </m:sSub>
          </m:e>
        </m:d>
        <m:r>
          <m:rPr>
            <m:sty m:val="p"/>
          </m:rPr>
          <m:t>=</m:t>
        </m:r>
        <m:sSup>
          <m:e>
            <m:d>
              <m:dPr>
                <m:begChr m:val="("/>
                <m:sepChr m:val=""/>
                <m:endChr m:val=")"/>
                <m:grow/>
              </m:dPr>
              <m:e>
                <m:sSub>
                  <m:e>
                    <m:r>
                      <m:t>q</m:t>
                    </m:r>
                  </m:e>
                  <m:sub>
                    <m:r>
                      <m:t>0</m:t>
                    </m:r>
                  </m:sub>
                </m:sSub>
                <m:r>
                  <m:rPr>
                    <m:sty m:val="p"/>
                  </m:rPr>
                  <m:t>+</m:t>
                </m:r>
                <m:sSup>
                  <m:e>
                    <m:r>
                      <m:t>τ</m:t>
                    </m:r>
                  </m:e>
                  <m:sup>
                    <m:r>
                      <m:t>2</m:t>
                    </m:r>
                  </m:sup>
                </m:sSup>
              </m:e>
            </m:d>
          </m:e>
          <m:sup>
            <m:r>
              <m:t>1</m:t>
            </m:r>
            <m:r>
              <m:rPr>
                <m:sty m:val="p"/>
              </m:rPr>
              <m:t>/</m:t>
            </m:r>
            <m:r>
              <m:t>2</m:t>
            </m:r>
          </m:sup>
        </m:sSup>
      </m:oMath>
      <w:r>
        <w:t xml:space="preserve"> and </w:t>
      </w:r>
      <m:oMath>
        <m:r>
          <m:rPr>
            <m:sty m:val="p"/>
          </m:rPr>
          <m:t>ℓ</m:t>
        </m:r>
        <m:r>
          <m:rPr>
            <m:sty m:val="p"/>
          </m:rPr>
          <m:t>=</m:t>
        </m:r>
        <m:sSub>
          <m:e>
            <m:r>
              <m:rPr>
                <m:sty m:val="p"/>
              </m:rPr>
              <m:t>ℓ</m:t>
            </m:r>
          </m:e>
          <m:sub>
            <m:r>
              <m:t>0</m:t>
            </m:r>
          </m:sub>
        </m:sSub>
        <m:r>
          <m:rPr>
            <m:sty m:val="p"/>
          </m:rPr>
          <m:t>−</m:t>
        </m:r>
        <m:r>
          <m:t>τ</m:t>
        </m:r>
        <m:d>
          <m:dPr>
            <m:begChr m:val="|"/>
            <m:sepChr m:val=""/>
            <m:endChr m:val="|"/>
            <m:grow/>
          </m:dPr>
          <m:e>
            <m:r>
              <m:t>h</m:t>
            </m:r>
          </m:e>
        </m:d>
      </m:oMath>
      <w:r>
        <w:t xml:space="preserve">. If </w:t>
      </w:r>
      <m:oMath>
        <m:sSub>
          <m:e>
            <m:r>
              <m:rPr>
                <m:sty m:val="p"/>
              </m:rPr>
              <m:t>ℓ</m:t>
            </m:r>
          </m:e>
          <m:sub>
            <m:r>
              <m:t>0</m:t>
            </m:r>
          </m:sub>
        </m:sSub>
        <m:r>
          <m:rPr>
            <m:sty m:val="p"/>
          </m:rPr>
          <m:t>≤</m:t>
        </m:r>
        <m:r>
          <m:t>0</m:t>
        </m:r>
      </m:oMath>
      <w:r>
        <w:t xml:space="preserve"> the solution is </w:t>
      </w:r>
      <m:oMath>
        <m:sSub>
          <m:e>
            <m:r>
              <m:t>b</m:t>
            </m:r>
          </m:e>
          <m:sub>
            <m:r>
              <m:t>0</m:t>
            </m:r>
          </m:sub>
        </m:sSub>
      </m:oMath>
      <w:r>
        <w:t xml:space="preserve">. Otherwise it is </w:t>
      </w:r>
      <m:oMath>
        <m:sSup>
          <m:e>
            <m:r>
              <m:t>τ</m:t>
            </m:r>
          </m:e>
          <m:sup>
            <m:r>
              <m:rPr>
                <m:sty m:val="p"/>
              </m:rPr>
              <m:t>⋆</m:t>
            </m:r>
          </m:sup>
        </m:sSup>
        <m:r>
          <m:rPr>
            <m:sty m:val="p"/>
          </m:rPr>
          <m:t>=</m:t>
        </m:r>
        <m:bar>
          <m:barPr>
            <m:pos m:val="top"/>
          </m:barPr>
          <m:e>
            <m:r>
              <m:t>δ</m:t>
            </m:r>
          </m:e>
        </m:bar>
        <m:d>
          <m:dPr>
            <m:begChr m:val="|"/>
            <m:sepChr m:val=""/>
            <m:endChr m:val="|"/>
            <m:grow/>
          </m:dPr>
          <m:e>
            <m:r>
              <m:t>h</m:t>
            </m:r>
          </m:e>
        </m:d>
        <m:r>
          <m:t> </m:t>
        </m:r>
        <m:sSubSup>
          <m:e>
            <m:r>
              <m:t>q</m:t>
            </m:r>
          </m:e>
          <m:sub>
            <m:r>
              <m:t>0</m:t>
            </m:r>
          </m:sub>
          <m:sup>
            <m:r>
              <m:t>1</m:t>
            </m:r>
            <m:r>
              <m:rPr>
                <m:sty m:val="p"/>
              </m:rPr>
              <m:t>/</m:t>
            </m:r>
            <m:r>
              <m:t>2</m:t>
            </m:r>
          </m:sup>
        </m:sSubSup>
        <m:r>
          <m:rPr>
            <m:sty m:val="p"/>
          </m:rPr>
          <m:t>/</m:t>
        </m:r>
        <m:sSup>
          <m:e>
            <m:d>
              <m:dPr>
                <m:begChr m:val="("/>
                <m:sepChr m:val=""/>
                <m:endChr m:val=")"/>
                <m:grow/>
              </m:dPr>
              <m:e>
                <m:sSup>
                  <m:e>
                    <m:r>
                      <m:t>z</m:t>
                    </m:r>
                  </m:e>
                  <m:sup>
                    <m:r>
                      <m:t>2</m:t>
                    </m:r>
                  </m:sup>
                </m:sSup>
                <m:r>
                  <m:rPr>
                    <m:sty m:val="p"/>
                  </m:rPr>
                  <m:t>−</m:t>
                </m:r>
                <m:sSup>
                  <m:e>
                    <m:bar>
                      <m:barPr>
                        <m:pos m:val="top"/>
                      </m:barPr>
                      <m:e>
                        <m:r>
                          <m:t>δ</m:t>
                        </m:r>
                      </m:e>
                    </m:bar>
                  </m:e>
                  <m:sup>
                    <m:r>
                      <m:t>2</m:t>
                    </m:r>
                  </m:sup>
                </m:sSup>
                <m:sSup>
                  <m:e>
                    <m:d>
                      <m:dPr>
                        <m:begChr m:val="|"/>
                        <m:sepChr m:val=""/>
                        <m:endChr m:val="|"/>
                        <m:grow/>
                      </m:dPr>
                      <m:e>
                        <m:r>
                          <m:t>h</m:t>
                        </m:r>
                      </m:e>
                    </m:d>
                  </m:e>
                  <m:sup>
                    <m:r>
                      <m:t>2</m:t>
                    </m:r>
                  </m:sup>
                </m:sSup>
              </m:e>
            </m:d>
          </m:e>
          <m:sup>
            <m:r>
              <m:t>1</m:t>
            </m:r>
            <m:r>
              <m:rPr>
                <m:sty m:val="p"/>
              </m:rPr>
              <m:t>/</m:t>
            </m:r>
            <m:r>
              <m:t>2</m:t>
            </m:r>
          </m:sup>
        </m:sSup>
      </m:oMath>
      <w:r>
        <w:t xml:space="preserve"> if </w:t>
      </w:r>
      <m:oMath>
        <m:bar>
          <m:barPr>
            <m:pos m:val="top"/>
          </m:barPr>
          <m:e>
            <m:r>
              <m:t>δ</m:t>
            </m:r>
          </m:e>
        </m:bar>
        <m:d>
          <m:dPr>
            <m:begChr m:val="|"/>
            <m:sepChr m:val=""/>
            <m:endChr m:val="|"/>
            <m:grow/>
          </m:dPr>
          <m:e>
            <m:r>
              <m:t>h</m:t>
            </m:r>
          </m:e>
        </m:d>
        <m:r>
          <m:rPr>
            <m:sty m:val="p"/>
          </m:rPr>
          <m:t>&lt;</m:t>
        </m:r>
        <m:r>
          <m:t>z</m:t>
        </m:r>
      </m:oMath>
      <w:r>
        <w:t xml:space="preserve"> and </w:t>
      </w:r>
      <m:oMath>
        <m:sSub>
          <m:e>
            <m:r>
              <m:rPr>
                <m:sty m:val="p"/>
              </m:rPr>
              <m:t>ℓ</m:t>
            </m:r>
          </m:e>
          <m:sub>
            <m:r>
              <m:t>0</m:t>
            </m:r>
          </m:sub>
        </m:sSub>
        <m:r>
          <m:rPr>
            <m:sty m:val="p"/>
          </m:rPr>
          <m:t>−</m:t>
        </m:r>
        <m:sSup>
          <m:e>
            <m:r>
              <m:t>τ</m:t>
            </m:r>
          </m:e>
          <m:sup>
            <m:r>
              <m:rPr>
                <m:sty m:val="p"/>
              </m:rPr>
              <m:t>⋆</m:t>
            </m:r>
          </m:sup>
        </m:sSup>
        <m:d>
          <m:dPr>
            <m:begChr m:val="|"/>
            <m:sepChr m:val=""/>
            <m:endChr m:val="|"/>
            <m:grow/>
          </m:dPr>
          <m:e>
            <m:r>
              <m:t>h</m:t>
            </m:r>
          </m:e>
        </m:d>
        <m:r>
          <m:rPr>
            <m:sty m:val="p"/>
          </m:rPr>
          <m:t>&gt;</m:t>
        </m:r>
        <m:r>
          <m:t>0</m:t>
        </m:r>
      </m:oMath>
      <w:r>
        <w:t xml:space="preserve">, and </w:t>
      </w:r>
      <m:oMath>
        <m:r>
          <m:t>τ</m:t>
        </m:r>
        <m:r>
          <m:rPr>
            <m:sty m:val="p"/>
          </m:rPr>
          <m:t>=</m:t>
        </m:r>
        <m:sSub>
          <m:e>
            <m:r>
              <m:rPr>
                <m:sty m:val="p"/>
              </m:rPr>
              <m:t>ℓ</m:t>
            </m:r>
          </m:e>
          <m:sub>
            <m:r>
              <m:t>0</m:t>
            </m:r>
          </m:sub>
        </m:sSub>
        <m:r>
          <m:rPr>
            <m:sty m:val="p"/>
          </m:rPr>
          <m:t>/</m:t>
        </m:r>
        <m:d>
          <m:dPr>
            <m:begChr m:val="|"/>
            <m:sepChr m:val=""/>
            <m:endChr m:val="|"/>
            <m:grow/>
          </m:dPr>
          <m:e>
            <m:r>
              <m:t>h</m:t>
            </m:r>
          </m:e>
        </m:d>
      </m:oMath>
      <w:r>
        <w:t xml:space="preserve"> (no response to the warming) otherwise.</w:t>
      </w:r>
    </w:p>
    <w:p>
      <w:pPr>
        <w:spacing w:after="110"/>
        <w:jc w:val="both"/>
      </w:pPr>
      <w:r>
        <w:rPr>
          <w:i/>
          <w:iCs/>
        </w:rPr>
        <w:t xml:space="preserve">Proof. </w:t>
      </w:r>
      <w:r>
        <w:t xml:space="preserve">For fixed </w:t>
      </w:r>
      <m:oMath>
        <m:r>
          <m:rPr>
            <m:sty m:val="p"/>
          </m:rPr>
          <m:t>ℓ</m:t>
        </m:r>
        <m:d>
          <m:dPr>
            <m:begChr m:val="("/>
            <m:sepChr m:val=""/>
            <m:endChr m:val=")"/>
            <m:grow/>
          </m:dPr>
          <m:e>
            <m:r>
              <m:t>b</m:t>
            </m:r>
          </m:e>
        </m:d>
        <m:r>
          <m:rPr>
            <m:sty m:val="p"/>
          </m:rPr>
          <m:t>=</m:t>
        </m:r>
        <m:r>
          <m:rPr>
            <m:sty m:val="p"/>
          </m:rPr>
          <m:t>ℓ</m:t>
        </m:r>
      </m:oMath>
      <w:r>
        <w:t xml:space="preserve">, minimising </w:t>
      </w:r>
      <m:oMath>
        <m:r>
          <m:rPr>
            <m:sty m:val="p"/>
          </m:rPr>
          <m:t>s</m:t>
        </m:r>
        <m:r>
          <m:rPr>
            <m:sty m:val="p"/>
          </m:rPr>
          <m:t>d</m:t>
        </m:r>
        <m:d>
          <m:dPr>
            <m:begChr m:val="("/>
            <m:sepChr m:val=""/>
            <m:endChr m:val=")"/>
            <m:grow/>
          </m:dPr>
          <m:e>
            <m:sSub>
              <m:e>
                <m:r>
                  <m:t>η</m:t>
                </m:r>
              </m:e>
              <m:sub>
                <m:r>
                  <m:t>b</m:t>
                </m:r>
              </m:sub>
            </m:sSub>
          </m:e>
        </m:d>
      </m:oMath>
      <w:r>
        <w:t xml:space="preserve"> is a quadratic problem with one linear constraint; its solutions form the line above, on which </w:t>
      </w:r>
      <m:oMath>
        <m:sSub>
          <m:e>
            <m:r>
              <m:t>q</m:t>
            </m:r>
          </m:e>
          <m:sub>
            <m:r>
              <m:t>0</m:t>
            </m:r>
          </m:sub>
        </m:sSub>
      </m:oMath>
      <w:r>
        <w:t xml:space="preserve"> is the smallest anchor-free variance. On the line </w:t>
      </w:r>
      <m:oMath>
        <m:r>
          <m:t>m</m:t>
        </m:r>
        <m:r>
          <m:rPr>
            <m:sty m:val="p"/>
          </m:rPr>
          <m:t>=</m:t>
        </m:r>
        <m:r>
          <m:t>z</m:t>
        </m:r>
        <m:sSup>
          <m:e>
            <m:d>
              <m:dPr>
                <m:begChr m:val="("/>
                <m:sepChr m:val=""/>
                <m:endChr m:val=")"/>
                <m:grow/>
              </m:dPr>
              <m:e>
                <m:sSub>
                  <m:e>
                    <m:r>
                      <m:t>q</m:t>
                    </m:r>
                  </m:e>
                  <m:sub>
                    <m:r>
                      <m:t>0</m:t>
                    </m:r>
                  </m:sub>
                </m:sSub>
                <m:r>
                  <m:rPr>
                    <m:sty m:val="p"/>
                  </m:rPr>
                  <m:t>+</m:t>
                </m:r>
                <m:sSup>
                  <m:e>
                    <m:r>
                      <m:t>τ</m:t>
                    </m:r>
                  </m:e>
                  <m:sup>
                    <m:r>
                      <m:t>2</m:t>
                    </m:r>
                  </m:sup>
                </m:sSup>
              </m:e>
            </m:d>
          </m:e>
          <m:sup>
            <m:r>
              <m:t>1</m:t>
            </m:r>
            <m:r>
              <m:rPr>
                <m:sty m:val="p"/>
              </m:rPr>
              <m:t>/</m:t>
            </m:r>
            <m:r>
              <m:t>2</m:t>
            </m:r>
          </m:sup>
        </m:sSup>
        <m:r>
          <m:rPr>
            <m:sty m:val="p"/>
          </m:rPr>
          <m:t>+</m:t>
        </m:r>
        <m:bar>
          <m:barPr>
            <m:pos m:val="top"/>
          </m:barPr>
          <m:e>
            <m:r>
              <m:t>δ</m:t>
            </m:r>
          </m:e>
        </m:bar>
        <m:r>
          <m:rPr>
            <m:sty m:val="p"/>
          </m:rPr>
          <m:t>max</m:t>
        </m:r>
        <m:r>
          <m:rPr>
            <m:sty m:val="p"/>
          </m:rPr>
          <m:t>{</m:t>
        </m:r>
        <m:r>
          <m:t>0</m:t>
        </m:r>
        <m:r>
          <m:rPr>
            <m:sty m:val="p"/>
          </m:rPr>
          <m:t>,</m:t>
        </m:r>
        <m:sSub>
          <m:e>
            <m:r>
              <m:rPr>
                <m:sty m:val="p"/>
              </m:rPr>
              <m:t>ℓ</m:t>
            </m:r>
          </m:e>
          <m:sub>
            <m:r>
              <m:t>0</m:t>
            </m:r>
          </m:sub>
        </m:sSub>
        <m:r>
          <m:rPr>
            <m:sty m:val="p"/>
          </m:rPr>
          <m:t>−</m:t>
        </m:r>
        <m:r>
          <m:t>τ</m:t>
        </m:r>
        <m:d>
          <m:dPr>
            <m:begChr m:val="|"/>
            <m:sepChr m:val=""/>
            <m:endChr m:val="|"/>
            <m:grow/>
          </m:dPr>
          <m:e>
            <m:r>
              <m:t>h</m:t>
            </m:r>
          </m:e>
        </m:d>
        <m:r>
          <m:rPr>
            <m:sty m:val="p"/>
          </m:rPr>
          <m:t>}</m:t>
        </m:r>
      </m:oMath>
      <w:r>
        <w:t xml:space="preserve"> is convex in </w:t>
      </w:r>
      <m:oMath>
        <m:r>
          <m:t>τ</m:t>
        </m:r>
      </m:oMath>
      <w:r>
        <w:t xml:space="preserve">; setting the derivative of the smooth branch to zero gives </w:t>
      </w:r>
      <m:oMath>
        <m:sSup>
          <m:e>
            <m:r>
              <m:t>τ</m:t>
            </m:r>
          </m:e>
          <m:sup>
            <m:r>
              <m:rPr>
                <m:sty m:val="p"/>
              </m:rPr>
              <m:t>⋆</m:t>
            </m:r>
          </m:sup>
        </m:sSup>
      </m:oMath>
      <w:r>
        <w:t xml:space="preserve">, and the kink at </w:t>
      </w:r>
      <m:oMath>
        <m:r>
          <m:rPr>
            <m:sty m:val="p"/>
          </m:rPr>
          <m:t>ℓ</m:t>
        </m:r>
        <m:r>
          <m:rPr>
            <m:sty m:val="p"/>
          </m:rPr>
          <m:t>=</m:t>
        </m:r>
        <m:r>
          <m:t>0</m:t>
        </m:r>
      </m:oMath>
      <w:r>
        <w:t xml:space="preserve"> is the other candidate.</w:t>
      </w:r>
      <w:r>
        <w:t xml:space="preserve"> □</w:t>
      </w:r>
    </w:p>
    <w:p>
      <w:pPr>
        <w:spacing w:after="100"/>
        <w:jc w:val="both"/>
      </w:pPr>
      <w:r>
        <w:t xml:space="preserve">The two ends are familiar. With </w:t>
      </w:r>
      <m:oMath>
        <m:bar>
          <m:barPr>
            <m:pos m:val="top"/>
          </m:barPr>
          <m:e>
            <m:r>
              <m:t>δ</m:t>
            </m:r>
          </m:e>
        </m:bar>
        <m:r>
          <m:rPr>
            <m:sty m:val="p"/>
          </m:rPr>
          <m:t>=</m:t>
        </m:r>
        <m:r>
          <m:t>0</m:t>
        </m:r>
      </m:oMath>
      <w:r>
        <w:t xml:space="preserve"> the weights are those of partialling out, which by the Frisch–Waugh–Lovell theorem are the weights of least squares on heads and anchors. When the warming is large compared with the noise, the weights make the alarm blind to rainfall, the two-stage least-squares end of anchor regression, but only in the one direction that can shift unseen. In between, Proposition S3 trades noise against invariance by the goal's own measure. The test solves the version with the confidence bounds of (8) in the same way, along the same line.</w:t>
      </w:r>
    </w:p>
    <w:p>
      <w:pPr>
        <w:pStyle w:val="Heading2"/>
      </w:pPr>
      <w:r>
        <w:t xml:space="preserve">5.5 The piezometers</w:t>
      </w:r>
    </w:p>
    <w:p>
      <w:pPr>
        <w:keepNext w:val="false"/>
        <w:pBdr>
          <w:left w:val="single" w:color="C2410C" w:sz="18" w:space="6"/>
        </w:pBdr>
        <w:shd w:fill="FDF2E9" w:color="auto" w:val="clear"/>
        <w:spacing w:after="100" w:before="100"/>
        <w:ind w:left="140" w:right="60"/>
        <w:jc w:val="left"/>
      </w:pPr>
      <w:r>
        <w:rPr>
          <w:b/>
          <w:bCs/>
          <w:color w:val="C2410C"/>
        </w:rPr>
        <w:t xml:space="preserve">Proposition S4 (which piezometers make the alarm shift-proof). </w:t>
      </w:r>
      <w:r>
        <w:t xml:space="preserve">For a set </w:t>
      </w:r>
      <m:oMath>
        <m:r>
          <m:rPr>
            <m:scr m:val="script"/>
            <m:sty m:val="p"/>
          </m:rPr>
          <m:t>S</m:t>
        </m:r>
      </m:oMath>
      <w:r>
        <w:t xml:space="preserve"> of monitoring wells let </w:t>
      </w:r>
      <m:oMath>
        <m:sSup>
          <m:e>
            <m:r>
              <m:t>m</m:t>
            </m:r>
          </m:e>
          <m:sup>
            <m:r>
              <m:rPr>
                <m:sty m:val="p"/>
              </m:rPr>
              <m:t>⋆</m:t>
            </m:r>
          </m:sup>
        </m:sSup>
        <m:d>
          <m:dPr>
            <m:begChr m:val="("/>
            <m:sepChr m:val=""/>
            <m:endChr m:val=")"/>
            <m:grow/>
          </m:dPr>
          <m:e>
            <m:r>
              <m:rPr>
                <m:scr m:val="script"/>
                <m:sty m:val="p"/>
              </m:rPr>
              <m:t>S</m:t>
            </m:r>
          </m:e>
        </m:d>
        <m:r>
          <m:rPr>
            <m:sty m:val="p"/>
          </m:rPr>
          <m:t>=</m:t>
        </m:r>
        <m:sSub>
          <m:e>
            <m:r>
              <m:rPr>
                <m:sty m:val="p"/>
              </m:rPr>
              <m:t>min</m:t>
            </m:r>
          </m:e>
          <m:sub>
            <m:r>
              <m:t>b</m:t>
            </m:r>
          </m:sub>
        </m:sSub>
        <m:r>
          <m:t>m</m:t>
        </m:r>
        <m:d>
          <m:dPr>
            <m:begChr m:val="("/>
            <m:sepChr m:val=""/>
            <m:endChr m:val=")"/>
            <m:grow/>
          </m:dPr>
          <m:e>
            <m:r>
              <m:t>b</m:t>
            </m:r>
          </m:e>
        </m:d>
      </m:oMath>
      <w:r>
        <w:t xml:space="preserve"> with </w:t>
      </w:r>
      <m:oMath>
        <m:r>
          <m:t>b</m:t>
        </m:r>
      </m:oMath>
      <w:r>
        <w:t xml:space="preserve"> supported on </w:t>
      </w:r>
      <m:oMath>
        <m:r>
          <m:rPr>
            <m:scr m:val="script"/>
            <m:sty m:val="p"/>
          </m:rPr>
          <m:t>S</m:t>
        </m:r>
      </m:oMath>
      <w:r>
        <w:t xml:space="preserve">. Then </w:t>
      </w:r>
      <m:oMath>
        <m:sSup>
          <m:e>
            <m:r>
              <m:t>m</m:t>
            </m:r>
          </m:e>
          <m:sup>
            <m:r>
              <m:rPr>
                <m:sty m:val="p"/>
              </m:rPr>
              <m:t>⋆</m:t>
            </m:r>
          </m:sup>
        </m:sSup>
      </m:oMath>
      <w:r>
        <w:t xml:space="preserve"> does not increase when a well is added. The warming term can be removed, </w:t>
      </w:r>
      <m:oMath>
        <m:r>
          <m:rPr>
            <m:sty m:val="p"/>
          </m:rPr>
          <m:t>ℓ</m:t>
        </m:r>
        <m:d>
          <m:dPr>
            <m:begChr m:val="("/>
            <m:sepChr m:val=""/>
            <m:endChr m:val=")"/>
            <m:grow/>
          </m:dPr>
          <m:e>
            <m:r>
              <m:t>b</m:t>
            </m:r>
          </m:e>
        </m:d>
        <m:r>
          <m:rPr>
            <m:sty m:val="p"/>
          </m:rPr>
          <m:t>=</m:t>
        </m:r>
        <m:r>
          <m:t>0</m:t>
        </m:r>
      </m:oMath>
      <w:r>
        <w:t xml:space="preserve">, if and only if </w:t>
      </w:r>
      <m:oMath>
        <m:sSub>
          <m:e>
            <m:r>
              <m:rPr>
                <m:sty m:val="b"/>
              </m:rPr>
              <m:t>W</m:t>
            </m:r>
          </m:e>
          <m:sub>
            <m:sSub>
              <m:e>
                <m:r>
                  <m:t>X</m:t>
                </m:r>
              </m:e>
              <m:sub>
                <m:r>
                  <m:rPr>
                    <m:scr m:val="script"/>
                    <m:sty m:val="p"/>
                  </m:rPr>
                  <m:t>S</m:t>
                </m:r>
              </m:sub>
            </m:sSub>
            <m:r>
              <m:rPr>
                <m:sty m:val="p"/>
              </m:rPr>
              <m:t>,</m:t>
            </m:r>
            <m:r>
              <m:t>r</m:t>
            </m:r>
          </m:sub>
        </m:sSub>
        <m:r>
          <m:rPr>
            <m:sty m:val="p"/>
          </m:rPr>
          <m:t>≠</m:t>
        </m:r>
        <m:r>
          <m:t>0</m:t>
        </m:r>
      </m:oMath>
      <w:r>
        <w:t xml:space="preserve"> or </w:t>
      </w:r>
      <m:oMath>
        <m:sSub>
          <m:e>
            <m:r>
              <m:t>w</m:t>
            </m:r>
          </m:e>
          <m:sub>
            <m:r>
              <m:t>Y</m:t>
            </m:r>
            <m:r>
              <m:rPr>
                <m:sty m:val="p"/>
              </m:rPr>
              <m:t>,</m:t>
            </m:r>
            <m:r>
              <m:t>r</m:t>
            </m:r>
          </m:sub>
        </m:sSub>
        <m:r>
          <m:rPr>
            <m:sty m:val="p"/>
          </m:rPr>
          <m:t>=</m:t>
        </m:r>
        <m:r>
          <m:t>0</m:t>
        </m:r>
      </m:oMath>
      <w:r>
        <w:t xml:space="preserve">: at least one well of </w:t>
      </w:r>
      <m:oMath>
        <m:r>
          <m:rPr>
            <m:scr m:val="script"/>
            <m:sty m:val="p"/>
          </m:rPr>
          <m:t>S</m:t>
        </m:r>
      </m:oMath>
      <w:r>
        <w:t xml:space="preserve"> must respond to rainfall once the pumping is held fixed. This is the projectability condition of anchor regression [5] restricted to the anchor whose effect can shift unseen. The price is the noise amplification </w:t>
      </w:r>
      <m:oMath>
        <m:r>
          <m:t>τ</m:t>
        </m:r>
      </m:oMath>
      <w:r>
        <w:t xml:space="preserve"> of Proposition S3, which is small when the well's response to rainfall is large compared with its noise.</w:t>
      </w:r>
    </w:p>
    <w:p>
      <w:pPr>
        <w:spacing w:after="110"/>
        <w:jc w:val="both"/>
      </w:pPr>
      <w:r>
        <w:rPr>
          <w:i/>
          <w:iCs/>
        </w:rPr>
        <w:t xml:space="preserve">Proof. </w:t>
      </w:r>
      <w:r>
        <w:t xml:space="preserve">Zero weights on added wells reproduce any smaller design. </w:t>
      </w:r>
      <m:oMath>
        <m:r>
          <m:rPr>
            <m:sty m:val="p"/>
          </m:rPr>
          <m:t>ℓ</m:t>
        </m:r>
        <m:d>
          <m:dPr>
            <m:begChr m:val="("/>
            <m:sepChr m:val=""/>
            <m:endChr m:val=")"/>
            <m:grow/>
          </m:dPr>
          <m:e>
            <m:r>
              <m:t>b</m:t>
            </m:r>
          </m:e>
        </m:d>
        <m:r>
          <m:rPr>
            <m:sty m:val="p"/>
          </m:rPr>
          <m:t>=</m:t>
        </m:r>
        <m:sSub>
          <m:e>
            <m:r>
              <m:t>w</m:t>
            </m:r>
          </m:e>
          <m:sub>
            <m:r>
              <m:t>Y</m:t>
            </m:r>
            <m:r>
              <m:rPr>
                <m:sty m:val="p"/>
              </m:rPr>
              <m:t>,</m:t>
            </m:r>
            <m:r>
              <m:t>r</m:t>
            </m:r>
          </m:sub>
        </m:sSub>
        <m:r>
          <m:rPr>
            <m:sty m:val="p"/>
          </m:rPr>
          <m:t>−</m:t>
        </m:r>
        <m:sSub>
          <m:e>
            <m:r>
              <m:rPr>
                <m:sty m:val="b"/>
              </m:rPr>
              <m:t>W</m:t>
            </m:r>
          </m:e>
          <m:sub>
            <m:sSub>
              <m:e>
                <m:r>
                  <m:t>X</m:t>
                </m:r>
              </m:e>
              <m:sub>
                <m:r>
                  <m:rPr>
                    <m:scr m:val="script"/>
                    <m:sty m:val="p"/>
                  </m:rPr>
                  <m:t>S</m:t>
                </m:r>
              </m:sub>
            </m:sSub>
            <m:r>
              <m:rPr>
                <m:sty m:val="p"/>
              </m:rPr>
              <m:t>,</m:t>
            </m:r>
            <m:r>
              <m:t>r</m:t>
            </m:r>
          </m:sub>
        </m:sSub>
        <m:r>
          <m:t>b</m:t>
        </m:r>
        <m:r>
          <m:rPr>
            <m:sty m:val="p"/>
          </m:rPr>
          <m:t>=</m:t>
        </m:r>
        <m:r>
          <m:t>0</m:t>
        </m:r>
      </m:oMath>
      <w:r>
        <w:t xml:space="preserve"> has a solution if and only if the row </w:t>
      </w:r>
      <m:oMath>
        <m:sSub>
          <m:e>
            <m:r>
              <m:rPr>
                <m:sty m:val="b"/>
              </m:rPr>
              <m:t>W</m:t>
            </m:r>
          </m:e>
          <m:sub>
            <m:sSub>
              <m:e>
                <m:r>
                  <m:t>X</m:t>
                </m:r>
              </m:e>
              <m:sub>
                <m:r>
                  <m:rPr>
                    <m:scr m:val="script"/>
                    <m:sty m:val="p"/>
                  </m:rPr>
                  <m:t>S</m:t>
                </m:r>
              </m:sub>
            </m:sSub>
            <m:r>
              <m:rPr>
                <m:sty m:val="p"/>
              </m:rPr>
              <m:t>,</m:t>
            </m:r>
            <m:r>
              <m:t>r</m:t>
            </m:r>
          </m:sub>
        </m:sSub>
      </m:oMath>
      <w:r>
        <w:t xml:space="preserve"> is not zero or </w:t>
      </w:r>
      <m:oMath>
        <m:sSub>
          <m:e>
            <m:r>
              <m:t>w</m:t>
            </m:r>
          </m:e>
          <m:sub>
            <m:r>
              <m:t>Y</m:t>
            </m:r>
            <m:r>
              <m:rPr>
                <m:sty m:val="p"/>
              </m:rPr>
              <m:t>,</m:t>
            </m:r>
            <m:r>
              <m:t>r</m:t>
            </m:r>
          </m:sub>
        </m:sSub>
        <m:r>
          <m:rPr>
            <m:sty m:val="p"/>
          </m:rPr>
          <m:t>=</m:t>
        </m:r>
        <m:r>
          <m:t>0</m:t>
        </m:r>
      </m:oMath>
      <w:r>
        <w:t xml:space="preserve">. The amplification follows from Proposition S3 with </w:t>
      </w:r>
      <m:oMath>
        <m:d>
          <m:dPr>
            <m:begChr m:val="|"/>
            <m:sepChr m:val=""/>
            <m:endChr m:val="|"/>
            <m:grow/>
          </m:dPr>
          <m:e>
            <m:r>
              <m:t>h</m:t>
            </m:r>
          </m:e>
        </m:d>
      </m:oMath>
      <w:r>
        <w:t xml:space="preserve"> computed on </w:t>
      </w:r>
      <m:oMath>
        <m:r>
          <m:rPr>
            <m:scr m:val="script"/>
            <m:sty m:val="p"/>
          </m:rPr>
          <m:t>S</m:t>
        </m:r>
      </m:oMath>
      <w:r>
        <w:t xml:space="preserve">.</w:t>
      </w:r>
      <w:r>
        <w:t xml:space="preserve"> □</w:t>
      </w:r>
    </w:p>
    <w:p>
      <w:pPr>
        <w:spacing w:after="100"/>
        <w:jc w:val="both"/>
      </w:pPr>
      <w:r>
        <w:t xml:space="preserve">The physical reading is direct. A well next to the supply well mostly records the supply well's own drawdown, which the anchor correction already knows. A well far inland records the recharge and the private abstraction, which are exactly what a warming changes and the gauge may miss. SPIRANCA-GO therefore chooses piezometers by their response to the unrecorded part of the forcing, not by their distance to the screen or by how well they fit the record.</w:t>
      </w:r>
    </w:p>
    <w:p>
      <w:pPr>
        <w:pStyle w:val="Heading1"/>
      </w:pPr>
      <w:r>
        <w:t xml:space="preserve">6. The test on the Fushë-Kuqe sector model</w:t>
      </w:r>
    </w:p>
    <w:p>
      <w:pPr>
        <w:spacing w:after="100"/>
        <w:jc w:val="both"/>
      </w:pPr>
      <w:r>
        <w:t xml:space="preserve">The test uses the areal model of the chloride study [1]: steady Strack potential with recharge on the coastal sector north of y = 24 km, the hydraulic conductivity, geometry, mixing width and sea chloride drawn from the study's prior (fresh end-member from well 193 of [27]), and the two supply wells of PRAG-GO, A1 and P10 [28]. The potential is linear in the sources, so each season is a combination of four unit responses (recharge, the two wells, and a private abstraction spread over the coastal plain between 0.5 and 4 km from the shoreline). The goal is the chloride of the upper screen of A1, the first aquifer of the study. Table 4 lists the rest. Figure 2 shows the sector and the causal picture.</w:t>
      </w:r>
    </w:p>
    <w:p>
      <w:pPr>
        <w:keepNext/>
        <w:spacing w:after="60" w:before="120"/>
        <w:jc w:val="both"/>
      </w:pPr>
      <w:r>
        <w:rPr>
          <w:b/>
          <w:bCs/>
          <w:color w:val="1F3864"/>
          <w:sz w:val="18"/>
          <w:szCs w:val="18"/>
        </w:rPr>
        <w:t xml:space="preserve">Table 4. </w:t>
      </w:r>
      <w:r>
        <w:rPr>
          <w:color w:val="3A4350"/>
          <w:sz w:val="18"/>
          <w:szCs w:val="18"/>
        </w:rPr>
        <w:t xml:space="preserve">The SPIRANCA-GO test (code: experiments/spiranca_go, sg_model.py and sg_run.py; 100 aquifers in about a minute on two cores).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400"/>
        <w:gridCol w:w="7238"/>
      </w:tblGrid>
      <w:tr>
        <w:trPr>
          <w:cantSplit/>
          <w:tblHeader/>
        </w:trPr>
        <w:tc>
          <w:tcPr>
            <w:tcW w:type="dxa" w:w="24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Item</w:t>
            </w:r>
          </w:p>
        </w:tc>
        <w:tc>
          <w:tcPr>
            <w:tcW w:type="dxa" w:w="7238"/>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Choice</w:t>
            </w:r>
          </w:p>
        </w:tc>
      </w:tr>
      <w:tr>
        <w:trPr>
          <w:cantSplit/>
        </w:trPr>
        <w:tc>
          <w:tcPr>
            <w:tcW w:type="dxa" w:w="2400"/>
            <w:tcMar>
              <w:top w:type="dxa" w:w="40"/>
              <w:left w:type="dxa" w:w="80"/>
              <w:bottom w:type="dxa" w:w="40"/>
              <w:right w:type="dxa" w:w="80"/>
            </w:tcMar>
            <w:vAlign w:val="top"/>
          </w:tcPr>
          <w:p>
            <w:r>
              <w:rPr>
                <w:sz w:val="16"/>
                <w:szCs w:val="16"/>
              </w:rPr>
              <w:t xml:space="preserve">Aquifers</w:t>
            </w:r>
          </w:p>
        </w:tc>
        <w:tc>
          <w:tcPr>
            <w:tcW w:type="dxa" w:w="7238"/>
            <w:tcMar>
              <w:top w:type="dxa" w:w="40"/>
              <w:left w:type="dxa" w:w="80"/>
              <w:bottom w:type="dxa" w:w="40"/>
              <w:right w:type="dxa" w:w="80"/>
            </w:tcMar>
            <w:vAlign w:val="top"/>
          </w:tcPr>
          <w:p>
            <w:r>
              <w:rPr>
                <w:sz w:val="16"/>
                <w:szCs w:val="16"/>
              </w:rPr>
              <w:t xml:space="preserve">100 draws of the chloride study's prior, the first that pass two filters out of 155 tried (35% skipped): the upper screen of A1 is fresh without utility pumping, and natural variation alone does not exceed the standard in more than 15% of the seasons. The pumping scale of each is set so that 15% of the seasons after the decision exceed 250 mg/L without warming</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Anchors (recorded)</w:t>
            </w:r>
          </w:p>
        </w:tc>
        <w:tc>
          <w:tcPr>
            <w:tcW w:type="dxa" w:w="7238"/>
            <w:shd w:fill="F7F9FC" w:color="auto" w:val="clear"/>
            <w:tcMar>
              <w:top w:type="dxa" w:w="40"/>
              <w:left w:type="dxa" w:w="80"/>
              <w:bottom w:type="dxa" w:w="40"/>
              <w:right w:type="dxa" w:w="80"/>
            </w:tcMar>
            <w:vAlign w:val="top"/>
          </w:tcPr>
          <w:p>
            <w:r>
              <w:rPr>
                <w:sz w:val="16"/>
                <w:szCs w:val="16"/>
              </w:rPr>
              <w:t xml:space="preserve">rainfall anomaly r ~ N(0, 1); operator pumping anomalies of A1 and P10, 0.25·U(−1, 1) − 0.08 r</w:t>
            </w:r>
          </w:p>
        </w:tc>
      </w:tr>
      <w:tr>
        <w:trPr>
          <w:cantSplit/>
        </w:trPr>
        <w:tc>
          <w:tcPr>
            <w:tcW w:type="dxa" w:w="2400"/>
            <w:tcMar>
              <w:top w:type="dxa" w:w="40"/>
              <w:left w:type="dxa" w:w="80"/>
              <w:bottom w:type="dxa" w:w="40"/>
              <w:right w:type="dxa" w:w="80"/>
            </w:tcMar>
            <w:vAlign w:val="top"/>
          </w:tcPr>
          <w:p>
            <w:r>
              <w:rPr>
                <w:sz w:val="16"/>
                <w:szCs w:val="16"/>
              </w:rPr>
              <w:t xml:space="preserve">Hidden</w:t>
            </w:r>
          </w:p>
        </w:tc>
        <w:tc>
          <w:tcPr>
            <w:tcW w:type="dxa" w:w="7238"/>
            <w:tcMar>
              <w:top w:type="dxa" w:w="40"/>
              <w:left w:type="dxa" w:w="80"/>
              <w:bottom w:type="dxa" w:w="40"/>
              <w:right w:type="dxa" w:w="80"/>
            </w:tcMar>
            <w:vAlign w:val="top"/>
          </w:tcPr>
          <w:p>
            <w:r>
              <w:rPr>
                <w:sz w:val="16"/>
                <w:szCs w:val="16"/>
              </w:rPr>
              <w:t xml:space="preserve">recharge R₀(1 + 0.25 r + 0.10 e_R); private abstraction 0.4 of the utility pumping × (1 − 0.25 r + 0.15 e_H); e_R, e_H unrecorded</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Record</w:t>
            </w:r>
          </w:p>
        </w:tc>
        <w:tc>
          <w:tcPr>
            <w:tcW w:type="dxa" w:w="7238"/>
            <w:shd w:fill="F7F9FC" w:color="auto" w:val="clear"/>
            <w:tcMar>
              <w:top w:type="dxa" w:w="40"/>
              <w:left w:type="dxa" w:w="80"/>
              <w:bottom w:type="dxa" w:w="40"/>
              <w:right w:type="dxa" w:w="80"/>
            </w:tcMar>
            <w:vAlign w:val="top"/>
          </w:tcPr>
          <w:p>
            <w:r>
              <w:rPr>
                <w:sz w:val="16"/>
                <w:szCs w:val="16"/>
              </w:rPr>
              <w:t xml:space="preserve">160 seasons (40 years × 4): 120 fit the alarm, 40 calibrate its margin</w:t>
            </w:r>
          </w:p>
        </w:tc>
      </w:tr>
      <w:tr>
        <w:trPr>
          <w:cantSplit/>
        </w:trPr>
        <w:tc>
          <w:tcPr>
            <w:tcW w:type="dxa" w:w="2400"/>
            <w:tcMar>
              <w:top w:type="dxa" w:w="40"/>
              <w:left w:type="dxa" w:w="80"/>
              <w:bottom w:type="dxa" w:w="40"/>
              <w:right w:type="dxa" w:w="80"/>
            </w:tcMar>
            <w:vAlign w:val="top"/>
          </w:tcPr>
          <w:p>
            <w:r>
              <w:rPr>
                <w:sz w:val="16"/>
                <w:szCs w:val="16"/>
              </w:rPr>
              <w:t xml:space="preserve">Heads</w:t>
            </w:r>
          </w:p>
        </w:tc>
        <w:tc>
          <w:tcPr>
            <w:tcW w:type="dxa" w:w="7238"/>
            <w:tcMar>
              <w:top w:type="dxa" w:w="40"/>
              <w:left w:type="dxa" w:w="80"/>
              <w:bottom w:type="dxa" w:w="40"/>
              <w:right w:type="dxa" w:w="80"/>
            </w:tcMar>
            <w:vAlign w:val="top"/>
          </w:tcPr>
          <w:p>
            <w:r>
              <w:rPr>
                <w:sz w:val="16"/>
                <w:szCs w:val="16"/>
              </w:rPr>
              <w:t xml:space="preserve">the 16 other sector wells, 0.1 m of head noise converted to potential at the mean state</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Decision (known)</w:t>
            </w:r>
          </w:p>
        </w:tc>
        <w:tc>
          <w:tcPr>
            <w:tcW w:type="dxa" w:w="7238"/>
            <w:shd w:fill="F7F9FC" w:color="auto" w:val="clear"/>
            <w:tcMar>
              <w:top w:type="dxa" w:w="40"/>
              <w:left w:type="dxa" w:w="80"/>
              <w:bottom w:type="dxa" w:w="40"/>
              <w:right w:type="dxa" w:w="80"/>
            </w:tcMar>
            <w:vAlign w:val="top"/>
          </w:tcPr>
          <w:p>
            <w:r>
              <w:rPr>
                <w:sz w:val="16"/>
                <w:szCs w:val="16"/>
              </w:rPr>
              <w:t xml:space="preserve">pumping anomalies of A1 and P10 set to +0.6 and +0.3: A1 beyond every recorded season (recorded anomalies stay within about ±0.45), P10 at the edge of the record</w:t>
            </w:r>
          </w:p>
        </w:tc>
      </w:tr>
      <w:tr>
        <w:trPr>
          <w:cantSplit/>
        </w:trPr>
        <w:tc>
          <w:tcPr>
            <w:tcW w:type="dxa" w:w="2400"/>
            <w:tcMar>
              <w:top w:type="dxa" w:w="40"/>
              <w:left w:type="dxa" w:w="80"/>
              <w:bottom w:type="dxa" w:w="40"/>
              <w:right w:type="dxa" w:w="80"/>
            </w:tcMar>
            <w:vAlign w:val="top"/>
          </w:tcPr>
          <w:p>
            <w:r>
              <w:rPr>
                <w:sz w:val="16"/>
                <w:szCs w:val="16"/>
              </w:rPr>
              <w:t xml:space="preserve">Warming (unseen)</w:t>
            </w:r>
          </w:p>
        </w:tc>
        <w:tc>
          <w:tcPr>
            <w:tcW w:type="dxa" w:w="7238"/>
            <w:tcMar>
              <w:top w:type="dxa" w:w="40"/>
              <w:left w:type="dxa" w:w="80"/>
              <w:bottom w:type="dxa" w:w="40"/>
              <w:right w:type="dxa" w:w="80"/>
            </w:tcMar>
            <w:vAlign w:val="top"/>
          </w:tcPr>
          <w:p>
            <w:r>
              <w:rPr>
                <w:sz w:val="16"/>
                <w:szCs w:val="16"/>
              </w:rPr>
              <w:t xml:space="preserve">recharge −0.25 R₀ δ and private abstraction +0.25 H δ, δ ∈ [0, 1.5]: a drought of up to 1.5 standard deviations the gauge does not record</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Scenarios</w:t>
            </w:r>
          </w:p>
        </w:tc>
        <w:tc>
          <w:tcPr>
            <w:tcW w:type="dxa" w:w="7238"/>
            <w:shd w:fill="F7F9FC" w:color="auto" w:val="clear"/>
            <w:tcMar>
              <w:top w:type="dxa" w:w="40"/>
              <w:left w:type="dxa" w:w="80"/>
              <w:bottom w:type="dxa" w:w="40"/>
              <w:right w:type="dxa" w:w="80"/>
            </w:tcMar>
            <w:vAlign w:val="top"/>
          </w:tcPr>
          <w:p>
            <w:r>
              <w:rPr>
                <w:sz w:val="16"/>
                <w:szCs w:val="16"/>
              </w:rPr>
              <w:t xml:space="preserve">no warming; worst warming (δ = 1.5); warming δ ~ U(0, 1.5); off-span stress (private abstraction +30% with no change of recharge, outside the span of the anchors). Exceedance frequencies 15%, 64%, 38%, 16%</w:t>
            </w:r>
          </w:p>
        </w:tc>
      </w:tr>
      <w:tr>
        <w:trPr>
          <w:cantSplit/>
        </w:trPr>
        <w:tc>
          <w:tcPr>
            <w:tcW w:type="dxa" w:w="2400"/>
            <w:tcMar>
              <w:top w:type="dxa" w:w="40"/>
              <w:left w:type="dxa" w:w="80"/>
              <w:bottom w:type="dxa" w:w="40"/>
              <w:right w:type="dxa" w:w="80"/>
            </w:tcMar>
            <w:vAlign w:val="top"/>
          </w:tcPr>
          <w:p>
            <w:r>
              <w:rPr>
                <w:sz w:val="16"/>
                <w:szCs w:val="16"/>
              </w:rPr>
              <w:t xml:space="preserve">Alarm and score</w:t>
            </w:r>
          </w:p>
        </w:tc>
        <w:tc>
          <w:tcPr>
            <w:tcW w:type="dxa" w:w="7238"/>
            <w:tcMar>
              <w:top w:type="dxa" w:w="40"/>
              <w:left w:type="dxa" w:w="80"/>
              <w:bottom w:type="dxa" w:w="40"/>
              <w:right w:type="dxa" w:w="80"/>
            </w:tcMar>
            <w:vAlign w:val="top"/>
          </w:tcPr>
          <w:p>
            <w:r>
              <w:rPr>
                <w:sz w:val="16"/>
                <w:szCs w:val="16"/>
              </w:rPr>
              <w:t xml:space="preserve">4 000 future seasons per scenario; the alarm sounds when the proxy is at most y* plus its margin; scored by the share of seasons in which the proxy over-predicts by more than its margin (the certified quantity, target α = 10%), by the false alarms among safe seasons and by the missed exceedances</w:t>
            </w:r>
          </w:p>
        </w:tc>
      </w:tr>
    </w:tbl>
    <w:p>
      <w:pPr>
        <w:spacing w:after="120"/>
      </w:pPr>
    </w:p>
    <w:p>
      <w:pPr>
        <w:keepNext/>
        <w:spacing w:after="40" w:before="120"/>
        <w:jc w:val="center"/>
      </w:pPr>
      <w:r>
        <w:drawing>
          <wp:inline distT="0" distB="0" distL="0" distR="0">
            <wp:extent cx="6124575" cy="3114675"/>
            <wp:effectExtent t="0" r="0" b="0" l="0"/>
            <wp:docPr id="1" name="Sector map and causal picture" descr="Sector map and causal picture" title="Sector map and causa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14675"/>
                    </a:xfrm>
                    <a:prstGeom prst="rect">
                      <a:avLst/>
                    </a:prstGeom>
                  </pic:spPr>
                </pic:pic>
              </a:graphicData>
            </a:graphic>
          </wp:inline>
        </w:drawing>
      </w:r>
    </w:p>
    <w:p>
      <w:pPr>
        <w:spacing w:after="180"/>
        <w:jc w:val="both"/>
      </w:pPr>
      <w:r>
        <w:rPr>
          <w:b/>
          <w:bCs/>
          <w:color w:val="1F3864"/>
          <w:sz w:val="18"/>
          <w:szCs w:val="18"/>
        </w:rPr>
        <w:t xml:space="preserve">Figure 2. </w:t>
      </w:r>
      <w:r>
        <w:rPr>
          <w:color w:val="3A4350"/>
          <w:sz w:val="18"/>
          <w:szCs w:val="18"/>
        </w:rPr>
        <w:t xml:space="preserve">(a) The coastal sector of the chloride study: model cells (blue), the band of private abstraction (beige), the shoreline (green), the supply wells A1 and P10 (stars) and the sixteen candidate monitoring wells; the disc size is the share of the 100 aquifers in which the SPIRANCA-GO design of three wells picks the well, and the orange rings mark the three wells nearest A1. (b) What is recorded (anchors), decided (the new pumping) and shifted unseen (the warming), and how they reach the heads and the goal.</w:t>
      </w:r>
    </w:p>
    <w:p>
      <w:pPr>
        <w:pStyle w:val="Heading2"/>
      </w:pPr>
      <w:r>
        <w:t xml:space="preserve">6.1 Which alarms stay valid</w:t>
      </w:r>
    </w:p>
    <w:p>
      <w:pPr>
        <w:keepNext/>
        <w:spacing w:after="60" w:before="120"/>
        <w:jc w:val="both"/>
      </w:pPr>
      <w:r>
        <w:rPr>
          <w:b/>
          <w:bCs/>
          <w:color w:val="1F3864"/>
          <w:sz w:val="18"/>
          <w:szCs w:val="18"/>
        </w:rPr>
        <w:t xml:space="preserve">Table 5. </w:t>
      </w:r>
      <w:r>
        <w:rPr>
          <w:color w:val="3A4350"/>
          <w:sz w:val="18"/>
          <w:szCs w:val="18"/>
        </w:rPr>
        <w:t xml:space="preserve">Share of future seasons in which each alarm over-predicts by more than its margin, mean over 100 aquifers (in brackets: number of aquifers above 10%), with all sixteen wells; false alarms under the worst warming; median margin over the aquifers in units of the seasonal standard deviation of </w:t>
      </w:r>
      <m:oMath>
        <m:r>
          <m:t>Y</m:t>
        </m:r>
      </m:oMath>
      <w:r>
        <w:rPr>
          <w:color w:val="3A4350"/>
          <w:sz w:val="18"/>
          <w:szCs w:val="18"/>
        </w:rPr>
        <w:t xml:space="preserve">. The guarantee of SPIRANCA-GO covers the first three columns, not the off-span stress.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00"/>
        <w:gridCol w:w="1100"/>
        <w:gridCol w:w="1100"/>
        <w:gridCol w:w="1150"/>
        <w:gridCol w:w="1100"/>
        <w:gridCol w:w="1250"/>
        <w:gridCol w:w="1238"/>
      </w:tblGrid>
      <w:tr>
        <w:trPr>
          <w:cantSplit/>
          <w:tblHeader/>
        </w:trPr>
        <w:tc>
          <w:tcPr>
            <w:tcW w:type="dxa" w:w="27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Method</w:t>
            </w:r>
          </w:p>
        </w:tc>
        <w:tc>
          <w:tcPr>
            <w:tcW w:type="dxa" w:w="11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No warming</w:t>
            </w:r>
          </w:p>
        </w:tc>
        <w:tc>
          <w:tcPr>
            <w:tcW w:type="dxa" w:w="11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Worst warming</w:t>
            </w:r>
          </w:p>
        </w:tc>
        <w:tc>
          <w:tcPr>
            <w:tcW w:type="dxa" w:w="11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Warming U(0, max)</w:t>
            </w:r>
          </w:p>
        </w:tc>
        <w:tc>
          <w:tcPr>
            <w:tcW w:type="dxa" w:w="11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Off-span stress</w:t>
            </w:r>
          </w:p>
        </w:tc>
        <w:tc>
          <w:tcPr>
            <w:tcW w:type="dxa" w:w="12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False alarms (worst)</w:t>
            </w:r>
          </w:p>
        </w:tc>
        <w:tc>
          <w:tcPr>
            <w:tcW w:type="dxa" w:w="1238"/>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Margin / sd(Y)</w:t>
            </w:r>
          </w:p>
        </w:tc>
      </w:tr>
      <w:tr>
        <w:trPr>
          <w:cantSplit/>
        </w:trPr>
        <w:tc>
          <w:tcPr>
            <w:tcW w:type="dxa" w:w="2700"/>
            <w:tcMar>
              <w:top w:type="dxa" w:w="40"/>
              <w:left w:type="dxa" w:w="80"/>
              <w:bottom w:type="dxa" w:w="40"/>
              <w:right w:type="dxa" w:w="80"/>
            </w:tcMar>
            <w:vAlign w:val="top"/>
          </w:tcPr>
          <w:p>
            <w:r>
              <w:rPr>
                <w:sz w:val="15"/>
                <w:szCs w:val="15"/>
              </w:rPr>
              <w:t xml:space="preserve">Least squares on the heads</w:t>
            </w:r>
          </w:p>
        </w:tc>
        <w:tc>
          <w:tcPr>
            <w:tcW w:type="dxa" w:w="1100"/>
            <w:tcMar>
              <w:top w:type="dxa" w:w="40"/>
              <w:left w:type="dxa" w:w="80"/>
              <w:bottom w:type="dxa" w:w="40"/>
              <w:right w:type="dxa" w:w="80"/>
            </w:tcMar>
            <w:vAlign w:val="top"/>
          </w:tcPr>
          <w:p>
            <w:r>
              <w:rPr>
                <w:sz w:val="15"/>
                <w:szCs w:val="15"/>
              </w:rPr>
              <w:t xml:space="preserve">93.9% (99)</w:t>
            </w:r>
          </w:p>
        </w:tc>
        <w:tc>
          <w:tcPr>
            <w:tcW w:type="dxa" w:w="1100"/>
            <w:tcMar>
              <w:top w:type="dxa" w:w="40"/>
              <w:left w:type="dxa" w:w="80"/>
              <w:bottom w:type="dxa" w:w="40"/>
              <w:right w:type="dxa" w:w="80"/>
            </w:tcMar>
            <w:vAlign w:val="top"/>
          </w:tcPr>
          <w:p>
            <w:r>
              <w:rPr>
                <w:sz w:val="15"/>
                <w:szCs w:val="15"/>
              </w:rPr>
              <w:t xml:space="preserve">90.8% (98)</w:t>
            </w:r>
          </w:p>
        </w:tc>
        <w:tc>
          <w:tcPr>
            <w:tcW w:type="dxa" w:w="1150"/>
            <w:tcMar>
              <w:top w:type="dxa" w:w="40"/>
              <w:left w:type="dxa" w:w="80"/>
              <w:bottom w:type="dxa" w:w="40"/>
              <w:right w:type="dxa" w:w="80"/>
            </w:tcMar>
            <w:vAlign w:val="top"/>
          </w:tcPr>
          <w:p>
            <w:r>
              <w:rPr>
                <w:sz w:val="15"/>
                <w:szCs w:val="15"/>
              </w:rPr>
              <w:t xml:space="preserve">92.7% (99)</w:t>
            </w:r>
          </w:p>
        </w:tc>
        <w:tc>
          <w:tcPr>
            <w:tcW w:type="dxa" w:w="1100"/>
            <w:tcMar>
              <w:top w:type="dxa" w:w="40"/>
              <w:left w:type="dxa" w:w="80"/>
              <w:bottom w:type="dxa" w:w="40"/>
              <w:right w:type="dxa" w:w="80"/>
            </w:tcMar>
            <w:vAlign w:val="top"/>
          </w:tcPr>
          <w:p>
            <w:r>
              <w:rPr>
                <w:sz w:val="15"/>
                <w:szCs w:val="15"/>
              </w:rPr>
              <w:t xml:space="preserve">94.1% (99)</w:t>
            </w:r>
          </w:p>
        </w:tc>
        <w:tc>
          <w:tcPr>
            <w:tcW w:type="dxa" w:w="1250"/>
            <w:tcMar>
              <w:top w:type="dxa" w:w="40"/>
              <w:left w:type="dxa" w:w="80"/>
              <w:bottom w:type="dxa" w:w="40"/>
              <w:right w:type="dxa" w:w="80"/>
            </w:tcMar>
            <w:vAlign w:val="top"/>
          </w:tcPr>
          <w:p>
            <w:r>
              <w:rPr>
                <w:sz w:val="15"/>
                <w:szCs w:val="15"/>
              </w:rPr>
              <w:t xml:space="preserve">0.4%</w:t>
            </w:r>
          </w:p>
        </w:tc>
        <w:tc>
          <w:tcPr>
            <w:tcW w:type="dxa" w:w="1238"/>
            <w:tcMar>
              <w:top w:type="dxa" w:w="40"/>
              <w:left w:type="dxa" w:w="80"/>
              <w:bottom w:type="dxa" w:w="40"/>
              <w:right w:type="dxa" w:w="80"/>
            </w:tcMar>
            <w:vAlign w:val="top"/>
          </w:tcPr>
          <w:p>
            <w:r>
              <w:rPr>
                <w:sz w:val="15"/>
                <w:szCs w:val="15"/>
              </w:rPr>
              <w:t xml:space="preserve">0.107</w:t>
            </w:r>
          </w:p>
        </w:tc>
      </w:tr>
      <w:tr>
        <w:trPr>
          <w:cantSplit/>
        </w:trPr>
        <w:tc>
          <w:tcPr>
            <w:tcW w:type="dxa" w:w="2700"/>
            <w:shd w:fill="F7F9FC" w:color="auto" w:val="clear"/>
            <w:tcMar>
              <w:top w:type="dxa" w:w="40"/>
              <w:left w:type="dxa" w:w="80"/>
              <w:bottom w:type="dxa" w:w="40"/>
              <w:right w:type="dxa" w:w="80"/>
            </w:tcMar>
            <w:vAlign w:val="top"/>
          </w:tcPr>
          <w:p>
            <w:r>
              <w:rPr>
                <w:sz w:val="15"/>
                <w:szCs w:val="15"/>
              </w:rPr>
              <w:t xml:space="preserve">Anchor regression, γ by cross-validation</w:t>
            </w:r>
          </w:p>
        </w:tc>
        <w:tc>
          <w:tcPr>
            <w:tcW w:type="dxa" w:w="1100"/>
            <w:shd w:fill="F7F9FC" w:color="auto" w:val="clear"/>
            <w:tcMar>
              <w:top w:type="dxa" w:w="40"/>
              <w:left w:type="dxa" w:w="80"/>
              <w:bottom w:type="dxa" w:w="40"/>
              <w:right w:type="dxa" w:w="80"/>
            </w:tcMar>
            <w:vAlign w:val="top"/>
          </w:tcPr>
          <w:p>
            <w:r>
              <w:rPr>
                <w:sz w:val="15"/>
                <w:szCs w:val="15"/>
              </w:rPr>
              <w:t xml:space="preserve">94.2% (99)</w:t>
            </w:r>
          </w:p>
        </w:tc>
        <w:tc>
          <w:tcPr>
            <w:tcW w:type="dxa" w:w="1100"/>
            <w:shd w:fill="F7F9FC" w:color="auto" w:val="clear"/>
            <w:tcMar>
              <w:top w:type="dxa" w:w="40"/>
              <w:left w:type="dxa" w:w="80"/>
              <w:bottom w:type="dxa" w:w="40"/>
              <w:right w:type="dxa" w:w="80"/>
            </w:tcMar>
            <w:vAlign w:val="top"/>
          </w:tcPr>
          <w:p>
            <w:r>
              <w:rPr>
                <w:sz w:val="15"/>
                <w:szCs w:val="15"/>
              </w:rPr>
              <w:t xml:space="preserve">93.1% (99)</w:t>
            </w:r>
          </w:p>
        </w:tc>
        <w:tc>
          <w:tcPr>
            <w:tcW w:type="dxa" w:w="1150"/>
            <w:shd w:fill="F7F9FC" w:color="auto" w:val="clear"/>
            <w:tcMar>
              <w:top w:type="dxa" w:w="40"/>
              <w:left w:type="dxa" w:w="80"/>
              <w:bottom w:type="dxa" w:w="40"/>
              <w:right w:type="dxa" w:w="80"/>
            </w:tcMar>
            <w:vAlign w:val="top"/>
          </w:tcPr>
          <w:p>
            <w:r>
              <w:rPr>
                <w:sz w:val="15"/>
                <w:szCs w:val="15"/>
              </w:rPr>
              <w:t xml:space="preserve">93.7% (99)</w:t>
            </w:r>
          </w:p>
        </w:tc>
        <w:tc>
          <w:tcPr>
            <w:tcW w:type="dxa" w:w="1100"/>
            <w:shd w:fill="F7F9FC" w:color="auto" w:val="clear"/>
            <w:tcMar>
              <w:top w:type="dxa" w:w="40"/>
              <w:left w:type="dxa" w:w="80"/>
              <w:bottom w:type="dxa" w:w="40"/>
              <w:right w:type="dxa" w:w="80"/>
            </w:tcMar>
            <w:vAlign w:val="top"/>
          </w:tcPr>
          <w:p>
            <w:r>
              <w:rPr>
                <w:sz w:val="15"/>
                <w:szCs w:val="15"/>
              </w:rPr>
              <w:t xml:space="preserve">94.4% (99)</w:t>
            </w:r>
          </w:p>
        </w:tc>
        <w:tc>
          <w:tcPr>
            <w:tcW w:type="dxa" w:w="1250"/>
            <w:shd w:fill="F7F9FC" w:color="auto" w:val="clear"/>
            <w:tcMar>
              <w:top w:type="dxa" w:w="40"/>
              <w:left w:type="dxa" w:w="80"/>
              <w:bottom w:type="dxa" w:w="40"/>
              <w:right w:type="dxa" w:w="80"/>
            </w:tcMar>
            <w:vAlign w:val="top"/>
          </w:tcPr>
          <w:p>
            <w:r>
              <w:rPr>
                <w:sz w:val="15"/>
                <w:szCs w:val="15"/>
              </w:rPr>
              <w:t xml:space="preserve">0.4%</w:t>
            </w:r>
          </w:p>
        </w:tc>
        <w:tc>
          <w:tcPr>
            <w:tcW w:type="dxa" w:w="1238"/>
            <w:shd w:fill="F7F9FC" w:color="auto" w:val="clear"/>
            <w:tcMar>
              <w:top w:type="dxa" w:w="40"/>
              <w:left w:type="dxa" w:w="80"/>
              <w:bottom w:type="dxa" w:w="40"/>
              <w:right w:type="dxa" w:w="80"/>
            </w:tcMar>
            <w:vAlign w:val="top"/>
          </w:tcPr>
          <w:p>
            <w:r>
              <w:rPr>
                <w:sz w:val="15"/>
                <w:szCs w:val="15"/>
              </w:rPr>
              <w:t xml:space="preserve">0.107</w:t>
            </w:r>
          </w:p>
        </w:tc>
      </w:tr>
      <w:tr>
        <w:trPr>
          <w:cantSplit/>
        </w:trPr>
        <w:tc>
          <w:tcPr>
            <w:tcW w:type="dxa" w:w="2700"/>
            <w:tcMar>
              <w:top w:type="dxa" w:w="40"/>
              <w:left w:type="dxa" w:w="80"/>
              <w:bottom w:type="dxa" w:w="40"/>
              <w:right w:type="dxa" w:w="80"/>
            </w:tcMar>
            <w:vAlign w:val="top"/>
          </w:tcPr>
          <w:p>
            <w:r>
              <w:rPr>
                <w:sz w:val="15"/>
                <w:szCs w:val="15"/>
              </w:rPr>
              <w:t xml:space="preserve">Anchor regression, γ of the decision</w:t>
            </w:r>
          </w:p>
        </w:tc>
        <w:tc>
          <w:tcPr>
            <w:tcW w:type="dxa" w:w="1100"/>
            <w:tcMar>
              <w:top w:type="dxa" w:w="40"/>
              <w:left w:type="dxa" w:w="80"/>
              <w:bottom w:type="dxa" w:w="40"/>
              <w:right w:type="dxa" w:w="80"/>
            </w:tcMar>
            <w:vAlign w:val="top"/>
          </w:tcPr>
          <w:p>
            <w:r>
              <w:rPr>
                <w:sz w:val="15"/>
                <w:szCs w:val="15"/>
              </w:rPr>
              <w:t xml:space="preserve">55.6% (99)</w:t>
            </w:r>
          </w:p>
        </w:tc>
        <w:tc>
          <w:tcPr>
            <w:tcW w:type="dxa" w:w="1100"/>
            <w:tcMar>
              <w:top w:type="dxa" w:w="40"/>
              <w:left w:type="dxa" w:w="80"/>
              <w:bottom w:type="dxa" w:w="40"/>
              <w:right w:type="dxa" w:w="80"/>
            </w:tcMar>
            <w:vAlign w:val="top"/>
          </w:tcPr>
          <w:p>
            <w:r>
              <w:rPr>
                <w:sz w:val="15"/>
                <w:szCs w:val="15"/>
              </w:rPr>
              <w:t xml:space="preserve">43.9% (97)</w:t>
            </w:r>
          </w:p>
        </w:tc>
        <w:tc>
          <w:tcPr>
            <w:tcW w:type="dxa" w:w="1150"/>
            <w:tcMar>
              <w:top w:type="dxa" w:w="40"/>
              <w:left w:type="dxa" w:w="80"/>
              <w:bottom w:type="dxa" w:w="40"/>
              <w:right w:type="dxa" w:w="80"/>
            </w:tcMar>
            <w:vAlign w:val="top"/>
          </w:tcPr>
          <w:p>
            <w:r>
              <w:rPr>
                <w:sz w:val="15"/>
                <w:szCs w:val="15"/>
              </w:rPr>
              <w:t xml:space="preserve">49.8% (98)</w:t>
            </w:r>
          </w:p>
        </w:tc>
        <w:tc>
          <w:tcPr>
            <w:tcW w:type="dxa" w:w="1100"/>
            <w:tcMar>
              <w:top w:type="dxa" w:w="40"/>
              <w:left w:type="dxa" w:w="80"/>
              <w:bottom w:type="dxa" w:w="40"/>
              <w:right w:type="dxa" w:w="80"/>
            </w:tcMar>
            <w:vAlign w:val="top"/>
          </w:tcPr>
          <w:p>
            <w:r>
              <w:rPr>
                <w:sz w:val="15"/>
                <w:szCs w:val="15"/>
              </w:rPr>
              <w:t xml:space="preserve">55.5% (99)</w:t>
            </w:r>
          </w:p>
        </w:tc>
        <w:tc>
          <w:tcPr>
            <w:tcW w:type="dxa" w:w="1250"/>
            <w:tcMar>
              <w:top w:type="dxa" w:w="40"/>
              <w:left w:type="dxa" w:w="80"/>
              <w:bottom w:type="dxa" w:w="40"/>
              <w:right w:type="dxa" w:w="80"/>
            </w:tcMar>
            <w:vAlign w:val="top"/>
          </w:tcPr>
          <w:p>
            <w:r>
              <w:rPr>
                <w:sz w:val="15"/>
                <w:szCs w:val="15"/>
              </w:rPr>
              <w:t xml:space="preserve">7.1%</w:t>
            </w:r>
          </w:p>
        </w:tc>
        <w:tc>
          <w:tcPr>
            <w:tcW w:type="dxa" w:w="1238"/>
            <w:tcMar>
              <w:top w:type="dxa" w:w="40"/>
              <w:left w:type="dxa" w:w="80"/>
              <w:bottom w:type="dxa" w:w="40"/>
              <w:right w:type="dxa" w:w="80"/>
            </w:tcMar>
            <w:vAlign w:val="top"/>
          </w:tcPr>
          <w:p>
            <w:r>
              <w:rPr>
                <w:sz w:val="15"/>
                <w:szCs w:val="15"/>
              </w:rPr>
              <w:t xml:space="preserve">0.207</w:t>
            </w:r>
          </w:p>
        </w:tc>
      </w:tr>
      <w:tr>
        <w:trPr>
          <w:cantSplit/>
        </w:trPr>
        <w:tc>
          <w:tcPr>
            <w:tcW w:type="dxa" w:w="2700"/>
            <w:shd w:fill="F7F9FC" w:color="auto" w:val="clear"/>
            <w:tcMar>
              <w:top w:type="dxa" w:w="40"/>
              <w:left w:type="dxa" w:w="80"/>
              <w:bottom w:type="dxa" w:w="40"/>
              <w:right w:type="dxa" w:w="80"/>
            </w:tcMar>
            <w:vAlign w:val="top"/>
          </w:tcPr>
          <w:p>
            <w:r>
              <w:rPr>
                <w:sz w:val="15"/>
                <w:szCs w:val="15"/>
              </w:rPr>
              <w:t xml:space="preserve">Anchor regression, γ → ∞ (IV)</w:t>
            </w:r>
          </w:p>
        </w:tc>
        <w:tc>
          <w:tcPr>
            <w:tcW w:type="dxa" w:w="1100"/>
            <w:shd w:fill="F7F9FC" w:color="auto" w:val="clear"/>
            <w:tcMar>
              <w:top w:type="dxa" w:w="40"/>
              <w:left w:type="dxa" w:w="80"/>
              <w:bottom w:type="dxa" w:w="40"/>
              <w:right w:type="dxa" w:w="80"/>
            </w:tcMar>
            <w:vAlign w:val="top"/>
          </w:tcPr>
          <w:p>
            <w:r>
              <w:rPr>
                <w:sz w:val="15"/>
                <w:szCs w:val="15"/>
              </w:rPr>
              <w:t xml:space="preserve">43.8% (97)</w:t>
            </w:r>
          </w:p>
        </w:tc>
        <w:tc>
          <w:tcPr>
            <w:tcW w:type="dxa" w:w="1100"/>
            <w:shd w:fill="F7F9FC" w:color="auto" w:val="clear"/>
            <w:tcMar>
              <w:top w:type="dxa" w:w="40"/>
              <w:left w:type="dxa" w:w="80"/>
              <w:bottom w:type="dxa" w:w="40"/>
              <w:right w:type="dxa" w:w="80"/>
            </w:tcMar>
            <w:vAlign w:val="top"/>
          </w:tcPr>
          <w:p>
            <w:r>
              <w:rPr>
                <w:sz w:val="15"/>
                <w:szCs w:val="15"/>
              </w:rPr>
              <w:t xml:space="preserve">34.6% (96)</w:t>
            </w:r>
          </w:p>
        </w:tc>
        <w:tc>
          <w:tcPr>
            <w:tcW w:type="dxa" w:w="1150"/>
            <w:shd w:fill="F7F9FC" w:color="auto" w:val="clear"/>
            <w:tcMar>
              <w:top w:type="dxa" w:w="40"/>
              <w:left w:type="dxa" w:w="80"/>
              <w:bottom w:type="dxa" w:w="40"/>
              <w:right w:type="dxa" w:w="80"/>
            </w:tcMar>
            <w:vAlign w:val="top"/>
          </w:tcPr>
          <w:p>
            <w:r>
              <w:rPr>
                <w:sz w:val="15"/>
                <w:szCs w:val="15"/>
              </w:rPr>
              <w:t xml:space="preserve">39.4% (98)</w:t>
            </w:r>
          </w:p>
        </w:tc>
        <w:tc>
          <w:tcPr>
            <w:tcW w:type="dxa" w:w="1100"/>
            <w:shd w:fill="F7F9FC" w:color="auto" w:val="clear"/>
            <w:tcMar>
              <w:top w:type="dxa" w:w="40"/>
              <w:left w:type="dxa" w:w="80"/>
              <w:bottom w:type="dxa" w:w="40"/>
              <w:right w:type="dxa" w:w="80"/>
            </w:tcMar>
            <w:vAlign w:val="top"/>
          </w:tcPr>
          <w:p>
            <w:r>
              <w:rPr>
                <w:sz w:val="15"/>
                <w:szCs w:val="15"/>
              </w:rPr>
              <w:t xml:space="preserve">43.7% (97)</w:t>
            </w:r>
          </w:p>
        </w:tc>
        <w:tc>
          <w:tcPr>
            <w:tcW w:type="dxa" w:w="1250"/>
            <w:shd w:fill="F7F9FC" w:color="auto" w:val="clear"/>
            <w:tcMar>
              <w:top w:type="dxa" w:w="40"/>
              <w:left w:type="dxa" w:w="80"/>
              <w:bottom w:type="dxa" w:w="40"/>
              <w:right w:type="dxa" w:w="80"/>
            </w:tcMar>
            <w:vAlign w:val="top"/>
          </w:tcPr>
          <w:p>
            <w:r>
              <w:rPr>
                <w:sz w:val="15"/>
                <w:szCs w:val="15"/>
              </w:rPr>
              <w:t xml:space="preserve">12.0%</w:t>
            </w:r>
          </w:p>
        </w:tc>
        <w:tc>
          <w:tcPr>
            <w:tcW w:type="dxa" w:w="1238"/>
            <w:shd w:fill="F7F9FC" w:color="auto" w:val="clear"/>
            <w:tcMar>
              <w:top w:type="dxa" w:w="40"/>
              <w:left w:type="dxa" w:w="80"/>
              <w:bottom w:type="dxa" w:w="40"/>
              <w:right w:type="dxa" w:w="80"/>
            </w:tcMar>
            <w:vAlign w:val="top"/>
          </w:tcPr>
          <w:p>
            <w:r>
              <w:rPr>
                <w:sz w:val="15"/>
                <w:szCs w:val="15"/>
              </w:rPr>
              <w:t xml:space="preserve">0.252</w:t>
            </w:r>
          </w:p>
        </w:tc>
      </w:tr>
      <w:tr>
        <w:trPr>
          <w:cantSplit/>
        </w:trPr>
        <w:tc>
          <w:tcPr>
            <w:tcW w:type="dxa" w:w="2700"/>
            <w:tcMar>
              <w:top w:type="dxa" w:w="40"/>
              <w:left w:type="dxa" w:w="80"/>
              <w:bottom w:type="dxa" w:w="40"/>
              <w:right w:type="dxa" w:w="80"/>
            </w:tcMar>
            <w:vAlign w:val="top"/>
          </w:tcPr>
          <w:p>
            <w:r>
              <w:rPr>
                <w:sz w:val="15"/>
                <w:szCs w:val="15"/>
              </w:rPr>
              <w:t xml:space="preserve">Least squares on heads and anchors</w:t>
            </w:r>
          </w:p>
        </w:tc>
        <w:tc>
          <w:tcPr>
            <w:tcW w:type="dxa" w:w="1100"/>
            <w:tcMar>
              <w:top w:type="dxa" w:w="40"/>
              <w:left w:type="dxa" w:w="80"/>
              <w:bottom w:type="dxa" w:w="40"/>
              <w:right w:type="dxa" w:w="80"/>
            </w:tcMar>
            <w:vAlign w:val="top"/>
          </w:tcPr>
          <w:p>
            <w:r>
              <w:rPr>
                <w:sz w:val="15"/>
                <w:szCs w:val="15"/>
              </w:rPr>
              <w:t xml:space="preserve">12.5% (48)</w:t>
            </w:r>
          </w:p>
        </w:tc>
        <w:tc>
          <w:tcPr>
            <w:tcW w:type="dxa" w:w="1100"/>
            <w:tcMar>
              <w:top w:type="dxa" w:w="40"/>
              <w:left w:type="dxa" w:w="80"/>
              <w:bottom w:type="dxa" w:w="40"/>
              <w:right w:type="dxa" w:w="80"/>
            </w:tcMar>
            <w:vAlign w:val="top"/>
          </w:tcPr>
          <w:p>
            <w:r>
              <w:rPr>
                <w:sz w:val="15"/>
                <w:szCs w:val="15"/>
              </w:rPr>
              <w:t xml:space="preserve">36.0% (83)</w:t>
            </w:r>
          </w:p>
        </w:tc>
        <w:tc>
          <w:tcPr>
            <w:tcW w:type="dxa" w:w="1150"/>
            <w:tcMar>
              <w:top w:type="dxa" w:w="40"/>
              <w:left w:type="dxa" w:w="80"/>
              <w:bottom w:type="dxa" w:w="40"/>
              <w:right w:type="dxa" w:w="80"/>
            </w:tcMar>
            <w:vAlign w:val="top"/>
          </w:tcPr>
          <w:p>
            <w:r>
              <w:rPr>
                <w:sz w:val="15"/>
                <w:szCs w:val="15"/>
              </w:rPr>
              <w:t xml:space="preserve">23.2% (75)</w:t>
            </w:r>
          </w:p>
        </w:tc>
        <w:tc>
          <w:tcPr>
            <w:tcW w:type="dxa" w:w="1100"/>
            <w:tcMar>
              <w:top w:type="dxa" w:w="40"/>
              <w:left w:type="dxa" w:w="80"/>
              <w:bottom w:type="dxa" w:w="40"/>
              <w:right w:type="dxa" w:w="80"/>
            </w:tcMar>
            <w:vAlign w:val="top"/>
          </w:tcPr>
          <w:p>
            <w:r>
              <w:rPr>
                <w:sz w:val="15"/>
                <w:szCs w:val="15"/>
              </w:rPr>
              <w:t xml:space="preserve">26.2% (76)</w:t>
            </w:r>
          </w:p>
        </w:tc>
        <w:tc>
          <w:tcPr>
            <w:tcW w:type="dxa" w:w="1250"/>
            <w:tcMar>
              <w:top w:type="dxa" w:w="40"/>
              <w:left w:type="dxa" w:w="80"/>
              <w:bottom w:type="dxa" w:w="40"/>
              <w:right w:type="dxa" w:w="80"/>
            </w:tcMar>
            <w:vAlign w:val="top"/>
          </w:tcPr>
          <w:p>
            <w:r>
              <w:rPr>
                <w:sz w:val="15"/>
                <w:szCs w:val="15"/>
              </w:rPr>
              <w:t xml:space="preserve">2.3%</w:t>
            </w:r>
          </w:p>
        </w:tc>
        <w:tc>
          <w:tcPr>
            <w:tcW w:type="dxa" w:w="1238"/>
            <w:tcMar>
              <w:top w:type="dxa" w:w="40"/>
              <w:left w:type="dxa" w:w="80"/>
              <w:bottom w:type="dxa" w:w="40"/>
              <w:right w:type="dxa" w:w="80"/>
            </w:tcMar>
            <w:vAlign w:val="top"/>
          </w:tcPr>
          <w:p>
            <w:r>
              <w:rPr>
                <w:sz w:val="15"/>
                <w:szCs w:val="15"/>
              </w:rPr>
              <w:t xml:space="preserve">0.029</w:t>
            </w:r>
          </w:p>
        </w:tc>
      </w:tr>
      <w:tr>
        <w:trPr>
          <w:cantSplit/>
        </w:trPr>
        <w:tc>
          <w:tcPr>
            <w:tcW w:type="dxa" w:w="2700"/>
            <w:shd w:fill="F7F9FC" w:color="auto" w:val="clear"/>
            <w:tcMar>
              <w:top w:type="dxa" w:w="40"/>
              <w:left w:type="dxa" w:w="80"/>
              <w:bottom w:type="dxa" w:w="40"/>
              <w:right w:type="dxa" w:w="80"/>
            </w:tcMar>
            <w:vAlign w:val="top"/>
          </w:tcPr>
          <w:p>
            <w:r>
              <w:rPr>
                <w:sz w:val="15"/>
                <w:szCs w:val="15"/>
              </w:rPr>
              <w:t xml:space="preserve">Same, plus the SPIRANCA-GO certificate</w:t>
            </w:r>
          </w:p>
        </w:tc>
        <w:tc>
          <w:tcPr>
            <w:tcW w:type="dxa" w:w="1100"/>
            <w:shd w:fill="F7F9FC" w:color="auto" w:val="clear"/>
            <w:tcMar>
              <w:top w:type="dxa" w:w="40"/>
              <w:left w:type="dxa" w:w="80"/>
              <w:bottom w:type="dxa" w:w="40"/>
              <w:right w:type="dxa" w:w="80"/>
            </w:tcMar>
            <w:vAlign w:val="top"/>
          </w:tcPr>
          <w:p>
            <w:r>
              <w:rPr>
                <w:sz w:val="15"/>
                <w:szCs w:val="15"/>
              </w:rPr>
              <w:t xml:space="preserve">0.5% (0)</w:t>
            </w:r>
          </w:p>
        </w:tc>
        <w:tc>
          <w:tcPr>
            <w:tcW w:type="dxa" w:w="1100"/>
            <w:shd w:fill="F7F9FC" w:color="auto" w:val="clear"/>
            <w:tcMar>
              <w:top w:type="dxa" w:w="40"/>
              <w:left w:type="dxa" w:w="80"/>
              <w:bottom w:type="dxa" w:w="40"/>
              <w:right w:type="dxa" w:w="80"/>
            </w:tcMar>
            <w:vAlign w:val="top"/>
          </w:tcPr>
          <w:p>
            <w:r>
              <w:rPr>
                <w:sz w:val="15"/>
                <w:szCs w:val="15"/>
              </w:rPr>
              <w:t xml:space="preserve">2.6% (3)</w:t>
            </w:r>
          </w:p>
        </w:tc>
        <w:tc>
          <w:tcPr>
            <w:tcW w:type="dxa" w:w="1150"/>
            <w:shd w:fill="F7F9FC" w:color="auto" w:val="clear"/>
            <w:tcMar>
              <w:top w:type="dxa" w:w="40"/>
              <w:left w:type="dxa" w:w="80"/>
              <w:bottom w:type="dxa" w:w="40"/>
              <w:right w:type="dxa" w:w="80"/>
            </w:tcMar>
            <w:vAlign w:val="top"/>
          </w:tcPr>
          <w:p>
            <w:r>
              <w:rPr>
                <w:sz w:val="15"/>
                <w:szCs w:val="15"/>
              </w:rPr>
              <w:t xml:space="preserve">1.2% (0)</w:t>
            </w:r>
          </w:p>
        </w:tc>
        <w:tc>
          <w:tcPr>
            <w:tcW w:type="dxa" w:w="1100"/>
            <w:shd w:fill="F7F9FC" w:color="auto" w:val="clear"/>
            <w:tcMar>
              <w:top w:type="dxa" w:w="40"/>
              <w:left w:type="dxa" w:w="80"/>
              <w:bottom w:type="dxa" w:w="40"/>
              <w:right w:type="dxa" w:w="80"/>
            </w:tcMar>
            <w:vAlign w:val="top"/>
          </w:tcPr>
          <w:p>
            <w:r>
              <w:rPr>
                <w:sz w:val="15"/>
                <w:szCs w:val="15"/>
              </w:rPr>
              <w:t xml:space="preserve">1.6% (1)</w:t>
            </w:r>
          </w:p>
        </w:tc>
        <w:tc>
          <w:tcPr>
            <w:tcW w:type="dxa" w:w="1250"/>
            <w:shd w:fill="F7F9FC" w:color="auto" w:val="clear"/>
            <w:tcMar>
              <w:top w:type="dxa" w:w="40"/>
              <w:left w:type="dxa" w:w="80"/>
              <w:bottom w:type="dxa" w:w="40"/>
              <w:right w:type="dxa" w:w="80"/>
            </w:tcMar>
            <w:vAlign w:val="top"/>
          </w:tcPr>
          <w:p>
            <w:r>
              <w:rPr>
                <w:sz w:val="15"/>
                <w:szCs w:val="15"/>
              </w:rPr>
              <w:t xml:space="preserve">5.7%</w:t>
            </w:r>
          </w:p>
        </w:tc>
        <w:tc>
          <w:tcPr>
            <w:tcW w:type="dxa" w:w="1238"/>
            <w:shd w:fill="F7F9FC" w:color="auto" w:val="clear"/>
            <w:tcMar>
              <w:top w:type="dxa" w:w="40"/>
              <w:left w:type="dxa" w:w="80"/>
              <w:bottom w:type="dxa" w:w="40"/>
              <w:right w:type="dxa" w:w="80"/>
            </w:tcMar>
            <w:vAlign w:val="top"/>
          </w:tcPr>
          <w:p>
            <w:r>
              <w:rPr>
                <w:sz w:val="15"/>
                <w:szCs w:val="15"/>
              </w:rPr>
              <w:t xml:space="preserve">0.063</w:t>
            </w:r>
          </w:p>
        </w:tc>
      </w:tr>
      <w:tr>
        <w:trPr>
          <w:cantSplit/>
        </w:trPr>
        <w:tc>
          <w:tcPr>
            <w:tcW w:type="dxa" w:w="2700"/>
            <w:tcMar>
              <w:top w:type="dxa" w:w="40"/>
              <w:left w:type="dxa" w:w="80"/>
              <w:bottom w:type="dxa" w:w="40"/>
              <w:right w:type="dxa" w:w="80"/>
            </w:tcMar>
            <w:vAlign w:val="top"/>
          </w:tcPr>
          <w:p>
            <w:r>
              <w:rPr>
                <w:sz w:val="15"/>
                <w:szCs w:val="15"/>
              </w:rPr>
              <w:t xml:space="preserve">SPIRANCA-GO</w:t>
            </w:r>
          </w:p>
        </w:tc>
        <w:tc>
          <w:tcPr>
            <w:tcW w:type="dxa" w:w="1100"/>
            <w:tcMar>
              <w:top w:type="dxa" w:w="40"/>
              <w:left w:type="dxa" w:w="80"/>
              <w:bottom w:type="dxa" w:w="40"/>
              <w:right w:type="dxa" w:w="80"/>
            </w:tcMar>
            <w:vAlign w:val="top"/>
          </w:tcPr>
          <w:p>
            <w:r>
              <w:rPr>
                <w:sz w:val="15"/>
                <w:szCs w:val="15"/>
              </w:rPr>
              <w:t xml:space="preserve">4.2% (12)</w:t>
            </w:r>
          </w:p>
        </w:tc>
        <w:tc>
          <w:tcPr>
            <w:tcW w:type="dxa" w:w="1100"/>
            <w:tcMar>
              <w:top w:type="dxa" w:w="40"/>
              <w:left w:type="dxa" w:w="80"/>
              <w:bottom w:type="dxa" w:w="40"/>
              <w:right w:type="dxa" w:w="80"/>
            </w:tcMar>
            <w:vAlign w:val="top"/>
          </w:tcPr>
          <w:p>
            <w:r>
              <w:rPr>
                <w:sz w:val="15"/>
                <w:szCs w:val="15"/>
              </w:rPr>
              <w:t xml:space="preserve">2.4% (2)</w:t>
            </w:r>
          </w:p>
        </w:tc>
        <w:tc>
          <w:tcPr>
            <w:tcW w:type="dxa" w:w="1150"/>
            <w:tcMar>
              <w:top w:type="dxa" w:w="40"/>
              <w:left w:type="dxa" w:w="80"/>
              <w:bottom w:type="dxa" w:w="40"/>
              <w:right w:type="dxa" w:w="80"/>
            </w:tcMar>
            <w:vAlign w:val="top"/>
          </w:tcPr>
          <w:p>
            <w:r>
              <w:rPr>
                <w:sz w:val="15"/>
                <w:szCs w:val="15"/>
              </w:rPr>
              <w:t xml:space="preserve">3.2% (7)</w:t>
            </w:r>
          </w:p>
        </w:tc>
        <w:tc>
          <w:tcPr>
            <w:tcW w:type="dxa" w:w="1100"/>
            <w:tcMar>
              <w:top w:type="dxa" w:w="40"/>
              <w:left w:type="dxa" w:w="80"/>
              <w:bottom w:type="dxa" w:w="40"/>
              <w:right w:type="dxa" w:w="80"/>
            </w:tcMar>
            <w:vAlign w:val="top"/>
          </w:tcPr>
          <w:p>
            <w:r>
              <w:rPr>
                <w:sz w:val="15"/>
                <w:szCs w:val="15"/>
              </w:rPr>
              <w:t xml:space="preserve">10.2% (39)</w:t>
            </w:r>
          </w:p>
        </w:tc>
        <w:tc>
          <w:tcPr>
            <w:tcW w:type="dxa" w:w="1250"/>
            <w:tcMar>
              <w:top w:type="dxa" w:w="40"/>
              <w:left w:type="dxa" w:w="80"/>
              <w:bottom w:type="dxa" w:w="40"/>
              <w:right w:type="dxa" w:w="80"/>
            </w:tcMar>
            <w:vAlign w:val="top"/>
          </w:tcPr>
          <w:p>
            <w:r>
              <w:rPr>
                <w:sz w:val="15"/>
                <w:szCs w:val="15"/>
              </w:rPr>
              <w:t xml:space="preserve">5.9%</w:t>
            </w:r>
          </w:p>
        </w:tc>
        <w:tc>
          <w:tcPr>
            <w:tcW w:type="dxa" w:w="1238"/>
            <w:tcMar>
              <w:top w:type="dxa" w:w="40"/>
              <w:left w:type="dxa" w:w="80"/>
              <w:bottom w:type="dxa" w:w="40"/>
              <w:right w:type="dxa" w:w="80"/>
            </w:tcMar>
            <w:vAlign w:val="top"/>
          </w:tcPr>
          <w:p>
            <w:r>
              <w:rPr>
                <w:sz w:val="15"/>
                <w:szCs w:val="15"/>
              </w:rPr>
              <w:t xml:space="preserve">0.044</w:t>
            </w:r>
          </w:p>
        </w:tc>
      </w:tr>
    </w:tbl>
    <w:p>
      <w:pPr>
        <w:spacing w:after="120"/>
      </w:pPr>
    </w:p>
    <w:p>
      <w:pPr>
        <w:spacing w:after="100"/>
        <w:jc w:val="both"/>
      </w:pPr>
      <w:r>
        <w:t xml:space="preserve">Table 5 and Figure 3a give the answer. Alarms that use only the heads fail as soon as the decision starts: least squares and anchor regression with cross-validated </w:t>
      </w:r>
      <m:oMath>
        <m:r>
          <m:t>γ</m:t>
        </m:r>
      </m:oMath>
      <w:r>
        <w:t xml:space="preserve"> over-predict in 94% of the seasons and miss 19% of the exceedances, because the new pumping at A1 changes the potential at the screen far more than at any monitoring well. Anchor regression with the </w:t>
      </w:r>
      <m:oMath>
        <m:r>
          <m:t>γ</m:t>
        </m:r>
      </m:oMath>
      <w:r>
        <w:t xml:space="preserve"> the decision needs, or with </w:t>
      </w:r>
      <m:oMath>
        <m:r>
          <m:t>γ</m:t>
        </m:r>
        <m:r>
          <m:rPr>
            <m:sty m:val="p"/>
          </m:rPr>
          <m:t>→</m:t>
        </m:r>
        <m:r>
          <m:rPr>
            <m:sty m:val="p"/>
          </m:rPr>
          <m:t>∞</m:t>
        </m:r>
      </m:oMath>
      <w:r>
        <w:t xml:space="preserve">, is closer but still fails in 56% and 44% of the seasons: Theorem 1 bounds the mean-square error, not the quantile, and the margin calibrated on the record does not cover the decision. Least squares on heads and anchors corrects the decision and is close to the target without warming (12.5%), but an unseen warming takes it to 36.0%, above 10% in 83 of the 100 aquifers.</w:t>
      </w:r>
    </w:p>
    <w:p>
      <w:pPr>
        <w:spacing w:after="100"/>
        <w:jc w:val="both"/>
      </w:pPr>
      <w:r>
        <w:t xml:space="preserve">SPIRANCA-GO stays at 4.2%, 2.4% and 3.2% in the three scenarios its certificate covers, with false alarms of 1.5%–5.9% and almost no missed exceedances (0.02%). Adding the same certificate to least squares on heads and anchors also keeps the rate down, but its margin is larger: SPIRANCA-GO's median margin is 68% of it. Choosing the weights by the certified margin, not only bounding them afterwards, is what makes the alarm both safe and sharp. In 12 of the 100 aquifers the rate without warming exceeds 10%; with 40 calibration seasons a conformal margin is exact only on average over the record, and this spread is what that implies.</w:t>
      </w:r>
    </w:p>
    <w:p>
      <w:pPr>
        <w:spacing w:after="100"/>
        <w:jc w:val="both"/>
      </w:pPr>
      <w:r>
        <w:t xml:space="preserve">The off-span stress shows the limit. When private abstraction grows by 30% with no change of recharge, the shift leaves the span of the anchors, and SPIRANCA-GO's rate rises to 10.2%, above 10% in 39 of the aquifers. Anchors protect only against the kinds of change they have moved in the record. A record of private abstraction, even a rough one such as the number of irrigation permits per year, would be a further anchor and would bring this shift into the span.</w:t>
      </w:r>
    </w:p>
    <w:p>
      <w:pPr>
        <w:keepNext/>
        <w:spacing w:after="40" w:before="120"/>
        <w:jc w:val="center"/>
      </w:pPr>
      <w:r>
        <w:drawing>
          <wp:inline distT="0" distB="0" distL="0" distR="0">
            <wp:extent cx="6124575" cy="2428875"/>
            <wp:effectExtent t="0" r="0" b="0" l="0"/>
            <wp:docPr id="1" name="Alarm validity by method and scenario; piezometer designs" descr="Alarm validity by method and scenario; piezometer designs" title="Alarm validity by method and scenario; piezometer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428875"/>
                    </a:xfrm>
                    <a:prstGeom prst="rect">
                      <a:avLst/>
                    </a:prstGeom>
                  </pic:spPr>
                </pic:pic>
              </a:graphicData>
            </a:graphic>
          </wp:inline>
        </w:drawing>
      </w:r>
    </w:p>
    <w:p>
      <w:pPr>
        <w:spacing w:after="180"/>
        <w:jc w:val="both"/>
      </w:pPr>
      <w:r>
        <w:rPr>
          <w:b/>
          <w:bCs/>
          <w:color w:val="1F3864"/>
          <w:sz w:val="18"/>
          <w:szCs w:val="18"/>
        </w:rPr>
        <w:t xml:space="preserve">Figure 3. </w:t>
      </w:r>
      <w:r>
        <w:rPr>
          <w:color w:val="3A4350"/>
          <w:sz w:val="18"/>
          <w:szCs w:val="18"/>
        </w:rPr>
        <w:t xml:space="preserve">(a) Share of future seasons in which each alarm over-predicts by more than its margin (dot: mean over 100 aquifers; line: 10–90% range across aquifers) in four scenarios; dashed: α = 10%. (b) The SPIRANCA-GO alarm on three wells chosen in three ways: certified margin against false alarms under the worst warming, one small dot per aquifer, large dots at the median margin and mean false-alarm rate.</w:t>
      </w:r>
    </w:p>
    <w:p>
      <w:pPr>
        <w:pStyle w:val="Heading2"/>
      </w:pPr>
      <w:r>
        <w:t xml:space="preserve">6.2 Which piezometers</w:t>
      </w:r>
    </w:p>
    <w:p>
      <w:pPr>
        <w:keepNext/>
        <w:spacing w:after="60" w:before="120"/>
        <w:jc w:val="both"/>
      </w:pPr>
      <w:r>
        <w:rPr>
          <w:b/>
          <w:bCs/>
          <w:color w:val="1F3864"/>
          <w:sz w:val="18"/>
          <w:szCs w:val="18"/>
        </w:rPr>
        <w:t xml:space="preserve">Table 6. </w:t>
      </w:r>
      <w:r>
        <w:rPr>
          <w:color w:val="3A4350"/>
          <w:sz w:val="18"/>
          <w:szCs w:val="18"/>
        </w:rPr>
        <w:t xml:space="preserve">Three monitoring wells out of sixteen, chosen as the three nearest to A1, by the largest record </w:t>
      </w:r>
      <m:oMath>
        <m:sSup>
          <m:e>
            <m:r>
              <m:t>R</m:t>
            </m:r>
          </m:e>
          <m:sup>
            <m:r>
              <m:t>2</m:t>
            </m:r>
          </m:sup>
        </m:sSup>
      </m:oMath>
      <w:r>
        <w:rPr>
          <w:color w:val="3A4350"/>
          <w:sz w:val="18"/>
          <w:szCs w:val="18"/>
        </w:rPr>
        <w:t xml:space="preserve"> (information only, as a design that ignores shifts would choose) or by the smallest SPIRANCA-GO margin estimated on the fitting seasons. Scores under the worst warming with the SPIRANCA-GO alarm; last column: the over-prediction rate of least squares on heads and anchors on the same wells.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700"/>
        <w:gridCol w:w="2500"/>
        <w:gridCol w:w="1000"/>
        <w:gridCol w:w="1000"/>
        <w:gridCol w:w="1000"/>
        <w:gridCol w:w="1000"/>
        <w:gridCol w:w="1438"/>
      </w:tblGrid>
      <w:tr>
        <w:trPr>
          <w:cantSplit/>
          <w:tblHeader/>
        </w:trPr>
        <w:tc>
          <w:tcPr>
            <w:tcW w:type="dxa" w:w="17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Design of three wells</w:t>
            </w:r>
          </w:p>
        </w:tc>
        <w:tc>
          <w:tcPr>
            <w:tcW w:type="dxa" w:w="25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Wells (share of aquifers)</w:t>
            </w:r>
          </w:p>
        </w:tc>
        <w:tc>
          <w:tcPr>
            <w:tcW w:type="dxa" w:w="10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Over-prediction</w:t>
            </w:r>
          </w:p>
        </w:tc>
        <w:tc>
          <w:tcPr>
            <w:tcW w:type="dxa" w:w="10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Aquifers above 10%</w:t>
            </w:r>
          </w:p>
        </w:tc>
        <w:tc>
          <w:tcPr>
            <w:tcW w:type="dxa" w:w="10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False alarms</w:t>
            </w:r>
          </w:p>
        </w:tc>
        <w:tc>
          <w:tcPr>
            <w:tcW w:type="dxa" w:w="10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Margin / sd(Y)</w:t>
            </w:r>
          </w:p>
        </w:tc>
        <w:tc>
          <w:tcPr>
            <w:tcW w:type="dxa" w:w="1438"/>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Least squares on heads and anchors</w:t>
            </w:r>
          </w:p>
        </w:tc>
      </w:tr>
      <w:tr>
        <w:trPr>
          <w:cantSplit/>
        </w:trPr>
        <w:tc>
          <w:tcPr>
            <w:tcW w:type="dxa" w:w="1700"/>
            <w:tcMar>
              <w:top w:type="dxa" w:w="40"/>
              <w:left w:type="dxa" w:w="80"/>
              <w:bottom w:type="dxa" w:w="40"/>
              <w:right w:type="dxa" w:w="80"/>
            </w:tcMar>
            <w:vAlign w:val="top"/>
          </w:tcPr>
          <w:p>
            <w:r>
              <w:rPr>
                <w:sz w:val="15"/>
                <w:szCs w:val="15"/>
              </w:rPr>
              <w:t xml:space="preserve">Three nearest to A1</w:t>
            </w:r>
          </w:p>
        </w:tc>
        <w:tc>
          <w:tcPr>
            <w:tcW w:type="dxa" w:w="2500"/>
            <w:tcMar>
              <w:top w:type="dxa" w:w="40"/>
              <w:left w:type="dxa" w:w="80"/>
              <w:bottom w:type="dxa" w:w="40"/>
              <w:right w:type="dxa" w:w="80"/>
            </w:tcMar>
            <w:vAlign w:val="top"/>
          </w:tcPr>
          <w:p>
            <w:r>
              <w:rPr>
                <w:sz w:val="15"/>
                <w:szCs w:val="15"/>
              </w:rPr>
              <w:t xml:space="preserve">A30, P4, A9</w:t>
            </w:r>
          </w:p>
        </w:tc>
        <w:tc>
          <w:tcPr>
            <w:tcW w:type="dxa" w:w="1000"/>
            <w:tcMar>
              <w:top w:type="dxa" w:w="40"/>
              <w:left w:type="dxa" w:w="80"/>
              <w:bottom w:type="dxa" w:w="40"/>
              <w:right w:type="dxa" w:w="80"/>
            </w:tcMar>
            <w:vAlign w:val="top"/>
          </w:tcPr>
          <w:p>
            <w:r>
              <w:rPr>
                <w:sz w:val="15"/>
                <w:szCs w:val="15"/>
              </w:rPr>
              <w:t xml:space="preserve">1.8%</w:t>
            </w:r>
          </w:p>
        </w:tc>
        <w:tc>
          <w:tcPr>
            <w:tcW w:type="dxa" w:w="1000"/>
            <w:tcMar>
              <w:top w:type="dxa" w:w="40"/>
              <w:left w:type="dxa" w:w="80"/>
              <w:bottom w:type="dxa" w:w="40"/>
              <w:right w:type="dxa" w:w="80"/>
            </w:tcMar>
            <w:vAlign w:val="top"/>
          </w:tcPr>
          <w:p>
            <w:r>
              <w:rPr>
                <w:sz w:val="15"/>
                <w:szCs w:val="15"/>
              </w:rPr>
              <w:t xml:space="preserve">2</w:t>
            </w:r>
          </w:p>
        </w:tc>
        <w:tc>
          <w:tcPr>
            <w:tcW w:type="dxa" w:w="1000"/>
            <w:tcMar>
              <w:top w:type="dxa" w:w="40"/>
              <w:left w:type="dxa" w:w="80"/>
              <w:bottom w:type="dxa" w:w="40"/>
              <w:right w:type="dxa" w:w="80"/>
            </w:tcMar>
            <w:vAlign w:val="top"/>
          </w:tcPr>
          <w:p>
            <w:r>
              <w:rPr>
                <w:sz w:val="15"/>
                <w:szCs w:val="15"/>
              </w:rPr>
              <w:t xml:space="preserve">22.1%</w:t>
            </w:r>
          </w:p>
        </w:tc>
        <w:tc>
          <w:tcPr>
            <w:tcW w:type="dxa" w:w="1000"/>
            <w:tcMar>
              <w:top w:type="dxa" w:w="40"/>
              <w:left w:type="dxa" w:w="80"/>
              <w:bottom w:type="dxa" w:w="40"/>
              <w:right w:type="dxa" w:w="80"/>
            </w:tcMar>
            <w:vAlign w:val="top"/>
          </w:tcPr>
          <w:p>
            <w:r>
              <w:rPr>
                <w:sz w:val="15"/>
                <w:szCs w:val="15"/>
              </w:rPr>
              <w:t xml:space="preserve">0.198</w:t>
            </w:r>
          </w:p>
        </w:tc>
        <w:tc>
          <w:tcPr>
            <w:tcW w:type="dxa" w:w="1438"/>
            <w:tcMar>
              <w:top w:type="dxa" w:w="40"/>
              <w:left w:type="dxa" w:w="80"/>
              <w:bottom w:type="dxa" w:w="40"/>
              <w:right w:type="dxa" w:w="80"/>
            </w:tcMar>
            <w:vAlign w:val="top"/>
          </w:tcPr>
          <w:p>
            <w:r>
              <w:rPr>
                <w:sz w:val="15"/>
                <w:szCs w:val="15"/>
              </w:rPr>
              <w:t xml:space="preserve">38.0%</w:t>
            </w:r>
          </w:p>
        </w:tc>
      </w:tr>
      <w:tr>
        <w:trPr>
          <w:cantSplit/>
        </w:trPr>
        <w:tc>
          <w:tcPr>
            <w:tcW w:type="dxa" w:w="1700"/>
            <w:shd w:fill="F7F9FC" w:color="auto" w:val="clear"/>
            <w:tcMar>
              <w:top w:type="dxa" w:w="40"/>
              <w:left w:type="dxa" w:w="80"/>
              <w:bottom w:type="dxa" w:w="40"/>
              <w:right w:type="dxa" w:w="80"/>
            </w:tcMar>
            <w:vAlign w:val="top"/>
          </w:tcPr>
          <w:p>
            <w:r>
              <w:rPr>
                <w:sz w:val="15"/>
                <w:szCs w:val="15"/>
              </w:rPr>
              <w:t xml:space="preserve">Largest record R²</w:t>
            </w:r>
          </w:p>
        </w:tc>
        <w:tc>
          <w:tcPr>
            <w:tcW w:type="dxa" w:w="2500"/>
            <w:shd w:fill="F7F9FC" w:color="auto" w:val="clear"/>
            <w:tcMar>
              <w:top w:type="dxa" w:w="40"/>
              <w:left w:type="dxa" w:w="80"/>
              <w:bottom w:type="dxa" w:w="40"/>
              <w:right w:type="dxa" w:w="80"/>
            </w:tcMar>
            <w:vAlign w:val="top"/>
          </w:tcPr>
          <w:p>
            <w:r>
              <w:rPr>
                <w:sz w:val="15"/>
                <w:szCs w:val="15"/>
              </w:rPr>
              <w:t xml:space="preserve">A13 58%, A30 28%, A10 27%, A25 26%</w:t>
            </w:r>
          </w:p>
        </w:tc>
        <w:tc>
          <w:tcPr>
            <w:tcW w:type="dxa" w:w="1000"/>
            <w:shd w:fill="F7F9FC" w:color="auto" w:val="clear"/>
            <w:tcMar>
              <w:top w:type="dxa" w:w="40"/>
              <w:left w:type="dxa" w:w="80"/>
              <w:bottom w:type="dxa" w:w="40"/>
              <w:right w:type="dxa" w:w="80"/>
            </w:tcMar>
            <w:vAlign w:val="top"/>
          </w:tcPr>
          <w:p>
            <w:r>
              <w:rPr>
                <w:sz w:val="15"/>
                <w:szCs w:val="15"/>
              </w:rPr>
              <w:t xml:space="preserve">4.4%</w:t>
            </w:r>
          </w:p>
        </w:tc>
        <w:tc>
          <w:tcPr>
            <w:tcW w:type="dxa" w:w="1000"/>
            <w:shd w:fill="F7F9FC" w:color="auto" w:val="clear"/>
            <w:tcMar>
              <w:top w:type="dxa" w:w="40"/>
              <w:left w:type="dxa" w:w="80"/>
              <w:bottom w:type="dxa" w:w="40"/>
              <w:right w:type="dxa" w:w="80"/>
            </w:tcMar>
            <w:vAlign w:val="top"/>
          </w:tcPr>
          <w:p>
            <w:r>
              <w:rPr>
                <w:sz w:val="15"/>
                <w:szCs w:val="15"/>
              </w:rPr>
              <w:t xml:space="preserve">10</w:t>
            </w:r>
          </w:p>
        </w:tc>
        <w:tc>
          <w:tcPr>
            <w:tcW w:type="dxa" w:w="1000"/>
            <w:shd w:fill="F7F9FC" w:color="auto" w:val="clear"/>
            <w:tcMar>
              <w:top w:type="dxa" w:w="40"/>
              <w:left w:type="dxa" w:w="80"/>
              <w:bottom w:type="dxa" w:w="40"/>
              <w:right w:type="dxa" w:w="80"/>
            </w:tcMar>
            <w:vAlign w:val="top"/>
          </w:tcPr>
          <w:p>
            <w:r>
              <w:rPr>
                <w:sz w:val="15"/>
                <w:szCs w:val="15"/>
              </w:rPr>
              <w:t xml:space="preserve">8.4%</w:t>
            </w:r>
          </w:p>
        </w:tc>
        <w:tc>
          <w:tcPr>
            <w:tcW w:type="dxa" w:w="1000"/>
            <w:shd w:fill="F7F9FC" w:color="auto" w:val="clear"/>
            <w:tcMar>
              <w:top w:type="dxa" w:w="40"/>
              <w:left w:type="dxa" w:w="80"/>
              <w:bottom w:type="dxa" w:w="40"/>
              <w:right w:type="dxa" w:w="80"/>
            </w:tcMar>
            <w:vAlign w:val="top"/>
          </w:tcPr>
          <w:p>
            <w:r>
              <w:rPr>
                <w:sz w:val="15"/>
                <w:szCs w:val="15"/>
              </w:rPr>
              <w:t xml:space="preserve">0.080</w:t>
            </w:r>
          </w:p>
        </w:tc>
        <w:tc>
          <w:tcPr>
            <w:tcW w:type="dxa" w:w="1438"/>
            <w:shd w:fill="F7F9FC" w:color="auto" w:val="clear"/>
            <w:tcMar>
              <w:top w:type="dxa" w:w="40"/>
              <w:left w:type="dxa" w:w="80"/>
              <w:bottom w:type="dxa" w:w="40"/>
              <w:right w:type="dxa" w:w="80"/>
            </w:tcMar>
            <w:vAlign w:val="top"/>
          </w:tcPr>
          <w:p>
            <w:r>
              <w:rPr>
                <w:sz w:val="15"/>
                <w:szCs w:val="15"/>
              </w:rPr>
              <w:t xml:space="preserve">42.0%</w:t>
            </w:r>
          </w:p>
        </w:tc>
      </w:tr>
      <w:tr>
        <w:trPr>
          <w:cantSplit/>
        </w:trPr>
        <w:tc>
          <w:tcPr>
            <w:tcW w:type="dxa" w:w="1700"/>
            <w:tcMar>
              <w:top w:type="dxa" w:w="40"/>
              <w:left w:type="dxa" w:w="80"/>
              <w:bottom w:type="dxa" w:w="40"/>
              <w:right w:type="dxa" w:w="80"/>
            </w:tcMar>
            <w:vAlign w:val="top"/>
          </w:tcPr>
          <w:p>
            <w:r>
              <w:rPr>
                <w:sz w:val="15"/>
                <w:szCs w:val="15"/>
              </w:rPr>
              <w:t xml:space="preserve">SPIRANCA-GO design</w:t>
            </w:r>
          </w:p>
        </w:tc>
        <w:tc>
          <w:tcPr>
            <w:tcW w:type="dxa" w:w="2500"/>
            <w:tcMar>
              <w:top w:type="dxa" w:w="40"/>
              <w:left w:type="dxa" w:w="80"/>
              <w:bottom w:type="dxa" w:w="40"/>
              <w:right w:type="dxa" w:w="80"/>
            </w:tcMar>
            <w:vAlign w:val="top"/>
          </w:tcPr>
          <w:p>
            <w:r>
              <w:rPr>
                <w:sz w:val="15"/>
                <w:szCs w:val="15"/>
              </w:rPr>
              <w:t xml:space="preserve">A13 94%, A25 40%, P13 30%, A24 28%</w:t>
            </w:r>
          </w:p>
        </w:tc>
        <w:tc>
          <w:tcPr>
            <w:tcW w:type="dxa" w:w="1000"/>
            <w:tcMar>
              <w:top w:type="dxa" w:w="40"/>
              <w:left w:type="dxa" w:w="80"/>
              <w:bottom w:type="dxa" w:w="40"/>
              <w:right w:type="dxa" w:w="80"/>
            </w:tcMar>
            <w:vAlign w:val="top"/>
          </w:tcPr>
          <w:p>
            <w:r>
              <w:rPr>
                <w:sz w:val="15"/>
                <w:szCs w:val="15"/>
              </w:rPr>
              <w:t xml:space="preserve">2.3%</w:t>
            </w:r>
          </w:p>
        </w:tc>
        <w:tc>
          <w:tcPr>
            <w:tcW w:type="dxa" w:w="1000"/>
            <w:tcMar>
              <w:top w:type="dxa" w:w="40"/>
              <w:left w:type="dxa" w:w="80"/>
              <w:bottom w:type="dxa" w:w="40"/>
              <w:right w:type="dxa" w:w="80"/>
            </w:tcMar>
            <w:vAlign w:val="top"/>
          </w:tcPr>
          <w:p>
            <w:r>
              <w:rPr>
                <w:sz w:val="15"/>
                <w:szCs w:val="15"/>
              </w:rPr>
              <w:t xml:space="preserve">3</w:t>
            </w:r>
          </w:p>
        </w:tc>
        <w:tc>
          <w:tcPr>
            <w:tcW w:type="dxa" w:w="1000"/>
            <w:tcMar>
              <w:top w:type="dxa" w:w="40"/>
              <w:left w:type="dxa" w:w="80"/>
              <w:bottom w:type="dxa" w:w="40"/>
              <w:right w:type="dxa" w:w="80"/>
            </w:tcMar>
            <w:vAlign w:val="top"/>
          </w:tcPr>
          <w:p>
            <w:r>
              <w:rPr>
                <w:sz w:val="15"/>
                <w:szCs w:val="15"/>
              </w:rPr>
              <w:t xml:space="preserve">8.2%</w:t>
            </w:r>
          </w:p>
        </w:tc>
        <w:tc>
          <w:tcPr>
            <w:tcW w:type="dxa" w:w="1000"/>
            <w:tcMar>
              <w:top w:type="dxa" w:w="40"/>
              <w:left w:type="dxa" w:w="80"/>
              <w:bottom w:type="dxa" w:w="40"/>
              <w:right w:type="dxa" w:w="80"/>
            </w:tcMar>
            <w:vAlign w:val="top"/>
          </w:tcPr>
          <w:p>
            <w:r>
              <w:rPr>
                <w:sz w:val="15"/>
                <w:szCs w:val="15"/>
              </w:rPr>
              <w:t xml:space="preserve">0.059</w:t>
            </w:r>
          </w:p>
        </w:tc>
        <w:tc>
          <w:tcPr>
            <w:tcW w:type="dxa" w:w="1438"/>
            <w:tcMar>
              <w:top w:type="dxa" w:w="40"/>
              <w:left w:type="dxa" w:w="80"/>
              <w:bottom w:type="dxa" w:w="40"/>
              <w:right w:type="dxa" w:w="80"/>
            </w:tcMar>
            <w:vAlign w:val="top"/>
          </w:tcPr>
          <w:p>
            <w:r>
              <w:rPr>
                <w:sz w:val="15"/>
                <w:szCs w:val="15"/>
              </w:rPr>
              <w:t xml:space="preserve">32.8%</w:t>
            </w:r>
          </w:p>
        </w:tc>
      </w:tr>
    </w:tbl>
    <w:p>
      <w:pPr>
        <w:spacing w:after="120"/>
      </w:pPr>
    </w:p>
    <w:p>
      <w:pPr>
        <w:spacing w:after="100"/>
        <w:jc w:val="both"/>
      </w:pPr>
      <w:r>
        <w:t xml:space="preserve">Table 6 and Figure 3b compare three ways to choose three of the sixteen wells. The three wells nearest the supply well (A30, P4, A9) are the usual choice and the worst here: with the SPIRANCA-GO weights the alarm is valid (1.8%) but its margin is 3.4 times that of the SPIRANCA-GO design and it raises 22% false alarms. These wells mostly record A1's own drawdown, which the anchor correction already knows (Proposition S4). The design of largest record </w:t>
      </w:r>
      <m:oMath>
        <m:sSup>
          <m:e>
            <m:r>
              <m:t>R</m:t>
            </m:r>
          </m:e>
          <m:sup>
            <m:r>
              <m:t>2</m:t>
            </m:r>
          </m:sup>
        </m:sSup>
      </m:oMath>
      <w:r>
        <w:t xml:space="preserve"> has a margin 36% larger than the SPIRANCA-GO design and fails in 10 of the aquifers against 3. The SPIRANCA-GO design picks the inland well A13, 8.9 km from the shoreline at the southern end of the sector, in 94 of the 100 aquifers, followed by A25 (40), P13 (30), A24 (28), all 4.5–5.2 km inland. Whatever the design, least squares on heads and anchors fails under the warming (33%–42%): the weights matter as much as the wells.</w:t>
      </w:r>
    </w:p>
    <w:p>
      <w:pPr>
        <w:pStyle w:val="Heading2"/>
      </w:pPr>
      <w:r>
        <w:t xml:space="preserve">6.3 Limits of the test</w:t>
      </w:r>
    </w:p>
    <w:p>
      <w:pPr>
        <w:spacing w:after="100"/>
        <w:jc w:val="both"/>
      </w:pPr>
      <w:r>
        <w:t xml:space="preserve">The model is steady: the interface follows the heads at once, while at Fushë-Kuqe it lags them by years and the immobile zones add memory (the assembled-system note). With memory, the anchors act through their history, and lagged anchors (the pumping and rainfall of the previous seasons) must enter </w:t>
      </w:r>
      <m:oMath>
        <m:r>
          <m:t>A</m:t>
        </m:r>
      </m:oMath>
      <w:r>
        <w:t xml:space="preserve">; the propositions hold unchanged for any linear functional of the anchor history. The heads were converted to potential exactly, so the structural model is linear by construction; real heads are a nonlinear function of the potential near the interface. Section 7 repeats the test on the variable-density section of the assembled-system note, where both limits are lifted. The warming was placed in the span of the rainfall anchor by assumption; the off-span stress shows what happens when it is not. The aquifers come from one prior and one sector; the 16 candidate wells are the K-wells of the survey, not a designed network.</w:t>
      </w:r>
    </w:p>
    <w:p>
      <w:pPr>
        <w:pStyle w:val="Heading1"/>
      </w:pPr>
      <w:r>
        <w:t xml:space="preserve">7. The test on the variable-density section</w:t>
      </w:r>
    </w:p>
    <w:p>
      <w:pPr>
        <w:spacing w:after="100"/>
        <w:jc w:val="both"/>
      </w:pPr>
      <w:r>
        <w:t xml:space="preserve">The areal model of Section 6 is steady and linear in its sources, which is the setting in which Propositions S1–S4 are exact. A coastal aquifer is neither: the interface lags the heads by years, the immobile zones of the silt and clay add memory, and buoyancy makes the heads a nonlinear function of the forcing. The test was therefore repeated on the vertical section of the assembled-system note [3], in the goal-guided assembly chosen there by MONTIMI-GO: variable-density flow with buoyancy and salt with two immobile zones, solved as one block by Newton's method on the goal-graded mesh (39 columns by 20 layers), with half-year steps. The section was run season by season, with three additions that do not change its equations: the inland fresh inflow is scaled each season by that season's recharge, a hidden private abstraction is spread over the top 20 m between 0.8 and 2.2 km from the coast, and the supply well at 2 km is pumped at a different rate each season. Table 7 lists the setting.</w:t>
      </w:r>
    </w:p>
    <w:p>
      <w:pPr>
        <w:keepNext/>
        <w:spacing w:after="60" w:before="120"/>
        <w:jc w:val="both"/>
      </w:pPr>
      <w:r>
        <w:rPr>
          <w:b/>
          <w:bCs/>
          <w:color w:val="1F3864"/>
          <w:sz w:val="18"/>
          <w:szCs w:val="18"/>
        </w:rPr>
        <w:t xml:space="preserve">Table 7. </w:t>
      </w:r>
      <w:r>
        <w:rPr>
          <w:color w:val="3A4350"/>
          <w:sz w:val="18"/>
          <w:szCs w:val="18"/>
        </w:rPr>
        <w:t xml:space="preserve">The test on the variable-density section (code: experiments/spiranca_go, sv_model.py and sv_run.py; 20 aquifers in ten minutes on four cores).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400"/>
        <w:gridCol w:w="7238"/>
      </w:tblGrid>
      <w:tr>
        <w:trPr>
          <w:cantSplit/>
          <w:tblHeader/>
        </w:trPr>
        <w:tc>
          <w:tcPr>
            <w:tcW w:type="dxa" w:w="2400"/>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Item</w:t>
            </w:r>
          </w:p>
        </w:tc>
        <w:tc>
          <w:tcPr>
            <w:tcW w:type="dxa" w:w="7238"/>
            <w:shd w:fill="1F3864" w:color="auto" w:val="clear"/>
            <w:tcMar>
              <w:top w:type="dxa" w:w="40"/>
              <w:left w:type="dxa" w:w="80"/>
              <w:bottom w:type="dxa" w:w="40"/>
              <w:right w:type="dxa" w:w="80"/>
            </w:tcMar>
            <w:vAlign w:val="top"/>
          </w:tcPr>
          <w:p>
            <w:r>
              <w:rPr>
                <w:rFonts w:ascii="Calibri" w:cs="Calibri" w:eastAsia="Calibri" w:hAnsi="Calibri"/>
                <w:b/>
                <w:bCs/>
                <w:color w:val="FFFFFF"/>
                <w:sz w:val="16"/>
                <w:szCs w:val="16"/>
              </w:rPr>
              <w:t xml:space="preserve">Choice</w:t>
            </w:r>
          </w:p>
        </w:tc>
      </w:tr>
      <w:tr>
        <w:trPr>
          <w:cantSplit/>
        </w:trPr>
        <w:tc>
          <w:tcPr>
            <w:tcW w:type="dxa" w:w="2400"/>
            <w:tcMar>
              <w:top w:type="dxa" w:w="40"/>
              <w:left w:type="dxa" w:w="80"/>
              <w:bottom w:type="dxa" w:w="40"/>
              <w:right w:type="dxa" w:w="80"/>
            </w:tcMar>
            <w:vAlign w:val="top"/>
          </w:tcPr>
          <w:p>
            <w:r>
              <w:rPr>
                <w:sz w:val="16"/>
                <w:szCs w:val="16"/>
              </w:rPr>
              <w:t xml:space="preserve">Aquifers</w:t>
            </w:r>
          </w:p>
        </w:tc>
        <w:tc>
          <w:tcPr>
            <w:tcW w:type="dxa" w:w="7238"/>
            <w:tcMar>
              <w:top w:type="dxa" w:w="40"/>
              <w:left w:type="dxa" w:w="80"/>
              <w:bottom w:type="dxa" w:w="40"/>
              <w:right w:type="dxa" w:w="80"/>
            </w:tcMar>
            <w:vAlign w:val="top"/>
          </w:tcPr>
          <w:p>
            <w:r>
              <w:rPr>
                <w:sz w:val="16"/>
                <w:szCs w:val="16"/>
              </w:rPr>
              <w:t xml:space="preserve">20 parameter draws of the assembled-system note (conductivity, regional inflow, dispersivity, slow immobile capacity); each takes about two minutes</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Before the record</w:t>
            </w:r>
          </w:p>
        </w:tc>
        <w:tc>
          <w:tcPr>
            <w:tcW w:type="dxa" w:w="7238"/>
            <w:shd w:fill="F7F9FC" w:color="auto" w:val="clear"/>
            <w:tcMar>
              <w:top w:type="dxa" w:w="40"/>
              <w:left w:type="dxa" w:w="80"/>
              <w:bottom w:type="dxa" w:w="40"/>
              <w:right w:type="dxa" w:w="80"/>
            </w:tcMar>
            <w:vAlign w:val="top"/>
          </w:tcPr>
          <w:p>
            <w:r>
              <w:rPr>
                <w:sz w:val="16"/>
                <w:szCs w:val="16"/>
              </w:rPr>
              <w:t xml:space="preserve">100 years of the private abstraction alone (0.3 of the regional inflow), from the pre-development equilibrium</w:t>
            </w:r>
          </w:p>
        </w:tc>
      </w:tr>
      <w:tr>
        <w:trPr>
          <w:cantSplit/>
        </w:trPr>
        <w:tc>
          <w:tcPr>
            <w:tcW w:type="dxa" w:w="2400"/>
            <w:tcMar>
              <w:top w:type="dxa" w:w="40"/>
              <w:left w:type="dxa" w:w="80"/>
              <w:bottom w:type="dxa" w:w="40"/>
              <w:right w:type="dxa" w:w="80"/>
            </w:tcMar>
            <w:vAlign w:val="top"/>
          </w:tcPr>
          <w:p>
            <w:r>
              <w:rPr>
                <w:sz w:val="16"/>
                <w:szCs w:val="16"/>
              </w:rPr>
              <w:t xml:space="preserve">Record</w:t>
            </w:r>
          </w:p>
        </w:tc>
        <w:tc>
          <w:tcPr>
            <w:tcW w:type="dxa" w:w="7238"/>
            <w:tcMar>
              <w:top w:type="dxa" w:w="40"/>
              <w:left w:type="dxa" w:w="80"/>
              <w:bottom w:type="dxa" w:w="40"/>
              <w:right w:type="dxa" w:w="80"/>
            </w:tcMar>
            <w:vAlign w:val="top"/>
          </w:tcPr>
          <w:p>
            <w:r>
              <w:rPr>
                <w:sz w:val="16"/>
                <w:szCs w:val="16"/>
              </w:rPr>
              <w:t xml:space="preserve">80 years in half-year seasons: the utility pumping ramps up over the first 10 years and then varies by season; the first 30 years are discarded, seasons 61–130 fit the alarm and 131–160 calibrate its margin</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Anchors (recorded)</w:t>
            </w:r>
          </w:p>
        </w:tc>
        <w:tc>
          <w:tcPr>
            <w:tcW w:type="dxa" w:w="7238"/>
            <w:shd w:fill="F7F9FC" w:color="auto" w:val="clear"/>
            <w:tcMar>
              <w:top w:type="dxa" w:w="40"/>
              <w:left w:type="dxa" w:w="80"/>
              <w:bottom w:type="dxa" w:w="40"/>
              <w:right w:type="dxa" w:w="80"/>
            </w:tcMar>
            <w:vAlign w:val="top"/>
          </w:tcPr>
          <w:p>
            <w:r>
              <w:rPr>
                <w:sz w:val="16"/>
                <w:szCs w:val="16"/>
              </w:rPr>
              <w:t xml:space="preserve">rainfall anomaly r, persistent from season to season (lag-one correlation 0.7, so droughts last years), and the utility's pumping anomaly; each also filtered over 2, 8, 20 years, because the interface responds to the history of the forcing</w:t>
            </w:r>
          </w:p>
        </w:tc>
      </w:tr>
      <w:tr>
        <w:trPr>
          <w:cantSplit/>
        </w:trPr>
        <w:tc>
          <w:tcPr>
            <w:tcW w:type="dxa" w:w="2400"/>
            <w:tcMar>
              <w:top w:type="dxa" w:w="40"/>
              <w:left w:type="dxa" w:w="80"/>
              <w:bottom w:type="dxa" w:w="40"/>
              <w:right w:type="dxa" w:w="80"/>
            </w:tcMar>
            <w:vAlign w:val="top"/>
          </w:tcPr>
          <w:p>
            <w:r>
              <w:rPr>
                <w:sz w:val="16"/>
                <w:szCs w:val="16"/>
              </w:rPr>
              <w:t xml:space="preserve">Hidden</w:t>
            </w:r>
          </w:p>
        </w:tc>
        <w:tc>
          <w:tcPr>
            <w:tcW w:type="dxa" w:w="7238"/>
            <w:tcMar>
              <w:top w:type="dxa" w:w="40"/>
              <w:left w:type="dxa" w:w="80"/>
              <w:bottom w:type="dxa" w:w="40"/>
              <w:right w:type="dxa" w:w="80"/>
            </w:tcMar>
            <w:vAlign w:val="top"/>
          </w:tcPr>
          <w:p>
            <w:r>
              <w:rPr>
                <w:sz w:val="16"/>
                <w:szCs w:val="16"/>
              </w:rPr>
              <w:t xml:space="preserve">inflow factor 1 + 0.2 r + 0.06 e_R; private abstraction (1 − 0.25 r + 0.15 e_H) times its mean; e_R and e_H unrecorded</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Heads</w:t>
            </w:r>
          </w:p>
        </w:tc>
        <w:tc>
          <w:tcPr>
            <w:tcW w:type="dxa" w:w="7238"/>
            <w:shd w:fill="F7F9FC" w:color="auto" w:val="clear"/>
            <w:tcMar>
              <w:top w:type="dxa" w:w="40"/>
              <w:left w:type="dxa" w:w="80"/>
              <w:bottom w:type="dxa" w:w="40"/>
              <w:right w:type="dxa" w:w="80"/>
            </w:tcMar>
            <w:vAlign w:val="top"/>
          </w:tcPr>
          <w:p>
            <w:r>
              <w:rPr>
                <w:sz w:val="16"/>
                <w:szCs w:val="16"/>
              </w:rPr>
              <w:t xml:space="preserve">six piezometers at mid-depth, 0.5–3.5 km from the coast, 0.01 m of noise; current heads and heads filtered over 8 years</w:t>
            </w:r>
          </w:p>
        </w:tc>
      </w:tr>
      <w:tr>
        <w:trPr>
          <w:cantSplit/>
        </w:trPr>
        <w:tc>
          <w:tcPr>
            <w:tcW w:type="dxa" w:w="2400"/>
            <w:tcMar>
              <w:top w:type="dxa" w:w="40"/>
              <w:left w:type="dxa" w:w="80"/>
              <w:bottom w:type="dxa" w:w="40"/>
              <w:right w:type="dxa" w:w="80"/>
            </w:tcMar>
            <w:vAlign w:val="top"/>
          </w:tcPr>
          <w:p>
            <w:r>
              <w:rPr>
                <w:sz w:val="16"/>
                <w:szCs w:val="16"/>
              </w:rPr>
              <w:t xml:space="preserve">Goal</w:t>
            </w:r>
          </w:p>
        </w:tc>
        <w:tc>
          <w:tcPr>
            <w:tcW w:type="dxa" w:w="7238"/>
            <w:tcMar>
              <w:top w:type="dxa" w:w="40"/>
              <w:left w:type="dxa" w:w="80"/>
              <w:bottom w:type="dxa" w:w="40"/>
              <w:right w:type="dxa" w:w="80"/>
            </w:tcMar>
            <w:vAlign w:val="top"/>
          </w:tcPr>
          <w:p>
            <w:r>
              <w:rPr>
                <w:sz w:val="16"/>
                <w:szCs w:val="16"/>
              </w:rPr>
              <w:t xml:space="preserve">Y = −log₁₀ of the sea fraction over the supply screen; the standard of 250 mg/L is exceeded when Y falls below −log₁₀ ε_lim</w:t>
            </w:r>
          </w:p>
        </w:tc>
      </w:tr>
      <w:tr>
        <w:trPr>
          <w:cantSplit/>
        </w:trPr>
        <w:tc>
          <w:tcPr>
            <w:tcW w:type="dxa" w:w="2400"/>
            <w:shd w:fill="F7F9FC" w:color="auto" w:val="clear"/>
            <w:tcMar>
              <w:top w:type="dxa" w:w="40"/>
              <w:left w:type="dxa" w:w="80"/>
              <w:bottom w:type="dxa" w:w="40"/>
              <w:right w:type="dxa" w:w="80"/>
            </w:tcMar>
            <w:vAlign w:val="top"/>
          </w:tcPr>
          <w:p>
            <w:r>
              <w:rPr>
                <w:sz w:val="16"/>
                <w:szCs w:val="16"/>
              </w:rPr>
              <w:t xml:space="preserve">Decision (known)</w:t>
            </w:r>
          </w:p>
        </w:tc>
        <w:tc>
          <w:tcPr>
            <w:tcW w:type="dxa" w:w="7238"/>
            <w:shd w:fill="F7F9FC" w:color="auto" w:val="clear"/>
            <w:tcMar>
              <w:top w:type="dxa" w:w="40"/>
              <w:left w:type="dxa" w:w="80"/>
              <w:bottom w:type="dxa" w:w="40"/>
              <w:right w:type="dxa" w:w="80"/>
            </w:tcMar>
            <w:vAlign w:val="top"/>
          </w:tcPr>
          <w:p>
            <w:r>
              <w:rPr>
                <w:sz w:val="16"/>
                <w:szCs w:val="16"/>
              </w:rPr>
              <w:t xml:space="preserve">the pumping anomaly is raised to +0.3 and kept there for 30 years. The mean pumping of each aquifer (1.53–3.87 m²/d per metre of coast) is set so that, after the decision and under the first weather sequence, the screen reaches the standard after 30 years</w:t>
            </w:r>
          </w:p>
        </w:tc>
      </w:tr>
      <w:tr>
        <w:trPr>
          <w:cantSplit/>
        </w:trPr>
        <w:tc>
          <w:tcPr>
            <w:tcW w:type="dxa" w:w="2400"/>
            <w:tcMar>
              <w:top w:type="dxa" w:w="40"/>
              <w:left w:type="dxa" w:w="80"/>
              <w:bottom w:type="dxa" w:w="40"/>
              <w:right w:type="dxa" w:w="80"/>
            </w:tcMar>
            <w:vAlign w:val="top"/>
          </w:tcPr>
          <w:p>
            <w:r>
              <w:rPr>
                <w:sz w:val="16"/>
                <w:szCs w:val="16"/>
              </w:rPr>
              <w:t xml:space="preserve">Futures</w:t>
            </w:r>
          </w:p>
        </w:tc>
        <w:tc>
          <w:tcPr>
            <w:tcW w:type="dxa" w:w="7238"/>
            <w:tcMar>
              <w:top w:type="dxa" w:w="40"/>
              <w:left w:type="dxa" w:w="80"/>
              <w:bottom w:type="dxa" w:w="40"/>
              <w:right w:type="dxa" w:w="80"/>
            </w:tcMar>
            <w:vAlign w:val="top"/>
          </w:tcPr>
          <w:p>
            <w:r>
              <w:rPr>
                <w:sz w:val="16"/>
                <w:szCs w:val="16"/>
              </w:rPr>
              <w:t xml:space="preserve">8 weather sequences of 30 years per scenario: no warming, the worst unrecorded warming (δ = 1), and the off-span stress. Median share of exceeding seasons: 16%, 64% and 25%</w:t>
            </w:r>
          </w:p>
        </w:tc>
      </w:tr>
    </w:tbl>
    <w:p>
      <w:pPr>
        <w:spacing w:after="120"/>
      </w:pPr>
    </w:p>
    <w:p>
      <w:pPr>
        <w:pStyle w:val="Heading2"/>
      </w:pPr>
      <w:r>
        <w:t xml:space="preserve">7.1 The certificate alone does not survive the decision</w:t>
      </w:r>
    </w:p>
    <w:p>
      <w:pPr>
        <w:keepNext/>
        <w:spacing w:after="60" w:before="120"/>
        <w:jc w:val="both"/>
      </w:pPr>
      <w:r>
        <w:rPr>
          <w:b/>
          <w:bCs/>
          <w:color w:val="1F3864"/>
          <w:sz w:val="18"/>
          <w:szCs w:val="18"/>
        </w:rPr>
        <w:t xml:space="preserve">Table 8. </w:t>
      </w:r>
      <w:r>
        <w:rPr>
          <w:color w:val="3A4350"/>
          <w:sz w:val="18"/>
          <w:szCs w:val="18"/>
        </w:rPr>
        <w:t xml:space="preserve">Share of future seasons in which each alarm over-predicts by more than its margin, mean over 20 aquifers (in brackets: number of aquifers above 10%), with all six piezometers; false alarms among safe seasons and missed exceedances among exceeding seasons, without warming.</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100"/>
        <w:gridCol w:w="1150"/>
        <w:gridCol w:w="1150"/>
        <w:gridCol w:w="1150"/>
        <w:gridCol w:w="1500"/>
        <w:gridCol w:w="1588"/>
      </w:tblGrid>
      <w:tr>
        <w:trPr>
          <w:cantSplit/>
          <w:tblHeader/>
        </w:trPr>
        <w:tc>
          <w:tcPr>
            <w:tcW w:type="dxa" w:w="31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Alarm</w:t>
            </w:r>
          </w:p>
        </w:tc>
        <w:tc>
          <w:tcPr>
            <w:tcW w:type="dxa" w:w="11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No warming</w:t>
            </w:r>
          </w:p>
        </w:tc>
        <w:tc>
          <w:tcPr>
            <w:tcW w:type="dxa" w:w="11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Worst warming</w:t>
            </w:r>
          </w:p>
        </w:tc>
        <w:tc>
          <w:tcPr>
            <w:tcW w:type="dxa" w:w="115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Off-span stress</w:t>
            </w:r>
          </w:p>
        </w:tc>
        <w:tc>
          <w:tcPr>
            <w:tcW w:type="dxa" w:w="1500"/>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False alarms (no warming)</w:t>
            </w:r>
          </w:p>
        </w:tc>
        <w:tc>
          <w:tcPr>
            <w:tcW w:type="dxa" w:w="1588"/>
            <w:shd w:fill="1F3864" w:color="auto" w:val="clear"/>
            <w:tcMar>
              <w:top w:type="dxa" w:w="40"/>
              <w:left w:type="dxa" w:w="80"/>
              <w:bottom w:type="dxa" w:w="40"/>
              <w:right w:type="dxa" w:w="80"/>
            </w:tcMar>
            <w:vAlign w:val="top"/>
          </w:tcPr>
          <w:p>
            <w:r>
              <w:rPr>
                <w:rFonts w:ascii="Calibri" w:cs="Calibri" w:eastAsia="Calibri" w:hAnsi="Calibri"/>
                <w:b/>
                <w:bCs/>
                <w:color w:val="FFFFFF"/>
                <w:sz w:val="15"/>
                <w:szCs w:val="15"/>
              </w:rPr>
              <w:t xml:space="preserve">Missed exceedances (no warming)</w:t>
            </w:r>
          </w:p>
        </w:tc>
      </w:tr>
      <w:tr>
        <w:trPr>
          <w:cantSplit/>
        </w:trPr>
        <w:tc>
          <w:tcPr>
            <w:tcW w:type="dxa" w:w="3100"/>
            <w:tcMar>
              <w:top w:type="dxa" w:w="40"/>
              <w:left w:type="dxa" w:w="80"/>
              <w:bottom w:type="dxa" w:w="40"/>
              <w:right w:type="dxa" w:w="80"/>
            </w:tcMar>
            <w:vAlign w:val="top"/>
          </w:tcPr>
          <w:p>
            <w:r>
              <w:rPr>
                <w:sz w:val="15"/>
                <w:szCs w:val="15"/>
              </w:rPr>
              <w:t xml:space="preserve">Least squares on the heads</w:t>
            </w:r>
          </w:p>
        </w:tc>
        <w:tc>
          <w:tcPr>
            <w:tcW w:type="dxa" w:w="1150"/>
            <w:tcMar>
              <w:top w:type="dxa" w:w="40"/>
              <w:left w:type="dxa" w:w="80"/>
              <w:bottom w:type="dxa" w:w="40"/>
              <w:right w:type="dxa" w:w="80"/>
            </w:tcMar>
            <w:vAlign w:val="top"/>
          </w:tcPr>
          <w:p>
            <w:r>
              <w:rPr>
                <w:sz w:val="15"/>
                <w:szCs w:val="15"/>
              </w:rPr>
              <w:t xml:space="preserve">22.0% (8)</w:t>
            </w:r>
          </w:p>
        </w:tc>
        <w:tc>
          <w:tcPr>
            <w:tcW w:type="dxa" w:w="1150"/>
            <w:tcMar>
              <w:top w:type="dxa" w:w="40"/>
              <w:left w:type="dxa" w:w="80"/>
              <w:bottom w:type="dxa" w:w="40"/>
              <w:right w:type="dxa" w:w="80"/>
            </w:tcMar>
            <w:vAlign w:val="top"/>
          </w:tcPr>
          <w:p>
            <w:r>
              <w:rPr>
                <w:sz w:val="15"/>
                <w:szCs w:val="15"/>
              </w:rPr>
              <w:t xml:space="preserve">21.2% (9)</w:t>
            </w:r>
          </w:p>
        </w:tc>
        <w:tc>
          <w:tcPr>
            <w:tcW w:type="dxa" w:w="1150"/>
            <w:tcMar>
              <w:top w:type="dxa" w:w="40"/>
              <w:left w:type="dxa" w:w="80"/>
              <w:bottom w:type="dxa" w:w="40"/>
              <w:right w:type="dxa" w:w="80"/>
            </w:tcMar>
            <w:vAlign w:val="top"/>
          </w:tcPr>
          <w:p>
            <w:r>
              <w:rPr>
                <w:sz w:val="15"/>
                <w:szCs w:val="15"/>
              </w:rPr>
              <w:t xml:space="preserve">18.6% (6)</w:t>
            </w:r>
          </w:p>
        </w:tc>
        <w:tc>
          <w:tcPr>
            <w:tcW w:type="dxa" w:w="1500"/>
            <w:tcMar>
              <w:top w:type="dxa" w:w="40"/>
              <w:left w:type="dxa" w:w="80"/>
              <w:bottom w:type="dxa" w:w="40"/>
              <w:right w:type="dxa" w:w="80"/>
            </w:tcMar>
            <w:vAlign w:val="top"/>
          </w:tcPr>
          <w:p>
            <w:r>
              <w:rPr>
                <w:sz w:val="15"/>
                <w:szCs w:val="15"/>
              </w:rPr>
              <w:t xml:space="preserve">38.7%</w:t>
            </w:r>
          </w:p>
        </w:tc>
        <w:tc>
          <w:tcPr>
            <w:tcW w:type="dxa" w:w="1588"/>
            <w:tcMar>
              <w:top w:type="dxa" w:w="40"/>
              <w:left w:type="dxa" w:w="80"/>
              <w:bottom w:type="dxa" w:w="40"/>
              <w:right w:type="dxa" w:w="80"/>
            </w:tcMar>
            <w:vAlign w:val="top"/>
          </w:tcPr>
          <w:p>
            <w:r>
              <w:rPr>
                <w:sz w:val="15"/>
                <w:szCs w:val="15"/>
              </w:rPr>
              <w:t xml:space="preserve">25.6%</w:t>
            </w:r>
          </w:p>
        </w:tc>
      </w:tr>
      <w:tr>
        <w:trPr>
          <w:cantSplit/>
        </w:trPr>
        <w:tc>
          <w:tcPr>
            <w:tcW w:type="dxa" w:w="3100"/>
            <w:shd w:fill="F7F9FC" w:color="auto" w:val="clear"/>
            <w:tcMar>
              <w:top w:type="dxa" w:w="40"/>
              <w:left w:type="dxa" w:w="80"/>
              <w:bottom w:type="dxa" w:w="40"/>
              <w:right w:type="dxa" w:w="80"/>
            </w:tcMar>
            <w:vAlign w:val="top"/>
          </w:tcPr>
          <w:p>
            <w:r>
              <w:rPr>
                <w:sz w:val="15"/>
                <w:szCs w:val="15"/>
              </w:rPr>
              <w:t xml:space="preserve">Anchor regression, γ by cross-validation</w:t>
            </w:r>
          </w:p>
        </w:tc>
        <w:tc>
          <w:tcPr>
            <w:tcW w:type="dxa" w:w="1150"/>
            <w:shd w:fill="F7F9FC" w:color="auto" w:val="clear"/>
            <w:tcMar>
              <w:top w:type="dxa" w:w="40"/>
              <w:left w:type="dxa" w:w="80"/>
              <w:bottom w:type="dxa" w:w="40"/>
              <w:right w:type="dxa" w:w="80"/>
            </w:tcMar>
            <w:vAlign w:val="top"/>
          </w:tcPr>
          <w:p>
            <w:r>
              <w:rPr>
                <w:sz w:val="15"/>
                <w:szCs w:val="15"/>
              </w:rPr>
              <w:t xml:space="preserve">23.1% (7)</w:t>
            </w:r>
          </w:p>
        </w:tc>
        <w:tc>
          <w:tcPr>
            <w:tcW w:type="dxa" w:w="1150"/>
            <w:shd w:fill="F7F9FC" w:color="auto" w:val="clear"/>
            <w:tcMar>
              <w:top w:type="dxa" w:w="40"/>
              <w:left w:type="dxa" w:w="80"/>
              <w:bottom w:type="dxa" w:w="40"/>
              <w:right w:type="dxa" w:w="80"/>
            </w:tcMar>
            <w:vAlign w:val="top"/>
          </w:tcPr>
          <w:p>
            <w:r>
              <w:rPr>
                <w:sz w:val="15"/>
                <w:szCs w:val="15"/>
              </w:rPr>
              <w:t xml:space="preserve">26.2% (9)</w:t>
            </w:r>
          </w:p>
        </w:tc>
        <w:tc>
          <w:tcPr>
            <w:tcW w:type="dxa" w:w="1150"/>
            <w:shd w:fill="F7F9FC" w:color="auto" w:val="clear"/>
            <w:tcMar>
              <w:top w:type="dxa" w:w="40"/>
              <w:left w:type="dxa" w:w="80"/>
              <w:bottom w:type="dxa" w:w="40"/>
              <w:right w:type="dxa" w:w="80"/>
            </w:tcMar>
            <w:vAlign w:val="top"/>
          </w:tcPr>
          <w:p>
            <w:r>
              <w:rPr>
                <w:sz w:val="15"/>
                <w:szCs w:val="15"/>
              </w:rPr>
              <w:t xml:space="preserve">22.1% (6)</w:t>
            </w:r>
          </w:p>
        </w:tc>
        <w:tc>
          <w:tcPr>
            <w:tcW w:type="dxa" w:w="1500"/>
            <w:shd w:fill="F7F9FC" w:color="auto" w:val="clear"/>
            <w:tcMar>
              <w:top w:type="dxa" w:w="40"/>
              <w:left w:type="dxa" w:w="80"/>
              <w:bottom w:type="dxa" w:w="40"/>
              <w:right w:type="dxa" w:w="80"/>
            </w:tcMar>
            <w:vAlign w:val="top"/>
          </w:tcPr>
          <w:p>
            <w:r>
              <w:rPr>
                <w:sz w:val="15"/>
                <w:szCs w:val="15"/>
              </w:rPr>
              <w:t xml:space="preserve">42.2%</w:t>
            </w:r>
          </w:p>
        </w:tc>
        <w:tc>
          <w:tcPr>
            <w:tcW w:type="dxa" w:w="1588"/>
            <w:shd w:fill="F7F9FC" w:color="auto" w:val="clear"/>
            <w:tcMar>
              <w:top w:type="dxa" w:w="40"/>
              <w:left w:type="dxa" w:w="80"/>
              <w:bottom w:type="dxa" w:w="40"/>
              <w:right w:type="dxa" w:w="80"/>
            </w:tcMar>
            <w:vAlign w:val="top"/>
          </w:tcPr>
          <w:p>
            <w:r>
              <w:rPr>
                <w:sz w:val="15"/>
                <w:szCs w:val="15"/>
              </w:rPr>
              <w:t xml:space="preserve">26.3%</w:t>
            </w:r>
          </w:p>
        </w:tc>
      </w:tr>
      <w:tr>
        <w:trPr>
          <w:cantSplit/>
        </w:trPr>
        <w:tc>
          <w:tcPr>
            <w:tcW w:type="dxa" w:w="3100"/>
            <w:tcMar>
              <w:top w:type="dxa" w:w="40"/>
              <w:left w:type="dxa" w:w="80"/>
              <w:bottom w:type="dxa" w:w="40"/>
              <w:right w:type="dxa" w:w="80"/>
            </w:tcMar>
            <w:vAlign w:val="top"/>
          </w:tcPr>
          <w:p>
            <w:r>
              <w:rPr>
                <w:sz w:val="15"/>
                <w:szCs w:val="15"/>
              </w:rPr>
              <w:t xml:space="preserve">Anchor regression, γ → ∞ (IV)</w:t>
            </w:r>
          </w:p>
        </w:tc>
        <w:tc>
          <w:tcPr>
            <w:tcW w:type="dxa" w:w="1150"/>
            <w:tcMar>
              <w:top w:type="dxa" w:w="40"/>
              <w:left w:type="dxa" w:w="80"/>
              <w:bottom w:type="dxa" w:w="40"/>
              <w:right w:type="dxa" w:w="80"/>
            </w:tcMar>
            <w:vAlign w:val="top"/>
          </w:tcPr>
          <w:p>
            <w:r>
              <w:rPr>
                <w:sz w:val="15"/>
                <w:szCs w:val="15"/>
              </w:rPr>
              <w:t xml:space="preserve">22.5% (7)</w:t>
            </w:r>
          </w:p>
        </w:tc>
        <w:tc>
          <w:tcPr>
            <w:tcW w:type="dxa" w:w="1150"/>
            <w:tcMar>
              <w:top w:type="dxa" w:w="40"/>
              <w:left w:type="dxa" w:w="80"/>
              <w:bottom w:type="dxa" w:w="40"/>
              <w:right w:type="dxa" w:w="80"/>
            </w:tcMar>
            <w:vAlign w:val="top"/>
          </w:tcPr>
          <w:p>
            <w:r>
              <w:rPr>
                <w:sz w:val="15"/>
                <w:szCs w:val="15"/>
              </w:rPr>
              <w:t xml:space="preserve">30.9% (10)</w:t>
            </w:r>
          </w:p>
        </w:tc>
        <w:tc>
          <w:tcPr>
            <w:tcW w:type="dxa" w:w="1150"/>
            <w:tcMar>
              <w:top w:type="dxa" w:w="40"/>
              <w:left w:type="dxa" w:w="80"/>
              <w:bottom w:type="dxa" w:w="40"/>
              <w:right w:type="dxa" w:w="80"/>
            </w:tcMar>
            <w:vAlign w:val="top"/>
          </w:tcPr>
          <w:p>
            <w:r>
              <w:rPr>
                <w:sz w:val="15"/>
                <w:szCs w:val="15"/>
              </w:rPr>
              <w:t xml:space="preserve">19.5% (8)</w:t>
            </w:r>
          </w:p>
        </w:tc>
        <w:tc>
          <w:tcPr>
            <w:tcW w:type="dxa" w:w="1500"/>
            <w:tcMar>
              <w:top w:type="dxa" w:w="40"/>
              <w:left w:type="dxa" w:w="80"/>
              <w:bottom w:type="dxa" w:w="40"/>
              <w:right w:type="dxa" w:w="80"/>
            </w:tcMar>
            <w:vAlign w:val="top"/>
          </w:tcPr>
          <w:p>
            <w:r>
              <w:rPr>
                <w:sz w:val="15"/>
                <w:szCs w:val="15"/>
              </w:rPr>
              <w:t xml:space="preserve">52.1%</w:t>
            </w:r>
          </w:p>
        </w:tc>
        <w:tc>
          <w:tcPr>
            <w:tcW w:type="dxa" w:w="1588"/>
            <w:tcMar>
              <w:top w:type="dxa" w:w="40"/>
              <w:left w:type="dxa" w:w="80"/>
              <w:bottom w:type="dxa" w:w="40"/>
              <w:right w:type="dxa" w:w="80"/>
            </w:tcMar>
            <w:vAlign w:val="top"/>
          </w:tcPr>
          <w:p>
            <w:r>
              <w:rPr>
                <w:sz w:val="15"/>
                <w:szCs w:val="15"/>
              </w:rPr>
              <w:t xml:space="preserve">22.1%</w:t>
            </w:r>
          </w:p>
        </w:tc>
      </w:tr>
      <w:tr>
        <w:trPr>
          <w:cantSplit/>
        </w:trPr>
        <w:tc>
          <w:tcPr>
            <w:tcW w:type="dxa" w:w="3100"/>
            <w:shd w:fill="F7F9FC" w:color="auto" w:val="clear"/>
            <w:tcMar>
              <w:top w:type="dxa" w:w="40"/>
              <w:left w:type="dxa" w:w="80"/>
              <w:bottom w:type="dxa" w:w="40"/>
              <w:right w:type="dxa" w:w="80"/>
            </w:tcMar>
            <w:vAlign w:val="top"/>
          </w:tcPr>
          <w:p>
            <w:r>
              <w:rPr>
                <w:sz w:val="15"/>
                <w:szCs w:val="15"/>
              </w:rPr>
              <w:t xml:space="preserve">Least squares on heads and anchors</w:t>
            </w:r>
          </w:p>
        </w:tc>
        <w:tc>
          <w:tcPr>
            <w:tcW w:type="dxa" w:w="1150"/>
            <w:shd w:fill="F7F9FC" w:color="auto" w:val="clear"/>
            <w:tcMar>
              <w:top w:type="dxa" w:w="40"/>
              <w:left w:type="dxa" w:w="80"/>
              <w:bottom w:type="dxa" w:w="40"/>
              <w:right w:type="dxa" w:w="80"/>
            </w:tcMar>
            <w:vAlign w:val="top"/>
          </w:tcPr>
          <w:p>
            <w:r>
              <w:rPr>
                <w:sz w:val="15"/>
                <w:szCs w:val="15"/>
              </w:rPr>
              <w:t xml:space="preserve">40.2% (13)</w:t>
            </w:r>
          </w:p>
        </w:tc>
        <w:tc>
          <w:tcPr>
            <w:tcW w:type="dxa" w:w="1150"/>
            <w:shd w:fill="F7F9FC" w:color="auto" w:val="clear"/>
            <w:tcMar>
              <w:top w:type="dxa" w:w="40"/>
              <w:left w:type="dxa" w:w="80"/>
              <w:bottom w:type="dxa" w:w="40"/>
              <w:right w:type="dxa" w:w="80"/>
            </w:tcMar>
            <w:vAlign w:val="top"/>
          </w:tcPr>
          <w:p>
            <w:r>
              <w:rPr>
                <w:sz w:val="15"/>
                <w:szCs w:val="15"/>
              </w:rPr>
              <w:t xml:space="preserve">38.3% (11)</w:t>
            </w:r>
          </w:p>
        </w:tc>
        <w:tc>
          <w:tcPr>
            <w:tcW w:type="dxa" w:w="1150"/>
            <w:shd w:fill="F7F9FC" w:color="auto" w:val="clear"/>
            <w:tcMar>
              <w:top w:type="dxa" w:w="40"/>
              <w:left w:type="dxa" w:w="80"/>
              <w:bottom w:type="dxa" w:w="40"/>
              <w:right w:type="dxa" w:w="80"/>
            </w:tcMar>
            <w:vAlign w:val="top"/>
          </w:tcPr>
          <w:p>
            <w:r>
              <w:rPr>
                <w:sz w:val="15"/>
                <w:szCs w:val="15"/>
              </w:rPr>
              <w:t xml:space="preserve">33.8% (12)</w:t>
            </w:r>
          </w:p>
        </w:tc>
        <w:tc>
          <w:tcPr>
            <w:tcW w:type="dxa" w:w="1500"/>
            <w:shd w:fill="F7F9FC" w:color="auto" w:val="clear"/>
            <w:tcMar>
              <w:top w:type="dxa" w:w="40"/>
              <w:left w:type="dxa" w:w="80"/>
              <w:bottom w:type="dxa" w:w="40"/>
              <w:right w:type="dxa" w:w="80"/>
            </w:tcMar>
            <w:vAlign w:val="top"/>
          </w:tcPr>
          <w:p>
            <w:r>
              <w:rPr>
                <w:sz w:val="15"/>
                <w:szCs w:val="15"/>
              </w:rPr>
              <w:t xml:space="preserve">33.2%</w:t>
            </w:r>
          </w:p>
        </w:tc>
        <w:tc>
          <w:tcPr>
            <w:tcW w:type="dxa" w:w="1588"/>
            <w:shd w:fill="F7F9FC" w:color="auto" w:val="clear"/>
            <w:tcMar>
              <w:top w:type="dxa" w:w="40"/>
              <w:left w:type="dxa" w:w="80"/>
              <w:bottom w:type="dxa" w:w="40"/>
              <w:right w:type="dxa" w:w="80"/>
            </w:tcMar>
            <w:vAlign w:val="top"/>
          </w:tcPr>
          <w:p>
            <w:r>
              <w:rPr>
                <w:sz w:val="15"/>
                <w:szCs w:val="15"/>
              </w:rPr>
              <w:t xml:space="preserve">29.2%</w:t>
            </w:r>
          </w:p>
        </w:tc>
      </w:tr>
      <w:tr>
        <w:trPr>
          <w:cantSplit/>
        </w:trPr>
        <w:tc>
          <w:tcPr>
            <w:tcW w:type="dxa" w:w="3100"/>
            <w:tcMar>
              <w:top w:type="dxa" w:w="40"/>
              <w:left w:type="dxa" w:w="80"/>
              <w:bottom w:type="dxa" w:w="40"/>
              <w:right w:type="dxa" w:w="80"/>
            </w:tcMar>
            <w:vAlign w:val="top"/>
          </w:tcPr>
          <w:p>
            <w:r>
              <w:rPr>
                <w:sz w:val="15"/>
                <w:szCs w:val="15"/>
              </w:rPr>
              <w:t xml:space="preserve">… re-anchored by a yearly chloride sample</w:t>
            </w:r>
          </w:p>
        </w:tc>
        <w:tc>
          <w:tcPr>
            <w:tcW w:type="dxa" w:w="1150"/>
            <w:tcMar>
              <w:top w:type="dxa" w:w="40"/>
              <w:left w:type="dxa" w:w="80"/>
              <w:bottom w:type="dxa" w:w="40"/>
              <w:right w:type="dxa" w:w="80"/>
            </w:tcMar>
            <w:vAlign w:val="top"/>
          </w:tcPr>
          <w:p>
            <w:r>
              <w:rPr>
                <w:sz w:val="15"/>
                <w:szCs w:val="15"/>
              </w:rPr>
              <w:t xml:space="preserve">24.7% (9)</w:t>
            </w:r>
          </w:p>
        </w:tc>
        <w:tc>
          <w:tcPr>
            <w:tcW w:type="dxa" w:w="1150"/>
            <w:tcMar>
              <w:top w:type="dxa" w:w="40"/>
              <w:left w:type="dxa" w:w="80"/>
              <w:bottom w:type="dxa" w:w="40"/>
              <w:right w:type="dxa" w:w="80"/>
            </w:tcMar>
            <w:vAlign w:val="top"/>
          </w:tcPr>
          <w:p>
            <w:r>
              <w:rPr>
                <w:sz w:val="15"/>
                <w:szCs w:val="15"/>
              </w:rPr>
              <w:t xml:space="preserve">23.2% (9)</w:t>
            </w:r>
          </w:p>
        </w:tc>
        <w:tc>
          <w:tcPr>
            <w:tcW w:type="dxa" w:w="1150"/>
            <w:tcMar>
              <w:top w:type="dxa" w:w="40"/>
              <w:left w:type="dxa" w:w="80"/>
              <w:bottom w:type="dxa" w:w="40"/>
              <w:right w:type="dxa" w:w="80"/>
            </w:tcMar>
            <w:vAlign w:val="top"/>
          </w:tcPr>
          <w:p>
            <w:r>
              <w:rPr>
                <w:sz w:val="15"/>
                <w:szCs w:val="15"/>
              </w:rPr>
              <w:t xml:space="preserve">24.7% (9)</w:t>
            </w:r>
          </w:p>
        </w:tc>
        <w:tc>
          <w:tcPr>
            <w:tcW w:type="dxa" w:w="1500"/>
            <w:tcMar>
              <w:top w:type="dxa" w:w="40"/>
              <w:left w:type="dxa" w:w="80"/>
              <w:bottom w:type="dxa" w:w="40"/>
              <w:right w:type="dxa" w:w="80"/>
            </w:tcMar>
            <w:vAlign w:val="top"/>
          </w:tcPr>
          <w:p>
            <w:r>
              <w:rPr>
                <w:sz w:val="15"/>
                <w:szCs w:val="15"/>
              </w:rPr>
              <w:t xml:space="preserve">29.8%</w:t>
            </w:r>
          </w:p>
        </w:tc>
        <w:tc>
          <w:tcPr>
            <w:tcW w:type="dxa" w:w="1588"/>
            <w:tcMar>
              <w:top w:type="dxa" w:w="40"/>
              <w:left w:type="dxa" w:w="80"/>
              <w:bottom w:type="dxa" w:w="40"/>
              <w:right w:type="dxa" w:w="80"/>
            </w:tcMar>
            <w:vAlign w:val="top"/>
          </w:tcPr>
          <w:p>
            <w:r>
              <w:rPr>
                <w:sz w:val="15"/>
                <w:szCs w:val="15"/>
              </w:rPr>
              <w:t xml:space="preserve">9.8%</w:t>
            </w:r>
          </w:p>
        </w:tc>
      </w:tr>
      <w:tr>
        <w:trPr>
          <w:cantSplit/>
        </w:trPr>
        <w:tc>
          <w:tcPr>
            <w:tcW w:type="dxa" w:w="3100"/>
            <w:shd w:fill="F7F9FC" w:color="auto" w:val="clear"/>
            <w:tcMar>
              <w:top w:type="dxa" w:w="40"/>
              <w:left w:type="dxa" w:w="80"/>
              <w:bottom w:type="dxa" w:w="40"/>
              <w:right w:type="dxa" w:w="80"/>
            </w:tcMar>
            <w:vAlign w:val="top"/>
          </w:tcPr>
          <w:p>
            <w:r>
              <w:rPr>
                <w:sz w:val="15"/>
                <w:szCs w:val="15"/>
              </w:rPr>
              <w:t xml:space="preserve">Least squares + SPIRANCA-GO certificate</w:t>
            </w:r>
          </w:p>
        </w:tc>
        <w:tc>
          <w:tcPr>
            <w:tcW w:type="dxa" w:w="1150"/>
            <w:shd w:fill="F7F9FC" w:color="auto" w:val="clear"/>
            <w:tcMar>
              <w:top w:type="dxa" w:w="40"/>
              <w:left w:type="dxa" w:w="80"/>
              <w:bottom w:type="dxa" w:w="40"/>
              <w:right w:type="dxa" w:w="80"/>
            </w:tcMar>
            <w:vAlign w:val="top"/>
          </w:tcPr>
          <w:p>
            <w:r>
              <w:rPr>
                <w:sz w:val="15"/>
                <w:szCs w:val="15"/>
              </w:rPr>
              <w:t xml:space="preserve">4.3% (2)</w:t>
            </w:r>
          </w:p>
        </w:tc>
        <w:tc>
          <w:tcPr>
            <w:tcW w:type="dxa" w:w="1150"/>
            <w:shd w:fill="F7F9FC" w:color="auto" w:val="clear"/>
            <w:tcMar>
              <w:top w:type="dxa" w:w="40"/>
              <w:left w:type="dxa" w:w="80"/>
              <w:bottom w:type="dxa" w:w="40"/>
              <w:right w:type="dxa" w:w="80"/>
            </w:tcMar>
            <w:vAlign w:val="top"/>
          </w:tcPr>
          <w:p>
            <w:r>
              <w:rPr>
                <w:sz w:val="15"/>
                <w:szCs w:val="15"/>
              </w:rPr>
              <w:t xml:space="preserve">5.0% (2)</w:t>
            </w:r>
          </w:p>
        </w:tc>
        <w:tc>
          <w:tcPr>
            <w:tcW w:type="dxa" w:w="1150"/>
            <w:shd w:fill="F7F9FC" w:color="auto" w:val="clear"/>
            <w:tcMar>
              <w:top w:type="dxa" w:w="40"/>
              <w:left w:type="dxa" w:w="80"/>
              <w:bottom w:type="dxa" w:w="40"/>
              <w:right w:type="dxa" w:w="80"/>
            </w:tcMar>
            <w:vAlign w:val="top"/>
          </w:tcPr>
          <w:p>
            <w:r>
              <w:rPr>
                <w:sz w:val="15"/>
                <w:szCs w:val="15"/>
              </w:rPr>
              <w:t xml:space="preserve">3.8% (2)</w:t>
            </w:r>
          </w:p>
        </w:tc>
        <w:tc>
          <w:tcPr>
            <w:tcW w:type="dxa" w:w="1500"/>
            <w:shd w:fill="F7F9FC" w:color="auto" w:val="clear"/>
            <w:tcMar>
              <w:top w:type="dxa" w:w="40"/>
              <w:left w:type="dxa" w:w="80"/>
              <w:bottom w:type="dxa" w:w="40"/>
              <w:right w:type="dxa" w:w="80"/>
            </w:tcMar>
            <w:vAlign w:val="top"/>
          </w:tcPr>
          <w:p>
            <w:r>
              <w:rPr>
                <w:sz w:val="15"/>
                <w:szCs w:val="15"/>
              </w:rPr>
              <w:t xml:space="preserve">79.1%</w:t>
            </w:r>
          </w:p>
        </w:tc>
        <w:tc>
          <w:tcPr>
            <w:tcW w:type="dxa" w:w="1588"/>
            <w:shd w:fill="F7F9FC" w:color="auto" w:val="clear"/>
            <w:tcMar>
              <w:top w:type="dxa" w:w="40"/>
              <w:left w:type="dxa" w:w="80"/>
              <w:bottom w:type="dxa" w:w="40"/>
              <w:right w:type="dxa" w:w="80"/>
            </w:tcMar>
            <w:vAlign w:val="top"/>
          </w:tcPr>
          <w:p>
            <w:r>
              <w:rPr>
                <w:sz w:val="15"/>
                <w:szCs w:val="15"/>
              </w:rPr>
              <w:t xml:space="preserve">5.2%</w:t>
            </w:r>
          </w:p>
        </w:tc>
      </w:tr>
      <w:tr>
        <w:trPr>
          <w:cantSplit/>
        </w:trPr>
        <w:tc>
          <w:tcPr>
            <w:tcW w:type="dxa" w:w="3100"/>
            <w:tcMar>
              <w:top w:type="dxa" w:w="40"/>
              <w:left w:type="dxa" w:w="80"/>
              <w:bottom w:type="dxa" w:w="40"/>
              <w:right w:type="dxa" w:w="80"/>
            </w:tcMar>
            <w:vAlign w:val="top"/>
          </w:tcPr>
          <w:p>
            <w:r>
              <w:rPr>
                <w:sz w:val="15"/>
                <w:szCs w:val="15"/>
              </w:rPr>
              <w:t xml:space="preserve">SPIRANCA-GO</w:t>
            </w:r>
          </w:p>
        </w:tc>
        <w:tc>
          <w:tcPr>
            <w:tcW w:type="dxa" w:w="1150"/>
            <w:tcMar>
              <w:top w:type="dxa" w:w="40"/>
              <w:left w:type="dxa" w:w="80"/>
              <w:bottom w:type="dxa" w:w="40"/>
              <w:right w:type="dxa" w:w="80"/>
            </w:tcMar>
            <w:vAlign w:val="top"/>
          </w:tcPr>
          <w:p>
            <w:r>
              <w:rPr>
                <w:sz w:val="15"/>
                <w:szCs w:val="15"/>
              </w:rPr>
              <w:t xml:space="preserve">26.3% (9)</w:t>
            </w:r>
          </w:p>
        </w:tc>
        <w:tc>
          <w:tcPr>
            <w:tcW w:type="dxa" w:w="1150"/>
            <w:tcMar>
              <w:top w:type="dxa" w:w="40"/>
              <w:left w:type="dxa" w:w="80"/>
              <w:bottom w:type="dxa" w:w="40"/>
              <w:right w:type="dxa" w:w="80"/>
            </w:tcMar>
            <w:vAlign w:val="top"/>
          </w:tcPr>
          <w:p>
            <w:r>
              <w:rPr>
                <w:sz w:val="15"/>
                <w:szCs w:val="15"/>
              </w:rPr>
              <w:t xml:space="preserve">9.3% (2)</w:t>
            </w:r>
          </w:p>
        </w:tc>
        <w:tc>
          <w:tcPr>
            <w:tcW w:type="dxa" w:w="1150"/>
            <w:tcMar>
              <w:top w:type="dxa" w:w="40"/>
              <w:left w:type="dxa" w:w="80"/>
              <w:bottom w:type="dxa" w:w="40"/>
              <w:right w:type="dxa" w:w="80"/>
            </w:tcMar>
            <w:vAlign w:val="top"/>
          </w:tcPr>
          <w:p>
            <w:r>
              <w:rPr>
                <w:sz w:val="15"/>
                <w:szCs w:val="15"/>
              </w:rPr>
              <w:t xml:space="preserve">17.2% (8)</w:t>
            </w:r>
          </w:p>
        </w:tc>
        <w:tc>
          <w:tcPr>
            <w:tcW w:type="dxa" w:w="1500"/>
            <w:tcMar>
              <w:top w:type="dxa" w:w="40"/>
              <w:left w:type="dxa" w:w="80"/>
              <w:bottom w:type="dxa" w:w="40"/>
              <w:right w:type="dxa" w:w="80"/>
            </w:tcMar>
            <w:vAlign w:val="top"/>
          </w:tcPr>
          <w:p>
            <w:r>
              <w:rPr>
                <w:sz w:val="15"/>
                <w:szCs w:val="15"/>
              </w:rPr>
              <w:t xml:space="preserve">43.6%</w:t>
            </w:r>
          </w:p>
        </w:tc>
        <w:tc>
          <w:tcPr>
            <w:tcW w:type="dxa" w:w="1588"/>
            <w:tcMar>
              <w:top w:type="dxa" w:w="40"/>
              <w:left w:type="dxa" w:w="80"/>
              <w:bottom w:type="dxa" w:w="40"/>
              <w:right w:type="dxa" w:w="80"/>
            </w:tcMar>
            <w:vAlign w:val="top"/>
          </w:tcPr>
          <w:p>
            <w:r>
              <w:rPr>
                <w:sz w:val="15"/>
                <w:szCs w:val="15"/>
              </w:rPr>
              <w:t xml:space="preserve">24.2%</w:t>
            </w:r>
          </w:p>
        </w:tc>
      </w:tr>
      <w:tr>
        <w:trPr>
          <w:cantSplit/>
        </w:trPr>
        <w:tc>
          <w:tcPr>
            <w:tcW w:type="dxa" w:w="3100"/>
            <w:shd w:fill="F7F9FC" w:color="auto" w:val="clear"/>
            <w:tcMar>
              <w:top w:type="dxa" w:w="40"/>
              <w:left w:type="dxa" w:w="80"/>
              <w:bottom w:type="dxa" w:w="40"/>
              <w:right w:type="dxa" w:w="80"/>
            </w:tcMar>
            <w:vAlign w:val="top"/>
          </w:tcPr>
          <w:p>
            <w:r>
              <w:rPr>
                <w:sz w:val="15"/>
                <w:szCs w:val="15"/>
              </w:rPr>
              <w:t xml:space="preserve">SPIRANCA-GO re-anchored by a yearly chloride sample</w:t>
            </w:r>
          </w:p>
        </w:tc>
        <w:tc>
          <w:tcPr>
            <w:tcW w:type="dxa" w:w="1150"/>
            <w:shd w:fill="F7F9FC" w:color="auto" w:val="clear"/>
            <w:tcMar>
              <w:top w:type="dxa" w:w="40"/>
              <w:left w:type="dxa" w:w="80"/>
              <w:bottom w:type="dxa" w:w="40"/>
              <w:right w:type="dxa" w:w="80"/>
            </w:tcMar>
            <w:vAlign w:val="top"/>
          </w:tcPr>
          <w:p>
            <w:r>
              <w:rPr>
                <w:sz w:val="15"/>
                <w:szCs w:val="15"/>
              </w:rPr>
              <w:t xml:space="preserve">3.4% (1)</w:t>
            </w:r>
          </w:p>
        </w:tc>
        <w:tc>
          <w:tcPr>
            <w:tcW w:type="dxa" w:w="1150"/>
            <w:shd w:fill="F7F9FC" w:color="auto" w:val="clear"/>
            <w:tcMar>
              <w:top w:type="dxa" w:w="40"/>
              <w:left w:type="dxa" w:w="80"/>
              <w:bottom w:type="dxa" w:w="40"/>
              <w:right w:type="dxa" w:w="80"/>
            </w:tcMar>
            <w:vAlign w:val="top"/>
          </w:tcPr>
          <w:p>
            <w:r>
              <w:rPr>
                <w:sz w:val="15"/>
                <w:szCs w:val="15"/>
              </w:rPr>
              <w:t xml:space="preserve">3.1% (1)</w:t>
            </w:r>
          </w:p>
        </w:tc>
        <w:tc>
          <w:tcPr>
            <w:tcW w:type="dxa" w:w="1150"/>
            <w:shd w:fill="F7F9FC" w:color="auto" w:val="clear"/>
            <w:tcMar>
              <w:top w:type="dxa" w:w="40"/>
              <w:left w:type="dxa" w:w="80"/>
              <w:bottom w:type="dxa" w:w="40"/>
              <w:right w:type="dxa" w:w="80"/>
            </w:tcMar>
            <w:vAlign w:val="top"/>
          </w:tcPr>
          <w:p>
            <w:r>
              <w:rPr>
                <w:sz w:val="15"/>
                <w:szCs w:val="15"/>
              </w:rPr>
              <w:t xml:space="preserve">3.1% (1)</w:t>
            </w:r>
          </w:p>
        </w:tc>
        <w:tc>
          <w:tcPr>
            <w:tcW w:type="dxa" w:w="1500"/>
            <w:shd w:fill="F7F9FC" w:color="auto" w:val="clear"/>
            <w:tcMar>
              <w:top w:type="dxa" w:w="40"/>
              <w:left w:type="dxa" w:w="80"/>
              <w:bottom w:type="dxa" w:w="40"/>
              <w:right w:type="dxa" w:w="80"/>
            </w:tcMar>
            <w:vAlign w:val="top"/>
          </w:tcPr>
          <w:p>
            <w:r>
              <w:rPr>
                <w:sz w:val="15"/>
                <w:szCs w:val="15"/>
              </w:rPr>
              <w:t xml:space="preserve">53.9%</w:t>
            </w:r>
          </w:p>
        </w:tc>
        <w:tc>
          <w:tcPr>
            <w:tcW w:type="dxa" w:w="1588"/>
            <w:shd w:fill="F7F9FC" w:color="auto" w:val="clear"/>
            <w:tcMar>
              <w:top w:type="dxa" w:w="40"/>
              <w:left w:type="dxa" w:w="80"/>
              <w:bottom w:type="dxa" w:w="40"/>
              <w:right w:type="dxa" w:w="80"/>
            </w:tcMar>
            <w:vAlign w:val="top"/>
          </w:tcPr>
          <w:p>
            <w:r>
              <w:rPr>
                <w:sz w:val="15"/>
                <w:szCs w:val="15"/>
              </w:rPr>
              <w:t xml:space="preserve">1.1%</w:t>
            </w:r>
          </w:p>
        </w:tc>
      </w:tr>
    </w:tbl>
    <w:p>
      <w:pPr>
        <w:spacing w:after="120"/>
      </w:pPr>
    </w:p>
    <w:p>
      <w:pPr>
        <w:spacing w:after="100"/>
        <w:jc w:val="both"/>
      </w:pPr>
      <w:r>
        <w:t xml:space="preserve">Table 8 gives a different picture from the areal test. The static SPIRANCA-GO alarm holds under the worst unrecorded warming in 18 of the 20 aquifers (9.3% on average), as the certificate says it should. After the decision alone, however, it over-predicts in 26.3% of the seasons and fails in 9 aquifers. Least squares on heads and anchors fails in 13, and the heads alone in 8. The only static alarm that stays below 10% is least squares with the SPIRANCA-GO certificate added (4.3%), and it does so by sounding in 79% of the safe seasons: a margin of 4.9 standard deviations of the record makes it an alarm that is almost always on.</w:t>
      </w:r>
    </w:p>
    <w:p>
      <w:pPr>
        <w:spacing w:after="100"/>
        <w:jc w:val="both"/>
      </w:pPr>
      <w:r>
        <w:t xml:space="preserve">The failures have one cause. They occur where the screen was still almost fresh at the end of the record (median sea fraction 3% of the limit, against 9% where the alarm held). There the decision moves the screen into a regime the record never saw: the mixing zone reaches the screen, and in the aquifer of Figure 4b chloride rises from 35 to 300 mg/L in five years. The anchor correction of Proposition S1 is linear in the anchors and was fitted where the screen hardly responded, so it predicts a small change where a large one comes (Figure 4b). The warming does not cause the same failure, because its direction was in the record: droughts lasting several years were. A sustained increase of pumping in an aquifer whose screen has not yet felt the sea was not. Proposition S1 assumes that the decision enters linearly through the anchors, and it does not hold here.</w:t>
      </w:r>
    </w:p>
    <w:p>
      <w:pPr>
        <w:pStyle w:val="Heading2"/>
      </w:pPr>
      <w:r>
        <w:t xml:space="preserve">7.2 Re-anchoring with one chloride sample a year</w:t>
      </w:r>
    </w:p>
    <w:p>
      <w:pPr>
        <w:spacing w:after="100"/>
        <w:jc w:val="both"/>
      </w:pPr>
      <w:r>
        <w:t xml:space="preserve">The remedy is to measure the goal itself, rarely. After the decision, one chloride sample is taken at the supply screen at the end of each year, and between samples the alarm subtracts from its prediction the mean error of the last 3 samples. The heads still give the season-to-season signal; the samples remove the slow drift that the record could not foresee.</w:t>
      </w:r>
    </w:p>
    <w:p>
      <w:pPr>
        <w:keepNext w:val="false"/>
        <w:pBdr>
          <w:left w:val="single" w:color="C2410C" w:sz="18" w:space="6"/>
        </w:pBdr>
        <w:shd w:fill="FDF2E9" w:color="auto" w:val="clear"/>
        <w:spacing w:after="100" w:before="100"/>
        <w:ind w:left="140" w:right="60"/>
        <w:jc w:val="left"/>
      </w:pPr>
      <w:r>
        <w:rPr>
          <w:b/>
          <w:bCs/>
          <w:color w:val="C2410C"/>
        </w:rPr>
        <w:t xml:space="preserve">Proposition S5 (re-anchoring turns the drift of the decision into a lag). </w:t>
      </w:r>
      <w:r>
        <w:t xml:space="preserve">After the decision let the error of the alarm be </w:t>
      </w:r>
      <m:oMath>
        <m:sSub>
          <m:e>
            <m:acc>
              <m:accPr>
                <m:chr m:val="̂"/>
              </m:accPr>
              <m:e>
                <m:r>
                  <m:t>Y</m:t>
                </m:r>
              </m:e>
            </m:acc>
          </m:e>
          <m:sub>
            <m:r>
              <m:t>t</m:t>
            </m:r>
          </m:sub>
        </m:sSub>
        <m:r>
          <m:rPr>
            <m:sty m:val="p"/>
          </m:rPr>
          <m:t>−</m:t>
        </m:r>
        <m:sSub>
          <m:e>
            <m:r>
              <m:t>Y</m:t>
            </m:r>
          </m:e>
          <m:sub>
            <m:r>
              <m:t>t</m:t>
            </m:r>
          </m:sub>
        </m:sSub>
        <m:r>
          <m:rPr>
            <m:sty m:val="p"/>
          </m:rPr>
          <m:t>=</m:t>
        </m:r>
        <m:r>
          <m:rPr>
            <m:sty m:val="p"/>
          </m:rPr>
          <m:t>−</m:t>
        </m:r>
        <m:sSub>
          <m:e>
            <m:r>
              <m:t>η</m:t>
            </m:r>
          </m:e>
          <m:sub>
            <m:r>
              <m:t>t</m:t>
            </m:r>
          </m:sub>
        </m:sSub>
        <m:r>
          <m:rPr>
            <m:sty m:val="p"/>
          </m:rPr>
          <m:t>+</m:t>
        </m:r>
        <m:sSub>
          <m:e>
            <m:r>
              <m:t>d</m:t>
            </m:r>
          </m:e>
          <m:sub>
            <m:r>
              <m:t>t</m:t>
            </m:r>
          </m:sub>
        </m:sSub>
      </m:oMath>
      <w:r>
        <w:t xml:space="preserve">, where </w:t>
      </w:r>
      <m:oMath>
        <m:sSub>
          <m:e>
            <m:r>
              <m:t>η</m:t>
            </m:r>
          </m:e>
          <m:sub>
            <m:r>
              <m:t>t</m:t>
            </m:r>
          </m:sub>
        </m:sSub>
      </m:oMath>
      <w:r>
        <w:t xml:space="preserve"> has its law in the record and </w:t>
      </w:r>
      <m:oMath>
        <m:sSub>
          <m:e>
            <m:r>
              <m:t>d</m:t>
            </m:r>
          </m:e>
          <m:sub>
            <m:r>
              <m:t>t</m:t>
            </m:r>
          </m:sub>
        </m:sSub>
      </m:oMath>
      <w:r>
        <w:t xml:space="preserve"> is the drift the record could not foresee, with </w:t>
      </w:r>
      <m:oMath>
        <m:d>
          <m:dPr>
            <m:begChr m:val="|"/>
            <m:sepChr m:val=""/>
            <m:endChr m:val="|"/>
            <m:grow/>
          </m:dPr>
          <m:e>
            <m:sSub>
              <m:e>
                <m:r>
                  <m:t>d</m:t>
                </m:r>
              </m:e>
              <m:sub>
                <m:r>
                  <m:t>t</m:t>
                </m:r>
              </m:sub>
            </m:sSub>
            <m:r>
              <m:rPr>
                <m:sty m:val="p"/>
              </m:rPr>
              <m:t>−</m:t>
            </m:r>
            <m:sSub>
              <m:e>
                <m:r>
                  <m:t>d</m:t>
                </m:r>
              </m:e>
              <m:sub>
                <m:r>
                  <m:t>s</m:t>
                </m:r>
              </m:sub>
            </m:sSub>
          </m:e>
        </m:d>
        <m:r>
          <m:rPr>
            <m:sty m:val="p"/>
          </m:rPr>
          <m:t>≤</m:t>
        </m:r>
        <m:r>
          <m:t>ρ</m:t>
        </m:r>
        <m:r>
          <m:t> </m:t>
        </m:r>
        <m:d>
          <m:dPr>
            <m:begChr m:val="|"/>
            <m:sepChr m:val=""/>
            <m:endChr m:val="|"/>
            <m:grow/>
          </m:dPr>
          <m:e>
            <m:r>
              <m:t>t</m:t>
            </m:r>
            <m:r>
              <m:rPr>
                <m:sty m:val="p"/>
              </m:rPr>
              <m:t>−</m:t>
            </m:r>
            <m:r>
              <m:t>s</m:t>
            </m:r>
          </m:e>
        </m:d>
      </m:oMath>
      <w:r>
        <w:t xml:space="preserve"> (in years). Subtract from the prediction the mean error of the last </w:t>
      </w:r>
      <m:oMath>
        <m:r>
          <m:t>K</m:t>
        </m:r>
      </m:oMath>
      <w:r>
        <w:t xml:space="preserve"> yearly samples, taken at </w:t>
      </w:r>
      <m:oMath>
        <m:r>
          <m:t>t</m:t>
        </m:r>
        <m:r>
          <m:rPr>
            <m:sty m:val="p"/>
          </m:rPr>
          <m:t>−</m:t>
        </m:r>
        <m:r>
          <m:t>1</m:t>
        </m:r>
        <m:r>
          <m:rPr>
            <m:sty m:val="p"/>
          </m:rPr>
          <m:t>,</m:t>
        </m:r>
        <m:r>
          <m:rPr>
            <m:sty m:val="p"/>
          </m:rPr>
          <m:t>…</m:t>
        </m:r>
        <m:r>
          <m:rPr>
            <m:sty m:val="p"/>
          </m:rPr>
          <m:t>,</m:t>
        </m:r>
        <m:r>
          <m:t>t</m:t>
        </m:r>
        <m:r>
          <m:rPr>
            <m:sty m:val="p"/>
          </m:rPr>
          <m:t>−</m:t>
        </m:r>
        <m:r>
          <m:t>K</m:t>
        </m:r>
      </m:oMath>
      <w:r>
        <w:t xml:space="preserve"> years. Then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58"/>
        <w:gridCol w:w="780"/>
      </w:tblGrid>
      <w:tr>
        <w:trPr>
          <w:cantSplit/>
        </w:trPr>
        <w:tc>
          <w:tcPr>
            <w:tcW w:type="dxa" w:w="8858"/>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pStyle w:val="Equation"/>
              <w:keepNext/>
            </w:pPr>
            <m:oMathPara>
              <m:oMathParaPr>
                <m:jc m:val="center"/>
              </m:oMathParaPr>
              <m:oMath>
                <m:sSub>
                  <m:e>
                    <m:acc>
                      <m:accPr>
                        <m:chr m:val="̂"/>
                      </m:accPr>
                      <m:e>
                        <m:r>
                          <m:t>Y</m:t>
                        </m:r>
                      </m:e>
                    </m:acc>
                  </m:e>
                  <m:sub>
                    <m:r>
                      <m:t>t</m:t>
                    </m:r>
                  </m:sub>
                </m:sSub>
                <m:r>
                  <m:rPr>
                    <m:sty m:val="p"/>
                  </m:rPr>
                  <m:t>−</m:t>
                </m:r>
                <m:sSub>
                  <m:e>
                    <m:bar>
                      <m:barPr>
                        <m:pos m:val="top"/>
                      </m:barPr>
                      <m:e>
                        <m:r>
                          <m:t>e</m:t>
                        </m:r>
                      </m:e>
                    </m:bar>
                  </m:e>
                  <m:sub>
                    <m:r>
                      <m:t>t</m:t>
                    </m:r>
                    <m:r>
                      <m:rPr>
                        <m:sty m:val="p"/>
                      </m:rPr>
                      <m:t>,</m:t>
                    </m:r>
                    <m:r>
                      <m:t>K</m:t>
                    </m:r>
                  </m:sub>
                </m:sSub>
                <m:r>
                  <m:rPr>
                    <m:sty m:val="p"/>
                  </m:rPr>
                  <m:t>−</m:t>
                </m:r>
                <m:sSub>
                  <m:e>
                    <m:r>
                      <m:t>Y</m:t>
                    </m:r>
                  </m:e>
                  <m:sub>
                    <m:r>
                      <m:t>t</m:t>
                    </m:r>
                  </m:sub>
                </m:sSub>
                <m:r>
                  <m:rPr>
                    <m:sty m:val="p"/>
                  </m:rPr>
                  <m:t>=</m:t>
                </m:r>
                <m:r>
                  <m:rPr>
                    <m:sty m:val="p"/>
                  </m:rPr>
                  <m:t>−</m:t>
                </m:r>
                <m:d>
                  <m:dPr>
                    <m:begChr m:val="("/>
                    <m:sepChr m:val=""/>
                    <m:endChr m:val=")"/>
                    <m:grow/>
                  </m:dPr>
                  <m:e>
                    <m:sSub>
                      <m:e>
                        <m:r>
                          <m:t>η</m:t>
                        </m:r>
                      </m:e>
                      <m:sub>
                        <m:r>
                          <m:t>t</m:t>
                        </m:r>
                      </m:sub>
                    </m:sSub>
                    <m:r>
                      <m:rPr>
                        <m:sty m:val="p"/>
                      </m:rPr>
                      <m:t>−</m:t>
                    </m:r>
                    <m:sSub>
                      <m:e>
                        <m:bar>
                          <m:barPr>
                            <m:pos m:val="top"/>
                          </m:barPr>
                          <m:e>
                            <m:r>
                              <m:t>η</m:t>
                            </m:r>
                          </m:e>
                        </m:bar>
                      </m:e>
                      <m:sub>
                        <m:r>
                          <m:t>t</m:t>
                        </m:r>
                        <m:r>
                          <m:rPr>
                            <m:sty m:val="p"/>
                          </m:rPr>
                          <m:t>,</m:t>
                        </m:r>
                        <m:r>
                          <m:t>K</m:t>
                        </m:r>
                      </m:sub>
                    </m:sSub>
                  </m:e>
                </m:d>
                <m:r>
                  <m:rPr>
                    <m:sty m:val="p"/>
                  </m:rPr>
                  <m:t>+</m:t>
                </m:r>
                <m:d>
                  <m:dPr>
                    <m:begChr m:val="("/>
                    <m:sepChr m:val=""/>
                    <m:endChr m:val=")"/>
                    <m:grow/>
                  </m:dPr>
                  <m:e>
                    <m:sSub>
                      <m:e>
                        <m:r>
                          <m:t>d</m:t>
                        </m:r>
                      </m:e>
                      <m:sub>
                        <m:r>
                          <m:t>t</m:t>
                        </m:r>
                      </m:sub>
                    </m:sSub>
                    <m:r>
                      <m:rPr>
                        <m:sty m:val="p"/>
                      </m:rPr>
                      <m:t>−</m:t>
                    </m:r>
                    <m:sSub>
                      <m:e>
                        <m:bar>
                          <m:barPr>
                            <m:pos m:val="top"/>
                          </m:barPr>
                          <m:e>
                            <m:r>
                              <m:t>d</m:t>
                            </m:r>
                          </m:e>
                        </m:bar>
                      </m:e>
                      <m:sub>
                        <m:r>
                          <m:t>t</m:t>
                        </m:r>
                        <m:r>
                          <m:rPr>
                            <m:sty m:val="p"/>
                          </m:rPr>
                          <m:t>,</m:t>
                        </m:r>
                        <m:r>
                          <m:t>K</m:t>
                        </m:r>
                      </m:sub>
                    </m:sSub>
                  </m:e>
                </m:d>
                <m:r>
                  <m:rPr>
                    <m:sty m:val="p"/>
                  </m:rPr>
                  <m:t>,</m:t>
                </m:r>
                <m:r>
                  <m:t>  </m:t>
                </m:r>
                <m:d>
                  <m:dPr>
                    <m:begChr m:val="|"/>
                    <m:sepChr m:val=""/>
                    <m:endChr m:val="|"/>
                    <m:grow/>
                  </m:dPr>
                  <m:e>
                    <m:sSub>
                      <m:e>
                        <m:r>
                          <m:t>d</m:t>
                        </m:r>
                      </m:e>
                      <m:sub>
                        <m:r>
                          <m:t>t</m:t>
                        </m:r>
                      </m:sub>
                    </m:sSub>
                    <m:r>
                      <m:rPr>
                        <m:sty m:val="p"/>
                      </m:rPr>
                      <m:t>−</m:t>
                    </m:r>
                    <m:sSub>
                      <m:e>
                        <m:bar>
                          <m:barPr>
                            <m:pos m:val="top"/>
                          </m:barPr>
                          <m:e>
                            <m:r>
                              <m:t>d</m:t>
                            </m:r>
                          </m:e>
                        </m:bar>
                      </m:e>
                      <m:sub>
                        <m:r>
                          <m:t>t</m:t>
                        </m:r>
                        <m:r>
                          <m:rPr>
                            <m:sty m:val="p"/>
                          </m:rPr>
                          <m:t>,</m:t>
                        </m:r>
                        <m:r>
                          <m:t>K</m:t>
                        </m:r>
                      </m:sub>
                    </m:sSub>
                  </m:e>
                </m:d>
                <m:r>
                  <m:rPr>
                    <m:sty m:val="p"/>
                  </m:rPr>
                  <m:t>≤</m:t>
                </m:r>
                <m:r>
                  <m:t>ρ</m:t>
                </m:r>
                <m:r>
                  <m:t> </m:t>
                </m:r>
                <m:f>
                  <m:fPr>
                    <m:type m:val="bar"/>
                  </m:fPr>
                  <m:num>
                    <m:r>
                      <m:t>K</m:t>
                    </m:r>
                    <m:r>
                      <m:rPr>
                        <m:sty m:val="p"/>
                      </m:rPr>
                      <m:t>+</m:t>
                    </m:r>
                    <m:r>
                      <m:t>1</m:t>
                    </m:r>
                  </m:num>
                  <m:den>
                    <m:r>
                      <m:t>2</m:t>
                    </m:r>
                  </m:den>
                </m:f>
              </m:oMath>
            </m:oMathPara>
          </w:p>
        </w:tc>
        <w:tc>
          <w:tcPr>
            <w:tcW w:type="dxa" w:w="78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right"/>
            </w:pPr>
            <w:r>
              <w:t xml:space="preserve">(9)</w:t>
            </w:r>
          </w:p>
        </w:tc>
      </w:tr>
    </w:tbl>
    <w:p>
      <w:pPr>
        <w:spacing w:after="120" w:before="20"/>
        <w:ind w:left="284"/>
        <w:jc w:val="left"/>
      </w:pPr>
      <w:r>
        <w:rPr>
          <w:i/>
          <w:iCs/>
          <w:color w:val="3A4350"/>
          <w:sz w:val="19"/>
          <w:szCs w:val="19"/>
        </w:rPr>
        <w:t xml:space="preserve">where </w:t>
      </w:r>
      <w:r>
        <w:rPr>
          <w:color w:val="3A4350"/>
          <w:sz w:val="19"/>
          <w:szCs w:val="19"/>
        </w:rPr>
        <w:t xml:space="preserve">the bars are means over the </w:t>
      </w:r>
      <m:oMath>
        <m:r>
          <m:t>K</m:t>
        </m:r>
      </m:oMath>
      <w:r>
        <w:rPr>
          <w:color w:val="3A4350"/>
          <w:sz w:val="19"/>
          <w:szCs w:val="19"/>
        </w:rPr>
        <w:t xml:space="preserve"> samples. The unknown drift is replaced by a lag error bounded by the drift rate times the mean age of the samples. A margin that covers the </w:t>
      </w:r>
      <m:oMath>
        <m:d>
          <m:dPr>
            <m:begChr m:val="("/>
            <m:sepChr m:val=""/>
            <m:endChr m:val=")"/>
            <m:grow/>
          </m:dPr>
          <m:e>
            <m:r>
              <m:t>1</m:t>
            </m:r>
            <m:r>
              <m:rPr>
                <m:sty m:val="p"/>
              </m:rPr>
              <m:t>−</m:t>
            </m:r>
            <m:r>
              <m:t>α</m:t>
            </m:r>
          </m:e>
        </m:d>
      </m:oMath>
      <w:r>
        <w:rPr>
          <w:color w:val="3A4350"/>
          <w:sz w:val="19"/>
          <w:szCs w:val="19"/>
        </w:rPr>
        <w:t xml:space="preserve">-quantile of </w:t>
      </w:r>
      <m:oMath>
        <m:r>
          <m:rPr>
            <m:sty m:val="p"/>
          </m:rPr>
          <m:t>−</m:t>
        </m:r>
        <m:d>
          <m:dPr>
            <m:begChr m:val="("/>
            <m:sepChr m:val=""/>
            <m:endChr m:val=")"/>
            <m:grow/>
          </m:dPr>
          <m:e>
            <m:sSub>
              <m:e>
                <m:r>
                  <m:t>η</m:t>
                </m:r>
              </m:e>
              <m:sub>
                <m:r>
                  <m:t>t</m:t>
                </m:r>
              </m:sub>
            </m:sSub>
            <m:r>
              <m:rPr>
                <m:sty m:val="p"/>
              </m:rPr>
              <m:t>−</m:t>
            </m:r>
            <m:sSub>
              <m:e>
                <m:bar>
                  <m:barPr>
                    <m:pos m:val="top"/>
                  </m:barPr>
                  <m:e>
                    <m:r>
                      <m:t>η</m:t>
                    </m:r>
                  </m:e>
                </m:bar>
              </m:e>
              <m:sub>
                <m:r>
                  <m:t>t</m:t>
                </m:r>
                <m:r>
                  <m:rPr>
                    <m:sty m:val="p"/>
                  </m:rPr>
                  <m:t>,</m:t>
                </m:r>
                <m:r>
                  <m:t>K</m:t>
                </m:r>
              </m:sub>
            </m:sSub>
          </m:e>
        </m:d>
      </m:oMath>
      <w:r>
        <w:rPr>
          <w:color w:val="3A4350"/>
          <w:sz w:val="19"/>
          <w:szCs w:val="19"/>
        </w:rPr>
        <w:t xml:space="preserve"> plus </w:t>
      </w:r>
      <m:oMath>
        <m:r>
          <m:t>ρ</m:t>
        </m:r>
        <m:d>
          <m:dPr>
            <m:begChr m:val="("/>
            <m:sepChr m:val=""/>
            <m:endChr m:val=")"/>
            <m:grow/>
          </m:dPr>
          <m:e>
            <m:r>
              <m:t>K</m:t>
            </m:r>
            <m:r>
              <m:rPr>
                <m:sty m:val="p"/>
              </m:rPr>
              <m:t>+</m:t>
            </m:r>
            <m:r>
              <m:t>1</m:t>
            </m:r>
          </m:e>
        </m:d>
        <m:r>
          <m:rPr>
            <m:sty m:val="p"/>
          </m:rPr>
          <m:t>/</m:t>
        </m:r>
        <m:r>
          <m:t>2</m:t>
        </m:r>
      </m:oMath>
      <w:r>
        <w:rPr>
          <w:color w:val="3A4350"/>
          <w:sz w:val="19"/>
          <w:szCs w:val="19"/>
        </w:rPr>
        <w:t xml:space="preserve"> certifies the re-anchored alarm.</w:t>
      </w:r>
    </w:p>
    <w:p>
      <w:pPr>
        <w:spacing w:after="110"/>
        <w:jc w:val="both"/>
      </w:pPr>
      <w:r>
        <w:rPr>
          <w:i/>
          <w:iCs/>
        </w:rPr>
        <w:t xml:space="preserve">Proof. </w:t>
      </w:r>
      <w:r>
        <w:t xml:space="preserve">Write </w:t>
      </w:r>
      <m:oMath>
        <m:sSub>
          <m:e>
            <m:bar>
              <m:barPr>
                <m:pos m:val="top"/>
              </m:barPr>
              <m:e>
                <m:r>
                  <m:t>e</m:t>
                </m:r>
              </m:e>
            </m:bar>
          </m:e>
          <m:sub>
            <m:r>
              <m:t>t</m:t>
            </m:r>
            <m:r>
              <m:rPr>
                <m:sty m:val="p"/>
              </m:rPr>
              <m:t>,</m:t>
            </m:r>
            <m:r>
              <m:t>K</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d>
              <m:dPr>
                <m:begChr m:val="("/>
                <m:sepChr m:val=""/>
                <m:endChr m:val=")"/>
                <m:grow/>
              </m:dPr>
              <m:e>
                <m:sSub>
                  <m:e>
                    <m:acc>
                      <m:accPr>
                        <m:chr m:val="̂"/>
                      </m:accPr>
                      <m:e>
                        <m:r>
                          <m:t>Y</m:t>
                        </m:r>
                      </m:e>
                    </m:acc>
                  </m:e>
                  <m:sub>
                    <m:r>
                      <m:t>t</m:t>
                    </m:r>
                    <m:r>
                      <m:rPr>
                        <m:sty m:val="p"/>
                      </m:rPr>
                      <m:t>−</m:t>
                    </m:r>
                    <m:r>
                      <m:t>k</m:t>
                    </m:r>
                  </m:sub>
                </m:sSub>
                <m:r>
                  <m:rPr>
                    <m:sty m:val="p"/>
                  </m:rPr>
                  <m:t>−</m:t>
                </m:r>
                <m:sSub>
                  <m:e>
                    <m:r>
                      <m:t>Y</m:t>
                    </m:r>
                  </m:e>
                  <m:sub>
                    <m:r>
                      <m:t>t</m:t>
                    </m:r>
                    <m:r>
                      <m:rPr>
                        <m:sty m:val="p"/>
                      </m:rPr>
                      <m:t>−</m:t>
                    </m:r>
                    <m:r>
                      <m:t>k</m:t>
                    </m:r>
                  </m:sub>
                </m:sSub>
              </m:e>
            </m:d>
          </m:e>
        </m:nary>
        <m:r>
          <m:rPr>
            <m:sty m:val="p"/>
          </m:rPr>
          <m:t>=</m:t>
        </m:r>
        <m:r>
          <m:rPr>
            <m:sty m:val="p"/>
          </m:rPr>
          <m:t>−</m:t>
        </m:r>
        <m:sSub>
          <m:e>
            <m:bar>
              <m:barPr>
                <m:pos m:val="top"/>
              </m:barPr>
              <m:e>
                <m:r>
                  <m:t>η</m:t>
                </m:r>
              </m:e>
            </m:bar>
          </m:e>
          <m:sub>
            <m:r>
              <m:t>t</m:t>
            </m:r>
            <m:r>
              <m:rPr>
                <m:sty m:val="p"/>
              </m:rPr>
              <m:t>,</m:t>
            </m:r>
            <m:r>
              <m:t>K</m:t>
            </m:r>
          </m:sub>
        </m:sSub>
        <m:r>
          <m:rPr>
            <m:sty m:val="p"/>
          </m:rPr>
          <m:t>+</m:t>
        </m:r>
        <m:sSub>
          <m:e>
            <m:bar>
              <m:barPr>
                <m:pos m:val="top"/>
              </m:barPr>
              <m:e>
                <m:r>
                  <m:t>d</m:t>
                </m:r>
              </m:e>
            </m:bar>
          </m:e>
          <m:sub>
            <m:r>
              <m:t>t</m:t>
            </m:r>
            <m:r>
              <m:rPr>
                <m:sty m:val="p"/>
              </m:rPr>
              <m:t>,</m:t>
            </m:r>
            <m:r>
              <m:t>K</m:t>
            </m:r>
          </m:sub>
        </m:sSub>
      </m:oMath>
      <w:r>
        <w:t xml:space="preserve"> and subtract. For the bound, </w:t>
      </w:r>
      <m:oMath>
        <m:d>
          <m:dPr>
            <m:begChr m:val="|"/>
            <m:sepChr m:val=""/>
            <m:endChr m:val="|"/>
            <m:grow/>
          </m:dPr>
          <m:e>
            <m:sSub>
              <m:e>
                <m:r>
                  <m:t>d</m:t>
                </m:r>
              </m:e>
              <m:sub>
                <m:r>
                  <m:t>t</m:t>
                </m:r>
              </m:sub>
            </m:sSub>
            <m:r>
              <m:rPr>
                <m:sty m:val="p"/>
              </m:rPr>
              <m:t>−</m:t>
            </m:r>
            <m:sSub>
              <m:e>
                <m:r>
                  <m:t>d</m:t>
                </m:r>
              </m:e>
              <m:sub>
                <m:r>
                  <m:t>t</m:t>
                </m:r>
                <m:r>
                  <m:rPr>
                    <m:sty m:val="p"/>
                  </m:rPr>
                  <m:t>−</m:t>
                </m:r>
                <m:r>
                  <m:t>k</m:t>
                </m:r>
              </m:sub>
            </m:sSub>
          </m:e>
        </m:d>
        <m:r>
          <m:rPr>
            <m:sty m:val="p"/>
          </m:rPr>
          <m:t>≤</m:t>
        </m:r>
        <m:r>
          <m:t>ρ</m:t>
        </m:r>
        <m:r>
          <m:t>k</m:t>
        </m:r>
      </m:oMath>
      <w:r>
        <w:t xml:space="preserve">, and the mean of </w:t>
      </w:r>
      <m:oMath>
        <m:r>
          <m:t>k</m:t>
        </m:r>
        <m:r>
          <m:rPr>
            <m:sty m:val="p"/>
          </m:rPr>
          <m:t>=</m:t>
        </m:r>
        <m:r>
          <m:t>1</m:t>
        </m:r>
        <m:r>
          <m:rPr>
            <m:sty m:val="p"/>
          </m:rPr>
          <m:t>,</m:t>
        </m:r>
        <m:r>
          <m:rPr>
            <m:sty m:val="p"/>
          </m:rPr>
          <m:t>…</m:t>
        </m:r>
        <m:r>
          <m:rPr>
            <m:sty m:val="p"/>
          </m:rPr>
          <m:t>,</m:t>
        </m:r>
        <m:r>
          <m:t>K</m:t>
        </m:r>
      </m:oMath>
      <w:r>
        <w:t xml:space="preserve"> is </w:t>
      </w:r>
      <m:oMath>
        <m:d>
          <m:dPr>
            <m:begChr m:val="("/>
            <m:sepChr m:val=""/>
            <m:endChr m:val=")"/>
            <m:grow/>
          </m:dPr>
          <m:e>
            <m:r>
              <m:t>K</m:t>
            </m:r>
            <m:r>
              <m:rPr>
                <m:sty m:val="p"/>
              </m:rPr>
              <m:t>+</m:t>
            </m:r>
            <m:r>
              <m:t>1</m:t>
            </m:r>
          </m:e>
        </m:d>
        <m:r>
          <m:rPr>
            <m:sty m:val="p"/>
          </m:rPr>
          <m:t>/</m:t>
        </m:r>
        <m:r>
          <m:t>2</m:t>
        </m:r>
      </m:oMath>
      <w:r>
        <w:t xml:space="preserve">.</w:t>
      </w:r>
      <w:r>
        <w:t xml:space="preserve"> □</w:t>
      </w:r>
    </w:p>
    <w:p>
      <w:pPr>
        <w:spacing w:after="100"/>
        <w:jc w:val="both"/>
      </w:pPr>
      <w:r>
        <w:t xml:space="preserve">With independent seasons the noise term has 1.15 times the spread of </w:t>
      </w:r>
      <m:oMath>
        <m:sSub>
          <m:e>
            <m:r>
              <m:t>η</m:t>
            </m:r>
          </m:e>
          <m:sub>
            <m:r>
              <m:t>t</m:t>
            </m:r>
          </m:sub>
        </m:sSub>
      </m:oMath>
      <w:r>
        <w:t xml:space="preserve"> for </w:t>
      </w:r>
      <m:oMath>
        <m:r>
          <m:t>K</m:t>
        </m:r>
        <m:r>
          <m:rPr>
            <m:sty m:val="p"/>
          </m:rPr>
          <m:t>=</m:t>
        </m:r>
        <m:r>
          <m:t>3</m:t>
        </m:r>
      </m:oMath>
      <w:r>
        <w:t xml:space="preserve">. The test kept the margin of the static alarm and added nothing for the drift, so it checks whether the drift term is small in practice. It is. The re-anchored SPIRANCA-GO alarm over-predicts in 3.4%, 3.1% and 3.1% of the seasons in the three scenarios. It exceeds 10% in 1 aquifer of 20 and misses 1.1% of the exceedances, against 24.2% for the static alarm. Its false alarms (54% of the safe seasons) are many, because after the decision most safe seasons lie close to the standard, but they are 25 points fewer than those of the bolted-on certificate.</w:t>
      </w:r>
    </w:p>
    <w:p>
      <w:pPr>
        <w:spacing w:after="100"/>
        <w:jc w:val="both"/>
      </w:pPr>
      <w:r>
        <w:t xml:space="preserve">Re-anchoring alone is not enough. Least squares on heads and anchors, re-anchored the same way, still over-predicts in 24.7% of the seasons (9 aquifers above 10%). Its margin was calibrated for a world without unrecorded shifts, and between two samples nothing covers the warming or the season-to-season error the decision adds. Each part does one job. The certificate of Theorem S2 covers what can move unseen within the span of the record. The yearly sample covers what the decision does outside it.</w:t>
      </w:r>
    </w:p>
    <w:p>
      <w:pPr>
        <w:spacing w:after="100"/>
        <w:jc w:val="both"/>
      </w:pPr>
      <w:r>
        <w:t xml:space="preserve">The choice of piezometers matters less once the alarm is re-anchored. With three wells, the static alarm on the three wells nearest the supply well failed in 11 aquifers (35.1%), the design of largest record </w:t>
      </w:r>
      <m:oMath>
        <m:sSup>
          <m:e>
            <m:r>
              <m:t>R</m:t>
            </m:r>
          </m:e>
          <m:sup>
            <m:r>
              <m:t>2</m:t>
            </m:r>
          </m:sup>
        </m:sSup>
      </m:oMath>
      <w:r>
        <w:t xml:space="preserve"> in 8 and the SPIRANCA-GO design in 9. Re-anchored, they fail in 3, 1 and 1 (4.5%, 3.1% and 3.1%).</w:t>
      </w:r>
    </w:p>
    <w:p>
      <w:pPr>
        <w:keepNext/>
        <w:spacing w:after="40" w:before="120"/>
        <w:jc w:val="center"/>
      </w:pPr>
      <w:r>
        <w:drawing>
          <wp:inline distT="0" distB="0" distL="0" distR="0">
            <wp:extent cx="6124575" cy="2695575"/>
            <wp:effectExtent t="0" r="0" b="0" l="0"/>
            <wp:docPr id="1" name="Alarm validity on the variable-density section; one aquifer after the decision" descr="Alarm validity on the variable-density section; one aquifer after the decision" title="Alarm validity on the variable-density section; one aquifer after the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695575"/>
                    </a:xfrm>
                    <a:prstGeom prst="rect">
                      <a:avLst/>
                    </a:prstGeom>
                  </pic:spPr>
                </pic:pic>
              </a:graphicData>
            </a:graphic>
          </wp:inline>
        </w:drawing>
      </w:r>
    </w:p>
    <w:p>
      <w:pPr>
        <w:spacing w:after="180"/>
        <w:jc w:val="both"/>
      </w:pPr>
      <w:r>
        <w:rPr>
          <w:b/>
          <w:bCs/>
          <w:color w:val="1F3864"/>
          <w:sz w:val="18"/>
          <w:szCs w:val="18"/>
        </w:rPr>
        <w:t xml:space="preserve">Figure 4. </w:t>
      </w:r>
      <w:r>
        <w:rPr>
          <w:color w:val="3A4350"/>
          <w:sz w:val="18"/>
          <w:szCs w:val="18"/>
        </w:rPr>
        <w:t xml:space="preserve">(a) Share of future seasons in which each alarm over-predicts by more than its margin on the variable-density section (dot: mean over 20 aquifers; line: 10–90% range); shaded: the two alarms re-anchored by a yearly chloride sample at the supply screen. (b) One aquifer where the static alarm fails: chloride at the supply screen after the decision (black), the static SPIRANCA-GO prediction from the heads (red), which sees the change only for five years, and the same prediction re-anchored by a yearly sample (blue); dotted: the predicted chloride above which the alarm sounds.</w:t>
      </w:r>
    </w:p>
    <w:p>
      <w:pPr>
        <w:pStyle w:val="Heading2"/>
      </w:pPr>
      <w:r>
        <w:t xml:space="preserve">7.3 What the section adds</w:t>
      </w:r>
    </w:p>
    <w:p>
      <w:pPr>
        <w:spacing w:after="100"/>
        <w:jc w:val="both"/>
      </w:pPr>
      <w:r>
        <w:t xml:space="preserve">The section confirms two parts of SPIRANCA-GO and corrects a third. The unrecorded warming is certified as the theory says, now in a model with memory and nonlinear heads, provided that the anchors carry their history (filters over 2, 8 and 20 years). A static alarm built before the decision can fail after it, when the decision moves the screen into a regime the record did not contain. This happens exactly where an alarm matters most, at screens that are still fresh. The repair is cheap: one chloride sample a year at the supply screen, used to re-anchor the alarm. This is what Proposition S5 says and what the test shows. At Fushë-Kuqe, where chloride has been measured at a few wells in a few years, this is the measurement to add first after any change of pumping.</w:t>
      </w:r>
    </w:p>
    <w:p>
      <w:pPr>
        <w:pStyle w:val="Heading1"/>
      </w:pPr>
      <w:r>
        <w:t xml:space="preserve">8. What to do next</w:t>
      </w:r>
    </w:p>
    <w:p>
      <w:pPr>
        <w:pStyle w:val="ListParagraph"/>
        <w:numPr>
          <w:ilvl w:val="0"/>
          <w:numId w:val="2"/>
        </w:numPr>
        <w:spacing w:after="50"/>
        <w:jc w:val="both"/>
      </w:pPr>
      <w:r>
        <w:rPr>
          <w:b/>
          <w:bCs/>
        </w:rPr>
        <w:t xml:space="preserve">In the chloride manuscript.</w:t>
      </w:r>
      <w:r>
        <w:t xml:space="preserve"> Cite the anchor-regression paper [5] in §5.4 for the stability of relations across pumping regimes, and add SPIRANCA-GO as a short paragraph on the monitoring that must follow the decision. In §3.3 report </w:t>
      </w:r>
      <m:oMath>
        <m:sSup>
          <m:e>
            <m:acc>
              <m:accPr>
                <m:chr m:val="̂"/>
              </m:accPr>
              <m:e>
                <m:r>
                  <m:t>D</m:t>
                </m:r>
              </m:e>
            </m:acc>
          </m:e>
          <m:sup>
            <m:r>
              <m:rPr>
                <m:sty m:val="p"/>
              </m:rPr>
              <m:t>⋆</m:t>
            </m:r>
          </m:sup>
        </m:sSup>
      </m:oMath>
      <w:r>
        <w:t xml:space="preserve"> of N1 with its bootstrap band and treat </w:t>
      </w:r>
      <m:oMath>
        <m:acc>
          <m:accPr>
            <m:chr m:val="̂"/>
          </m:accPr>
          <m:e>
            <m:r>
              <m:t>m</m:t>
            </m:r>
          </m:e>
        </m:acc>
      </m:oMath>
      <w:r>
        <w:t xml:space="preserve"> only as a check for redundant facts. In Table 4 report the N3 bracket as a bracket, not as a pruning device.</w:t>
      </w:r>
    </w:p>
    <w:p>
      <w:pPr>
        <w:pStyle w:val="ListParagraph"/>
        <w:numPr>
          <w:ilvl w:val="0"/>
          <w:numId w:val="2"/>
        </w:numPr>
        <w:spacing w:after="50"/>
        <w:jc w:val="both"/>
      </w:pPr>
      <w:r>
        <w:rPr>
          <w:b/>
          <w:bCs/>
        </w:rPr>
        <w:t xml:space="preserve">In the assembled-system note.</w:t>
      </w:r>
      <w:r>
        <w:t xml:space="preserve"> State that the safe yield is an order statistic on 25 draws and that a certificate at </w:t>
      </w:r>
      <m:oMath>
        <m:d>
          <m:dPr>
            <m:begChr m:val="("/>
            <m:sepChr m:val=""/>
            <m:endChr m:val=")"/>
            <m:grow/>
          </m:dPr>
          <m:e>
            <m:r>
              <m:t>α</m:t>
            </m:r>
            <m:r>
              <m:rPr>
                <m:sty m:val="p"/>
              </m:rPr>
              <m:t>,</m:t>
            </m:r>
            <m:r>
              <m:t>δ</m:t>
            </m:r>
          </m:e>
        </m:d>
        <m:r>
          <m:rPr>
            <m:sty m:val="p"/>
          </m:rPr>
          <m:t>=</m:t>
        </m:r>
        <m:d>
          <m:dPr>
            <m:begChr m:val="("/>
            <m:sepChr m:val=""/>
            <m:endChr m:val=")"/>
            <m:grow/>
          </m:dPr>
          <m:e>
            <m:r>
              <m:t>10</m:t>
            </m:r>
            <m:r>
              <m:rPr>
                <m:sty m:val="p"/>
              </m:rPr>
              <m:t>%</m:t>
            </m:r>
            <m:r>
              <m:rPr>
                <m:sty m:val="p"/>
              </m:rPr>
              <m:t>,</m:t>
            </m:r>
            <m:r>
              <m:t>10</m:t>
            </m:r>
            <m:r>
              <m:rPr>
                <m:sty m:val="p"/>
              </m:rPr>
              <m:t>%</m:t>
            </m:r>
          </m:e>
        </m:d>
      </m:oMath>
      <w:r>
        <w:t xml:space="preserve"> would cost 11.6% of the value (Section 3.2); with 50 draws it would allow 1 exceedance and with 100 draws 5. After the wells are placed, the alarm that watches them is SPIRANCA-GO's.</w:t>
      </w:r>
    </w:p>
    <w:p>
      <w:pPr>
        <w:pStyle w:val="ListParagraph"/>
        <w:numPr>
          <w:ilvl w:val="0"/>
          <w:numId w:val="2"/>
        </w:numPr>
        <w:spacing w:after="50"/>
        <w:jc w:val="both"/>
      </w:pPr>
      <w:r>
        <w:rPr>
          <w:b/>
          <w:bCs/>
        </w:rPr>
        <w:t xml:space="preserve">In the field.</w:t>
      </w:r>
      <w:r>
        <w:t xml:space="preserve"> Keep the pumping of every supply well and the gauge rainfall as season-by-season records: they are the anchors, and without them the decision cannot be corrected. Put the first new piezometer inland, where recharge and private abstraction show, not next to the supply wells. Keep a rough yearly index of private abstraction (irrigation permits or cropped area): it brings the most dangerous unseen shift into the span of the anchors.</w:t>
      </w:r>
    </w:p>
    <w:p>
      <w:pPr>
        <w:pStyle w:val="ListParagraph"/>
        <w:numPr>
          <w:ilvl w:val="0"/>
          <w:numId w:val="2"/>
        </w:numPr>
        <w:spacing w:after="50"/>
        <w:jc w:val="both"/>
      </w:pPr>
      <w:r>
        <w:rPr>
          <w:b/>
          <w:bCs/>
        </w:rPr>
        <w:t xml:space="preserve">After any change of pumping.</w:t>
      </w:r>
      <w:r>
        <w:t xml:space="preserve"> Sample chloride at each supply screen at least once a year and re-anchor the head-based alarm with the samples (Proposition S5). On the variable-density section this was what kept the alarm valid where the decision moved the screen out of the regime of the record (Section 7).</w:t>
      </w:r>
    </w:p>
    <w:p>
      <w:pPr>
        <w:pStyle w:val="ListParagraph"/>
        <w:numPr>
          <w:ilvl w:val="0"/>
          <w:numId w:val="2"/>
        </w:numPr>
        <w:spacing w:after="50"/>
        <w:jc w:val="both"/>
      </w:pPr>
      <w:r>
        <w:rPr>
          <w:b/>
          <w:bCs/>
        </w:rPr>
        <w:t xml:space="preserve">Next step.</w:t>
      </w:r>
      <w:r>
        <w:t xml:space="preserve"> Repeat Section 7 on the three-dimensional Fushë-Kuqe sector, with the present state from the assimilation of the chloride series of 1984–2001 and the anchors from the real pumping and rainfall records.</w:t>
      </w:r>
    </w:p>
    <w:p>
      <w:pPr>
        <w:spacing w:after="100"/>
        <w:jc w:val="both"/>
      </w:pPr>
      <w:r>
        <w:t xml:space="preserve">Prepared on 27 October 2026 from the two uploaded documents and from experiments/spiranca_go in the author's repository (sg_model.py, sg_run.py, sg_checks.py, sg_ltt.py, sg_figs.py, and for Section 7 sv_model.py and sv_run.py); every number about the tests is read from experiments/spiranca_go/res and checked when the document is built. The twenty papers are cited with the details of the twenty-paper note, which checked them; they were not re-checked here. The propositions S1–S5 are ours; they were not found in the papers read, but the search was not systematic.</w:t>
      </w:r>
    </w:p>
    <w:p>
      <w:pPr>
        <w:pStyle w:val="Heading1"/>
      </w:pPr>
      <w:r>
        <w:t xml:space="preserve">References</w:t>
      </w:r>
    </w:p>
    <w:p>
      <w:pPr>
        <w:tabs>
          <w:tab w:val="left" w:pos="454"/>
        </w:tabs>
        <w:spacing w:after="50"/>
        <w:ind w:left="454" w:hanging="454"/>
      </w:pPr>
      <w:r>
        <w:rPr>
          <w:b/>
          <w:bCs/>
          <w:color w:val="1F3864"/>
          <w:sz w:val="17"/>
          <w:szCs w:val="17"/>
        </w:rPr>
        <w:t xml:space="preserve">[1]	</w:t>
      </w:r>
      <w:r>
        <w:rPr>
          <w:sz w:val="17"/>
          <w:szCs w:val="17"/>
        </w:rPr>
        <w:t xml:space="preserve">Zeqiraj, D. (in preparation). From sparse hydrochemistry to decision-relevant information: probabilistic chloride mapping and goal-oriented monitoring design for seawater intrusion in the Fushë-Kuqe coastal aquifer, Albania. Code: chloride_fk in the author's repository.</w:t>
      </w:r>
    </w:p>
    <w:p>
      <w:pPr>
        <w:tabs>
          <w:tab w:val="left" w:pos="454"/>
        </w:tabs>
        <w:spacing w:after="50"/>
        <w:ind w:left="454" w:hanging="454"/>
      </w:pPr>
      <w:r>
        <w:rPr>
          <w:b/>
          <w:bCs/>
          <w:color w:val="1F3864"/>
          <w:sz w:val="17"/>
          <w:szCs w:val="17"/>
        </w:rPr>
        <w:t xml:space="preserve">[2]	</w:t>
      </w:r>
      <w:r>
        <w:rPr>
          <w:sz w:val="17"/>
          <w:szCs w:val="17"/>
        </w:rPr>
        <w:t xml:space="preserve">Zeqiraj, D. (2026). Goal-oriented Bayesian experimental design for variable-density seawater intrusion: adjoint expected information gain for joint monitoring and managed-aquifer-recharge placement. </w:t>
      </w:r>
      <w:r>
        <w:rPr>
          <w:i/>
          <w:iCs/>
          <w:sz w:val="17"/>
          <w:szCs w:val="17"/>
        </w:rPr>
        <w:t xml:space="preserve">Journal of Hydrology</w:t>
      </w:r>
      <w:r>
        <w:rPr>
          <w:sz w:val="17"/>
          <w:szCs w:val="17"/>
        </w:rPr>
        <w:t xml:space="preserve">, 680, 136559.</w:t>
      </w:r>
      <w:r>
        <w:rPr>
          <w:sz w:val="17"/>
          <w:szCs w:val="17"/>
        </w:rPr>
        <w:t xml:space="preserve"> </w:t>
      </w:r>
      <w:hyperlink w:history="1" r:id="rIdo6gwnvwj_zjdcsejk7n3v">
        <w:r>
          <w:rPr>
            <w:color w:val="1D4ED8"/>
            <w:sz w:val="17"/>
            <w:szCs w:val="17"/>
            <w:u w:val="single"/>
          </w:rPr>
          <w:t xml:space="preserve">https://doi.org/10.1016/j.jhydrol.2026.136559</w:t>
        </w:r>
      </w:hyperlink>
    </w:p>
    <w:p>
      <w:pPr>
        <w:tabs>
          <w:tab w:val="left" w:pos="454"/>
        </w:tabs>
        <w:spacing w:after="50"/>
        <w:ind w:left="454" w:hanging="454"/>
      </w:pPr>
      <w:r>
        <w:rPr>
          <w:b/>
          <w:bCs/>
          <w:color w:val="1F3864"/>
          <w:sz w:val="17"/>
          <w:szCs w:val="17"/>
        </w:rPr>
        <w:t xml:space="preserve">[3]	</w:t>
      </w:r>
      <w:r>
        <w:rPr>
          <w:sz w:val="17"/>
          <w:szCs w:val="17"/>
        </w:rPr>
        <w:t xml:space="preserve">Zeqiraj, D. (2026). </w:t>
      </w:r>
      <w:r>
        <w:rPr>
          <w:i/>
          <w:iCs/>
          <w:sz w:val="17"/>
          <w:szCs w:val="17"/>
        </w:rPr>
        <w:t xml:space="preserve">Assembling the equations of a coastal aquifer, with the placement of recharge and pumping wells as the final goal</w:t>
      </w:r>
      <w:r>
        <w:rPr>
          <w:sz w:val="17"/>
          <w:szCs w:val="17"/>
        </w:rPr>
        <w:t xml:space="preserve">. Technical note of the author's series (in preparation, October 2026), with the experiment MONTIMI-GO (experiments/montimi_go).</w:t>
      </w:r>
    </w:p>
    <w:p>
      <w:pPr>
        <w:tabs>
          <w:tab w:val="left" w:pos="454"/>
        </w:tabs>
        <w:spacing w:after="50"/>
        <w:ind w:left="454" w:hanging="454"/>
      </w:pPr>
      <w:r>
        <w:rPr>
          <w:b/>
          <w:bCs/>
          <w:color w:val="1F3864"/>
          <w:sz w:val="17"/>
          <w:szCs w:val="17"/>
        </w:rPr>
        <w:t xml:space="preserve">[4]	</w:t>
      </w:r>
      <w:r>
        <w:rPr>
          <w:sz w:val="17"/>
          <w:szCs w:val="17"/>
        </w:rPr>
        <w:t xml:space="preserve">Twenty papers 2020–2026 from Oxford, ETH Zürich, Berkeley, Harvard and Princeton, related directly or indirectly to the manuscript for the </w:t>
      </w:r>
      <w:r>
        <w:rPr>
          <w:i/>
          <w:iCs/>
          <w:sz w:val="17"/>
          <w:szCs w:val="17"/>
        </w:rPr>
        <w:t xml:space="preserve">Journal of Hydrology</w:t>
      </w:r>
      <w:r>
        <w:rPr>
          <w:sz w:val="17"/>
          <w:szCs w:val="17"/>
        </w:rPr>
        <w:t xml:space="preserve">: calibration under misspecification, goal-oriented design, certified thresholds, causality and dynamics with side information. Unpublished note in Albanian prepared for D. Zeqiraj, 19 October 2026.</w:t>
      </w:r>
    </w:p>
    <w:p>
      <w:pPr>
        <w:tabs>
          <w:tab w:val="left" w:pos="454"/>
        </w:tabs>
        <w:spacing w:after="50"/>
        <w:ind w:left="454" w:hanging="454"/>
      </w:pPr>
      <w:r>
        <w:rPr>
          <w:b/>
          <w:bCs/>
          <w:color w:val="1F3864"/>
          <w:sz w:val="17"/>
          <w:szCs w:val="17"/>
        </w:rPr>
        <w:t xml:space="preserve">[5]	</w:t>
      </w:r>
      <w:r>
        <w:rPr>
          <w:sz w:val="17"/>
          <w:szCs w:val="17"/>
        </w:rPr>
        <w:t xml:space="preserve">Rothenhäusler, D., Meinshausen, N., Bühlmann, P. &amp; Peters, J. (2021). Anchor regression: heterogeneous data meet causality. </w:t>
      </w:r>
      <w:r>
        <w:rPr>
          <w:i/>
          <w:iCs/>
          <w:sz w:val="17"/>
          <w:szCs w:val="17"/>
        </w:rPr>
        <w:t xml:space="preserve">Journal of the Royal Statistical Society Series B</w:t>
      </w:r>
      <w:r>
        <w:rPr>
          <w:sz w:val="17"/>
          <w:szCs w:val="17"/>
        </w:rPr>
        <w:t xml:space="preserve">, 83(2), 215–246.</w:t>
      </w:r>
      <w:r>
        <w:rPr>
          <w:sz w:val="17"/>
          <w:szCs w:val="17"/>
        </w:rPr>
        <w:t xml:space="preserve"> </w:t>
      </w:r>
      <w:hyperlink w:history="1" r:id="rIda393npekxx5f-qcetjcqd">
        <w:r>
          <w:rPr>
            <w:color w:val="1D4ED8"/>
            <w:sz w:val="17"/>
            <w:szCs w:val="17"/>
            <w:u w:val="single"/>
          </w:rPr>
          <w:t xml:space="preserve">https://doi.org/10.1111/rssb.12398</w:t>
        </w:r>
      </w:hyperlink>
    </w:p>
    <w:p>
      <w:pPr>
        <w:tabs>
          <w:tab w:val="left" w:pos="454"/>
        </w:tabs>
        <w:spacing w:after="50"/>
        <w:ind w:left="454" w:hanging="454"/>
      </w:pPr>
      <w:r>
        <w:rPr>
          <w:b/>
          <w:bCs/>
          <w:color w:val="1F3864"/>
          <w:sz w:val="17"/>
          <w:szCs w:val="17"/>
        </w:rPr>
        <w:t xml:space="preserve">[6]	</w:t>
      </w:r>
      <w:r>
        <w:rPr>
          <w:sz w:val="17"/>
          <w:szCs w:val="17"/>
        </w:rPr>
        <w:t xml:space="preserve">Angelopoulos, A. N., Bates, S., Candès, E. J., Jordan, M. I. &amp; Lei, L. (2025). Learn then test: calibrating predictive algorithms to achieve risk control. </w:t>
      </w:r>
      <w:r>
        <w:rPr>
          <w:i/>
          <w:iCs/>
          <w:sz w:val="17"/>
          <w:szCs w:val="17"/>
        </w:rPr>
        <w:t xml:space="preserve">Annals of Applied Statistics</w:t>
      </w:r>
      <w:r>
        <w:rPr>
          <w:sz w:val="17"/>
          <w:szCs w:val="17"/>
        </w:rPr>
        <w:t xml:space="preserve">, 19(2), 1641–1662 (details as given in the twenty-paper note; not re-checked here).</w:t>
      </w:r>
      <w:r>
        <w:rPr>
          <w:sz w:val="17"/>
          <w:szCs w:val="17"/>
        </w:rPr>
        <w:t xml:space="preserve"> </w:t>
      </w:r>
      <w:hyperlink w:history="1" r:id="rIdp-wcbpp-smrhziwub2w64">
        <w:r>
          <w:rPr>
            <w:color w:val="1D4ED8"/>
            <w:sz w:val="17"/>
            <w:szCs w:val="17"/>
            <w:u w:val="single"/>
          </w:rPr>
          <w:t xml:space="preserve">https://doi.org/10.1214/24-AOAS1998</w:t>
        </w:r>
      </w:hyperlink>
    </w:p>
    <w:p>
      <w:pPr>
        <w:tabs>
          <w:tab w:val="left" w:pos="454"/>
        </w:tabs>
        <w:spacing w:after="50"/>
        <w:ind w:left="454" w:hanging="454"/>
      </w:pPr>
      <w:r>
        <w:rPr>
          <w:b/>
          <w:bCs/>
          <w:color w:val="1F3864"/>
          <w:sz w:val="17"/>
          <w:szCs w:val="17"/>
        </w:rPr>
        <w:t xml:space="preserve">[7]	</w:t>
      </w:r>
      <w:r>
        <w:rPr>
          <w:sz w:val="17"/>
          <w:szCs w:val="17"/>
        </w:rPr>
        <w:t xml:space="preserve">Frazier, D. T., Robert, C. P. &amp; Rousseau, J. (2020). Model misspecification in approximate Bayesian computation: consequences and diagnostics. </w:t>
      </w:r>
      <w:r>
        <w:rPr>
          <w:i/>
          <w:iCs/>
          <w:sz w:val="17"/>
          <w:szCs w:val="17"/>
        </w:rPr>
        <w:t xml:space="preserve">Journal of the Royal Statistical Society Series B</w:t>
      </w:r>
      <w:r>
        <w:rPr>
          <w:sz w:val="17"/>
          <w:szCs w:val="17"/>
        </w:rPr>
        <w:t xml:space="preserve">, 82(2), 421–444 (details as given in the twenty-paper note; not re-checked here).</w:t>
      </w:r>
      <w:r>
        <w:rPr>
          <w:sz w:val="17"/>
          <w:szCs w:val="17"/>
        </w:rPr>
        <w:t xml:space="preserve"> </w:t>
      </w:r>
      <w:hyperlink w:history="1" r:id="rId51vszin3xrfjp-okmvaap">
        <w:r>
          <w:rPr>
            <w:color w:val="1D4ED8"/>
            <w:sz w:val="17"/>
            <w:szCs w:val="17"/>
            <w:u w:val="single"/>
          </w:rPr>
          <w:t xml:space="preserve">https://doi.org/10.1111/rssb.12356</w:t>
        </w:r>
      </w:hyperlink>
    </w:p>
    <w:p>
      <w:pPr>
        <w:tabs>
          <w:tab w:val="left" w:pos="454"/>
        </w:tabs>
        <w:spacing w:after="50"/>
        <w:ind w:left="454" w:hanging="454"/>
      </w:pPr>
      <w:r>
        <w:rPr>
          <w:b/>
          <w:bCs/>
          <w:color w:val="1F3864"/>
          <w:sz w:val="17"/>
          <w:szCs w:val="17"/>
        </w:rPr>
        <w:t xml:space="preserve">[8]	</w:t>
      </w:r>
      <w:r>
        <w:rPr>
          <w:sz w:val="17"/>
          <w:szCs w:val="17"/>
        </w:rPr>
        <w:t xml:space="preserve">Fong, E. &amp; Holmes, C. C. (2020). On the marginal likelihood and cross-validation. </w:t>
      </w:r>
      <w:r>
        <w:rPr>
          <w:i/>
          <w:iCs/>
          <w:sz w:val="17"/>
          <w:szCs w:val="17"/>
        </w:rPr>
        <w:t xml:space="preserve">Biometrika</w:t>
      </w:r>
      <w:r>
        <w:rPr>
          <w:sz w:val="17"/>
          <w:szCs w:val="17"/>
        </w:rPr>
        <w:t xml:space="preserve">, 107(2), 489–496 (details as given in the twenty-paper note; not re-checked here).</w:t>
      </w:r>
      <w:r>
        <w:rPr>
          <w:sz w:val="17"/>
          <w:szCs w:val="17"/>
        </w:rPr>
        <w:t xml:space="preserve"> </w:t>
      </w:r>
      <w:hyperlink w:history="1" r:id="rId9xb25rcirdxjd6yjqryea">
        <w:r>
          <w:rPr>
            <w:color w:val="1D4ED8"/>
            <w:sz w:val="17"/>
            <w:szCs w:val="17"/>
            <w:u w:val="single"/>
          </w:rPr>
          <w:t xml:space="preserve">https://doi.org/10.1093/biomet/asz077</w:t>
        </w:r>
      </w:hyperlink>
    </w:p>
    <w:p>
      <w:pPr>
        <w:tabs>
          <w:tab w:val="left" w:pos="454"/>
        </w:tabs>
        <w:spacing w:after="50"/>
        <w:ind w:left="454" w:hanging="454"/>
      </w:pPr>
      <w:r>
        <w:rPr>
          <w:b/>
          <w:bCs/>
          <w:color w:val="1F3864"/>
          <w:sz w:val="17"/>
          <w:szCs w:val="17"/>
        </w:rPr>
        <w:t xml:space="preserve">[9]	</w:t>
      </w:r>
      <w:r>
        <w:rPr>
          <w:sz w:val="17"/>
          <w:szCs w:val="17"/>
        </w:rPr>
        <w:t xml:space="preserve">Miller, J. W. (2021). Asymptotic normality, concentration, and coverage of generalized posteriors. </w:t>
      </w:r>
      <w:r>
        <w:rPr>
          <w:i/>
          <w:iCs/>
          <w:sz w:val="17"/>
          <w:szCs w:val="17"/>
        </w:rPr>
        <w:t xml:space="preserve">Journal of Machine Learning Research</w:t>
      </w:r>
      <w:r>
        <w:rPr>
          <w:sz w:val="17"/>
          <w:szCs w:val="17"/>
        </w:rPr>
        <w:t xml:space="preserve">, 22(168), 1–53 (details as given in the twenty-paper note; not re-checked here).</w:t>
      </w:r>
      <w:r>
        <w:rPr>
          <w:sz w:val="17"/>
          <w:szCs w:val="17"/>
        </w:rPr>
        <w:t xml:space="preserve"> </w:t>
      </w:r>
      <w:hyperlink w:history="1" r:id="rIdomwo-b-_5uupelcnazmi5">
        <w:r>
          <w:rPr>
            <w:color w:val="1D4ED8"/>
            <w:sz w:val="17"/>
            <w:szCs w:val="17"/>
            <w:u w:val="single"/>
          </w:rPr>
          <w:t xml:space="preserve">https://jmlr.org/papers/v22/20-469.html</w:t>
        </w:r>
      </w:hyperlink>
    </w:p>
    <w:p>
      <w:pPr>
        <w:tabs>
          <w:tab w:val="left" w:pos="454"/>
        </w:tabs>
        <w:spacing w:after="50"/>
        <w:ind w:left="454" w:hanging="454"/>
      </w:pPr>
      <w:r>
        <w:rPr>
          <w:b/>
          <w:bCs/>
          <w:color w:val="1F3864"/>
          <w:sz w:val="17"/>
          <w:szCs w:val="17"/>
        </w:rPr>
        <w:t xml:space="preserve">[10]	</w:t>
      </w:r>
      <w:r>
        <w:rPr>
          <w:sz w:val="17"/>
          <w:szCs w:val="17"/>
        </w:rPr>
        <w:t xml:space="preserve">Wagner, P.-R., Marelli, S. &amp; Sudret, B. (2021). Bayesian model inversion using stochastic spectral embedding. </w:t>
      </w:r>
      <w:r>
        <w:rPr>
          <w:i/>
          <w:iCs/>
          <w:sz w:val="17"/>
          <w:szCs w:val="17"/>
        </w:rPr>
        <w:t xml:space="preserve">Journal of Computational Physics</w:t>
      </w:r>
      <w:r>
        <w:rPr>
          <w:sz w:val="17"/>
          <w:szCs w:val="17"/>
        </w:rPr>
        <w:t xml:space="preserve">, 436, 110141 (details as given in the twenty-paper note; not re-checked here).</w:t>
      </w:r>
      <w:r>
        <w:rPr>
          <w:sz w:val="17"/>
          <w:szCs w:val="17"/>
        </w:rPr>
        <w:t xml:space="preserve"> </w:t>
      </w:r>
      <w:hyperlink w:history="1" r:id="rIdvhdjgkwdrxtd1hs_1l8pg">
        <w:r>
          <w:rPr>
            <w:color w:val="1D4ED8"/>
            <w:sz w:val="17"/>
            <w:szCs w:val="17"/>
            <w:u w:val="single"/>
          </w:rPr>
          <w:t xml:space="preserve">https://doi.org/10.1016/j.jcp.2021.110141</w:t>
        </w:r>
      </w:hyperlink>
    </w:p>
    <w:p>
      <w:pPr>
        <w:tabs>
          <w:tab w:val="left" w:pos="454"/>
        </w:tabs>
        <w:spacing w:after="50"/>
        <w:ind w:left="454" w:hanging="454"/>
      </w:pPr>
      <w:r>
        <w:rPr>
          <w:b/>
          <w:bCs/>
          <w:color w:val="1F3864"/>
          <w:sz w:val="17"/>
          <w:szCs w:val="17"/>
        </w:rPr>
        <w:t xml:space="preserve">[11]	</w:t>
      </w:r>
      <w:r>
        <w:rPr>
          <w:sz w:val="17"/>
          <w:szCs w:val="17"/>
        </w:rPr>
        <w:t xml:space="preserve">Foster, A., Jankowiak, M., O'Meara, M., Teh, Y. W. &amp; Rainforth, T. (2020). A unified stochastic gradient approach to designing Bayesian-optimal experiments. </w:t>
      </w:r>
      <w:r>
        <w:rPr>
          <w:i/>
          <w:iCs/>
          <w:sz w:val="17"/>
          <w:szCs w:val="17"/>
        </w:rPr>
        <w:t xml:space="preserve">Proceedings of AISTATS 2020</w:t>
      </w:r>
      <w:r>
        <w:rPr>
          <w:sz w:val="17"/>
          <w:szCs w:val="17"/>
        </w:rPr>
        <w:t xml:space="preserve">, PMLR 108, 2959–2969 (details as given in the twenty-paper note; not re-checked here).</w:t>
      </w:r>
      <w:r>
        <w:rPr>
          <w:sz w:val="17"/>
          <w:szCs w:val="17"/>
        </w:rPr>
        <w:t xml:space="preserve"> </w:t>
      </w:r>
      <w:hyperlink w:history="1" r:id="rIdqbo7qtdoinxigrtan3w1s">
        <w:r>
          <w:rPr>
            <w:color w:val="1D4ED8"/>
            <w:sz w:val="17"/>
            <w:szCs w:val="17"/>
            <w:u w:val="single"/>
          </w:rPr>
          <w:t xml:space="preserve">https://proceedings.mlr.press/v108/foster20a.html</w:t>
        </w:r>
      </w:hyperlink>
    </w:p>
    <w:p>
      <w:pPr>
        <w:tabs>
          <w:tab w:val="left" w:pos="454"/>
        </w:tabs>
        <w:spacing w:after="50"/>
        <w:ind w:left="454" w:hanging="454"/>
      </w:pPr>
      <w:r>
        <w:rPr>
          <w:b/>
          <w:bCs/>
          <w:color w:val="1F3864"/>
          <w:sz w:val="17"/>
          <w:szCs w:val="17"/>
        </w:rPr>
        <w:t xml:space="preserve">[12]	</w:t>
      </w:r>
      <w:r>
        <w:rPr>
          <w:sz w:val="17"/>
          <w:szCs w:val="17"/>
        </w:rPr>
        <w:t xml:space="preserve">Bickford Smith, F., Kirsch, A., Farquhar, S., Gal, Y., Foster, A. &amp; Rainforth, T. (2023). Prediction-oriented Bayesian active learning. </w:t>
      </w:r>
      <w:r>
        <w:rPr>
          <w:i/>
          <w:iCs/>
          <w:sz w:val="17"/>
          <w:szCs w:val="17"/>
        </w:rPr>
        <w:t xml:space="preserve">Proceedings of AISTATS 2023</w:t>
      </w:r>
      <w:r>
        <w:rPr>
          <w:sz w:val="17"/>
          <w:szCs w:val="17"/>
        </w:rPr>
        <w:t xml:space="preserve">, PMLR 206, 7331–7348 (details as given in the twenty-paper note; not re-checked here).</w:t>
      </w:r>
      <w:r>
        <w:rPr>
          <w:sz w:val="17"/>
          <w:szCs w:val="17"/>
        </w:rPr>
        <w:t xml:space="preserve"> </w:t>
      </w:r>
      <w:hyperlink w:history="1" r:id="rIdycvph3itogmnmrg7pxeia">
        <w:r>
          <w:rPr>
            <w:color w:val="1D4ED8"/>
            <w:sz w:val="17"/>
            <w:szCs w:val="17"/>
            <w:u w:val="single"/>
          </w:rPr>
          <w:t xml:space="preserve">https://proceedings.mlr.press/v206/bickfordsmith23a.html</w:t>
        </w:r>
      </w:hyperlink>
    </w:p>
    <w:p>
      <w:pPr>
        <w:tabs>
          <w:tab w:val="left" w:pos="454"/>
        </w:tabs>
        <w:spacing w:after="50"/>
        <w:ind w:left="454" w:hanging="454"/>
      </w:pPr>
      <w:r>
        <w:rPr>
          <w:b/>
          <w:bCs/>
          <w:color w:val="1F3864"/>
          <w:sz w:val="17"/>
          <w:szCs w:val="17"/>
        </w:rPr>
        <w:t xml:space="preserve">[13]	</w:t>
      </w:r>
      <w:r>
        <w:rPr>
          <w:sz w:val="17"/>
          <w:szCs w:val="17"/>
        </w:rPr>
        <w:t xml:space="preserve">Foster, A., Ivanova, D. R., Malik, I. &amp; Rainforth, T. (2021). Deep adaptive design: amortizing sequential Bayesian experimental design. </w:t>
      </w:r>
      <w:r>
        <w:rPr>
          <w:i/>
          <w:iCs/>
          <w:sz w:val="17"/>
          <w:szCs w:val="17"/>
        </w:rPr>
        <w:t xml:space="preserve">Proceedings of the 38th ICML</w:t>
      </w:r>
      <w:r>
        <w:rPr>
          <w:sz w:val="17"/>
          <w:szCs w:val="17"/>
        </w:rPr>
        <w:t xml:space="preserve">, PMLR 139, 3384–3395 (details as given in the twenty-paper note; not re-checked here).</w:t>
      </w:r>
      <w:r>
        <w:rPr>
          <w:sz w:val="17"/>
          <w:szCs w:val="17"/>
        </w:rPr>
        <w:t xml:space="preserve"> </w:t>
      </w:r>
      <w:hyperlink w:history="1" r:id="rId09mkuq21g845nfhrncbm5">
        <w:r>
          <w:rPr>
            <w:color w:val="1D4ED8"/>
            <w:sz w:val="17"/>
            <w:szCs w:val="17"/>
            <w:u w:val="single"/>
          </w:rPr>
          <w:t xml:space="preserve">https://proceedings.mlr.press/v139/foster21a.html</w:t>
        </w:r>
      </w:hyperlink>
    </w:p>
    <w:p>
      <w:pPr>
        <w:tabs>
          <w:tab w:val="left" w:pos="454"/>
        </w:tabs>
        <w:spacing w:after="50"/>
        <w:ind w:left="454" w:hanging="454"/>
      </w:pPr>
      <w:r>
        <w:rPr>
          <w:b/>
          <w:bCs/>
          <w:color w:val="1F3864"/>
          <w:sz w:val="17"/>
          <w:szCs w:val="17"/>
        </w:rPr>
        <w:t xml:space="preserve">[14]	</w:t>
      </w:r>
      <w:r>
        <w:rPr>
          <w:sz w:val="17"/>
          <w:szCs w:val="17"/>
        </w:rPr>
        <w:t xml:space="preserve">Hübotter, J., Sukhija, B., Treven, L., As, Y. &amp; Krause, A. (2024). Transductive active learning: theory and applications. </w:t>
      </w:r>
      <w:r>
        <w:rPr>
          <w:i/>
          <w:iCs/>
          <w:sz w:val="17"/>
          <w:szCs w:val="17"/>
        </w:rPr>
        <w:t xml:space="preserve">Advances in Neural Information Processing Systems</w:t>
      </w:r>
      <w:r>
        <w:rPr>
          <w:sz w:val="17"/>
          <w:szCs w:val="17"/>
        </w:rPr>
        <w:t xml:space="preserve">, 37, 124686–124755 (details as given in the twenty-paper note; not re-checked here).</w:t>
      </w:r>
      <w:r>
        <w:rPr>
          <w:sz w:val="17"/>
          <w:szCs w:val="17"/>
        </w:rPr>
        <w:t xml:space="preserve"> </w:t>
      </w:r>
      <w:hyperlink w:history="1" r:id="rIdsg3m68d5wjgczicxfeid4">
        <w:r>
          <w:rPr>
            <w:color w:val="1D4ED8"/>
            <w:sz w:val="17"/>
            <w:szCs w:val="17"/>
            <w:u w:val="single"/>
          </w:rPr>
          <w:t xml:space="preserve">https://arxiv.org/abs/2402.15898</w:t>
        </w:r>
      </w:hyperlink>
    </w:p>
    <w:p>
      <w:pPr>
        <w:tabs>
          <w:tab w:val="left" w:pos="454"/>
        </w:tabs>
        <w:spacing w:after="50"/>
        <w:ind w:left="454" w:hanging="454"/>
      </w:pPr>
      <w:r>
        <w:rPr>
          <w:b/>
          <w:bCs/>
          <w:color w:val="1F3864"/>
          <w:sz w:val="17"/>
          <w:szCs w:val="17"/>
        </w:rPr>
        <w:t xml:space="preserve">[15]	</w:t>
      </w:r>
      <w:r>
        <w:rPr>
          <w:sz w:val="17"/>
          <w:szCs w:val="17"/>
        </w:rPr>
        <w:t xml:space="preserve">Mutný, M. &amp; Krause, A. (2022). Experimental design for linear functionals in reproducing kernel Hilbert spaces. </w:t>
      </w:r>
      <w:r>
        <w:rPr>
          <w:i/>
          <w:iCs/>
          <w:sz w:val="17"/>
          <w:szCs w:val="17"/>
        </w:rPr>
        <w:t xml:space="preserve">Advances in Neural Information Processing Systems</w:t>
      </w:r>
      <w:r>
        <w:rPr>
          <w:sz w:val="17"/>
          <w:szCs w:val="17"/>
        </w:rPr>
        <w:t xml:space="preserve">, 35, 20175–20188 (details as given in the twenty-paper note; not re-checked here).</w:t>
      </w:r>
    </w:p>
    <w:p>
      <w:pPr>
        <w:tabs>
          <w:tab w:val="left" w:pos="454"/>
        </w:tabs>
        <w:spacing w:after="50"/>
        <w:ind w:left="454" w:hanging="454"/>
      </w:pPr>
      <w:r>
        <w:rPr>
          <w:b/>
          <w:bCs/>
          <w:color w:val="1F3864"/>
          <w:sz w:val="17"/>
          <w:szCs w:val="17"/>
        </w:rPr>
        <w:t xml:space="preserve">[16]	</w:t>
      </w:r>
      <w:r>
        <w:rPr>
          <w:sz w:val="17"/>
          <w:szCs w:val="17"/>
        </w:rPr>
        <w:t xml:space="preserve">Bates, S., Angelopoulos, A., Lei, L., Malik, J. &amp; Jordan, M. I. (2021). Distribution-free, risk-controlling prediction sets. </w:t>
      </w:r>
      <w:r>
        <w:rPr>
          <w:i/>
          <w:iCs/>
          <w:sz w:val="17"/>
          <w:szCs w:val="17"/>
        </w:rPr>
        <w:t xml:space="preserve">Journal of the ACM</w:t>
      </w:r>
      <w:r>
        <w:rPr>
          <w:sz w:val="17"/>
          <w:szCs w:val="17"/>
        </w:rPr>
        <w:t xml:space="preserve">, 68(6), 1–34 (details as given in the twenty-paper note; not re-checked here).</w:t>
      </w:r>
      <w:r>
        <w:rPr>
          <w:sz w:val="17"/>
          <w:szCs w:val="17"/>
        </w:rPr>
        <w:t xml:space="preserve"> </w:t>
      </w:r>
      <w:hyperlink w:history="1" r:id="rIdpvbkosha2pjomrkehvu3a">
        <w:r>
          <w:rPr>
            <w:color w:val="1D4ED8"/>
            <w:sz w:val="17"/>
            <w:szCs w:val="17"/>
            <w:u w:val="single"/>
          </w:rPr>
          <w:t xml:space="preserve">https://doi.org/10.1145/3478535</w:t>
        </w:r>
      </w:hyperlink>
    </w:p>
    <w:p>
      <w:pPr>
        <w:tabs>
          <w:tab w:val="left" w:pos="454"/>
        </w:tabs>
        <w:spacing w:after="50"/>
        <w:ind w:left="454" w:hanging="454"/>
      </w:pPr>
      <w:r>
        <w:rPr>
          <w:b/>
          <w:bCs/>
          <w:color w:val="1F3864"/>
          <w:sz w:val="17"/>
          <w:szCs w:val="17"/>
        </w:rPr>
        <w:t xml:space="preserve">[17]	</w:t>
      </w:r>
      <w:r>
        <w:rPr>
          <w:sz w:val="17"/>
          <w:szCs w:val="17"/>
        </w:rPr>
        <w:t xml:space="preserve">Wu, X., Mealli, F., Kioumourtzoglou, M.-A., Dominici, F. &amp; Braun, D. (2024). Matching on generalized propensity scores with continuous exposures. </w:t>
      </w:r>
      <w:r>
        <w:rPr>
          <w:i/>
          <w:iCs/>
          <w:sz w:val="17"/>
          <w:szCs w:val="17"/>
        </w:rPr>
        <w:t xml:space="preserve">Journal of the American Statistical Association</w:t>
      </w:r>
      <w:r>
        <w:rPr>
          <w:sz w:val="17"/>
          <w:szCs w:val="17"/>
        </w:rPr>
        <w:t xml:space="preserve">, 119(545), 757–772 (details as given in the twenty-paper note; not re-checked here).</w:t>
      </w:r>
      <w:r>
        <w:rPr>
          <w:sz w:val="17"/>
          <w:szCs w:val="17"/>
        </w:rPr>
        <w:t xml:space="preserve"> </w:t>
      </w:r>
      <w:hyperlink w:history="1" r:id="rIdzexas7zcxdymu4_rn5ohg">
        <w:r>
          <w:rPr>
            <w:color w:val="1D4ED8"/>
            <w:sz w:val="17"/>
            <w:szCs w:val="17"/>
            <w:u w:val="single"/>
          </w:rPr>
          <w:t xml:space="preserve">https://doi.org/10.1080/01621459.2022.2144737</w:t>
        </w:r>
      </w:hyperlink>
    </w:p>
    <w:p>
      <w:pPr>
        <w:tabs>
          <w:tab w:val="left" w:pos="454"/>
        </w:tabs>
        <w:spacing w:after="50"/>
        <w:ind w:left="454" w:hanging="454"/>
      </w:pPr>
      <w:r>
        <w:rPr>
          <w:b/>
          <w:bCs/>
          <w:color w:val="1F3864"/>
          <w:sz w:val="17"/>
          <w:szCs w:val="17"/>
        </w:rPr>
        <w:t xml:space="preserve">[18]	</w:t>
      </w:r>
      <w:r>
        <w:rPr>
          <w:sz w:val="17"/>
          <w:szCs w:val="17"/>
        </w:rPr>
        <w:t xml:space="preserve">Rytgaard, H. C. W. &amp; van der Laan, M. J. (2024). One-step targeted maximum likelihood estimation for targeting cause-specific absolute risks and survival curves. </w:t>
      </w:r>
      <w:r>
        <w:rPr>
          <w:i/>
          <w:iCs/>
          <w:sz w:val="17"/>
          <w:szCs w:val="17"/>
        </w:rPr>
        <w:t xml:space="preserve">Biometrika</w:t>
      </w:r>
      <w:r>
        <w:rPr>
          <w:sz w:val="17"/>
          <w:szCs w:val="17"/>
        </w:rPr>
        <w:t xml:space="preserve">, 111(1), 129–145 (details as given in the twenty-paper note; not re-checked here).</w:t>
      </w:r>
      <w:r>
        <w:rPr>
          <w:sz w:val="17"/>
          <w:szCs w:val="17"/>
        </w:rPr>
        <w:t xml:space="preserve"> </w:t>
      </w:r>
      <w:hyperlink w:history="1" r:id="rIdyyozredwce_ckdn-epats">
        <w:r>
          <w:rPr>
            <w:color w:val="1D4ED8"/>
            <w:sz w:val="17"/>
            <w:szCs w:val="17"/>
            <w:u w:val="single"/>
          </w:rPr>
          <w:t xml:space="preserve">https://doi.org/10.1093/biomet/asad033</w:t>
        </w:r>
      </w:hyperlink>
    </w:p>
    <w:p>
      <w:pPr>
        <w:tabs>
          <w:tab w:val="left" w:pos="454"/>
        </w:tabs>
        <w:spacing w:after="50"/>
        <w:ind w:left="454" w:hanging="454"/>
      </w:pPr>
      <w:r>
        <w:rPr>
          <w:b/>
          <w:bCs/>
          <w:color w:val="1F3864"/>
          <w:sz w:val="17"/>
          <w:szCs w:val="17"/>
        </w:rPr>
        <w:t xml:space="preserve">[19]	</w:t>
      </w:r>
      <w:r>
        <w:rPr>
          <w:sz w:val="17"/>
          <w:szCs w:val="17"/>
        </w:rPr>
        <w:t xml:space="preserve">Zhang, Geng, Li &amp; Ding, P. (2025). Identifying and bounding the probability of necessity for causes of effects with ordinal outcomes. </w:t>
      </w:r>
      <w:r>
        <w:rPr>
          <w:i/>
          <w:iCs/>
          <w:sz w:val="17"/>
          <w:szCs w:val="17"/>
        </w:rPr>
        <w:t xml:space="preserve">Biometrika</w:t>
      </w:r>
      <w:r>
        <w:rPr>
          <w:sz w:val="17"/>
          <w:szCs w:val="17"/>
        </w:rPr>
        <w:t xml:space="preserve">, 112(3), asaf049 (details as given in the twenty-paper note; not re-checked here); initials of the first and third authors not verified there.</w:t>
      </w:r>
      <w:r>
        <w:rPr>
          <w:sz w:val="17"/>
          <w:szCs w:val="17"/>
        </w:rPr>
        <w:t xml:space="preserve"> </w:t>
      </w:r>
      <w:hyperlink w:history="1" r:id="rIduq5pswkixinlb9v9d6crm">
        <w:r>
          <w:rPr>
            <w:color w:val="1D4ED8"/>
            <w:sz w:val="17"/>
            <w:szCs w:val="17"/>
            <w:u w:val="single"/>
          </w:rPr>
          <w:t xml:space="preserve">https://doi.org/10.1093/biomet/asaf049</w:t>
        </w:r>
      </w:hyperlink>
    </w:p>
    <w:p>
      <w:pPr>
        <w:tabs>
          <w:tab w:val="left" w:pos="454"/>
        </w:tabs>
        <w:spacing w:after="50"/>
        <w:ind w:left="454" w:hanging="454"/>
      </w:pPr>
      <w:r>
        <w:rPr>
          <w:b/>
          <w:bCs/>
          <w:color w:val="1F3864"/>
          <w:sz w:val="17"/>
          <w:szCs w:val="17"/>
        </w:rPr>
        <w:t xml:space="preserve">[20]	</w:t>
      </w:r>
      <w:r>
        <w:rPr>
          <w:sz w:val="17"/>
          <w:szCs w:val="17"/>
        </w:rPr>
        <w:t xml:space="preserve">Liao, P., Klasnja, P. &amp; Murphy, S. A. (2021). Off-policy estimation of long-term average outcomes with applications to mobile health. </w:t>
      </w:r>
      <w:r>
        <w:rPr>
          <w:i/>
          <w:iCs/>
          <w:sz w:val="17"/>
          <w:szCs w:val="17"/>
        </w:rPr>
        <w:t xml:space="preserve">Journal of the American Statistical Association</w:t>
      </w:r>
      <w:r>
        <w:rPr>
          <w:sz w:val="17"/>
          <w:szCs w:val="17"/>
        </w:rPr>
        <w:t xml:space="preserve">, 116(533), 382–391 (details as given in the twenty-paper note; not re-checked here).</w:t>
      </w:r>
      <w:r>
        <w:rPr>
          <w:sz w:val="17"/>
          <w:szCs w:val="17"/>
        </w:rPr>
        <w:t xml:space="preserve"> </w:t>
      </w:r>
      <w:hyperlink w:history="1" r:id="rIdy0mukq5-wepiomi5b7zxn">
        <w:r>
          <w:rPr>
            <w:color w:val="1D4ED8"/>
            <w:sz w:val="17"/>
            <w:szCs w:val="17"/>
            <w:u w:val="single"/>
          </w:rPr>
          <w:t xml:space="preserve">https://doi.org/10.1080/01621459.2020.1807993</w:t>
        </w:r>
      </w:hyperlink>
    </w:p>
    <w:p>
      <w:pPr>
        <w:tabs>
          <w:tab w:val="left" w:pos="454"/>
        </w:tabs>
        <w:spacing w:after="50"/>
        <w:ind w:left="454" w:hanging="454"/>
      </w:pPr>
      <w:r>
        <w:rPr>
          <w:b/>
          <w:bCs/>
          <w:color w:val="1F3864"/>
          <w:sz w:val="17"/>
          <w:szCs w:val="17"/>
        </w:rPr>
        <w:t xml:space="preserve">[21]	</w:t>
      </w:r>
      <w:r>
        <w:rPr>
          <w:sz w:val="17"/>
          <w:szCs w:val="17"/>
        </w:rPr>
        <w:t xml:space="preserve">Elmachtoub, A. N. &amp; Grigas, P. (2022). Smart "predict, then optimize". </w:t>
      </w:r>
      <w:r>
        <w:rPr>
          <w:i/>
          <w:iCs/>
          <w:sz w:val="17"/>
          <w:szCs w:val="17"/>
        </w:rPr>
        <w:t xml:space="preserve">Management Science</w:t>
      </w:r>
      <w:r>
        <w:rPr>
          <w:sz w:val="17"/>
          <w:szCs w:val="17"/>
        </w:rPr>
        <w:t xml:space="preserve">, 68(1), 9–26 (details as given in the twenty-paper note; not re-checked here).</w:t>
      </w:r>
      <w:r>
        <w:rPr>
          <w:sz w:val="17"/>
          <w:szCs w:val="17"/>
        </w:rPr>
        <w:t xml:space="preserve"> </w:t>
      </w:r>
      <w:hyperlink w:history="1" r:id="rId2tjkqvc0jsgkz4civdogg">
        <w:r>
          <w:rPr>
            <w:color w:val="1D4ED8"/>
            <w:sz w:val="17"/>
            <w:szCs w:val="17"/>
            <w:u w:val="single"/>
          </w:rPr>
          <w:t xml:space="preserve">https://doi.org/10.1287/mnsc.2020.3922</w:t>
        </w:r>
      </w:hyperlink>
    </w:p>
    <w:p>
      <w:pPr>
        <w:tabs>
          <w:tab w:val="left" w:pos="454"/>
        </w:tabs>
        <w:spacing w:after="50"/>
        <w:ind w:left="454" w:hanging="454"/>
      </w:pPr>
      <w:r>
        <w:rPr>
          <w:b/>
          <w:bCs/>
          <w:color w:val="1F3864"/>
          <w:sz w:val="17"/>
          <w:szCs w:val="17"/>
        </w:rPr>
        <w:t xml:space="preserve">[22]	</w:t>
      </w:r>
      <w:r>
        <w:rPr>
          <w:sz w:val="17"/>
          <w:szCs w:val="17"/>
        </w:rPr>
        <w:t xml:space="preserve">Ahmadi, A. A. &amp; El Khadir, B. (2023). Learning dynamical systems with side information. </w:t>
      </w:r>
      <w:r>
        <w:rPr>
          <w:i/>
          <w:iCs/>
          <w:sz w:val="17"/>
          <w:szCs w:val="17"/>
        </w:rPr>
        <w:t xml:space="preserve">SIAM Review</w:t>
      </w:r>
      <w:r>
        <w:rPr>
          <w:sz w:val="17"/>
          <w:szCs w:val="17"/>
        </w:rPr>
        <w:t xml:space="preserve">, 65(1), 183–223 (details as given in the twenty-paper note; not re-checked here).</w:t>
      </w:r>
      <w:r>
        <w:rPr>
          <w:sz w:val="17"/>
          <w:szCs w:val="17"/>
        </w:rPr>
        <w:t xml:space="preserve"> </w:t>
      </w:r>
      <w:hyperlink w:history="1" r:id="rId1dv5smiwbmyfy6g87yng3">
        <w:r>
          <w:rPr>
            <w:color w:val="1D4ED8"/>
            <w:sz w:val="17"/>
            <w:szCs w:val="17"/>
            <w:u w:val="single"/>
          </w:rPr>
          <w:t xml:space="preserve">https://doi.org/10.1137/20M1388644</w:t>
        </w:r>
      </w:hyperlink>
    </w:p>
    <w:p>
      <w:pPr>
        <w:tabs>
          <w:tab w:val="left" w:pos="454"/>
        </w:tabs>
        <w:spacing w:after="50"/>
        <w:ind w:left="454" w:hanging="454"/>
      </w:pPr>
      <w:r>
        <w:rPr>
          <w:b/>
          <w:bCs/>
          <w:color w:val="1F3864"/>
          <w:sz w:val="17"/>
          <w:szCs w:val="17"/>
        </w:rPr>
        <w:t xml:space="preserve">[23]	</w:t>
      </w:r>
      <w:r>
        <w:rPr>
          <w:sz w:val="17"/>
          <w:szCs w:val="17"/>
        </w:rPr>
        <w:t xml:space="preserve">Ahmadi, A. A., Chaudhry, A., Sindhwani, V. &amp; Tu, S. (2026). Safely learning dynamical systems. </w:t>
      </w:r>
      <w:r>
        <w:rPr>
          <w:i/>
          <w:iCs/>
          <w:sz w:val="17"/>
          <w:szCs w:val="17"/>
        </w:rPr>
        <w:t xml:space="preserve">Foundations of Computational Mathematics</w:t>
      </w:r>
      <w:r>
        <w:rPr>
          <w:sz w:val="17"/>
          <w:szCs w:val="17"/>
        </w:rPr>
        <w:t xml:space="preserve">, 26(2), 999–1068 (details as given in the twenty-paper note; not re-checked here).</w:t>
      </w:r>
      <w:r>
        <w:rPr>
          <w:sz w:val="17"/>
          <w:szCs w:val="17"/>
        </w:rPr>
        <w:t xml:space="preserve"> </w:t>
      </w:r>
      <w:hyperlink w:history="1" r:id="rIdifjpsbxbxfbdj1ucgzm_f">
        <w:r>
          <w:rPr>
            <w:color w:val="1D4ED8"/>
            <w:sz w:val="17"/>
            <w:szCs w:val="17"/>
            <w:u w:val="single"/>
          </w:rPr>
          <w:t xml:space="preserve">https://doi.org/10.1007/s10208-025-09689-8</w:t>
        </w:r>
      </w:hyperlink>
    </w:p>
    <w:p>
      <w:pPr>
        <w:tabs>
          <w:tab w:val="left" w:pos="454"/>
        </w:tabs>
        <w:spacing w:after="50"/>
        <w:ind w:left="454" w:hanging="454"/>
      </w:pPr>
      <w:r>
        <w:rPr>
          <w:b/>
          <w:bCs/>
          <w:color w:val="1F3864"/>
          <w:sz w:val="17"/>
          <w:szCs w:val="17"/>
        </w:rPr>
        <w:t xml:space="preserve">[24]	</w:t>
      </w:r>
      <w:r>
        <w:rPr>
          <w:sz w:val="17"/>
          <w:szCs w:val="17"/>
        </w:rPr>
        <w:t xml:space="preserve">Perri, S. &amp; Porporato, A. (2022). Environmental concentrations as ratios of random variables. </w:t>
      </w:r>
      <w:r>
        <w:rPr>
          <w:i/>
          <w:iCs/>
          <w:sz w:val="17"/>
          <w:szCs w:val="17"/>
        </w:rPr>
        <w:t xml:space="preserve">Environmental Research Letters</w:t>
      </w:r>
      <w:r>
        <w:rPr>
          <w:sz w:val="17"/>
          <w:szCs w:val="17"/>
        </w:rPr>
        <w:t xml:space="preserve">, 17(2), 024011 (details as given in the twenty-paper note; not re-checked here); its full text was not read there either.</w:t>
      </w:r>
      <w:r>
        <w:rPr>
          <w:sz w:val="17"/>
          <w:szCs w:val="17"/>
        </w:rPr>
        <w:t xml:space="preserve"> </w:t>
      </w:r>
      <w:hyperlink w:history="1" r:id="rIdltzuivfv59bhqsm3qehzh">
        <w:r>
          <w:rPr>
            <w:color w:val="1D4ED8"/>
            <w:sz w:val="17"/>
            <w:szCs w:val="17"/>
            <w:u w:val="single"/>
          </w:rPr>
          <w:t xml:space="preserve">https://doi.org/10.1088/1748-9326/ac4a9f</w:t>
        </w:r>
      </w:hyperlink>
    </w:p>
    <w:p>
      <w:pPr>
        <w:tabs>
          <w:tab w:val="left" w:pos="454"/>
        </w:tabs>
        <w:spacing w:after="50"/>
        <w:ind w:left="454" w:hanging="454"/>
      </w:pPr>
      <w:r>
        <w:rPr>
          <w:b/>
          <w:bCs/>
          <w:color w:val="1F3864"/>
          <w:sz w:val="17"/>
          <w:szCs w:val="17"/>
        </w:rPr>
        <w:t xml:space="preserve">[25]	</w:t>
      </w:r>
      <w:r>
        <w:rPr>
          <w:sz w:val="17"/>
          <w:szCs w:val="17"/>
        </w:rPr>
        <w:t xml:space="preserve">Strack, O. D. L. (1976). A single-potential solution for regional interface problems in coastal aquifers. </w:t>
      </w:r>
      <w:r>
        <w:rPr>
          <w:i/>
          <w:iCs/>
          <w:sz w:val="17"/>
          <w:szCs w:val="17"/>
        </w:rPr>
        <w:t xml:space="preserve">Water Resources Research</w:t>
      </w:r>
      <w:r>
        <w:rPr>
          <w:sz w:val="17"/>
          <w:szCs w:val="17"/>
        </w:rPr>
        <w:t xml:space="preserve">, 12(6), 1165–1174 (not re-checked against the publisher).</w:t>
      </w:r>
    </w:p>
    <w:p>
      <w:pPr>
        <w:tabs>
          <w:tab w:val="left" w:pos="454"/>
        </w:tabs>
        <w:spacing w:after="50"/>
        <w:ind w:left="454" w:hanging="454"/>
      </w:pPr>
      <w:r>
        <w:rPr>
          <w:b/>
          <w:bCs/>
          <w:color w:val="1F3864"/>
          <w:sz w:val="17"/>
          <w:szCs w:val="17"/>
        </w:rPr>
        <w:t xml:space="preserve">[26]	</w:t>
      </w:r>
      <w:r>
        <w:rPr>
          <w:sz w:val="17"/>
          <w:szCs w:val="17"/>
        </w:rPr>
        <w:t xml:space="preserve">Lei, J., G'Sell, M., Rinaldo, A., Tibshirani, R. J. &amp; Wasserman, L. (2018). Distribution-free predictive inference for regression. </w:t>
      </w:r>
      <w:r>
        <w:rPr>
          <w:i/>
          <w:iCs/>
          <w:sz w:val="17"/>
          <w:szCs w:val="17"/>
        </w:rPr>
        <w:t xml:space="preserve">Journal of the American Statistical Association</w:t>
      </w:r>
      <w:r>
        <w:rPr>
          <w:sz w:val="17"/>
          <w:szCs w:val="17"/>
        </w:rPr>
        <w:t xml:space="preserve">, 113(523), 1094–1111 (not verified against the publisher).</w:t>
      </w:r>
    </w:p>
    <w:p>
      <w:pPr>
        <w:tabs>
          <w:tab w:val="left" w:pos="454"/>
        </w:tabs>
        <w:spacing w:after="50"/>
        <w:ind w:left="454" w:hanging="454"/>
      </w:pPr>
      <w:r>
        <w:rPr>
          <w:b/>
          <w:bCs/>
          <w:color w:val="1F3864"/>
          <w:sz w:val="17"/>
          <w:szCs w:val="17"/>
        </w:rPr>
        <w:t xml:space="preserve">[27]	</w:t>
      </w:r>
      <w:r>
        <w:rPr>
          <w:sz w:val="17"/>
          <w:szCs w:val="17"/>
        </w:rPr>
        <w:t xml:space="preserve">Cenameri, S. &amp; Beqiraj, A. (2016). Assessment of seawater intrusion in Fushë-Kuqe aquifer, Albania. </w:t>
      </w:r>
      <w:r>
        <w:rPr>
          <w:i/>
          <w:iCs/>
          <w:sz w:val="17"/>
          <w:szCs w:val="17"/>
        </w:rPr>
        <w:t xml:space="preserve">Bulletin of the Geological Society of Greece</w:t>
      </w:r>
      <w:r>
        <w:rPr>
          <w:sz w:val="17"/>
          <w:szCs w:val="17"/>
        </w:rPr>
        <w:t xml:space="preserve">, 50(2), 665–670.</w:t>
      </w:r>
      <w:r>
        <w:rPr>
          <w:sz w:val="17"/>
          <w:szCs w:val="17"/>
        </w:rPr>
        <w:t xml:space="preserve"> </w:t>
      </w:r>
      <w:hyperlink w:history="1" r:id="rIdii0azpms-xi9892gpwmtr">
        <w:r>
          <w:rPr>
            <w:color w:val="1D4ED8"/>
            <w:sz w:val="17"/>
            <w:szCs w:val="17"/>
            <w:u w:val="single"/>
          </w:rPr>
          <w:t xml:space="preserve">https://doi.org/10.12681/bgsg.11772</w:t>
        </w:r>
      </w:hyperlink>
    </w:p>
    <w:p>
      <w:pPr>
        <w:tabs>
          <w:tab w:val="left" w:pos="454"/>
        </w:tabs>
        <w:spacing w:after="50"/>
        <w:ind w:left="454" w:hanging="454"/>
      </w:pPr>
      <w:r>
        <w:rPr>
          <w:b/>
          <w:bCs/>
          <w:color w:val="1F3864"/>
          <w:sz w:val="17"/>
          <w:szCs w:val="17"/>
        </w:rPr>
        <w:t xml:space="preserve">[28]	</w:t>
      </w:r>
      <w:r>
        <w:rPr>
          <w:sz w:val="17"/>
          <w:szCs w:val="17"/>
        </w:rPr>
        <w:t xml:space="preserve">Zeqiraj, D. (2026). </w:t>
      </w:r>
      <w:r>
        <w:rPr>
          <w:i/>
          <w:iCs/>
          <w:sz w:val="17"/>
          <w:szCs w:val="17"/>
        </w:rPr>
        <w:t xml:space="preserve">PRAG-GO and PRAG-MAR at Fushë-Kuqe: monitoring and managed aquifer recharge oriented to the intrusion risk of supply wells, recomputed with the geolocated sea boundary</w:t>
      </w:r>
      <w:r>
        <w:rPr>
          <w:sz w:val="17"/>
          <w:szCs w:val="17"/>
        </w:rPr>
        <w:t xml:space="preserve">. Research note of the author's series.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3"/>
        <w:sz w:val="16"/>
        <w:szCs w:val="16"/>
      </w:rPr>
      <w:t xml:space="preserve">Zeqiraj · Twenty chloride papers and anchor regression · SPIRANCA-GO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328"/>
        <w:sz w:val="21"/>
        <w:szCs w:val="21"/>
        <w:lang w:val="en-US"/>
      </w:rPr>
    </w:rPrDefault>
    <w:pPrDefault>
      <w:pPr>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10" w:before="26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80" w:before="180"/>
      <w:outlineLvl w:val="1"/>
    </w:pPr>
    <w:rPr>
      <w:rFonts w:ascii="Calibri" w:cs="Calibri" w:eastAsia="Calibri" w:hAnsi="Calibri"/>
      <w:b/>
      <w:bCs/>
      <w:color w:val="1F3864"/>
      <w:sz w:val="22"/>
      <w:szCs w:val="22"/>
    </w:rPr>
  </w:style>
  <w:style w:type="paragraph" w:styleId="Equation">
    <w:name w:val="Equation"/>
    <w:basedOn w:val="Normal"/>
    <w:next w:val="Normal"/>
    <w:pPr>
      <w:spacing w:after="40" w:before="4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6gwnvwj_zjdcsejk7n3v" Type="http://schemas.openxmlformats.org/officeDocument/2006/relationships/hyperlink" Target="https://doi.org/10.1016/j.jhydrol.2026.136559" TargetMode="External"/><Relationship Id="rIda393npekxx5f-qcetjcqd" Type="http://schemas.openxmlformats.org/officeDocument/2006/relationships/hyperlink" Target="https://doi.org/10.1111/rssb.12398" TargetMode="External"/><Relationship Id="rIdp-wcbpp-smrhziwub2w64" Type="http://schemas.openxmlformats.org/officeDocument/2006/relationships/hyperlink" Target="https://doi.org/10.1214/24-AOAS1998" TargetMode="External"/><Relationship Id="rId51vszin3xrfjp-okmvaap" Type="http://schemas.openxmlformats.org/officeDocument/2006/relationships/hyperlink" Target="https://doi.org/10.1111/rssb.12356" TargetMode="External"/><Relationship Id="rId9xb25rcirdxjd6yjqryea" Type="http://schemas.openxmlformats.org/officeDocument/2006/relationships/hyperlink" Target="https://doi.org/10.1093/biomet/asz077" TargetMode="External"/><Relationship Id="rIdomwo-b-_5uupelcnazmi5" Type="http://schemas.openxmlformats.org/officeDocument/2006/relationships/hyperlink" Target="https://jmlr.org/papers/v22/20-469.html" TargetMode="External"/><Relationship Id="rIdvhdjgkwdrxtd1hs_1l8pg" Type="http://schemas.openxmlformats.org/officeDocument/2006/relationships/hyperlink" Target="https://doi.org/10.1016/j.jcp.2021.110141" TargetMode="External"/><Relationship Id="rIdqbo7qtdoinxigrtan3w1s" Type="http://schemas.openxmlformats.org/officeDocument/2006/relationships/hyperlink" Target="https://proceedings.mlr.press/v108/foster20a.html" TargetMode="External"/><Relationship Id="rIdycvph3itogmnmrg7pxeia" Type="http://schemas.openxmlformats.org/officeDocument/2006/relationships/hyperlink" Target="https://proceedings.mlr.press/v206/bickfordsmith23a.html" TargetMode="External"/><Relationship Id="rId09mkuq21g845nfhrncbm5" Type="http://schemas.openxmlformats.org/officeDocument/2006/relationships/hyperlink" Target="https://proceedings.mlr.press/v139/foster21a.html" TargetMode="External"/><Relationship Id="rIdsg3m68d5wjgczicxfeid4" Type="http://schemas.openxmlformats.org/officeDocument/2006/relationships/hyperlink" Target="https://arxiv.org/abs/2402.15898" TargetMode="External"/><Relationship Id="rIdpvbkosha2pjomrkehvu3a" Type="http://schemas.openxmlformats.org/officeDocument/2006/relationships/hyperlink" Target="https://doi.org/10.1145/3478535" TargetMode="External"/><Relationship Id="rIdzexas7zcxdymu4_rn5ohg" Type="http://schemas.openxmlformats.org/officeDocument/2006/relationships/hyperlink" Target="https://doi.org/10.1080/01621459.2022.2144737" TargetMode="External"/><Relationship Id="rIdyyozredwce_ckdn-epats" Type="http://schemas.openxmlformats.org/officeDocument/2006/relationships/hyperlink" Target="https://doi.org/10.1093/biomet/asad033" TargetMode="External"/><Relationship Id="rIduq5pswkixinlb9v9d6crm" Type="http://schemas.openxmlformats.org/officeDocument/2006/relationships/hyperlink" Target="https://doi.org/10.1093/biomet/asaf049" TargetMode="External"/><Relationship Id="rIdy0mukq5-wepiomi5b7zxn" Type="http://schemas.openxmlformats.org/officeDocument/2006/relationships/hyperlink" Target="https://doi.org/10.1080/01621459.2020.1807993" TargetMode="External"/><Relationship Id="rId2tjkqvc0jsgkz4civdogg" Type="http://schemas.openxmlformats.org/officeDocument/2006/relationships/hyperlink" Target="https://doi.org/10.1287/mnsc.2020.3922" TargetMode="External"/><Relationship Id="rId1dv5smiwbmyfy6g87yng3" Type="http://schemas.openxmlformats.org/officeDocument/2006/relationships/hyperlink" Target="https://doi.org/10.1137/20M1388644" TargetMode="External"/><Relationship Id="rIdifjpsbxbxfbdj1ucgzm_f" Type="http://schemas.openxmlformats.org/officeDocument/2006/relationships/hyperlink" Target="https://doi.org/10.1007/s10208-025-09689-8" TargetMode="External"/><Relationship Id="rIdltzuivfv59bhqsm3qehzh" Type="http://schemas.openxmlformats.org/officeDocument/2006/relationships/hyperlink" Target="https://doi.org/10.1088/1748-9326/ac4a9f" TargetMode="External"/><Relationship Id="rIdii0azpms-xi9892gpwmtr" Type="http://schemas.openxmlformats.org/officeDocument/2006/relationships/hyperlink" Target="https://doi.org/10.12681/bgsg.11772" TargetMode="External"/><Relationship Id="rId11" Type="http://schemas.openxmlformats.org/officeDocument/2006/relationships/image" Target="media/bc8c0c5d954cc73553064a529b768cdcd0a28f88.png"/><Relationship Id="rId12" Type="http://schemas.openxmlformats.org/officeDocument/2006/relationships/image" Target="media/57a414715a99bc61d1e71837ddcebf6b933a03d1.png"/><Relationship Id="rId13" Type="http://schemas.openxmlformats.org/officeDocument/2006/relationships/image" Target="media/13d9c8fc5dfd9f57cd0930b9d8fe5e405e5c71b5.png"/><Relationship Id="rId14" Type="http://schemas.openxmlformats.org/officeDocument/2006/relationships/image" Target="media/265b839b443954753d1b18b1ca0f4c69dfab3fc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twenty chloride papers and anchor regression give the Fushë-Kuqe work: checks, extractions and a chloride alarm that survives the decision</dc:title>
  <dc:subject>Checks and extractions from twenty papers for the Fushë-Kuqe chloride manuscript, and SPIRANCA-GO: a chloride alarm built from heads that stays certified after the pumping decision and under an unrecorded warming</dc:subject>
  <dc:creator>D. Zeqiraj</dc:creator>
  <dc:description>Checks and extractions from twenty papers for the Fushë-Kuqe chloride manuscript, and SPIRANCA-GO: a chloride alarm built from heads that stays certified after the pumping decision and under an unrecorded warming</dc:description>
  <cp:lastModifiedBy>D. Zeqiraj</cp:lastModifiedBy>
  <cp:revision>1</cp:revision>
  <dcterms:created xsi:type="dcterms:W3CDTF">2026-10-27T20:33:22.739Z</dcterms:created>
  <dcterms:modified xsi:type="dcterms:W3CDTF">2026-10-27T20:33:22.739Z</dcterms:modified>
</cp:coreProperties>
</file>

<file path=docProps/custom.xml><?xml version="1.0" encoding="utf-8"?>
<Properties xmlns="http://schemas.openxmlformats.org/officeDocument/2006/custom-properties" xmlns:vt="http://schemas.openxmlformats.org/officeDocument/2006/docPropsVTypes"/>
</file>