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59886" cy="62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OMAR_Rationale_Networkin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59886" cy="62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i/>
          <w:sz w:val="22"/>
        </w:rPr>
        <w:t>Figure. Why a pan-European network is the most appropriate instrument: the research is largely done or funded elsewhere, what is missing is an arrangement between countries, and six features of the challenge each call for a networking tool tied to the objectives it serves.</w:t>
      </w:r>
    </w:p>
    <w:sectPr w:rsidR="00FC693F" w:rsidRPr="0006063C" w:rsidSect="00034616">
      <w:pgSz w:w="16838" w:h="11906" w:orient="landscape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