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Impact</w:t>
      </w:r>
    </w:p>
    <w:p>
      <w:pPr>
        <w:spacing w:after="16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20" w:before="0"/>
        <w:jc w:val="both"/>
      </w:pPr>
      <w:r>
        <w:rPr>
          <w:rFonts w:ascii="Arial" w:hAnsi="Arial" w:eastAsia="Arial"/>
          <w:b w:val="0"/>
          <w:i w:val="0"/>
          <w:sz w:val="21"/>
        </w:rPr>
        <w:t xml:space="preserve">CERTAIN-COAST will change how three critical assets of an Ally are protected: the wellfields that supply drinking water, the country's main port and an energy landfall, on one subsiding coast. The impact is that the people who run them act on </w:t>
      </w:r>
      <w:r>
        <w:rPr>
          <w:rFonts w:ascii="Arial" w:hAnsi="Arial" w:eastAsia="Arial"/>
          <w:b/>
          <w:i w:val="0"/>
          <w:sz w:val="21"/>
        </w:rPr>
        <w:t>warnings whose reliability is known in advance and checked in operation</w:t>
      </w:r>
      <w:r>
        <w:rPr>
          <w:rFonts w:ascii="Arial" w:hAnsi="Arial" w:eastAsia="Arial"/>
          <w:b w:val="0"/>
          <w:i w:val="0"/>
          <w:sz w:val="21"/>
        </w:rPr>
        <w:t>, and keep doing so after the project. This section sets out what is at stake, how the results lead to that change, who benefits, how the impact is measured, what a certified warning is worth to each user, and how the approach reaches other coasts.</w:t>
      </w:r>
    </w:p>
    <w:p>
      <w:pPr>
        <w:keepNext/>
        <w:spacing w:after="120" w:before="80"/>
      </w:pPr>
      <w:r>
        <w:rPr>
          <w:rFonts w:ascii="Arial" w:hAnsi="Arial" w:eastAsia="Arial"/>
          <w:b/>
          <w:i w:val="0"/>
          <w:color w:val="1F3864"/>
          <w:sz w:val="27"/>
        </w:rPr>
        <w:t>1. What is at stake</w:t>
      </w:r>
    </w:p>
    <w:p>
      <w:pPr>
        <w:spacing w:after="60" w:before="0"/>
        <w:ind w:left="283"/>
      </w:pPr>
      <w:r>
        <w:rPr>
          <w:rFonts w:ascii="Arial" w:hAnsi="Arial" w:eastAsia="Arial"/>
          <w:b/>
          <w:i w:val="0"/>
          <w:sz w:val="22"/>
        </w:rPr>
        <w:t xml:space="preserve">• </w:t>
      </w:r>
      <w:r>
        <w:rPr>
          <w:rFonts w:ascii="Arial" w:hAnsi="Arial" w:eastAsia="Arial"/>
          <w:b/>
          <w:i w:val="0"/>
          <w:sz w:val="21"/>
        </w:rPr>
        <w:t>The 2019 earthquake.</w:t>
      </w:r>
      <w:r>
        <w:rPr>
          <w:rFonts w:ascii="Arial" w:hAnsi="Arial" w:eastAsia="Arial"/>
          <w:b w:val="0"/>
          <w:i w:val="0"/>
          <w:sz w:val="21"/>
        </w:rPr>
        <w:t xml:space="preserve"> The Mw 6.4 earthquake of 26 November 2019 near Durrës killed 51 people and affected 202,291; the Post-Disaster Needs Assessment put its total effects at €985 million (€844 million of damage and €141 million of losses) </w:t>
      </w:r>
      <w:r>
        <w:rPr>
          <w:rFonts w:ascii="Arial" w:hAnsi="Arial" w:eastAsia="Arial"/>
          <w:b w:val="0"/>
          <w:i w:val="0"/>
          <w:sz w:val="21"/>
        </w:rPr>
        <w:t>[1, 2]</w:t>
      </w:r>
      <w:r>
        <w:rPr>
          <w:rFonts w:ascii="Arial" w:hAnsi="Arial" w:eastAsia="Arial"/>
          <w:b w:val="0"/>
          <w:i w:val="0"/>
          <w:sz w:val="21"/>
        </w:rPr>
        <w:t xml:space="preserve">. Field surveys found liquefaction at coastal, riverine and lagoonal sites </w:t>
      </w:r>
      <w:r>
        <w:rPr>
          <w:rFonts w:ascii="Arial" w:hAnsi="Arial" w:eastAsia="Arial"/>
          <w:b w:val="0"/>
          <w:i w:val="0"/>
          <w:sz w:val="21"/>
        </w:rPr>
        <w:t>[3]</w:t>
      </w:r>
      <w:r>
        <w:rPr>
          <w:rFonts w:ascii="Arial" w:hAnsi="Arial" w:eastAsia="Arial"/>
          <w:b w:val="0"/>
          <w:i w:val="0"/>
          <w:sz w:val="21"/>
        </w:rPr>
        <w:t>.</w:t>
      </w:r>
    </w:p>
    <w:p>
      <w:pPr>
        <w:spacing w:after="60" w:before="0"/>
        <w:ind w:left="283"/>
      </w:pPr>
      <w:r>
        <w:rPr>
          <w:rFonts w:ascii="Arial" w:hAnsi="Arial" w:eastAsia="Arial"/>
          <w:b/>
          <w:i w:val="0"/>
          <w:sz w:val="22"/>
        </w:rPr>
        <w:t xml:space="preserve">• </w:t>
      </w:r>
      <w:r>
        <w:rPr>
          <w:rFonts w:ascii="Arial" w:hAnsi="Arial" w:eastAsia="Arial"/>
          <w:b/>
          <w:i w:val="0"/>
          <w:sz w:val="21"/>
        </w:rPr>
        <w:t>The port.</w:t>
      </w:r>
      <w:r>
        <w:rPr>
          <w:rFonts w:ascii="Arial" w:hAnsi="Arial" w:eastAsia="Arial"/>
          <w:b w:val="0"/>
          <w:i w:val="0"/>
          <w:sz w:val="21"/>
        </w:rPr>
        <w:t xml:space="preserve"> The Port of Durrës handled 94.2% of the freight carried by sea in Albania in the second quarter of 2026 </w:t>
      </w:r>
      <w:r>
        <w:rPr>
          <w:rFonts w:ascii="Arial" w:hAnsi="Arial" w:eastAsia="Arial"/>
          <w:b w:val="0"/>
          <w:i w:val="0"/>
          <w:sz w:val="21"/>
        </w:rPr>
        <w:t>[4]</w:t>
      </w:r>
      <w:r>
        <w:rPr>
          <w:rFonts w:ascii="Arial" w:hAnsi="Arial" w:eastAsia="Arial"/>
          <w:b w:val="0"/>
          <w:i w:val="0"/>
          <w:sz w:val="21"/>
        </w:rPr>
        <w:t>; a disruption of its quays is a disruption of the country's maritime trade.</w:t>
      </w:r>
    </w:p>
    <w:p>
      <w:pPr>
        <w:spacing w:after="60" w:before="0"/>
        <w:ind w:left="283"/>
      </w:pPr>
      <w:r>
        <w:rPr>
          <w:rFonts w:ascii="Arial" w:hAnsi="Arial" w:eastAsia="Arial"/>
          <w:b/>
          <w:i w:val="0"/>
          <w:sz w:val="22"/>
        </w:rPr>
        <w:t xml:space="preserve">• </w:t>
      </w:r>
      <w:r>
        <w:rPr>
          <w:rFonts w:ascii="Arial" w:hAnsi="Arial" w:eastAsia="Arial"/>
          <w:b/>
          <w:i w:val="0"/>
          <w:sz w:val="21"/>
        </w:rPr>
        <w:t>Water and energy.</w:t>
      </w:r>
      <w:r>
        <w:rPr>
          <w:rFonts w:ascii="Arial" w:hAnsi="Arial" w:eastAsia="Arial"/>
          <w:b w:val="0"/>
          <w:i w:val="0"/>
          <w:sz w:val="21"/>
        </w:rPr>
        <w:t xml:space="preserve"> The wellfields supply drinking water to the Durrës area </w:t>
      </w:r>
      <w:r>
        <w:rPr>
          <w:rFonts w:ascii="Arial" w:hAnsi="Arial" w:eastAsia="Arial"/>
          <w:b w:val="0"/>
          <w:i w:val="0"/>
          <w:sz w:val="21"/>
          <w:highlight w:val="yellow"/>
        </w:rPr>
        <w:t>[population served, to confirm with the utility]</w:t>
      </w:r>
      <w:r>
        <w:rPr>
          <w:rFonts w:ascii="Arial" w:hAnsi="Arial" w:eastAsia="Arial"/>
          <w:b w:val="0"/>
          <w:i w:val="0"/>
          <w:sz w:val="21"/>
        </w:rPr>
        <w:t>, and a well that turns saline takes years to recover; the energy landfall connects supply arriving from the sea to the national system.</w:t>
      </w:r>
    </w:p>
    <w:p>
      <w:pPr>
        <w:spacing w:after="60" w:before="0"/>
        <w:ind w:left="283"/>
      </w:pPr>
      <w:r>
        <w:rPr>
          <w:rFonts w:ascii="Arial" w:hAnsi="Arial" w:eastAsia="Arial"/>
          <w:b/>
          <w:i w:val="0"/>
          <w:sz w:val="22"/>
        </w:rPr>
        <w:t xml:space="preserve">• </w:t>
      </w:r>
      <w:r>
        <w:rPr>
          <w:rFonts w:ascii="Arial" w:hAnsi="Arial" w:eastAsia="Arial"/>
          <w:b/>
          <w:i w:val="0"/>
          <w:sz w:val="21"/>
        </w:rPr>
        <w:t>The gap.</w:t>
      </w:r>
      <w:r>
        <w:rPr>
          <w:rFonts w:ascii="Arial" w:hAnsi="Arial" w:eastAsia="Arial"/>
          <w:b w:val="0"/>
          <w:i w:val="0"/>
          <w:sz w:val="21"/>
        </w:rPr>
        <w:t xml:space="preserve"> These assets are watched separately, and no warning at the site states how often it misses. A decision-maker therefore cannot tell what a warning is worth, or what silence means.</w:t>
      </w:r>
    </w:p>
    <w:p>
      <w:pPr>
        <w:keepNext/>
        <w:spacing w:after="120" w:before="160"/>
      </w:pPr>
      <w:r>
        <w:rPr>
          <w:rFonts w:ascii="Arial" w:hAnsi="Arial" w:eastAsia="Arial"/>
          <w:b/>
          <w:i w:val="0"/>
          <w:color w:val="1F3864"/>
          <w:sz w:val="27"/>
        </w:rPr>
        <w:t>2. Impact pathway</w:t>
      </w:r>
    </w:p>
    <w:p>
      <w:pPr>
        <w:spacing w:after="80" w:before="0"/>
        <w:jc w:val="both"/>
      </w:pPr>
      <w:r>
        <w:rPr>
          <w:rFonts w:ascii="Arial" w:hAnsi="Arial" w:eastAsia="Arial"/>
          <w:b w:val="0"/>
          <w:i w:val="0"/>
          <w:sz w:val="21"/>
        </w:rPr>
        <w:t>The project turns activities into outputs that the users can act on, and the users' actions into security impacts. Each step depends on a condition that the project controls or monitors (shown at the bottom of Figure 1).</w:t>
      </w:r>
    </w:p>
    <w:p>
      <w:pPr>
        <w:spacing w:after="40" w:before="0"/>
        <w:jc w:val="center"/>
      </w:pPr>
      <w:r>
        <w:drawing>
          <wp:inline xmlns:a="http://schemas.openxmlformats.org/drawingml/2006/main" xmlns:pic="http://schemas.openxmlformats.org/drawingml/2006/picture">
            <wp:extent cx="5760000" cy="3627940"/>
            <wp:docPr id="1" name="Picture 1"/>
            <wp:cNvGraphicFramePr>
              <a:graphicFrameLocks noChangeAspect="1"/>
            </wp:cNvGraphicFramePr>
            <a:graphic>
              <a:graphicData uri="http://schemas.openxmlformats.org/drawingml/2006/picture">
                <pic:pic>
                  <pic:nvPicPr>
                    <pic:cNvPr id="0" name="fig_pathway.png"/>
                    <pic:cNvPicPr/>
                  </pic:nvPicPr>
                  <pic:blipFill>
                    <a:blip r:embed="rId9"/>
                    <a:stretch>
                      <a:fillRect/>
                    </a:stretch>
                  </pic:blipFill>
                  <pic:spPr>
                    <a:xfrm>
                      <a:off x="0" y="0"/>
                      <a:ext cx="5760000" cy="3627940"/>
                    </a:xfrm>
                    <a:prstGeom prst="rect"/>
                  </pic:spPr>
                </pic:pic>
              </a:graphicData>
            </a:graphic>
          </wp:inline>
        </w:drawing>
      </w:r>
    </w:p>
    <w:p>
      <w:pPr>
        <w:spacing w:after="80" w:before="0"/>
      </w:pPr>
      <w:r>
        <w:rPr>
          <w:rFonts w:ascii="Arial" w:hAnsi="Arial" w:eastAsia="Arial"/>
          <w:b w:val="0"/>
          <w:i/>
          <w:color w:val="52606D"/>
          <w:sz w:val="19"/>
        </w:rPr>
        <w:t>Figure 1. Impact pathway: from the work packages to outputs (deliverables), outcomes (what the users do differently) and impacts. Italic notes: the condition for each step.</w:t>
      </w:r>
    </w:p>
    <w:p>
      <w:pPr>
        <w:keepNext/>
        <w:pageBreakBefore/>
        <w:spacing w:after="120" w:before="0"/>
      </w:pPr>
      <w:r>
        <w:rPr>
          <w:rFonts w:ascii="Arial" w:hAnsi="Arial" w:eastAsia="Arial"/>
          <w:b/>
          <w:i w:val="0"/>
          <w:color w:val="1F3864"/>
          <w:sz w:val="27"/>
        </w:rPr>
        <w:t>3. Who benefits</w:t>
      </w:r>
    </w:p>
    <w:tbl>
      <w:tblPr>
        <w:tblStyle w:val="TableGrid"/>
        <w:tblW w:type="auto" w:w="0"/>
        <w:jc w:val="center"/>
        <w:tblLayout w:type="fixed"/>
        <w:tblLook w:firstColumn="1" w:firstRow="1" w:lastColumn="0" w:lastRow="0" w:noHBand="0" w:noVBand="1" w:val="04A0"/>
        <w:tblLayout w:type="fixed"/>
      </w:tblPr>
      <w:tblGrid>
        <w:gridCol w:w="2268"/>
        <w:gridCol w:w="5443"/>
        <w:gridCol w:w="1928"/>
      </w:tblGrid>
      <w:tr>
        <w:trPr>
          <w:cantSplit/>
          <w:tblHeader/>
        </w:trPr>
        <w:tc>
          <w:tcPr>
            <w:tcW w:type="dxa" w:w="2268"/>
            <w:shd w:val="clear" w:color="auto" w:fill="1F3864"/>
          </w:tcPr>
          <w:p>
            <w:r/>
            <w:r>
              <w:rPr>
                <w:rFonts w:ascii="Arial" w:hAnsi="Arial" w:eastAsia="Arial"/>
                <w:b/>
                <w:i w:val="0"/>
                <w:color w:val="FFFFFF"/>
                <w:sz w:val="19"/>
              </w:rPr>
              <w:t>Who</w:t>
            </w:r>
          </w:p>
        </w:tc>
        <w:tc>
          <w:tcPr>
            <w:tcW w:type="dxa" w:w="5443"/>
            <w:shd w:val="clear" w:color="auto" w:fill="1F3864"/>
          </w:tcPr>
          <w:p>
            <w:r/>
            <w:r>
              <w:rPr>
                <w:rFonts w:ascii="Arial" w:hAnsi="Arial" w:eastAsia="Arial"/>
                <w:b/>
                <w:i w:val="0"/>
                <w:color w:val="FFFFFF"/>
                <w:sz w:val="19"/>
              </w:rPr>
              <w:t>What changes for them</w:t>
            </w:r>
          </w:p>
        </w:tc>
        <w:tc>
          <w:tcPr>
            <w:tcW w:type="dxa" w:w="1928"/>
            <w:shd w:val="clear" w:color="auto" w:fill="1F3864"/>
          </w:tcPr>
          <w:p>
            <w:r/>
            <w:r>
              <w:rPr>
                <w:rFonts w:ascii="Arial" w:hAnsi="Arial" w:eastAsia="Arial"/>
                <w:b/>
                <w:i w:val="0"/>
                <w:color w:val="FFFFFF"/>
                <w:sz w:val="19"/>
              </w:rPr>
              <w:t>When</w:t>
            </w:r>
          </w:p>
        </w:tc>
      </w:tr>
      <w:tr>
        <w:trPr>
          <w:cantSplit/>
        </w:trPr>
        <w:tc>
          <w:tcPr>
            <w:tcW w:type="dxa" w:w="2268"/>
          </w:tcPr>
          <w:p>
            <w:r/>
            <w:r>
              <w:rPr>
                <w:rFonts w:ascii="Arial" w:hAnsi="Arial" w:eastAsia="Arial"/>
                <w:b w:val="0"/>
                <w:i w:val="0"/>
                <w:sz w:val="19"/>
              </w:rPr>
              <w:t>Water utility (wellfields)</w:t>
            </w:r>
          </w:p>
        </w:tc>
        <w:tc>
          <w:tcPr>
            <w:tcW w:type="dxa" w:w="5443"/>
          </w:tcPr>
          <w:p>
            <w:r/>
            <w:r>
              <w:rPr>
                <w:rFonts w:ascii="Arial" w:hAnsi="Arial" w:eastAsia="Arial"/>
                <w:b w:val="0"/>
                <w:i w:val="0"/>
                <w:sz w:val="19"/>
              </w:rPr>
              <w:t>Certified intrusion warning before wells turn saline; a pumping rule safe for all three hazards; fewer wells lost to salt</w:t>
            </w:r>
          </w:p>
        </w:tc>
        <w:tc>
          <w:tcPr>
            <w:tcW w:type="dxa" w:w="1928"/>
          </w:tcPr>
          <w:p>
            <w:r/>
            <w:r>
              <w:rPr>
                <w:rFonts w:ascii="Arial" w:hAnsi="Arial" w:eastAsia="Arial"/>
                <w:b w:val="0"/>
                <w:i w:val="0"/>
                <w:sz w:val="19"/>
              </w:rPr>
              <w:t>Warnings from M23; rule by M33</w:t>
            </w:r>
          </w:p>
        </w:tc>
      </w:tr>
      <w:tr>
        <w:trPr>
          <w:cantSplit/>
        </w:trPr>
        <w:tc>
          <w:tcPr>
            <w:tcW w:type="dxa" w:w="2268"/>
          </w:tcPr>
          <w:p>
            <w:r/>
            <w:r>
              <w:rPr>
                <w:rFonts w:ascii="Arial" w:hAnsi="Arial" w:eastAsia="Arial"/>
                <w:b w:val="0"/>
                <w:i w:val="0"/>
                <w:sz w:val="19"/>
              </w:rPr>
              <w:t>Port authority</w:t>
            </w:r>
          </w:p>
        </w:tc>
        <w:tc>
          <w:tcPr>
            <w:tcW w:type="dxa" w:w="5443"/>
          </w:tcPr>
          <w:p>
            <w:r/>
            <w:r>
              <w:rPr>
                <w:rFonts w:ascii="Arial" w:hAnsi="Arial" w:eastAsia="Arial"/>
                <w:b w:val="0"/>
                <w:i w:val="0"/>
                <w:sz w:val="19"/>
              </w:rPr>
              <w:t>Liquefaction and extreme-water-level warnings for the quays; assessment within days after an earthquake or surge</w:t>
            </w:r>
          </w:p>
        </w:tc>
        <w:tc>
          <w:tcPr>
            <w:tcW w:type="dxa" w:w="1928"/>
          </w:tcPr>
          <w:p>
            <w:r/>
            <w:r>
              <w:rPr>
                <w:rFonts w:ascii="Arial" w:hAnsi="Arial" w:eastAsia="Arial"/>
                <w:b w:val="0"/>
                <w:i w:val="0"/>
                <w:sz w:val="19"/>
              </w:rPr>
              <w:t>From M23; post-event protocol from M12</w:t>
            </w:r>
          </w:p>
        </w:tc>
      </w:tr>
      <w:tr>
        <w:trPr>
          <w:cantSplit/>
        </w:trPr>
        <w:tc>
          <w:tcPr>
            <w:tcW w:type="dxa" w:w="2268"/>
          </w:tcPr>
          <w:p>
            <w:r/>
            <w:r>
              <w:rPr>
                <w:rFonts w:ascii="Arial" w:hAnsi="Arial" w:eastAsia="Arial"/>
                <w:b w:val="0"/>
                <w:i w:val="0"/>
                <w:sz w:val="19"/>
              </w:rPr>
              <w:t>Energy landfall operator</w:t>
            </w:r>
          </w:p>
        </w:tc>
        <w:tc>
          <w:tcPr>
            <w:tcW w:type="dxa" w:w="5443"/>
          </w:tcPr>
          <w:p>
            <w:r/>
            <w:r>
              <w:rPr>
                <w:rFonts w:ascii="Arial" w:hAnsi="Arial" w:eastAsia="Arial"/>
                <w:b w:val="0"/>
                <w:i w:val="0"/>
                <w:sz w:val="19"/>
              </w:rPr>
              <w:t>One stability check combining shaking, liquefaction, water level and subsidence; continuous monitoring</w:t>
            </w:r>
          </w:p>
        </w:tc>
        <w:tc>
          <w:tcPr>
            <w:tcW w:type="dxa" w:w="1928"/>
          </w:tcPr>
          <w:p>
            <w:r/>
            <w:r>
              <w:rPr>
                <w:rFonts w:ascii="Arial" w:hAnsi="Arial" w:eastAsia="Arial"/>
                <w:b w:val="0"/>
                <w:i w:val="0"/>
                <w:sz w:val="19"/>
              </w:rPr>
              <w:t>From M23</w:t>
            </w:r>
          </w:p>
        </w:tc>
      </w:tr>
      <w:tr>
        <w:trPr>
          <w:cantSplit/>
        </w:trPr>
        <w:tc>
          <w:tcPr>
            <w:tcW w:type="dxa" w:w="2268"/>
          </w:tcPr>
          <w:p>
            <w:r/>
            <w:r>
              <w:rPr>
                <w:rFonts w:ascii="Arial" w:hAnsi="Arial" w:eastAsia="Arial"/>
                <w:b w:val="0"/>
                <w:i w:val="0"/>
                <w:sz w:val="19"/>
              </w:rPr>
              <w:t>National Civil Protection Agency</w:t>
            </w:r>
          </w:p>
        </w:tc>
        <w:tc>
          <w:tcPr>
            <w:tcW w:type="dxa" w:w="5443"/>
          </w:tcPr>
          <w:p>
            <w:r/>
            <w:r>
              <w:rPr>
                <w:rFonts w:ascii="Arial" w:hAnsi="Arial" w:eastAsia="Arial"/>
                <w:b w:val="0"/>
                <w:i w:val="0"/>
                <w:sz w:val="19"/>
              </w:rPr>
              <w:t>One consistent picture of water, port and energy after an event, with stated reliability</w:t>
            </w:r>
          </w:p>
        </w:tc>
        <w:tc>
          <w:tcPr>
            <w:tcW w:type="dxa" w:w="1928"/>
          </w:tcPr>
          <w:p>
            <w:r/>
            <w:r>
              <w:rPr>
                <w:rFonts w:ascii="Arial" w:hAnsi="Arial" w:eastAsia="Arial"/>
                <w:b w:val="0"/>
                <w:i w:val="0"/>
                <w:sz w:val="19"/>
              </w:rPr>
              <w:t>From M23</w:t>
            </w:r>
          </w:p>
        </w:tc>
      </w:tr>
      <w:tr>
        <w:trPr>
          <w:cantSplit/>
        </w:trPr>
        <w:tc>
          <w:tcPr>
            <w:tcW w:type="dxa" w:w="2268"/>
          </w:tcPr>
          <w:p>
            <w:r/>
            <w:r>
              <w:rPr>
                <w:rFonts w:ascii="Arial" w:hAnsi="Arial" w:eastAsia="Arial"/>
                <w:b w:val="0"/>
                <w:i w:val="0"/>
                <w:sz w:val="19"/>
              </w:rPr>
              <w:t>National authorities</w:t>
            </w:r>
          </w:p>
        </w:tc>
        <w:tc>
          <w:tcPr>
            <w:tcW w:type="dxa" w:w="5443"/>
          </w:tcPr>
          <w:p>
            <w:r/>
            <w:r>
              <w:rPr>
                <w:rFonts w:ascii="Arial" w:hAnsi="Arial" w:eastAsia="Arial"/>
                <w:b w:val="0"/>
                <w:i w:val="0"/>
                <w:sz w:val="19"/>
              </w:rPr>
              <w:t>Relative sea level measured at the assets for planning; a policy brief on coastal subsidence and critical infrastructure</w:t>
            </w:r>
          </w:p>
        </w:tc>
        <w:tc>
          <w:tcPr>
            <w:tcW w:type="dxa" w:w="1928"/>
          </w:tcPr>
          <w:p>
            <w:r/>
            <w:r>
              <w:rPr>
                <w:rFonts w:ascii="Arial" w:hAnsi="Arial" w:eastAsia="Arial"/>
                <w:b w:val="0"/>
                <w:i w:val="0"/>
                <w:sz w:val="19"/>
              </w:rPr>
              <w:t>M12 (D1.1); M36 (D6.2)</w:t>
            </w:r>
          </w:p>
        </w:tc>
      </w:tr>
      <w:tr>
        <w:trPr>
          <w:cantSplit/>
        </w:trPr>
        <w:tc>
          <w:tcPr>
            <w:tcW w:type="dxa" w:w="2268"/>
          </w:tcPr>
          <w:p>
            <w:r/>
            <w:r>
              <w:rPr>
                <w:rFonts w:ascii="Arial" w:hAnsi="Arial" w:eastAsia="Arial"/>
                <w:b w:val="0"/>
                <w:i w:val="0"/>
                <w:sz w:val="19"/>
              </w:rPr>
              <w:t>People of the Durrës area</w:t>
            </w:r>
          </w:p>
        </w:tc>
        <w:tc>
          <w:tcPr>
            <w:tcW w:type="dxa" w:w="5443"/>
          </w:tcPr>
          <w:p>
            <w:r/>
            <w:r>
              <w:rPr>
                <w:rFonts w:ascii="Arial" w:hAnsi="Arial" w:eastAsia="Arial"/>
                <w:b w:val="0"/>
                <w:i w:val="0"/>
                <w:sz w:val="19"/>
              </w:rPr>
              <w:t>Safer drinking water and continuity of port and energy services (indirect)</w:t>
            </w:r>
          </w:p>
        </w:tc>
        <w:tc>
          <w:tcPr>
            <w:tcW w:type="dxa" w:w="1928"/>
          </w:tcPr>
          <w:p>
            <w:r/>
            <w:r>
              <w:rPr>
                <w:rFonts w:ascii="Arial" w:hAnsi="Arial" w:eastAsia="Arial"/>
                <w:b w:val="0"/>
                <w:i w:val="0"/>
                <w:sz w:val="19"/>
              </w:rPr>
              <w:t>During and after the project</w:t>
            </w:r>
          </w:p>
        </w:tc>
      </w:tr>
      <w:tr>
        <w:trPr>
          <w:cantSplit/>
        </w:trPr>
        <w:tc>
          <w:tcPr>
            <w:tcW w:type="dxa" w:w="2268"/>
          </w:tcPr>
          <w:p>
            <w:r/>
            <w:r>
              <w:rPr>
                <w:rFonts w:ascii="Arial" w:hAnsi="Arial" w:eastAsia="Arial"/>
                <w:b w:val="0"/>
                <w:i w:val="0"/>
                <w:sz w:val="19"/>
              </w:rPr>
              <w:t>Partner-country institution</w:t>
            </w:r>
          </w:p>
        </w:tc>
        <w:tc>
          <w:tcPr>
            <w:tcW w:type="dxa" w:w="5443"/>
          </w:tcPr>
          <w:p>
            <w:r/>
            <w:r>
              <w:rPr>
                <w:rFonts w:ascii="Arial" w:hAnsi="Arial" w:eastAsia="Arial"/>
                <w:b w:val="0"/>
                <w:i w:val="0"/>
                <w:sz w:val="19"/>
              </w:rPr>
              <w:t>Researchers trained in every work package; methods and software to apply on its own coasts</w:t>
            </w:r>
          </w:p>
        </w:tc>
        <w:tc>
          <w:tcPr>
            <w:tcW w:type="dxa" w:w="1928"/>
          </w:tcPr>
          <w:p>
            <w:r/>
            <w:r>
              <w:rPr>
                <w:rFonts w:ascii="Arial" w:hAnsi="Arial" w:eastAsia="Arial"/>
                <w:b w:val="0"/>
                <w:i w:val="0"/>
                <w:sz w:val="19"/>
              </w:rPr>
              <w:t>M3–M36 and after</w:t>
            </w:r>
          </w:p>
        </w:tc>
      </w:tr>
      <w:tr>
        <w:trPr>
          <w:cantSplit/>
        </w:trPr>
        <w:tc>
          <w:tcPr>
            <w:tcW w:type="dxa" w:w="2268"/>
          </w:tcPr>
          <w:p>
            <w:r/>
            <w:r>
              <w:rPr>
                <w:rFonts w:ascii="Arial" w:hAnsi="Arial" w:eastAsia="Arial"/>
                <w:b w:val="0"/>
                <w:i w:val="0"/>
                <w:sz w:val="19"/>
              </w:rPr>
              <w:t>Scientific community</w:t>
            </w:r>
          </w:p>
        </w:tc>
        <w:tc>
          <w:tcPr>
            <w:tcW w:type="dxa" w:w="5443"/>
          </w:tcPr>
          <w:p>
            <w:r/>
            <w:r>
              <w:rPr>
                <w:rFonts w:ascii="Arial" w:hAnsi="Arial" w:eastAsia="Arial"/>
                <w:b w:val="0"/>
                <w:i w:val="0"/>
                <w:sz w:val="19"/>
              </w:rPr>
              <w:t>Coupled model, certified alarms, open software, data and a synthetic test coast</w:t>
            </w:r>
          </w:p>
        </w:tc>
        <w:tc>
          <w:tcPr>
            <w:tcW w:type="dxa" w:w="1928"/>
          </w:tcPr>
          <w:p>
            <w:r/>
            <w:r>
              <w:rPr>
                <w:rFonts w:ascii="Arial" w:hAnsi="Arial" w:eastAsia="Arial"/>
                <w:b w:val="0"/>
                <w:i w:val="0"/>
                <w:sz w:val="19"/>
              </w:rPr>
              <w:t>M24–M36</w:t>
            </w:r>
          </w:p>
        </w:tc>
      </w:tr>
      <w:tr>
        <w:trPr>
          <w:cantSplit/>
        </w:trPr>
        <w:tc>
          <w:tcPr>
            <w:tcW w:type="dxa" w:w="2268"/>
          </w:tcPr>
          <w:p>
            <w:r/>
            <w:r>
              <w:rPr>
                <w:rFonts w:ascii="Arial" w:hAnsi="Arial" w:eastAsia="Arial"/>
                <w:b w:val="0"/>
                <w:i w:val="0"/>
                <w:sz w:val="19"/>
              </w:rPr>
              <w:t>NATO and partners</w:t>
            </w:r>
          </w:p>
        </w:tc>
        <w:tc>
          <w:tcPr>
            <w:tcW w:type="dxa" w:w="5443"/>
          </w:tcPr>
          <w:p>
            <w:r/>
            <w:r>
              <w:rPr>
                <w:rFonts w:ascii="Arial" w:hAnsi="Arial" w:eastAsia="Arial"/>
                <w:b w:val="0"/>
                <w:i w:val="0"/>
                <w:sz w:val="19"/>
              </w:rPr>
              <w:t>A tested way to protect critical coastal infrastructure with warnings of known reliability</w:t>
            </w:r>
          </w:p>
        </w:tc>
        <w:tc>
          <w:tcPr>
            <w:tcW w:type="dxa" w:w="1928"/>
          </w:tcPr>
          <w:p>
            <w:r/>
            <w:r>
              <w:rPr>
                <w:rFonts w:ascii="Arial" w:hAnsi="Arial" w:eastAsia="Arial"/>
                <w:b w:val="0"/>
                <w:i w:val="0"/>
                <w:sz w:val="19"/>
              </w:rPr>
              <w:t>M36 and after</w:t>
            </w:r>
          </w:p>
        </w:tc>
      </w:tr>
    </w:tbl>
    <w:p>
      <w:pPr>
        <w:keepNext/>
        <w:spacing w:after="120" w:before="200"/>
      </w:pPr>
      <w:r>
        <w:rPr>
          <w:rFonts w:ascii="Arial" w:hAnsi="Arial" w:eastAsia="Arial"/>
          <w:b/>
          <w:i w:val="0"/>
          <w:color w:val="1F3864"/>
          <w:sz w:val="27"/>
        </w:rPr>
        <w:t>4. Impact indicators and targets</w:t>
      </w:r>
    </w:p>
    <w:p>
      <w:pPr>
        <w:spacing w:after="80" w:before="0"/>
        <w:jc w:val="both"/>
      </w:pPr>
      <w:r>
        <w:rPr>
          <w:rFonts w:ascii="Arial" w:hAnsi="Arial" w:eastAsia="Arial"/>
          <w:b w:val="0"/>
          <w:i w:val="0"/>
          <w:sz w:val="21"/>
        </w:rPr>
        <w:t>Each indicator has a baseline, a target at the end of the project and a target three years after it; values in brackets are proposals to be agreed with the end-users. Indicators after the project are measured from the bulletin log that the operators keep.</w:t>
      </w:r>
    </w:p>
    <w:tbl>
      <w:tblPr>
        <w:tblStyle w:val="TableGrid"/>
        <w:tblW w:type="auto" w:w="0"/>
        <w:jc w:val="center"/>
        <w:tblLayout w:type="fixed"/>
        <w:tblLook w:firstColumn="1" w:firstRow="1" w:lastColumn="0" w:lastRow="0" w:noHBand="0" w:noVBand="1" w:val="04A0"/>
        <w:tblLayout w:type="fixed"/>
      </w:tblPr>
      <w:tblGrid>
        <w:gridCol w:w="2494"/>
        <w:gridCol w:w="1247"/>
        <w:gridCol w:w="2268"/>
        <w:gridCol w:w="2041"/>
        <w:gridCol w:w="1587"/>
      </w:tblGrid>
      <w:tr>
        <w:trPr>
          <w:cantSplit/>
          <w:tblHeader/>
        </w:trPr>
        <w:tc>
          <w:tcPr>
            <w:tcW w:type="dxa" w:w="2494"/>
            <w:shd w:val="clear" w:color="auto" w:fill="1F3864"/>
          </w:tcPr>
          <w:p>
            <w:r/>
            <w:r>
              <w:rPr>
                <w:rFonts w:ascii="Arial" w:hAnsi="Arial" w:eastAsia="Arial"/>
                <w:b/>
                <w:i w:val="0"/>
                <w:color w:val="FFFFFF"/>
                <w:sz w:val="18"/>
              </w:rPr>
              <w:t>Indicator</w:t>
            </w:r>
          </w:p>
        </w:tc>
        <w:tc>
          <w:tcPr>
            <w:tcW w:type="dxa" w:w="1247"/>
            <w:shd w:val="clear" w:color="auto" w:fill="1F3864"/>
          </w:tcPr>
          <w:p>
            <w:r/>
            <w:r>
              <w:rPr>
                <w:rFonts w:ascii="Arial" w:hAnsi="Arial" w:eastAsia="Arial"/>
                <w:b/>
                <w:i w:val="0"/>
                <w:color w:val="FFFFFF"/>
                <w:sz w:val="18"/>
              </w:rPr>
              <w:t>Baseline</w:t>
            </w:r>
          </w:p>
        </w:tc>
        <w:tc>
          <w:tcPr>
            <w:tcW w:type="dxa" w:w="2268"/>
            <w:shd w:val="clear" w:color="auto" w:fill="1F3864"/>
          </w:tcPr>
          <w:p>
            <w:r/>
            <w:r>
              <w:rPr>
                <w:rFonts w:ascii="Arial" w:hAnsi="Arial" w:eastAsia="Arial"/>
                <w:b/>
                <w:i w:val="0"/>
                <w:color w:val="FFFFFF"/>
                <w:sz w:val="18"/>
              </w:rPr>
              <w:t>End of project (M36)</w:t>
            </w:r>
          </w:p>
        </w:tc>
        <w:tc>
          <w:tcPr>
            <w:tcW w:type="dxa" w:w="2041"/>
            <w:shd w:val="clear" w:color="auto" w:fill="1F3864"/>
          </w:tcPr>
          <w:p>
            <w:r/>
            <w:r>
              <w:rPr>
                <w:rFonts w:ascii="Arial" w:hAnsi="Arial" w:eastAsia="Arial"/>
                <w:b/>
                <w:i w:val="0"/>
                <w:color w:val="FFFFFF"/>
                <w:sz w:val="18"/>
              </w:rPr>
              <w:t>Three years after</w:t>
            </w:r>
          </w:p>
        </w:tc>
        <w:tc>
          <w:tcPr>
            <w:tcW w:type="dxa" w:w="1587"/>
            <w:shd w:val="clear" w:color="auto" w:fill="1F3864"/>
          </w:tcPr>
          <w:p>
            <w:r/>
            <w:r>
              <w:rPr>
                <w:rFonts w:ascii="Arial" w:hAnsi="Arial" w:eastAsia="Arial"/>
                <w:b/>
                <w:i w:val="0"/>
                <w:color w:val="FFFFFF"/>
                <w:sz w:val="18"/>
              </w:rPr>
              <w:t>Verified by</w:t>
            </w:r>
          </w:p>
        </w:tc>
      </w:tr>
      <w:tr>
        <w:trPr>
          <w:cantSplit/>
        </w:trPr>
        <w:tc>
          <w:tcPr>
            <w:tcW w:type="dxa" w:w="2494"/>
            <w:shd w:val="clear" w:color="auto" w:fill="EEF2F8"/>
          </w:tcPr>
          <w:p>
            <w:r/>
            <w:r>
              <w:rPr>
                <w:rFonts w:ascii="Arial" w:hAnsi="Arial" w:eastAsia="Arial"/>
                <w:b w:val="0"/>
                <w:i w:val="0"/>
                <w:sz w:val="18"/>
              </w:rPr>
              <w:t>Hazards covered by one warning with a stated miss rate</w:t>
            </w:r>
          </w:p>
        </w:tc>
        <w:tc>
          <w:tcPr>
            <w:tcW w:type="dxa" w:w="1247"/>
          </w:tcPr>
          <w:p>
            <w:r/>
            <w:r>
              <w:rPr>
                <w:rFonts w:ascii="Arial" w:hAnsi="Arial" w:eastAsia="Arial"/>
                <w:b w:val="0"/>
                <w:i w:val="0"/>
                <w:sz w:val="18"/>
              </w:rPr>
              <w:t>None at the site</w:t>
            </w:r>
          </w:p>
        </w:tc>
        <w:tc>
          <w:tcPr>
            <w:tcW w:type="dxa" w:w="2268"/>
          </w:tcPr>
          <w:p>
            <w:r/>
            <w:r>
              <w:rPr>
                <w:rFonts w:ascii="Arial" w:hAnsi="Arial" w:eastAsia="Arial"/>
                <w:b w:val="0"/>
                <w:i w:val="0"/>
                <w:sz w:val="18"/>
              </w:rPr>
              <w:t>3 (intrusion, liquefaction, extreme sea level)</w:t>
            </w:r>
          </w:p>
        </w:tc>
        <w:tc>
          <w:tcPr>
            <w:tcW w:type="dxa" w:w="2041"/>
          </w:tcPr>
          <w:p>
            <w:r/>
            <w:r>
              <w:rPr>
                <w:rFonts w:ascii="Arial" w:hAnsi="Arial" w:eastAsia="Arial"/>
                <w:b w:val="0"/>
                <w:i w:val="0"/>
                <w:sz w:val="18"/>
              </w:rPr>
              <w:t>3, run by the operators</w:t>
            </w:r>
          </w:p>
        </w:tc>
        <w:tc>
          <w:tcPr>
            <w:tcW w:type="dxa" w:w="1587"/>
          </w:tcPr>
          <w:p>
            <w:r/>
            <w:r>
              <w:rPr>
                <w:rFonts w:ascii="Arial" w:hAnsi="Arial" w:eastAsia="Arial"/>
                <w:b w:val="0"/>
                <w:i w:val="0"/>
                <w:sz w:val="18"/>
              </w:rPr>
              <w:t>D3.1; D5.1</w:t>
            </w:r>
          </w:p>
        </w:tc>
      </w:tr>
      <w:tr>
        <w:trPr>
          <w:cantSplit/>
        </w:trPr>
        <w:tc>
          <w:tcPr>
            <w:tcW w:type="dxa" w:w="2494"/>
            <w:shd w:val="clear" w:color="auto" w:fill="EEF2F8"/>
          </w:tcPr>
          <w:p>
            <w:r/>
            <w:r>
              <w:rPr>
                <w:rFonts w:ascii="Arial" w:hAnsi="Arial" w:eastAsia="Arial"/>
                <w:b w:val="0"/>
                <w:i w:val="0"/>
                <w:sz w:val="18"/>
              </w:rPr>
              <w:t>Miss rate of each alarm</w:t>
            </w:r>
          </w:p>
        </w:tc>
        <w:tc>
          <w:tcPr>
            <w:tcW w:type="dxa" w:w="1247"/>
          </w:tcPr>
          <w:p>
            <w:r/>
            <w:r>
              <w:rPr>
                <w:rFonts w:ascii="Arial" w:hAnsi="Arial" w:eastAsia="Arial"/>
                <w:b w:val="0"/>
                <w:i w:val="0"/>
                <w:sz w:val="18"/>
              </w:rPr>
              <w:t>Not stated</w:t>
            </w:r>
          </w:p>
        </w:tc>
        <w:tc>
          <w:tcPr>
            <w:tcW w:type="dxa" w:w="2268"/>
          </w:tcPr>
          <w:p>
            <w:r/>
            <w:r>
              <w:rPr>
                <w:rFonts w:ascii="Arial" w:hAnsi="Arial" w:eastAsia="Arial"/>
                <w:b w:val="0"/>
                <w:i w:val="0"/>
                <w:sz w:val="18"/>
              </w:rPr>
              <w:t>≤ αₖ (indicatively 5–10%) in back-testing and live</w:t>
            </w:r>
          </w:p>
        </w:tc>
        <w:tc>
          <w:tcPr>
            <w:tcW w:type="dxa" w:w="2041"/>
          </w:tcPr>
          <w:p>
            <w:r/>
            <w:r>
              <w:rPr>
                <w:rFonts w:ascii="Arial" w:hAnsi="Arial" w:eastAsia="Arial"/>
                <w:b w:val="0"/>
                <w:i w:val="0"/>
                <w:sz w:val="18"/>
              </w:rPr>
              <w:t>Still ≤ αₖ in the continued bulletin log</w:t>
            </w:r>
          </w:p>
        </w:tc>
        <w:tc>
          <w:tcPr>
            <w:tcW w:type="dxa" w:w="1587"/>
          </w:tcPr>
          <w:p>
            <w:r/>
            <w:r>
              <w:rPr>
                <w:rFonts w:ascii="Arial" w:hAnsi="Arial" w:eastAsia="Arial"/>
                <w:b w:val="0"/>
                <w:i w:val="0"/>
                <w:sz w:val="18"/>
              </w:rPr>
              <w:t>D3.2; D5.1; operators' log</w:t>
            </w:r>
          </w:p>
        </w:tc>
      </w:tr>
      <w:tr>
        <w:trPr>
          <w:cantSplit/>
        </w:trPr>
        <w:tc>
          <w:tcPr>
            <w:tcW w:type="dxa" w:w="2494"/>
            <w:shd w:val="clear" w:color="auto" w:fill="EEF2F8"/>
          </w:tcPr>
          <w:p>
            <w:r/>
            <w:r>
              <w:rPr>
                <w:rFonts w:ascii="Arial" w:hAnsi="Arial" w:eastAsia="Arial"/>
                <w:b w:val="0"/>
                <w:i w:val="0"/>
                <w:sz w:val="18"/>
              </w:rPr>
              <w:t>Months of live operation with logged outcomes</w:t>
            </w:r>
          </w:p>
        </w:tc>
        <w:tc>
          <w:tcPr>
            <w:tcW w:type="dxa" w:w="1247"/>
          </w:tcPr>
          <w:p>
            <w:r/>
            <w:r>
              <w:rPr>
                <w:rFonts w:ascii="Arial" w:hAnsi="Arial" w:eastAsia="Arial"/>
                <w:b w:val="0"/>
                <w:i w:val="0"/>
                <w:sz w:val="18"/>
              </w:rPr>
              <w:t>0</w:t>
            </w:r>
          </w:p>
        </w:tc>
        <w:tc>
          <w:tcPr>
            <w:tcW w:type="dxa" w:w="2268"/>
          </w:tcPr>
          <w:p>
            <w:r/>
            <w:r>
              <w:rPr>
                <w:rFonts w:ascii="Arial" w:hAnsi="Arial" w:eastAsia="Arial"/>
                <w:b w:val="0"/>
                <w:i w:val="0"/>
                <w:sz w:val="18"/>
              </w:rPr>
              <w:t>12</w:t>
            </w:r>
          </w:p>
        </w:tc>
        <w:tc>
          <w:tcPr>
            <w:tcW w:type="dxa" w:w="2041"/>
          </w:tcPr>
          <w:p>
            <w:r>
              <w:rPr>
                <w:rFonts w:ascii="Arial" w:hAnsi="Arial" w:eastAsia="Arial"/>
                <w:b w:val="0"/>
                <w:i w:val="0"/>
                <w:sz w:val="19"/>
                <w:highlight w:val="yellow"/>
              </w:rPr>
              <w:t>[≥ 36 in total]</w:t>
            </w:r>
          </w:p>
        </w:tc>
        <w:tc>
          <w:tcPr>
            <w:tcW w:type="dxa" w:w="1587"/>
          </w:tcPr>
          <w:p>
            <w:r/>
            <w:r>
              <w:rPr>
                <w:rFonts w:ascii="Arial" w:hAnsi="Arial" w:eastAsia="Arial"/>
                <w:b w:val="0"/>
                <w:i w:val="0"/>
                <w:sz w:val="18"/>
              </w:rPr>
              <w:t>D5.1; bulletin log</w:t>
            </w:r>
          </w:p>
        </w:tc>
      </w:tr>
      <w:tr>
        <w:trPr>
          <w:cantSplit/>
        </w:trPr>
        <w:tc>
          <w:tcPr>
            <w:tcW w:type="dxa" w:w="2494"/>
            <w:shd w:val="clear" w:color="auto" w:fill="EEF2F8"/>
          </w:tcPr>
          <w:p>
            <w:r/>
            <w:r>
              <w:rPr>
                <w:rFonts w:ascii="Arial" w:hAnsi="Arial" w:eastAsia="Arial"/>
                <w:b w:val="0"/>
                <w:i w:val="0"/>
                <w:sz w:val="18"/>
              </w:rPr>
              <w:t>Value of the warning to each user (Section 5)</w:t>
            </w:r>
          </w:p>
        </w:tc>
        <w:tc>
          <w:tcPr>
            <w:tcW w:type="dxa" w:w="1247"/>
          </w:tcPr>
          <w:p>
            <w:r/>
            <w:r>
              <w:rPr>
                <w:rFonts w:ascii="Arial" w:hAnsi="Arial" w:eastAsia="Arial"/>
                <w:b w:val="0"/>
                <w:i w:val="0"/>
                <w:sz w:val="18"/>
              </w:rPr>
              <w:t>Unknown</w:t>
            </w:r>
          </w:p>
        </w:tc>
        <w:tc>
          <w:tcPr>
            <w:tcW w:type="dxa" w:w="2268"/>
          </w:tcPr>
          <w:p>
            <w:r/>
            <w:r>
              <w:rPr>
                <w:rFonts w:ascii="Arial" w:hAnsi="Arial" w:eastAsia="Arial"/>
                <w:b w:val="0"/>
                <w:i w:val="0"/>
                <w:sz w:val="18"/>
              </w:rPr>
              <w:t>Certified lower bound reported for each user</w:t>
            </w:r>
          </w:p>
        </w:tc>
        <w:tc>
          <w:tcPr>
            <w:tcW w:type="dxa" w:w="2041"/>
          </w:tcPr>
          <w:p>
            <w:r/>
            <w:r>
              <w:rPr>
                <w:rFonts w:ascii="Arial" w:hAnsi="Arial" w:eastAsia="Arial"/>
                <w:b w:val="0"/>
                <w:i w:val="0"/>
                <w:sz w:val="18"/>
              </w:rPr>
              <w:t>Recomputed yearly from the log</w:t>
            </w:r>
          </w:p>
        </w:tc>
        <w:tc>
          <w:tcPr>
            <w:tcW w:type="dxa" w:w="1587"/>
          </w:tcPr>
          <w:p>
            <w:r/>
            <w:r>
              <w:rPr>
                <w:rFonts w:ascii="Arial" w:hAnsi="Arial" w:eastAsia="Arial"/>
                <w:b w:val="0"/>
                <w:i w:val="0"/>
                <w:sz w:val="18"/>
              </w:rPr>
              <w:t>D5.1; operators' log</w:t>
            </w:r>
          </w:p>
        </w:tc>
      </w:tr>
      <w:tr>
        <w:trPr>
          <w:cantSplit/>
        </w:trPr>
        <w:tc>
          <w:tcPr>
            <w:tcW w:type="dxa" w:w="2494"/>
            <w:shd w:val="clear" w:color="auto" w:fill="EEF2F8"/>
          </w:tcPr>
          <w:p>
            <w:r/>
            <w:r>
              <w:rPr>
                <w:rFonts w:ascii="Arial" w:hAnsi="Arial" w:eastAsia="Arial"/>
                <w:b w:val="0"/>
                <w:i w:val="0"/>
                <w:sz w:val="18"/>
              </w:rPr>
              <w:t>Assets with an operating procedure adopted</w:t>
            </w:r>
          </w:p>
        </w:tc>
        <w:tc>
          <w:tcPr>
            <w:tcW w:type="dxa" w:w="1247"/>
          </w:tcPr>
          <w:p>
            <w:r/>
            <w:r>
              <w:rPr>
                <w:rFonts w:ascii="Arial" w:hAnsi="Arial" w:eastAsia="Arial"/>
                <w:b w:val="0"/>
                <w:i w:val="0"/>
                <w:sz w:val="18"/>
              </w:rPr>
              <w:t>0</w:t>
            </w:r>
          </w:p>
        </w:tc>
        <w:tc>
          <w:tcPr>
            <w:tcW w:type="dxa" w:w="2268"/>
          </w:tcPr>
          <w:p>
            <w:r/>
            <w:r>
              <w:rPr>
                <w:rFonts w:ascii="Arial" w:hAnsi="Arial" w:eastAsia="Arial"/>
                <w:b w:val="0"/>
                <w:i w:val="0"/>
                <w:sz w:val="18"/>
              </w:rPr>
              <w:t>3 (at least one per asset)</w:t>
            </w:r>
          </w:p>
        </w:tc>
        <w:tc>
          <w:tcPr>
            <w:tcW w:type="dxa" w:w="2041"/>
          </w:tcPr>
          <w:p>
            <w:r/>
            <w:r>
              <w:rPr>
                <w:rFonts w:ascii="Arial" w:hAnsi="Arial" w:eastAsia="Arial"/>
                <w:b w:val="0"/>
                <w:i w:val="0"/>
                <w:sz w:val="18"/>
              </w:rPr>
              <w:t>3, reviewed after each event</w:t>
            </w:r>
          </w:p>
        </w:tc>
        <w:tc>
          <w:tcPr>
            <w:tcW w:type="dxa" w:w="1587"/>
          </w:tcPr>
          <w:p>
            <w:r/>
            <w:r>
              <w:rPr>
                <w:rFonts w:ascii="Arial" w:hAnsi="Arial" w:eastAsia="Arial"/>
                <w:b w:val="0"/>
                <w:i w:val="0"/>
                <w:sz w:val="18"/>
              </w:rPr>
              <w:t>D6.2</w:t>
            </w:r>
          </w:p>
        </w:tc>
      </w:tr>
      <w:tr>
        <w:trPr>
          <w:cantSplit/>
        </w:trPr>
        <w:tc>
          <w:tcPr>
            <w:tcW w:type="dxa" w:w="2494"/>
            <w:shd w:val="clear" w:color="auto" w:fill="EEF2F8"/>
          </w:tcPr>
          <w:p>
            <w:r/>
            <w:r>
              <w:rPr>
                <w:rFonts w:ascii="Arial" w:hAnsi="Arial" w:eastAsia="Arial"/>
                <w:b w:val="0"/>
                <w:i w:val="0"/>
                <w:sz w:val="18"/>
              </w:rPr>
              <w:t>Trained operator and civil-protection staff</w:t>
            </w:r>
          </w:p>
        </w:tc>
        <w:tc>
          <w:tcPr>
            <w:tcW w:type="dxa" w:w="1247"/>
          </w:tcPr>
          <w:p>
            <w:r/>
            <w:r>
              <w:rPr>
                <w:rFonts w:ascii="Arial" w:hAnsi="Arial" w:eastAsia="Arial"/>
                <w:b w:val="0"/>
                <w:i w:val="0"/>
                <w:sz w:val="18"/>
              </w:rPr>
              <w:t>0</w:t>
            </w:r>
          </w:p>
        </w:tc>
        <w:tc>
          <w:tcPr>
            <w:tcW w:type="dxa" w:w="2268"/>
          </w:tcPr>
          <w:p>
            <w:r/>
            <w:r>
              <w:rPr>
                <w:rFonts w:ascii="Arial" w:hAnsi="Arial" w:eastAsia="Arial"/>
                <w:b w:val="0"/>
                <w:i w:val="0"/>
                <w:sz w:val="18"/>
              </w:rPr>
              <w:t>≥ 20 in total; ≥ 2 per operator</w:t>
            </w:r>
          </w:p>
        </w:tc>
        <w:tc>
          <w:tcPr>
            <w:tcW w:type="dxa" w:w="2041"/>
          </w:tcPr>
          <w:p>
            <w:r/>
            <w:r>
              <w:rPr>
                <w:rFonts w:ascii="Arial" w:hAnsi="Arial" w:eastAsia="Arial"/>
                <w:b w:val="0"/>
                <w:i w:val="0"/>
                <w:sz w:val="18"/>
              </w:rPr>
              <w:t>≥ 2 per operator kept</w:t>
            </w:r>
          </w:p>
        </w:tc>
        <w:tc>
          <w:tcPr>
            <w:tcW w:type="dxa" w:w="1587"/>
          </w:tcPr>
          <w:p>
            <w:r/>
            <w:r>
              <w:rPr>
                <w:rFonts w:ascii="Arial" w:hAnsi="Arial" w:eastAsia="Arial"/>
                <w:b w:val="0"/>
                <w:i w:val="0"/>
                <w:sz w:val="18"/>
              </w:rPr>
              <w:t>Training records (T6.2)</w:t>
            </w:r>
          </w:p>
        </w:tc>
      </w:tr>
      <w:tr>
        <w:trPr>
          <w:cantSplit/>
        </w:trPr>
        <w:tc>
          <w:tcPr>
            <w:tcW w:type="dxa" w:w="2494"/>
            <w:shd w:val="clear" w:color="auto" w:fill="EEF2F8"/>
          </w:tcPr>
          <w:p>
            <w:r/>
            <w:r>
              <w:rPr>
                <w:rFonts w:ascii="Arial" w:hAnsi="Arial" w:eastAsia="Arial"/>
                <w:b w:val="0"/>
                <w:i w:val="0"/>
                <w:sz w:val="18"/>
              </w:rPr>
              <w:t>Early-career researchers trained</w:t>
            </w:r>
          </w:p>
        </w:tc>
        <w:tc>
          <w:tcPr>
            <w:tcW w:type="dxa" w:w="1247"/>
          </w:tcPr>
          <w:p>
            <w:r/>
            <w:r>
              <w:rPr>
                <w:rFonts w:ascii="Arial" w:hAnsi="Arial" w:eastAsia="Arial"/>
                <w:b w:val="0"/>
                <w:i w:val="0"/>
                <w:sz w:val="18"/>
              </w:rPr>
              <w:t>—</w:t>
            </w:r>
          </w:p>
        </w:tc>
        <w:tc>
          <w:tcPr>
            <w:tcW w:type="dxa" w:w="2268"/>
          </w:tcPr>
          <w:p>
            <w:r/>
            <w:r>
              <w:rPr>
                <w:rFonts w:ascii="Arial" w:hAnsi="Arial" w:eastAsia="Arial"/>
                <w:b w:val="0"/>
                <w:i w:val="0"/>
                <w:sz w:val="18"/>
              </w:rPr>
              <w:t>≥ 6 (NATO and partner country)</w:t>
            </w:r>
          </w:p>
        </w:tc>
        <w:tc>
          <w:tcPr>
            <w:tcW w:type="dxa" w:w="2041"/>
          </w:tcPr>
          <w:p>
            <w:r>
              <w:rPr>
                <w:rFonts w:ascii="Arial" w:hAnsi="Arial" w:eastAsia="Arial"/>
                <w:b w:val="0"/>
                <w:i w:val="0"/>
                <w:sz w:val="19"/>
                <w:highlight w:val="yellow"/>
              </w:rPr>
              <w:t>[Careers in the field]</w:t>
            </w:r>
          </w:p>
        </w:tc>
        <w:tc>
          <w:tcPr>
            <w:tcW w:type="dxa" w:w="1587"/>
          </w:tcPr>
          <w:p>
            <w:r/>
            <w:r>
              <w:rPr>
                <w:rFonts w:ascii="Arial" w:hAnsi="Arial" w:eastAsia="Arial"/>
                <w:b w:val="0"/>
                <w:i w:val="0"/>
                <w:sz w:val="18"/>
              </w:rPr>
              <w:t>T6.1 records</w:t>
            </w:r>
          </w:p>
        </w:tc>
      </w:tr>
      <w:tr>
        <w:trPr>
          <w:cantSplit/>
        </w:trPr>
        <w:tc>
          <w:tcPr>
            <w:tcW w:type="dxa" w:w="2494"/>
            <w:shd w:val="clear" w:color="auto" w:fill="EEF2F8"/>
          </w:tcPr>
          <w:p>
            <w:r/>
            <w:r>
              <w:rPr>
                <w:rFonts w:ascii="Arial" w:hAnsi="Arial" w:eastAsia="Arial"/>
                <w:b w:val="0"/>
                <w:i w:val="0"/>
                <w:sz w:val="18"/>
              </w:rPr>
              <w:t>Open-access publications</w:t>
            </w:r>
          </w:p>
        </w:tc>
        <w:tc>
          <w:tcPr>
            <w:tcW w:type="dxa" w:w="1247"/>
          </w:tcPr>
          <w:p>
            <w:r/>
            <w:r>
              <w:rPr>
                <w:rFonts w:ascii="Arial" w:hAnsi="Arial" w:eastAsia="Arial"/>
                <w:b w:val="0"/>
                <w:i w:val="0"/>
                <w:sz w:val="18"/>
              </w:rPr>
              <w:t>—</w:t>
            </w:r>
          </w:p>
        </w:tc>
        <w:tc>
          <w:tcPr>
            <w:tcW w:type="dxa" w:w="2268"/>
          </w:tcPr>
          <w:p>
            <w:r/>
            <w:r>
              <w:rPr>
                <w:rFonts w:ascii="Arial" w:hAnsi="Arial" w:eastAsia="Arial"/>
                <w:b w:val="0"/>
                <w:i w:val="0"/>
                <w:sz w:val="18"/>
              </w:rPr>
              <w:t>≥ 6 (indicatively)</w:t>
            </w:r>
          </w:p>
        </w:tc>
        <w:tc>
          <w:tcPr>
            <w:tcW w:type="dxa" w:w="2041"/>
          </w:tcPr>
          <w:p>
            <w:r>
              <w:rPr>
                <w:rFonts w:ascii="Arial" w:hAnsi="Arial" w:eastAsia="Arial"/>
                <w:b w:val="0"/>
                <w:i w:val="0"/>
                <w:sz w:val="19"/>
                <w:highlight w:val="yellow"/>
              </w:rPr>
              <w:t>[Further papers from the data]</w:t>
            </w:r>
          </w:p>
        </w:tc>
        <w:tc>
          <w:tcPr>
            <w:tcW w:type="dxa" w:w="1587"/>
          </w:tcPr>
          <w:p>
            <w:r/>
            <w:r>
              <w:rPr>
                <w:rFonts w:ascii="Arial" w:hAnsi="Arial" w:eastAsia="Arial"/>
                <w:b w:val="0"/>
                <w:i w:val="0"/>
                <w:sz w:val="18"/>
              </w:rPr>
              <w:t>Publication list</w:t>
            </w:r>
          </w:p>
        </w:tc>
      </w:tr>
      <w:tr>
        <w:trPr>
          <w:cantSplit/>
        </w:trPr>
        <w:tc>
          <w:tcPr>
            <w:tcW w:type="dxa" w:w="2494"/>
            <w:shd w:val="clear" w:color="auto" w:fill="EEF2F8"/>
          </w:tcPr>
          <w:p>
            <w:r/>
            <w:r>
              <w:rPr>
                <w:rFonts w:ascii="Arial" w:hAnsi="Arial" w:eastAsia="Arial"/>
                <w:b w:val="0"/>
                <w:i w:val="0"/>
                <w:sz w:val="18"/>
              </w:rPr>
              <w:t>Open software and data with a DOI</w:t>
            </w:r>
          </w:p>
        </w:tc>
        <w:tc>
          <w:tcPr>
            <w:tcW w:type="dxa" w:w="1247"/>
          </w:tcPr>
          <w:p>
            <w:r/>
            <w:r>
              <w:rPr>
                <w:rFonts w:ascii="Arial" w:hAnsi="Arial" w:eastAsia="Arial"/>
                <w:b w:val="0"/>
                <w:i w:val="0"/>
                <w:sz w:val="18"/>
              </w:rPr>
              <w:t>0</w:t>
            </w:r>
          </w:p>
        </w:tc>
        <w:tc>
          <w:tcPr>
            <w:tcW w:type="dxa" w:w="2268"/>
          </w:tcPr>
          <w:p>
            <w:r/>
            <w:r>
              <w:rPr>
                <w:rFonts w:ascii="Arial" w:hAnsi="Arial" w:eastAsia="Arial"/>
                <w:b w:val="0"/>
                <w:i w:val="0"/>
                <w:sz w:val="18"/>
              </w:rPr>
              <w:t>1 release, installed by an outsider (D6.1)</w:t>
            </w:r>
          </w:p>
        </w:tc>
        <w:tc>
          <w:tcPr>
            <w:tcW w:type="dxa" w:w="2041"/>
          </w:tcPr>
          <w:p>
            <w:r>
              <w:rPr>
                <w:rFonts w:ascii="Arial" w:hAnsi="Arial" w:eastAsia="Arial"/>
                <w:b w:val="0"/>
                <w:i w:val="0"/>
                <w:sz w:val="19"/>
                <w:highlight w:val="yellow"/>
              </w:rPr>
              <w:t>[Used by ≥ 1 group outside the consortium]</w:t>
            </w:r>
          </w:p>
        </w:tc>
        <w:tc>
          <w:tcPr>
            <w:tcW w:type="dxa" w:w="1587"/>
          </w:tcPr>
          <w:p>
            <w:r/>
            <w:r>
              <w:rPr>
                <w:rFonts w:ascii="Arial" w:hAnsi="Arial" w:eastAsia="Arial"/>
                <w:b w:val="0"/>
                <w:i w:val="0"/>
                <w:sz w:val="18"/>
              </w:rPr>
              <w:t>Repository statistics</w:t>
            </w:r>
          </w:p>
        </w:tc>
      </w:tr>
      <w:tr>
        <w:trPr>
          <w:cantSplit/>
        </w:trPr>
        <w:tc>
          <w:tcPr>
            <w:tcW w:type="dxa" w:w="2494"/>
            <w:shd w:val="clear" w:color="auto" w:fill="EEF2F8"/>
          </w:tcPr>
          <w:p>
            <w:r/>
            <w:r>
              <w:rPr>
                <w:rFonts w:ascii="Arial" w:hAnsi="Arial" w:eastAsia="Arial"/>
                <w:b w:val="0"/>
                <w:i w:val="0"/>
                <w:sz w:val="18"/>
              </w:rPr>
              <w:t>Post-event protocol executed</w:t>
            </w:r>
          </w:p>
        </w:tc>
        <w:tc>
          <w:tcPr>
            <w:tcW w:type="dxa" w:w="1247"/>
          </w:tcPr>
          <w:p>
            <w:r/>
            <w:r>
              <w:rPr>
                <w:rFonts w:ascii="Arial" w:hAnsi="Arial" w:eastAsia="Arial"/>
                <w:b w:val="0"/>
                <w:i w:val="0"/>
                <w:sz w:val="18"/>
              </w:rPr>
              <w:t>—</w:t>
            </w:r>
          </w:p>
        </w:tc>
        <w:tc>
          <w:tcPr>
            <w:tcW w:type="dxa" w:w="2268"/>
          </w:tcPr>
          <w:p>
            <w:r/>
            <w:r>
              <w:rPr>
                <w:rFonts w:ascii="Arial" w:hAnsi="Arial" w:eastAsia="Arial"/>
                <w:b w:val="0"/>
                <w:i w:val="0"/>
                <w:sz w:val="18"/>
              </w:rPr>
              <w:t>For every event above its trigger</w:t>
            </w:r>
          </w:p>
        </w:tc>
        <w:tc>
          <w:tcPr>
            <w:tcW w:type="dxa" w:w="2041"/>
          </w:tcPr>
          <w:p>
            <w:r/>
            <w:r>
              <w:rPr>
                <w:rFonts w:ascii="Arial" w:hAnsi="Arial" w:eastAsia="Arial"/>
                <w:b w:val="0"/>
                <w:i w:val="0"/>
                <w:sz w:val="18"/>
              </w:rPr>
              <w:t>Continued by the operators</w:t>
            </w:r>
          </w:p>
        </w:tc>
        <w:tc>
          <w:tcPr>
            <w:tcW w:type="dxa" w:w="1587"/>
          </w:tcPr>
          <w:p>
            <w:r/>
            <w:r>
              <w:rPr>
                <w:rFonts w:ascii="Arial" w:hAnsi="Arial" w:eastAsia="Arial"/>
                <w:b w:val="0"/>
                <w:i w:val="0"/>
                <w:sz w:val="18"/>
              </w:rPr>
              <w:t>D5.1; event reports</w:t>
            </w:r>
          </w:p>
        </w:tc>
      </w:tr>
      <w:tr>
        <w:trPr>
          <w:cantSplit/>
        </w:trPr>
        <w:tc>
          <w:tcPr>
            <w:tcW w:type="dxa" w:w="2494"/>
            <w:shd w:val="clear" w:color="auto" w:fill="EEF2F8"/>
          </w:tcPr>
          <w:p>
            <w:r/>
            <w:r>
              <w:rPr>
                <w:rFonts w:ascii="Arial" w:hAnsi="Arial" w:eastAsia="Arial"/>
                <w:b w:val="0"/>
                <w:i w:val="0"/>
                <w:sz w:val="18"/>
              </w:rPr>
              <w:t>Running cost carried by the operators</w:t>
            </w:r>
          </w:p>
        </w:tc>
        <w:tc>
          <w:tcPr>
            <w:tcW w:type="dxa" w:w="1247"/>
          </w:tcPr>
          <w:p>
            <w:r/>
            <w:r>
              <w:rPr>
                <w:rFonts w:ascii="Arial" w:hAnsi="Arial" w:eastAsia="Arial"/>
                <w:b w:val="0"/>
                <w:i w:val="0"/>
                <w:sz w:val="18"/>
              </w:rPr>
              <w:t>—</w:t>
            </w:r>
          </w:p>
        </w:tc>
        <w:tc>
          <w:tcPr>
            <w:tcW w:type="dxa" w:w="2268"/>
          </w:tcPr>
          <w:p>
            <w:r/>
            <w:r>
              <w:rPr>
                <w:rFonts w:ascii="Arial" w:hAnsi="Arial" w:eastAsia="Arial"/>
                <w:b w:val="0"/>
                <w:i w:val="0"/>
                <w:sz w:val="18"/>
              </w:rPr>
              <w:t>Maintenance agreement signed (M33)</w:t>
            </w:r>
          </w:p>
        </w:tc>
        <w:tc>
          <w:tcPr>
            <w:tcW w:type="dxa" w:w="2041"/>
          </w:tcPr>
          <w:p>
            <w:r/>
            <w:r>
              <w:rPr>
                <w:rFonts w:ascii="Arial" w:hAnsi="Arial" w:eastAsia="Arial"/>
                <w:b w:val="0"/>
                <w:i w:val="0"/>
                <w:sz w:val="18"/>
              </w:rPr>
              <w:t>About €10,900 per year paid</w:t>
            </w:r>
          </w:p>
        </w:tc>
        <w:tc>
          <w:tcPr>
            <w:tcW w:type="dxa" w:w="1587"/>
          </w:tcPr>
          <w:p>
            <w:r/>
            <w:r>
              <w:rPr>
                <w:rFonts w:ascii="Arial" w:hAnsi="Arial" w:eastAsia="Arial"/>
                <w:b w:val="0"/>
                <w:i w:val="0"/>
                <w:sz w:val="18"/>
              </w:rPr>
              <w:t>Agreement; accounts</w:t>
            </w:r>
          </w:p>
        </w:tc>
      </w:tr>
      <w:tr>
        <w:trPr>
          <w:cantSplit/>
        </w:trPr>
        <w:tc>
          <w:tcPr>
            <w:tcW w:type="dxa" w:w="2494"/>
            <w:shd w:val="clear" w:color="auto" w:fill="EEF2F8"/>
          </w:tcPr>
          <w:p>
            <w:r/>
            <w:r>
              <w:rPr>
                <w:rFonts w:ascii="Arial" w:hAnsi="Arial" w:eastAsia="Arial"/>
                <w:b w:val="0"/>
                <w:i w:val="0"/>
                <w:sz w:val="18"/>
              </w:rPr>
              <w:t>Coasts applying the method</w:t>
            </w:r>
          </w:p>
        </w:tc>
        <w:tc>
          <w:tcPr>
            <w:tcW w:type="dxa" w:w="1247"/>
          </w:tcPr>
          <w:p>
            <w:r/>
            <w:r>
              <w:rPr>
                <w:rFonts w:ascii="Arial" w:hAnsi="Arial" w:eastAsia="Arial"/>
                <w:b w:val="0"/>
                <w:i w:val="0"/>
                <w:sz w:val="18"/>
              </w:rPr>
              <w:t>0</w:t>
            </w:r>
          </w:p>
        </w:tc>
        <w:tc>
          <w:tcPr>
            <w:tcW w:type="dxa" w:w="2268"/>
          </w:tcPr>
          <w:p>
            <w:r/>
            <w:r>
              <w:rPr>
                <w:rFonts w:ascii="Arial" w:hAnsi="Arial" w:eastAsia="Arial"/>
                <w:b w:val="0"/>
                <w:i w:val="0"/>
                <w:sz w:val="18"/>
              </w:rPr>
              <w:t>1 (Durrës)</w:t>
            </w:r>
          </w:p>
        </w:tc>
        <w:tc>
          <w:tcPr>
            <w:tcW w:type="dxa" w:w="2041"/>
          </w:tcPr>
          <w:p>
            <w:r>
              <w:rPr>
                <w:rFonts w:ascii="Arial" w:hAnsi="Arial" w:eastAsia="Arial"/>
                <w:b w:val="0"/>
                <w:i w:val="0"/>
                <w:sz w:val="19"/>
                <w:highlight w:val="yellow"/>
              </w:rPr>
              <w:t>[≥ 2]</w:t>
            </w:r>
          </w:p>
        </w:tc>
        <w:tc>
          <w:tcPr>
            <w:tcW w:type="dxa" w:w="1587"/>
          </w:tcPr>
          <w:p>
            <w:r/>
            <w:r>
              <w:rPr>
                <w:rFonts w:ascii="Arial" w:hAnsi="Arial" w:eastAsia="Arial"/>
                <w:b w:val="0"/>
                <w:i w:val="0"/>
                <w:sz w:val="18"/>
              </w:rPr>
              <w:t>Transfer reports</w:t>
            </w:r>
          </w:p>
        </w:tc>
      </w:tr>
    </w:tbl>
    <w:p>
      <w:pPr>
        <w:keepNext/>
        <w:pageBreakBefore/>
        <w:spacing w:after="120" w:before="0"/>
      </w:pPr>
      <w:r>
        <w:rPr>
          <w:rFonts w:ascii="Arial" w:hAnsi="Arial" w:eastAsia="Arial"/>
          <w:b/>
          <w:i w:val="0"/>
          <w:color w:val="1F3864"/>
          <w:sz w:val="27"/>
        </w:rPr>
        <w:t>5. What a certified warning is worth to each user</w:t>
      </w:r>
    </w:p>
    <w:p>
      <w:pPr>
        <w:spacing w:after="80" w:before="0"/>
        <w:jc w:val="both"/>
      </w:pPr>
      <w:r>
        <w:rPr>
          <w:rFonts w:ascii="Arial" w:hAnsi="Arial" w:eastAsia="Arial"/>
          <w:b w:val="0"/>
          <w:i w:val="0"/>
          <w:sz w:val="21"/>
        </w:rPr>
        <w:t>A warning has value only through a decision. In the cost-loss model of forecast value [7, 8], a user can take a protective action at cost C or risk a loss L if the event occurs unprotected. For an event that occurs in a share s of the warning windows, a warning with hit rate H (warnings among events) and false-alarm rate F (warnings among non-events) gives an expected expense per unit loss, with r = C/L,</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675"/>
        <w:gridCol w:w="963"/>
      </w:tblGrid>
      <w:tr>
        <w:tc>
          <w:tcPr>
            <w:tcW w:type="dxa" w:w="8674"/>
            <w:vAlign w:val="center"/>
          </w:tcPr>
          <w:p>
            <m:oMathPara>
              <m:oMathParaPr>
                <m:jc m:val="center"/>
              </m:oMathParaPr>
              <m:oMath>
                <m:f>
                  <m:fPr>
                    <m:type m:val="bar"/>
                  </m:fPr>
                  <m:num>
                    <m:r>
                      <m:t>E</m:t>
                    </m:r>
                  </m:num>
                  <m:den>
                    <m:r>
                      <m:t>L</m:t>
                    </m:r>
                  </m:den>
                </m:f>
                <m:r>
                  <m:t> </m:t>
                </m:r>
                <m:r>
                  <m:rPr>
                    <m:sty m:val="p"/>
                  </m:rPr>
                  <m:t>=</m:t>
                </m:r>
                <m:r>
                  <m:t> </m:t>
                </m:r>
                <m:r>
                  <m:t>r</m:t>
                </m:r>
                <m:r>
                  <m:t> </m:t>
                </m:r>
                <m:d>
                  <m:dPr>
                    <m:begChr m:val="["/>
                    <m:sepChr m:val=""/>
                    <m:endChr m:val="]"/>
                    <m:grow/>
                  </m:dPr>
                  <m:e>
                    <m:r>
                      <m:t> </m:t>
                    </m:r>
                    <m:r>
                      <m:t>H</m:t>
                    </m:r>
                    <m:r>
                      <m:t>s</m:t>
                    </m:r>
                    <m:r>
                      <m:rPr>
                        <m:sty m:val="p"/>
                      </m:rPr>
                      <m:t>+</m:t>
                    </m:r>
                    <m:r>
                      <m:t>F</m:t>
                    </m:r>
                    <m:r>
                      <m:t> </m:t>
                    </m:r>
                    <m:d>
                      <m:dPr>
                        <m:begChr m:val="("/>
                        <m:sepChr m:val=""/>
                        <m:endChr m:val=")"/>
                        <m:grow/>
                      </m:dPr>
                      <m:e>
                        <m:r>
                          <m:t>1</m:t>
                        </m:r>
                        <m:r>
                          <m:rPr>
                            <m:sty m:val="p"/>
                          </m:rPr>
                          <m:t>−</m:t>
                        </m:r>
                        <m:r>
                          <m:t>s</m:t>
                        </m:r>
                      </m:e>
                    </m:d>
                    <m:r>
                      <m:t> </m:t>
                    </m:r>
                  </m:e>
                </m:d>
                <m:r>
                  <m:t> </m:t>
                </m:r>
                <m:r>
                  <m:rPr>
                    <m:sty m:val="p"/>
                  </m:rPr>
                  <m:t>+</m:t>
                </m:r>
                <m:r>
                  <m:t> </m:t>
                </m:r>
                <m:d>
                  <m:dPr>
                    <m:begChr m:val="("/>
                    <m:sepChr m:val=""/>
                    <m:endChr m:val=")"/>
                    <m:grow/>
                  </m:dPr>
                  <m:e>
                    <m:r>
                      <m:t>1</m:t>
                    </m:r>
                    <m:r>
                      <m:rPr>
                        <m:sty m:val="p"/>
                      </m:rPr>
                      <m:t>−</m:t>
                    </m:r>
                    <m:r>
                      <m:t>H</m:t>
                    </m:r>
                  </m:e>
                </m:d>
                <m:r>
                  <m:t> </m:t>
                </m:r>
                <m:r>
                  <m:t>s</m:t>
                </m:r>
              </m:oMath>
            </m:oMathPara>
          </w:p>
        </w:tc>
        <w:tc>
          <w:tcPr>
            <w:tcW w:type="dxa" w:w="964"/>
            <w:vAlign w:val="center"/>
          </w:tcPr>
          <w:p>
            <w:pPr>
              <w:jc w:val="right"/>
            </w:pPr>
            <w:r>
              <w:rPr>
                <w:rFonts w:ascii="Arial" w:hAnsi="Arial" w:eastAsia="Arial"/>
                <w:b w:val="0"/>
                <w:i w:val="0"/>
                <w:sz w:val="21"/>
              </w:rPr>
              <w:t>(1)</w:t>
            </w:r>
          </w:p>
        </w:tc>
      </w:tr>
    </w:tbl>
    <w:p>
      <w:pPr>
        <w:spacing w:after="80" w:before="40"/>
        <w:jc w:val="both"/>
      </w:pPr>
      <w:r>
        <w:rPr>
          <w:rFonts w:ascii="Arial" w:hAnsi="Arial" w:eastAsia="Arial"/>
          <w:b w:val="0"/>
          <w:i w:val="0"/>
          <w:sz w:val="21"/>
        </w:rPr>
        <w:t>and its relative value V compares this expense with acting on the base rate alone (V = 0) and with a perfect warning (V = 1):</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675"/>
        <w:gridCol w:w="963"/>
      </w:tblGrid>
      <w:tr>
        <w:tc>
          <w:tcPr>
            <w:tcW w:type="dxa" w:w="8674"/>
            <w:vAlign w:val="center"/>
          </w:tcPr>
          <w:p>
            <m:oMathPara>
              <m:oMathParaPr>
                <m:jc m:val="center"/>
              </m:oMathParaPr>
              <m:oMath>
                <m:r>
                  <m:t>V</m:t>
                </m:r>
                <m:r>
                  <m:t> </m:t>
                </m:r>
                <m:r>
                  <m:rPr>
                    <m:sty m:val="p"/>
                  </m:rPr>
                  <m:t>=</m:t>
                </m:r>
                <m:r>
                  <m:t> </m:t>
                </m:r>
                <m:f>
                  <m:fPr>
                    <m:type m:val="bar"/>
                  </m:fPr>
                  <m:num>
                    <m:r>
                      <m:rPr>
                        <m:nor/>
                      </m:rPr>
                      <m:t>min</m:t>
                    </m:r>
                    <m:d>
                      <m:dPr>
                        <m:begChr m:val="("/>
                        <m:sepChr m:val=""/>
                        <m:endChr m:val=")"/>
                        <m:grow/>
                      </m:dPr>
                      <m:e>
                        <m:r>
                          <m:t>r</m:t>
                        </m:r>
                        <m:r>
                          <m:rPr>
                            <m:sty m:val="p"/>
                          </m:rPr>
                          <m:t>,</m:t>
                        </m:r>
                        <m:r>
                          <m:t> </m:t>
                        </m:r>
                        <m:r>
                          <m:t>s</m:t>
                        </m:r>
                      </m:e>
                    </m:d>
                    <m:r>
                      <m:t> </m:t>
                    </m:r>
                    <m:r>
                      <m:rPr>
                        <m:sty m:val="p"/>
                      </m:rPr>
                      <m:t>−</m:t>
                    </m:r>
                    <m:r>
                      <m:t> </m:t>
                    </m:r>
                    <m:r>
                      <m:t>E</m:t>
                    </m:r>
                    <m:r>
                      <m:rPr>
                        <m:sty m:val="p"/>
                      </m:rPr>
                      <m:t>/</m:t>
                    </m:r>
                    <m:r>
                      <m:t>L</m:t>
                    </m:r>
                  </m:num>
                  <m:den>
                    <m:r>
                      <m:rPr>
                        <m:nor/>
                      </m:rPr>
                      <m:t>min</m:t>
                    </m:r>
                    <m:d>
                      <m:dPr>
                        <m:begChr m:val="("/>
                        <m:sepChr m:val=""/>
                        <m:endChr m:val=")"/>
                        <m:grow/>
                      </m:dPr>
                      <m:e>
                        <m:r>
                          <m:t>r</m:t>
                        </m:r>
                        <m:r>
                          <m:rPr>
                            <m:sty m:val="p"/>
                          </m:rPr>
                          <m:t>,</m:t>
                        </m:r>
                        <m:r>
                          <m:t> </m:t>
                        </m:r>
                        <m:r>
                          <m:t>s</m:t>
                        </m:r>
                      </m:e>
                    </m:d>
                    <m:r>
                      <m:t> </m:t>
                    </m:r>
                    <m:r>
                      <m:rPr>
                        <m:sty m:val="p"/>
                      </m:rPr>
                      <m:t>−</m:t>
                    </m:r>
                    <m:r>
                      <m:t> </m:t>
                    </m:r>
                    <m:r>
                      <m:t>r</m:t>
                    </m:r>
                    <m:r>
                      <m:t> </m:t>
                    </m:r>
                    <m:r>
                      <m:t>s</m:t>
                    </m:r>
                  </m:den>
                </m:f>
              </m:oMath>
            </m:oMathPara>
          </w:p>
        </w:tc>
        <w:tc>
          <w:tcPr>
            <w:tcW w:type="dxa" w:w="964"/>
            <w:vAlign w:val="center"/>
          </w:tcPr>
          <w:p>
            <w:pPr>
              <w:jc w:val="right"/>
            </w:pPr>
            <w:r>
              <w:rPr>
                <w:rFonts w:ascii="Arial" w:hAnsi="Arial" w:eastAsia="Arial"/>
                <w:b w:val="0"/>
                <w:i w:val="0"/>
                <w:sz w:val="21"/>
              </w:rPr>
              <w:t>(2)</w:t>
            </w:r>
          </w:p>
        </w:tc>
      </w:tr>
    </w:tbl>
    <w:p>
      <w:pPr>
        <w:spacing w:after="80" w:before="40"/>
        <w:jc w:val="both"/>
      </w:pPr>
      <w:r>
        <w:rPr>
          <w:rFonts w:ascii="Arial" w:hAnsi="Arial" w:eastAsia="Arial"/>
          <w:b/>
          <w:i w:val="0"/>
          <w:sz w:val="21"/>
        </w:rPr>
        <w:t>The new step.</w:t>
      </w:r>
      <w:r>
        <w:rPr>
          <w:rFonts w:ascii="Arial" w:hAnsi="Arial" w:eastAsia="Arial"/>
          <w:b w:val="0"/>
          <w:i w:val="0"/>
          <w:sz w:val="21"/>
        </w:rPr>
        <w:t xml:space="preserve"> E/L falls as H rises, and CERTAIN-COAST certifies that the miss rate 1 − H of alarm k is at most αₖ. The value of the warning therefore has a </w:t>
      </w:r>
      <w:r>
        <w:rPr>
          <w:rFonts w:ascii="Arial" w:hAnsi="Arial" w:eastAsia="Arial"/>
          <w:b/>
          <w:i w:val="0"/>
          <w:sz w:val="21"/>
        </w:rPr>
        <w:t>guaranteed lower bound for every user</w:t>
      </w:r>
      <w:r>
        <w:rPr>
          <w:rFonts w:ascii="Arial" w:hAnsi="Arial" w:eastAsia="Arial"/>
          <w:b w:val="0"/>
          <w:i w:val="0"/>
          <w:sz w:val="21"/>
        </w:rPr>
        <w:t>, whatever their cost-loss ratio:</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675"/>
        <w:gridCol w:w="963"/>
      </w:tblGrid>
      <w:tr>
        <w:tc>
          <w:tcPr>
            <w:tcW w:type="dxa" w:w="8674"/>
            <w:vAlign w:val="center"/>
          </w:tcPr>
          <w:p>
            <m:oMathPara>
              <m:oMathParaPr>
                <m:jc m:val="center"/>
              </m:oMathParaPr>
              <m:oMath>
                <m:r>
                  <m:t>V</m:t>
                </m:r>
                <m:r>
                  <m:t> </m:t>
                </m:r>
                <m:r>
                  <m:rPr>
                    <m:sty m:val="p"/>
                  </m:rPr>
                  <m:t>≥</m:t>
                </m:r>
                <m:r>
                  <m:t> </m:t>
                </m:r>
                <m:sSub>
                  <m:e>
                    <m:r>
                      <m:t>V</m:t>
                    </m:r>
                  </m:e>
                  <m:sub>
                    <m:r>
                      <m:rPr>
                        <m:nor/>
                      </m:rPr>
                      <m:t>min</m:t>
                    </m:r>
                  </m:sub>
                </m:sSub>
                <m:d>
                  <m:dPr>
                    <m:begChr m:val="("/>
                    <m:sepChr m:val=""/>
                    <m:endChr m:val=")"/>
                    <m:grow/>
                  </m:dPr>
                  <m:e>
                    <m:r>
                      <m:t>r</m:t>
                    </m:r>
                  </m:e>
                </m:d>
                <m:r>
                  <m:t> </m:t>
                </m:r>
                <m:r>
                  <m:rPr>
                    <m:sty m:val="p"/>
                  </m:rPr>
                  <m:t>=</m:t>
                </m:r>
                <m:r>
                  <m:t> </m:t>
                </m:r>
                <m:r>
                  <m:t>1</m:t>
                </m:r>
                <m:r>
                  <m:t> </m:t>
                </m:r>
                <m:r>
                  <m:rPr>
                    <m:sty m:val="p"/>
                  </m:rPr>
                  <m:t>−</m:t>
                </m:r>
                <m:r>
                  <m:t> </m:t>
                </m:r>
                <m:f>
                  <m:fPr>
                    <m:type m:val="bar"/>
                  </m:fPr>
                  <m:num>
                    <m:r>
                      <m:t>r</m:t>
                    </m:r>
                    <m:r>
                      <m:t> </m:t>
                    </m:r>
                    <m:r>
                      <m:t>F</m:t>
                    </m:r>
                    <m:r>
                      <m:t> </m:t>
                    </m:r>
                    <m:d>
                      <m:dPr>
                        <m:begChr m:val="("/>
                        <m:sepChr m:val=""/>
                        <m:endChr m:val=")"/>
                        <m:grow/>
                      </m:dPr>
                      <m:e>
                        <m:r>
                          <m:t>1</m:t>
                        </m:r>
                        <m:r>
                          <m:rPr>
                            <m:sty m:val="p"/>
                          </m:rPr>
                          <m:t>−</m:t>
                        </m:r>
                        <m:r>
                          <m:t>s</m:t>
                        </m:r>
                      </m:e>
                    </m:d>
                    <m:r>
                      <m:t> </m:t>
                    </m:r>
                    <m:r>
                      <m:rPr>
                        <m:sty m:val="p"/>
                      </m:rPr>
                      <m:t>+</m:t>
                    </m:r>
                    <m:r>
                      <m:t> </m:t>
                    </m:r>
                    <m:sSub>
                      <m:e>
                        <m:r>
                          <m:t>α</m:t>
                        </m:r>
                      </m:e>
                      <m:sub>
                        <m:r>
                          <m:t>k</m:t>
                        </m:r>
                      </m:sub>
                    </m:sSub>
                    <m:r>
                      <m:t> </m:t>
                    </m:r>
                    <m:r>
                      <m:t>s</m:t>
                    </m:r>
                    <m:r>
                      <m:t> </m:t>
                    </m:r>
                    <m:d>
                      <m:dPr>
                        <m:begChr m:val="("/>
                        <m:sepChr m:val=""/>
                        <m:endChr m:val=")"/>
                        <m:grow/>
                      </m:dPr>
                      <m:e>
                        <m:r>
                          <m:t>1</m:t>
                        </m:r>
                        <m:r>
                          <m:rPr>
                            <m:sty m:val="p"/>
                          </m:rPr>
                          <m:t>−</m:t>
                        </m:r>
                        <m:r>
                          <m:t>r</m:t>
                        </m:r>
                      </m:e>
                    </m:d>
                  </m:num>
                  <m:den>
                    <m:r>
                      <m:rPr>
                        <m:nor/>
                      </m:rPr>
                      <m:t>min</m:t>
                    </m:r>
                    <m:d>
                      <m:dPr>
                        <m:begChr m:val="("/>
                        <m:sepChr m:val=""/>
                        <m:endChr m:val=")"/>
                        <m:grow/>
                      </m:dPr>
                      <m:e>
                        <m:r>
                          <m:t>r</m:t>
                        </m:r>
                        <m:r>
                          <m:rPr>
                            <m:sty m:val="p"/>
                          </m:rPr>
                          <m:t>,</m:t>
                        </m:r>
                        <m:r>
                          <m:t> </m:t>
                        </m:r>
                        <m:r>
                          <m:t>s</m:t>
                        </m:r>
                      </m:e>
                    </m:d>
                    <m:r>
                      <m:t> </m:t>
                    </m:r>
                    <m:r>
                      <m:rPr>
                        <m:sty m:val="p"/>
                      </m:rPr>
                      <m:t>−</m:t>
                    </m:r>
                    <m:r>
                      <m:t> </m:t>
                    </m:r>
                    <m:r>
                      <m:t>r</m:t>
                    </m:r>
                    <m:r>
                      <m:t> </m:t>
                    </m:r>
                    <m:r>
                      <m:t>s</m:t>
                    </m:r>
                  </m:den>
                </m:f>
              </m:oMath>
            </m:oMathPara>
          </w:p>
        </w:tc>
        <w:tc>
          <w:tcPr>
            <w:tcW w:type="dxa" w:w="964"/>
            <w:vAlign w:val="center"/>
          </w:tcPr>
          <w:p>
            <w:pPr>
              <w:jc w:val="right"/>
            </w:pPr>
            <w:r>
              <w:rPr>
                <w:rFonts w:ascii="Arial" w:hAnsi="Arial" w:eastAsia="Arial"/>
                <w:b w:val="0"/>
                <w:i w:val="0"/>
                <w:sz w:val="21"/>
              </w:rPr>
              <w:t>(3)</w:t>
            </w:r>
          </w:p>
        </w:tc>
      </w:tr>
    </w:tbl>
    <w:p>
      <w:pPr>
        <w:spacing w:after="80" w:before="40"/>
        <w:jc w:val="both"/>
      </w:pPr>
      <w:r>
        <w:rPr>
          <w:rFonts w:ascii="Arial" w:hAnsi="Arial" w:eastAsia="Arial"/>
          <w:b w:val="0"/>
          <w:i w:val="0"/>
          <w:sz w:val="21"/>
        </w:rPr>
        <w:t xml:space="preserve">At r = s the bound is 1 − αₖ − F. For a user who acts on any of the three alarms, αₖ is replaced by the joint bound Σαₖ. F and s are measured in back-testing (D3.2) and in live operation (D5.1); r is set with each user before live operation (T3.1). </w:t>
      </w:r>
      <w:r>
        <w:rPr>
          <w:rFonts w:ascii="Arial" w:hAnsi="Arial" w:eastAsia="Arial"/>
          <w:b/>
          <w:i w:val="0"/>
          <w:sz w:val="21"/>
        </w:rPr>
        <w:t>Illustration</w:t>
      </w:r>
      <w:r>
        <w:rPr>
          <w:rFonts w:ascii="Arial" w:hAnsi="Arial" w:eastAsia="Arial"/>
          <w:b w:val="0"/>
          <w:i w:val="0"/>
          <w:sz w:val="21"/>
        </w:rPr>
        <w:t xml:space="preserve"> (values not yet measured): with s = 0.05 and F = 0.05, a miss rate certified at 10% guarantees V ≥ 0.85 at r = s, and guarantees that the warning is worth using (V &gt; 0) for every user with 0.006 &lt; r &lt; 0.49; at 5% the range widens to 0.003 &lt; r &lt; 0.50 (Figure 2).</w:t>
      </w:r>
    </w:p>
    <w:p>
      <w:pPr>
        <w:spacing w:after="40" w:before="0"/>
        <w:jc w:val="center"/>
      </w:pPr>
      <w:r>
        <w:drawing>
          <wp:inline xmlns:a="http://schemas.openxmlformats.org/drawingml/2006/main" xmlns:pic="http://schemas.openxmlformats.org/drawingml/2006/picture">
            <wp:extent cx="5580000" cy="3081493"/>
            <wp:docPr id="2" name="Picture 2"/>
            <wp:cNvGraphicFramePr>
              <a:graphicFrameLocks noChangeAspect="1"/>
            </wp:cNvGraphicFramePr>
            <a:graphic>
              <a:graphicData uri="http://schemas.openxmlformats.org/drawingml/2006/picture">
                <pic:pic>
                  <pic:nvPicPr>
                    <pic:cNvPr id="0" name="fig_value.png"/>
                    <pic:cNvPicPr/>
                  </pic:nvPicPr>
                  <pic:blipFill>
                    <a:blip r:embed="rId10"/>
                    <a:stretch>
                      <a:fillRect/>
                    </a:stretch>
                  </pic:blipFill>
                  <pic:spPr>
                    <a:xfrm>
                      <a:off x="0" y="0"/>
                      <a:ext cx="5580000" cy="3081493"/>
                    </a:xfrm>
                    <a:prstGeom prst="rect"/>
                  </pic:spPr>
                </pic:pic>
              </a:graphicData>
            </a:graphic>
          </wp:inline>
        </w:drawing>
      </w:r>
    </w:p>
    <w:p>
      <w:pPr>
        <w:spacing w:after="80" w:before="0"/>
      </w:pPr>
      <w:r>
        <w:rPr>
          <w:rFonts w:ascii="Arial" w:hAnsi="Arial" w:eastAsia="Arial"/>
          <w:b w:val="0"/>
          <w:i/>
          <w:color w:val="52606D"/>
          <w:sz w:val="19"/>
        </w:rPr>
        <w:t>Figure 2. Guaranteed relative value of a warning as a function of the user's cost-loss ratio, for miss rates certified at 5% and 10% (illustrative s = 0.05, F = 0.05). Shaded: users for whom the warning is guaranteed to be worth using at 10%.</w:t>
      </w:r>
    </w:p>
    <w:p>
      <w:pPr>
        <w:keepNext/>
        <w:spacing w:after="80" w:before="80"/>
      </w:pPr>
      <w:r>
        <w:rPr>
          <w:rFonts w:ascii="Arial" w:hAnsi="Arial" w:eastAsia="Arial"/>
          <w:b/>
          <w:i w:val="0"/>
          <w:sz w:val="21"/>
        </w:rPr>
        <w:t>The decisions behind each warning.</w:t>
      </w:r>
      <w:r>
        <w:rPr>
          <w:rFonts w:ascii="Arial" w:hAnsi="Arial" w:eastAsia="Arial"/>
          <w:b w:val="0"/>
          <w:i w:val="0"/>
          <w:sz w:val="21"/>
        </w:rPr>
        <w:t xml:space="preserve"> The cost-loss ratio of each user's decision is agreed in T3.1 together with the thresholds; the guaranteed value is then reported in D5.1 for each user.</w:t>
      </w:r>
    </w:p>
    <w:tbl>
      <w:tblPr>
        <w:tblStyle w:val="TableGrid"/>
        <w:tblW w:type="auto" w:w="0"/>
        <w:jc w:val="center"/>
        <w:tblLayout w:type="fixed"/>
        <w:tblLook w:firstColumn="1" w:firstRow="1" w:lastColumn="0" w:lastRow="0" w:noHBand="0" w:noVBand="1" w:val="04A0"/>
        <w:tblLayout w:type="fixed"/>
      </w:tblPr>
      <w:tblGrid>
        <w:gridCol w:w="1701"/>
        <w:gridCol w:w="2494"/>
        <w:gridCol w:w="2041"/>
        <w:gridCol w:w="2381"/>
        <w:gridCol w:w="1020"/>
      </w:tblGrid>
      <w:tr>
        <w:trPr>
          <w:cantSplit/>
          <w:tblHeader/>
        </w:trPr>
        <w:tc>
          <w:tcPr>
            <w:tcW w:type="dxa" w:w="1701"/>
            <w:shd w:val="clear" w:color="auto" w:fill="1F3864"/>
          </w:tcPr>
          <w:p>
            <w:pPr>
              <w:keepNext/>
            </w:pPr>
            <w:r/>
            <w:r>
              <w:rPr>
                <w:rFonts w:ascii="Arial" w:hAnsi="Arial" w:eastAsia="Arial"/>
                <w:b/>
                <w:i w:val="0"/>
                <w:color w:val="FFFFFF"/>
                <w:sz w:val="18"/>
              </w:rPr>
              <w:t>User</w:t>
            </w:r>
          </w:p>
        </w:tc>
        <w:tc>
          <w:tcPr>
            <w:tcW w:type="dxa" w:w="2494"/>
            <w:shd w:val="clear" w:color="auto" w:fill="1F3864"/>
          </w:tcPr>
          <w:p>
            <w:pPr>
              <w:keepNext/>
            </w:pPr>
            <w:r/>
            <w:r>
              <w:rPr>
                <w:rFonts w:ascii="Arial" w:hAnsi="Arial" w:eastAsia="Arial"/>
                <w:b/>
                <w:i w:val="0"/>
                <w:color w:val="FFFFFF"/>
                <w:sz w:val="18"/>
              </w:rPr>
              <w:t>Action on a warning</w:t>
            </w:r>
          </w:p>
        </w:tc>
        <w:tc>
          <w:tcPr>
            <w:tcW w:type="dxa" w:w="2041"/>
            <w:shd w:val="clear" w:color="auto" w:fill="1F3864"/>
          </w:tcPr>
          <w:p>
            <w:pPr>
              <w:keepNext/>
            </w:pPr>
            <w:r/>
            <w:r>
              <w:rPr>
                <w:rFonts w:ascii="Arial" w:hAnsi="Arial" w:eastAsia="Arial"/>
                <w:b/>
                <w:i w:val="0"/>
                <w:color w:val="FFFFFF"/>
                <w:sz w:val="18"/>
              </w:rPr>
              <w:t>Cost C of acting</w:t>
            </w:r>
          </w:p>
        </w:tc>
        <w:tc>
          <w:tcPr>
            <w:tcW w:type="dxa" w:w="2381"/>
            <w:shd w:val="clear" w:color="auto" w:fill="1F3864"/>
          </w:tcPr>
          <w:p>
            <w:pPr>
              <w:keepNext/>
            </w:pPr>
            <w:r/>
            <w:r>
              <w:rPr>
                <w:rFonts w:ascii="Arial" w:hAnsi="Arial" w:eastAsia="Arial"/>
                <w:b/>
                <w:i w:val="0"/>
                <w:color w:val="FFFFFF"/>
                <w:sz w:val="18"/>
              </w:rPr>
              <w:t>Loss L avoided</w:t>
            </w:r>
          </w:p>
        </w:tc>
        <w:tc>
          <w:tcPr>
            <w:tcW w:type="dxa" w:w="1020"/>
            <w:shd w:val="clear" w:color="auto" w:fill="1F3864"/>
          </w:tcPr>
          <w:p>
            <w:pPr>
              <w:keepNext/>
            </w:pPr>
            <w:r/>
            <w:r>
              <w:rPr>
                <w:rFonts w:ascii="Arial" w:hAnsi="Arial" w:eastAsia="Arial"/>
                <w:b/>
                <w:i w:val="0"/>
                <w:color w:val="FFFFFF"/>
                <w:sz w:val="18"/>
              </w:rPr>
              <w:t>r = C/L</w:t>
            </w:r>
          </w:p>
        </w:tc>
      </w:tr>
      <w:tr>
        <w:trPr>
          <w:cantSplit/>
        </w:trPr>
        <w:tc>
          <w:tcPr>
            <w:tcW w:type="dxa" w:w="1701"/>
          </w:tcPr>
          <w:p>
            <w:pPr>
              <w:keepNext/>
            </w:pPr>
            <w:r/>
            <w:r>
              <w:rPr>
                <w:rFonts w:ascii="Arial" w:hAnsi="Arial" w:eastAsia="Arial"/>
                <w:b w:val="0"/>
                <w:i w:val="0"/>
                <w:sz w:val="18"/>
              </w:rPr>
              <w:t>Water utility</w:t>
            </w:r>
          </w:p>
        </w:tc>
        <w:tc>
          <w:tcPr>
            <w:tcW w:type="dxa" w:w="2494"/>
          </w:tcPr>
          <w:p>
            <w:pPr>
              <w:keepNext/>
            </w:pPr>
            <w:r/>
            <w:r>
              <w:rPr>
                <w:rFonts w:ascii="Arial" w:hAnsi="Arial" w:eastAsia="Arial"/>
                <w:b w:val="0"/>
                <w:i w:val="0"/>
                <w:sz w:val="18"/>
              </w:rPr>
              <w:t>Reduce or move pumping away from the coastal wells</w:t>
            </w:r>
          </w:p>
        </w:tc>
        <w:tc>
          <w:tcPr>
            <w:tcW w:type="dxa" w:w="2041"/>
          </w:tcPr>
          <w:p>
            <w:pPr>
              <w:keepNext/>
            </w:pPr>
            <w:r/>
            <w:r>
              <w:rPr>
                <w:rFonts w:ascii="Arial" w:hAnsi="Arial" w:eastAsia="Arial"/>
                <w:b w:val="0"/>
                <w:i w:val="0"/>
                <w:sz w:val="18"/>
              </w:rPr>
              <w:t>Water bought or pumped elsewhere for the warning period</w:t>
            </w:r>
          </w:p>
        </w:tc>
        <w:tc>
          <w:tcPr>
            <w:tcW w:type="dxa" w:w="2381"/>
          </w:tcPr>
          <w:p>
            <w:pPr>
              <w:keepNext/>
            </w:pPr>
            <w:r/>
            <w:r>
              <w:rPr>
                <w:rFonts w:ascii="Arial" w:hAnsi="Arial" w:eastAsia="Arial"/>
                <w:b w:val="0"/>
                <w:i w:val="0"/>
                <w:sz w:val="18"/>
              </w:rPr>
              <w:t>A well turned saline for years</w:t>
            </w:r>
          </w:p>
        </w:tc>
        <w:tc>
          <w:tcPr>
            <w:tcW w:type="dxa" w:w="1020"/>
          </w:tcPr>
          <w:p>
            <w:pPr>
              <w:keepNext/>
            </w:pPr>
            <w:r>
              <w:rPr>
                <w:rFonts w:ascii="Arial" w:hAnsi="Arial" w:eastAsia="Arial"/>
                <w:b w:val="0"/>
                <w:i w:val="0"/>
                <w:sz w:val="19"/>
                <w:highlight w:val="yellow"/>
              </w:rPr>
              <w:t>[r₁]</w:t>
            </w:r>
          </w:p>
        </w:tc>
      </w:tr>
      <w:tr>
        <w:trPr>
          <w:cantSplit/>
        </w:trPr>
        <w:tc>
          <w:tcPr>
            <w:tcW w:type="dxa" w:w="1701"/>
          </w:tcPr>
          <w:p>
            <w:pPr>
              <w:keepNext/>
            </w:pPr>
            <w:r/>
            <w:r>
              <w:rPr>
                <w:rFonts w:ascii="Arial" w:hAnsi="Arial" w:eastAsia="Arial"/>
                <w:b w:val="0"/>
                <w:i w:val="0"/>
                <w:sz w:val="18"/>
              </w:rPr>
              <w:t>Port authority</w:t>
            </w:r>
          </w:p>
        </w:tc>
        <w:tc>
          <w:tcPr>
            <w:tcW w:type="dxa" w:w="2494"/>
          </w:tcPr>
          <w:p>
            <w:pPr>
              <w:keepNext/>
            </w:pPr>
            <w:r/>
            <w:r>
              <w:rPr>
                <w:rFonts w:ascii="Arial" w:hAnsi="Arial" w:eastAsia="Arial"/>
                <w:b w:val="0"/>
                <w:i w:val="0"/>
                <w:sz w:val="18"/>
              </w:rPr>
              <w:t>Restrict heavy loads and berthing on the affected quays</w:t>
            </w:r>
          </w:p>
        </w:tc>
        <w:tc>
          <w:tcPr>
            <w:tcW w:type="dxa" w:w="2041"/>
          </w:tcPr>
          <w:p>
            <w:pPr>
              <w:keepNext/>
            </w:pPr>
            <w:r/>
            <w:r>
              <w:rPr>
                <w:rFonts w:ascii="Arial" w:hAnsi="Arial" w:eastAsia="Arial"/>
                <w:b w:val="0"/>
                <w:i w:val="0"/>
                <w:sz w:val="18"/>
              </w:rPr>
              <w:t>Hours of reduced quay operation</w:t>
            </w:r>
          </w:p>
        </w:tc>
        <w:tc>
          <w:tcPr>
            <w:tcW w:type="dxa" w:w="2381"/>
          </w:tcPr>
          <w:p>
            <w:pPr>
              <w:keepNext/>
            </w:pPr>
            <w:r/>
            <w:r>
              <w:rPr>
                <w:rFonts w:ascii="Arial" w:hAnsi="Arial" w:eastAsia="Arial"/>
                <w:b w:val="0"/>
                <w:i w:val="0"/>
                <w:sz w:val="18"/>
              </w:rPr>
              <w:t>Damage to quays, cranes and cargo</w:t>
            </w:r>
          </w:p>
        </w:tc>
        <w:tc>
          <w:tcPr>
            <w:tcW w:type="dxa" w:w="1020"/>
          </w:tcPr>
          <w:p>
            <w:pPr>
              <w:keepNext/>
            </w:pPr>
            <w:r>
              <w:rPr>
                <w:rFonts w:ascii="Arial" w:hAnsi="Arial" w:eastAsia="Arial"/>
                <w:b w:val="0"/>
                <w:i w:val="0"/>
                <w:sz w:val="19"/>
                <w:highlight w:val="yellow"/>
              </w:rPr>
              <w:t>[r₂]</w:t>
            </w:r>
          </w:p>
        </w:tc>
      </w:tr>
      <w:tr>
        <w:trPr>
          <w:cantSplit/>
        </w:trPr>
        <w:tc>
          <w:tcPr>
            <w:tcW w:type="dxa" w:w="1701"/>
          </w:tcPr>
          <w:p>
            <w:pPr>
              <w:keepNext/>
            </w:pPr>
            <w:r/>
            <w:r>
              <w:rPr>
                <w:rFonts w:ascii="Arial" w:hAnsi="Arial" w:eastAsia="Arial"/>
                <w:b w:val="0"/>
                <w:i w:val="0"/>
                <w:sz w:val="18"/>
              </w:rPr>
              <w:t>Energy landfall operator</w:t>
            </w:r>
          </w:p>
        </w:tc>
        <w:tc>
          <w:tcPr>
            <w:tcW w:type="dxa" w:w="2494"/>
          </w:tcPr>
          <w:p>
            <w:pPr>
              <w:keepNext/>
            </w:pPr>
            <w:r/>
            <w:r>
              <w:rPr>
                <w:rFonts w:ascii="Arial" w:hAnsi="Arial" w:eastAsia="Arial"/>
                <w:b w:val="0"/>
                <w:i w:val="0"/>
                <w:sz w:val="18"/>
              </w:rPr>
              <w:t>Inspect and take protective measures at the landfall</w:t>
            </w:r>
          </w:p>
        </w:tc>
        <w:tc>
          <w:tcPr>
            <w:tcW w:type="dxa" w:w="2041"/>
          </w:tcPr>
          <w:p>
            <w:pPr>
              <w:keepNext/>
            </w:pPr>
            <w:r/>
            <w:r>
              <w:rPr>
                <w:rFonts w:ascii="Arial" w:hAnsi="Arial" w:eastAsia="Arial"/>
                <w:b w:val="0"/>
                <w:i w:val="0"/>
                <w:sz w:val="18"/>
              </w:rPr>
              <w:t>Inspection and reduced operation</w:t>
            </w:r>
          </w:p>
        </w:tc>
        <w:tc>
          <w:tcPr>
            <w:tcW w:type="dxa" w:w="2381"/>
          </w:tcPr>
          <w:p>
            <w:pPr>
              <w:keepNext/>
            </w:pPr>
            <w:r/>
            <w:r>
              <w:rPr>
                <w:rFonts w:ascii="Arial" w:hAnsi="Arial" w:eastAsia="Arial"/>
                <w:b w:val="0"/>
                <w:i w:val="0"/>
                <w:sz w:val="18"/>
              </w:rPr>
              <w:t>Interruption of supply; repair</w:t>
            </w:r>
          </w:p>
        </w:tc>
        <w:tc>
          <w:tcPr>
            <w:tcW w:type="dxa" w:w="1020"/>
          </w:tcPr>
          <w:p>
            <w:pPr>
              <w:keepNext/>
            </w:pPr>
            <w:r>
              <w:rPr>
                <w:rFonts w:ascii="Arial" w:hAnsi="Arial" w:eastAsia="Arial"/>
                <w:b w:val="0"/>
                <w:i w:val="0"/>
                <w:sz w:val="19"/>
                <w:highlight w:val="yellow"/>
              </w:rPr>
              <w:t>[r₃]</w:t>
            </w:r>
          </w:p>
        </w:tc>
      </w:tr>
      <w:tr>
        <w:trPr>
          <w:cantSplit/>
        </w:trPr>
        <w:tc>
          <w:tcPr>
            <w:tcW w:type="dxa" w:w="1701"/>
          </w:tcPr>
          <w:p>
            <w:r/>
            <w:r>
              <w:rPr>
                <w:rFonts w:ascii="Arial" w:hAnsi="Arial" w:eastAsia="Arial"/>
                <w:b w:val="0"/>
                <w:i w:val="0"/>
                <w:sz w:val="18"/>
              </w:rPr>
              <w:t>Civil protection</w:t>
            </w:r>
          </w:p>
        </w:tc>
        <w:tc>
          <w:tcPr>
            <w:tcW w:type="dxa" w:w="2494"/>
          </w:tcPr>
          <w:p>
            <w:r/>
            <w:r>
              <w:rPr>
                <w:rFonts w:ascii="Arial" w:hAnsi="Arial" w:eastAsia="Arial"/>
                <w:b w:val="0"/>
                <w:i w:val="0"/>
                <w:sz w:val="18"/>
              </w:rPr>
              <w:t>Pre-position teams and advise the public</w:t>
            </w:r>
          </w:p>
        </w:tc>
        <w:tc>
          <w:tcPr>
            <w:tcW w:type="dxa" w:w="2041"/>
          </w:tcPr>
          <w:p>
            <w:r/>
            <w:r>
              <w:rPr>
                <w:rFonts w:ascii="Arial" w:hAnsi="Arial" w:eastAsia="Arial"/>
                <w:b w:val="0"/>
                <w:i w:val="0"/>
                <w:sz w:val="18"/>
              </w:rPr>
              <w:t>Staff time and public advice</w:t>
            </w:r>
          </w:p>
        </w:tc>
        <w:tc>
          <w:tcPr>
            <w:tcW w:type="dxa" w:w="2381"/>
          </w:tcPr>
          <w:p>
            <w:r/>
            <w:r>
              <w:rPr>
                <w:rFonts w:ascii="Arial" w:hAnsi="Arial" w:eastAsia="Arial"/>
                <w:b w:val="0"/>
                <w:i w:val="0"/>
                <w:sz w:val="18"/>
              </w:rPr>
              <w:t>Slower response; harm to people</w:t>
            </w:r>
          </w:p>
        </w:tc>
        <w:tc>
          <w:tcPr>
            <w:tcW w:type="dxa" w:w="1020"/>
          </w:tcPr>
          <w:p>
            <w:r>
              <w:rPr>
                <w:rFonts w:ascii="Arial" w:hAnsi="Arial" w:eastAsia="Arial"/>
                <w:b w:val="0"/>
                <w:i w:val="0"/>
                <w:sz w:val="19"/>
                <w:highlight w:val="yellow"/>
              </w:rPr>
              <w:t>[r₄]</w:t>
            </w:r>
          </w:p>
        </w:tc>
      </w:tr>
    </w:tbl>
    <w:p>
      <w:pPr>
        <w:keepNext/>
        <w:spacing w:after="120" w:before="200"/>
      </w:pPr>
      <w:r>
        <w:rPr>
          <w:rFonts w:ascii="Arial" w:hAnsi="Arial" w:eastAsia="Arial"/>
          <w:b/>
          <w:i w:val="0"/>
          <w:color w:val="1F3864"/>
          <w:sz w:val="27"/>
        </w:rPr>
        <w:t>6. Contribution to NATO and partner security</w:t>
      </w:r>
    </w:p>
    <w:p>
      <w:pPr>
        <w:spacing w:after="60" w:before="0"/>
        <w:ind w:left="283"/>
      </w:pPr>
      <w:r>
        <w:rPr>
          <w:rFonts w:ascii="Arial" w:hAnsi="Arial" w:eastAsia="Arial"/>
          <w:b/>
          <w:i w:val="0"/>
          <w:sz w:val="22"/>
        </w:rPr>
        <w:t xml:space="preserve">• </w:t>
      </w:r>
      <w:r>
        <w:rPr>
          <w:rFonts w:ascii="Arial" w:hAnsi="Arial" w:eastAsia="Arial"/>
          <w:b/>
          <w:i w:val="0"/>
          <w:sz w:val="21"/>
        </w:rPr>
        <w:t>Resilience of an Ally.</w:t>
      </w:r>
      <w:r>
        <w:rPr>
          <w:rFonts w:ascii="Arial" w:hAnsi="Arial" w:eastAsia="Arial"/>
          <w:b w:val="0"/>
          <w:i w:val="0"/>
          <w:sz w:val="21"/>
        </w:rPr>
        <w:t xml:space="preserve"> The project supports three of NATO's seven baseline requirements for civil preparedness: resilient food and water resources, resilient energy supplies and resilient civil transport </w:t>
      </w:r>
      <w:r>
        <w:rPr>
          <w:rFonts w:ascii="Arial" w:hAnsi="Arial" w:eastAsia="Arial"/>
          <w:b w:val="0"/>
          <w:i w:val="0"/>
          <w:sz w:val="21"/>
        </w:rPr>
        <w:t>[5]</w:t>
      </w:r>
      <w:r>
        <w:rPr>
          <w:rFonts w:ascii="Arial" w:hAnsi="Arial" w:eastAsia="Arial"/>
          <w:b w:val="0"/>
          <w:i w:val="0"/>
          <w:sz w:val="21"/>
        </w:rPr>
        <w:t>; see the Security Relevance section.</w:t>
      </w:r>
    </w:p>
    <w:p>
      <w:pPr>
        <w:spacing w:after="60" w:before="0"/>
        <w:ind w:left="283"/>
      </w:pPr>
      <w:r>
        <w:rPr>
          <w:rFonts w:ascii="Arial" w:hAnsi="Arial" w:eastAsia="Arial"/>
          <w:b/>
          <w:i w:val="0"/>
          <w:sz w:val="22"/>
        </w:rPr>
        <w:t xml:space="preserve">• </w:t>
      </w:r>
      <w:r>
        <w:rPr>
          <w:rFonts w:ascii="Arial" w:hAnsi="Arial" w:eastAsia="Arial"/>
          <w:b/>
          <w:i w:val="0"/>
          <w:sz w:val="21"/>
        </w:rPr>
        <w:t>SPS Key Priorities.</w:t>
      </w:r>
      <w:r>
        <w:rPr>
          <w:rFonts w:ascii="Arial" w:hAnsi="Arial" w:eastAsia="Arial"/>
          <w:b w:val="0"/>
          <w:i w:val="0"/>
          <w:sz w:val="21"/>
        </w:rPr>
        <w:t xml:space="preserve"> Environment, Climate Change and Security; Energy Security; and Innovation and Emerging and Disruptive Technologies </w:t>
      </w:r>
      <w:r>
        <w:rPr>
          <w:rFonts w:ascii="Arial" w:hAnsi="Arial" w:eastAsia="Arial"/>
          <w:b w:val="0"/>
          <w:i w:val="0"/>
          <w:sz w:val="21"/>
        </w:rPr>
        <w:t>[6]</w:t>
      </w:r>
      <w:r>
        <w:rPr>
          <w:rFonts w:ascii="Arial" w:hAnsi="Arial" w:eastAsia="Arial"/>
          <w:b w:val="0"/>
          <w:i w:val="0"/>
          <w:sz w:val="21"/>
        </w:rPr>
        <w:t>.</w:t>
      </w:r>
    </w:p>
    <w:p>
      <w:pPr>
        <w:spacing w:after="60" w:before="0"/>
        <w:ind w:left="283"/>
      </w:pPr>
      <w:r>
        <w:rPr>
          <w:rFonts w:ascii="Arial" w:hAnsi="Arial" w:eastAsia="Arial"/>
          <w:b/>
          <w:i w:val="0"/>
          <w:sz w:val="22"/>
        </w:rPr>
        <w:t xml:space="preserve">• </w:t>
      </w:r>
      <w:r>
        <w:rPr>
          <w:rFonts w:ascii="Arial" w:hAnsi="Arial" w:eastAsia="Arial"/>
          <w:b/>
          <w:i w:val="0"/>
          <w:sz w:val="21"/>
        </w:rPr>
        <w:t>Responsible use of AI.</w:t>
      </w:r>
      <w:r>
        <w:rPr>
          <w:rFonts w:ascii="Arial" w:hAnsi="Arial" w:eastAsia="Arial"/>
          <w:b w:val="0"/>
          <w:i w:val="0"/>
          <w:sz w:val="21"/>
        </w:rPr>
        <w:t xml:space="preserve"> Machine learning enters a security decision chain only with a certified error bound and a verified miss rate, so its use is traceable and accountable.</w:t>
      </w:r>
    </w:p>
    <w:p>
      <w:pPr>
        <w:spacing w:after="60" w:before="0"/>
        <w:ind w:left="283"/>
      </w:pPr>
      <w:r>
        <w:rPr>
          <w:rFonts w:ascii="Arial" w:hAnsi="Arial" w:eastAsia="Arial"/>
          <w:b/>
          <w:i w:val="0"/>
          <w:sz w:val="22"/>
        </w:rPr>
        <w:t xml:space="preserve">• </w:t>
      </w:r>
      <w:r>
        <w:rPr>
          <w:rFonts w:ascii="Arial" w:hAnsi="Arial" w:eastAsia="Arial"/>
          <w:b/>
          <w:i w:val="0"/>
          <w:sz w:val="21"/>
        </w:rPr>
        <w:t>Partner capacity.</w:t>
      </w:r>
      <w:r>
        <w:rPr>
          <w:rFonts w:ascii="Arial" w:hAnsi="Arial" w:eastAsia="Arial"/>
          <w:b w:val="0"/>
          <w:i w:val="0"/>
          <w:sz w:val="21"/>
        </w:rPr>
        <w:t xml:space="preserve"> Researchers of the partner country are trained in every work package and take the methods and open software home.</w:t>
      </w:r>
    </w:p>
    <w:p>
      <w:pPr>
        <w:keepNext/>
        <w:spacing w:after="120" w:before="160"/>
      </w:pPr>
      <w:r>
        <w:rPr>
          <w:rFonts w:ascii="Arial" w:hAnsi="Arial" w:eastAsia="Arial"/>
          <w:b/>
          <w:i w:val="0"/>
          <w:color w:val="1F3864"/>
          <w:sz w:val="27"/>
        </w:rPr>
        <w:t>7. Beyond Durrës: scale-out and transfer</w:t>
      </w:r>
    </w:p>
    <w:p>
      <w:pPr>
        <w:spacing w:after="60" w:before="0"/>
        <w:ind w:left="283"/>
      </w:pPr>
      <w:r>
        <w:rPr>
          <w:rFonts w:ascii="Arial" w:hAnsi="Arial" w:eastAsia="Arial"/>
          <w:b/>
          <w:i w:val="0"/>
          <w:sz w:val="22"/>
        </w:rPr>
        <w:t xml:space="preserve">• </w:t>
      </w:r>
      <w:r>
        <w:rPr>
          <w:rFonts w:ascii="Arial" w:hAnsi="Arial" w:eastAsia="Arial"/>
          <w:b/>
          <w:i w:val="0"/>
          <w:sz w:val="21"/>
        </w:rPr>
        <w:t>What a new coast needs.</w:t>
      </w:r>
      <w:r>
        <w:rPr>
          <w:rFonts w:ascii="Arial" w:hAnsi="Arial" w:eastAsia="Arial"/>
          <w:b w:val="0"/>
          <w:i w:val="0"/>
          <w:sz w:val="21"/>
        </w:rPr>
        <w:t xml:space="preserve"> Free Sentinel-1 data, GNSS and a few corner reflectors, piezometers with conductivity loggers, existing seismic stations or fibre where available, and the open software of D6.1. The synthetic test coast lets a new team check its installation before using its own data.</w:t>
      </w:r>
    </w:p>
    <w:p>
      <w:pPr>
        <w:spacing w:after="60" w:before="0"/>
        <w:ind w:left="283"/>
      </w:pPr>
      <w:r>
        <w:rPr>
          <w:rFonts w:ascii="Arial" w:hAnsi="Arial" w:eastAsia="Arial"/>
          <w:b/>
          <w:i w:val="0"/>
          <w:sz w:val="22"/>
        </w:rPr>
        <w:t xml:space="preserve">• </w:t>
      </w:r>
      <w:r>
        <w:rPr>
          <w:rFonts w:ascii="Arial" w:hAnsi="Arial" w:eastAsia="Arial"/>
          <w:b/>
          <w:i w:val="0"/>
          <w:sz w:val="21"/>
        </w:rPr>
        <w:t>How it is passed on.</w:t>
      </w:r>
      <w:r>
        <w:rPr>
          <w:rFonts w:ascii="Arial" w:hAnsi="Arial" w:eastAsia="Arial"/>
          <w:b w:val="0"/>
          <w:i w:val="0"/>
          <w:sz w:val="21"/>
        </w:rPr>
        <w:t xml:space="preserve"> The transfer workshop in Month 35, the training material and the operating procedures are written for teams outside the consortium; D6.1 is accepted only when someone outside the team installs and runs it.</w:t>
      </w:r>
    </w:p>
    <w:p>
      <w:pPr>
        <w:spacing w:after="60" w:before="0"/>
        <w:ind w:left="283"/>
      </w:pPr>
      <w:r>
        <w:rPr>
          <w:rFonts w:ascii="Arial" w:hAnsi="Arial" w:eastAsia="Arial"/>
          <w:b/>
          <w:i w:val="0"/>
          <w:sz w:val="22"/>
        </w:rPr>
        <w:t xml:space="preserve">• </w:t>
      </w:r>
      <w:r>
        <w:rPr>
          <w:rFonts w:ascii="Arial" w:hAnsi="Arial" w:eastAsia="Arial"/>
          <w:b/>
          <w:i w:val="0"/>
          <w:sz w:val="21"/>
        </w:rPr>
        <w:t>Where next.</w:t>
      </w:r>
      <w:r>
        <w:rPr>
          <w:rFonts w:ascii="Arial" w:hAnsi="Arial" w:eastAsia="Arial"/>
          <w:b w:val="0"/>
          <w:i w:val="0"/>
          <w:sz w:val="21"/>
        </w:rPr>
        <w:t xml:space="preserve"> Other subsiding coasts with wellfields, ports or energy landfalls, in the Adriatic, the Mediterranean and the partner country. </w:t>
      </w:r>
      <w:r>
        <w:rPr>
          <w:rFonts w:ascii="Arial" w:hAnsi="Arial" w:eastAsia="Arial"/>
          <w:b w:val="0"/>
          <w:i w:val="0"/>
          <w:sz w:val="21"/>
          <w:highlight w:val="yellow"/>
        </w:rPr>
        <w:t>[Candidate sites and follow-up funding to be identified with the end-users and the partner-country team.]</w:t>
      </w:r>
    </w:p>
    <w:p>
      <w:pPr>
        <w:keepNext/>
        <w:spacing w:after="120" w:before="160"/>
      </w:pPr>
      <w:r>
        <w:rPr>
          <w:rFonts w:ascii="Arial" w:hAnsi="Arial" w:eastAsia="Arial"/>
          <w:b/>
          <w:i w:val="0"/>
          <w:color w:val="1F3864"/>
          <w:sz w:val="27"/>
        </w:rPr>
        <w:t>8. Conditions for impact and how they are secured</w:t>
      </w:r>
    </w:p>
    <w:tbl>
      <w:tblPr>
        <w:tblStyle w:val="TableGrid"/>
        <w:tblW w:type="auto" w:w="0"/>
        <w:jc w:val="center"/>
        <w:tblLayout w:type="fixed"/>
        <w:tblLook w:firstColumn="1" w:firstRow="1" w:lastColumn="0" w:lastRow="0" w:noHBand="0" w:noVBand="1" w:val="04A0"/>
        <w:tblLayout w:type="fixed"/>
      </w:tblPr>
      <w:tblGrid>
        <w:gridCol w:w="1928"/>
        <w:gridCol w:w="1928"/>
        <w:gridCol w:w="4876"/>
        <w:gridCol w:w="907"/>
      </w:tblGrid>
      <w:tr>
        <w:trPr>
          <w:cantSplit/>
          <w:tblHeader/>
        </w:trPr>
        <w:tc>
          <w:tcPr>
            <w:tcW w:type="dxa" w:w="1928"/>
            <w:shd w:val="clear" w:color="auto" w:fill="1F3864"/>
          </w:tcPr>
          <w:p>
            <w:r/>
            <w:r>
              <w:rPr>
                <w:rFonts w:ascii="Arial" w:hAnsi="Arial" w:eastAsia="Arial"/>
                <w:b/>
                <w:i w:val="0"/>
                <w:color w:val="FFFFFF"/>
                <w:sz w:val="18"/>
              </w:rPr>
              <w:t>Condition</w:t>
            </w:r>
          </w:p>
        </w:tc>
        <w:tc>
          <w:tcPr>
            <w:tcW w:type="dxa" w:w="1928"/>
            <w:shd w:val="clear" w:color="auto" w:fill="1F3864"/>
          </w:tcPr>
          <w:p>
            <w:r/>
            <w:r>
              <w:rPr>
                <w:rFonts w:ascii="Arial" w:hAnsi="Arial" w:eastAsia="Arial"/>
                <w:b/>
                <w:i w:val="0"/>
                <w:color w:val="FFFFFF"/>
                <w:sz w:val="18"/>
              </w:rPr>
              <w:t>What could block it</w:t>
            </w:r>
          </w:p>
        </w:tc>
        <w:tc>
          <w:tcPr>
            <w:tcW w:type="dxa" w:w="4876"/>
            <w:shd w:val="clear" w:color="auto" w:fill="1F3864"/>
          </w:tcPr>
          <w:p>
            <w:r/>
            <w:r>
              <w:rPr>
                <w:rFonts w:ascii="Arial" w:hAnsi="Arial" w:eastAsia="Arial"/>
                <w:b/>
                <w:i w:val="0"/>
                <w:color w:val="FFFFFF"/>
                <w:sz w:val="18"/>
              </w:rPr>
              <w:t>How it is secured</w:t>
            </w:r>
          </w:p>
        </w:tc>
        <w:tc>
          <w:tcPr>
            <w:tcW w:type="dxa" w:w="907"/>
            <w:shd w:val="clear" w:color="auto" w:fill="1F3864"/>
          </w:tcPr>
          <w:p>
            <w:r/>
            <w:r>
              <w:rPr>
                <w:rFonts w:ascii="Arial" w:hAnsi="Arial" w:eastAsia="Arial"/>
                <w:b/>
                <w:i w:val="0"/>
                <w:color w:val="FFFFFF"/>
                <w:sz w:val="18"/>
              </w:rPr>
              <w:t>Risk</w:t>
            </w:r>
          </w:p>
        </w:tc>
      </w:tr>
      <w:tr>
        <w:trPr>
          <w:cantSplit/>
        </w:trPr>
        <w:tc>
          <w:tcPr>
            <w:tcW w:type="dxa" w:w="1928"/>
          </w:tcPr>
          <w:p>
            <w:r/>
            <w:r>
              <w:rPr>
                <w:rFonts w:ascii="Arial" w:hAnsi="Arial" w:eastAsia="Arial"/>
                <w:b w:val="0"/>
                <w:i w:val="0"/>
                <w:sz w:val="18"/>
              </w:rPr>
              <w:t>Operators use the warnings</w:t>
            </w:r>
          </w:p>
        </w:tc>
        <w:tc>
          <w:tcPr>
            <w:tcW w:type="dxa" w:w="1928"/>
          </w:tcPr>
          <w:p>
            <w:r/>
            <w:r>
              <w:rPr>
                <w:rFonts w:ascii="Arial" w:hAnsi="Arial" w:eastAsia="Arial"/>
                <w:b w:val="0"/>
                <w:i w:val="0"/>
                <w:sz w:val="18"/>
              </w:rPr>
              <w:t>Warnings are ignored or not trusted</w:t>
            </w:r>
          </w:p>
        </w:tc>
        <w:tc>
          <w:tcPr>
            <w:tcW w:type="dxa" w:w="4876"/>
          </w:tcPr>
          <w:p>
            <w:r/>
            <w:r>
              <w:rPr>
                <w:rFonts w:ascii="Arial" w:hAnsi="Arial" w:eastAsia="Arial"/>
                <w:b w:val="0"/>
                <w:i w:val="0"/>
                <w:sz w:val="18"/>
              </w:rPr>
              <w:t>Letters of commitment; thresholds and cost-loss ratios agreed with the operators (T3.1); operators co-sign MS1, MS4, MS6, MS7; every bulletin logged with its outcome</w:t>
            </w:r>
          </w:p>
        </w:tc>
        <w:tc>
          <w:tcPr>
            <w:tcW w:type="dxa" w:w="907"/>
          </w:tcPr>
          <w:p>
            <w:r/>
            <w:r>
              <w:rPr>
                <w:rFonts w:ascii="Arial" w:hAnsi="Arial" w:eastAsia="Arial"/>
                <w:b w:val="0"/>
                <w:i w:val="0"/>
                <w:sz w:val="18"/>
              </w:rPr>
              <w:t>R15, R16</w:t>
            </w:r>
          </w:p>
        </w:tc>
      </w:tr>
      <w:tr>
        <w:trPr>
          <w:cantSplit/>
        </w:trPr>
        <w:tc>
          <w:tcPr>
            <w:tcW w:type="dxa" w:w="1928"/>
          </w:tcPr>
          <w:p>
            <w:r/>
            <w:r>
              <w:rPr>
                <w:rFonts w:ascii="Arial" w:hAnsi="Arial" w:eastAsia="Arial"/>
                <w:b w:val="0"/>
                <w:i w:val="0"/>
                <w:sz w:val="18"/>
              </w:rPr>
              <w:t>The system keeps running</w:t>
            </w:r>
          </w:p>
        </w:tc>
        <w:tc>
          <w:tcPr>
            <w:tcW w:type="dxa" w:w="1928"/>
          </w:tcPr>
          <w:p>
            <w:r/>
            <w:r>
              <w:rPr>
                <w:rFonts w:ascii="Arial" w:hAnsi="Arial" w:eastAsia="Arial"/>
                <w:b w:val="0"/>
                <w:i w:val="0"/>
                <w:sz w:val="18"/>
              </w:rPr>
              <w:t>No budget or staff after the grant</w:t>
            </w:r>
          </w:p>
        </w:tc>
        <w:tc>
          <w:tcPr>
            <w:tcW w:type="dxa" w:w="4876"/>
          </w:tcPr>
          <w:p>
            <w:r/>
            <w:r>
              <w:rPr>
                <w:rFonts w:ascii="Arial" w:hAnsi="Arial" w:eastAsia="Arial"/>
                <w:b w:val="0"/>
                <w:i w:val="0"/>
                <w:sz w:val="18"/>
              </w:rPr>
              <w:t>Maintenance agreement by M33; running cost about €10,900 per year shared by the operators; at least two trained people per operator</w:t>
            </w:r>
          </w:p>
        </w:tc>
        <w:tc>
          <w:tcPr>
            <w:tcW w:type="dxa" w:w="907"/>
          </w:tcPr>
          <w:p>
            <w:r/>
            <w:r>
              <w:rPr>
                <w:rFonts w:ascii="Arial" w:hAnsi="Arial" w:eastAsia="Arial"/>
                <w:b w:val="0"/>
                <w:i w:val="0"/>
                <w:sz w:val="18"/>
              </w:rPr>
              <w:t>R18</w:t>
            </w:r>
          </w:p>
        </w:tc>
      </w:tr>
      <w:tr>
        <w:trPr>
          <w:cantSplit/>
        </w:trPr>
        <w:tc>
          <w:tcPr>
            <w:tcW w:type="dxa" w:w="1928"/>
          </w:tcPr>
          <w:p>
            <w:r/>
            <w:r>
              <w:rPr>
                <w:rFonts w:ascii="Arial" w:hAnsi="Arial" w:eastAsia="Arial"/>
                <w:b w:val="0"/>
                <w:i w:val="0"/>
                <w:sz w:val="18"/>
              </w:rPr>
              <w:t>Guarantees stay valid</w:t>
            </w:r>
          </w:p>
        </w:tc>
        <w:tc>
          <w:tcPr>
            <w:tcW w:type="dxa" w:w="1928"/>
          </w:tcPr>
          <w:p>
            <w:r/>
            <w:r>
              <w:rPr>
                <w:rFonts w:ascii="Arial" w:hAnsi="Arial" w:eastAsia="Arial"/>
                <w:b w:val="0"/>
                <w:i w:val="0"/>
                <w:sz w:val="18"/>
              </w:rPr>
              <w:t>Conditions move beyond the record</w:t>
            </w:r>
          </w:p>
        </w:tc>
        <w:tc>
          <w:tcPr>
            <w:tcW w:type="dxa" w:w="4876"/>
          </w:tcPr>
          <w:p>
            <w:r/>
            <w:r>
              <w:rPr>
                <w:rFonts w:ascii="Arial" w:hAnsi="Arial" w:eastAsia="Arial"/>
                <w:b w:val="0"/>
                <w:i w:val="0"/>
                <w:sz w:val="18"/>
              </w:rPr>
              <w:t>Bulletins flag "outside record"; margins widen; guarantees rechecked yearly from the log</w:t>
            </w:r>
          </w:p>
        </w:tc>
        <w:tc>
          <w:tcPr>
            <w:tcW w:type="dxa" w:w="907"/>
          </w:tcPr>
          <w:p>
            <w:r/>
            <w:r>
              <w:rPr>
                <w:rFonts w:ascii="Arial" w:hAnsi="Arial" w:eastAsia="Arial"/>
                <w:b w:val="0"/>
                <w:i w:val="0"/>
                <w:sz w:val="18"/>
              </w:rPr>
              <w:t>R8</w:t>
            </w:r>
          </w:p>
        </w:tc>
      </w:tr>
      <w:tr>
        <w:trPr>
          <w:cantSplit/>
        </w:trPr>
        <w:tc>
          <w:tcPr>
            <w:tcW w:type="dxa" w:w="1928"/>
          </w:tcPr>
          <w:p>
            <w:r/>
            <w:r>
              <w:rPr>
                <w:rFonts w:ascii="Arial" w:hAnsi="Arial" w:eastAsia="Arial"/>
                <w:b w:val="0"/>
                <w:i w:val="0"/>
                <w:sz w:val="18"/>
              </w:rPr>
              <w:t>Openness does not expose assets</w:t>
            </w:r>
          </w:p>
        </w:tc>
        <w:tc>
          <w:tcPr>
            <w:tcW w:type="dxa" w:w="1928"/>
          </w:tcPr>
          <w:p>
            <w:r/>
            <w:r>
              <w:rPr>
                <w:rFonts w:ascii="Arial" w:hAnsi="Arial" w:eastAsia="Arial"/>
                <w:b w:val="0"/>
                <w:i w:val="0"/>
                <w:sz w:val="18"/>
              </w:rPr>
              <w:t>Vulnerability details released</w:t>
            </w:r>
          </w:p>
        </w:tc>
        <w:tc>
          <w:tcPr>
            <w:tcW w:type="dxa" w:w="4876"/>
          </w:tcPr>
          <w:p>
            <w:r/>
            <w:r>
              <w:rPr>
                <w:rFonts w:ascii="Arial" w:hAnsi="Arial" w:eastAsia="Arial"/>
                <w:b w:val="0"/>
                <w:i w:val="0"/>
                <w:sz w:val="18"/>
              </w:rPr>
              <w:t>Two-tier dissemination: methods and aggregated results open, asset-level results restricted; operators review releases</w:t>
            </w:r>
          </w:p>
        </w:tc>
        <w:tc>
          <w:tcPr>
            <w:tcW w:type="dxa" w:w="907"/>
          </w:tcPr>
          <w:p>
            <w:r/>
            <w:r>
              <w:rPr>
                <w:rFonts w:ascii="Arial" w:hAnsi="Arial" w:eastAsia="Arial"/>
                <w:b w:val="0"/>
                <w:i w:val="0"/>
                <w:sz w:val="18"/>
              </w:rPr>
              <w:t>R20</w:t>
            </w:r>
          </w:p>
        </w:tc>
      </w:tr>
      <w:tr>
        <w:trPr>
          <w:cantSplit/>
        </w:trPr>
        <w:tc>
          <w:tcPr>
            <w:tcW w:type="dxa" w:w="1928"/>
          </w:tcPr>
          <w:p>
            <w:r/>
            <w:r>
              <w:rPr>
                <w:rFonts w:ascii="Arial" w:hAnsi="Arial" w:eastAsia="Arial"/>
                <w:b w:val="0"/>
                <w:i w:val="0"/>
                <w:sz w:val="18"/>
              </w:rPr>
              <w:t>Others can repeat it</w:t>
            </w:r>
          </w:p>
        </w:tc>
        <w:tc>
          <w:tcPr>
            <w:tcW w:type="dxa" w:w="1928"/>
          </w:tcPr>
          <w:p>
            <w:r/>
            <w:r>
              <w:rPr>
                <w:rFonts w:ascii="Arial" w:hAnsi="Arial" w:eastAsia="Arial"/>
                <w:b w:val="0"/>
                <w:i w:val="0"/>
                <w:sz w:val="18"/>
              </w:rPr>
              <w:t>Method tied to one site or team</w:t>
            </w:r>
          </w:p>
        </w:tc>
        <w:tc>
          <w:tcPr>
            <w:tcW w:type="dxa" w:w="4876"/>
          </w:tcPr>
          <w:p>
            <w:r/>
            <w:r>
              <w:rPr>
                <w:rFonts w:ascii="Arial" w:hAnsi="Arial" w:eastAsia="Arial"/>
                <w:b w:val="0"/>
                <w:i w:val="0"/>
                <w:sz w:val="18"/>
              </w:rPr>
              <w:t>Open software and data with a DOI; synthetic test coast; outsider installation test (D6.1); transfer workshop</w:t>
            </w:r>
          </w:p>
        </w:tc>
        <w:tc>
          <w:tcPr>
            <w:tcW w:type="dxa" w:w="907"/>
          </w:tcPr>
          <w:p>
            <w:r/>
            <w:r>
              <w:rPr>
                <w:rFonts w:ascii="Arial" w:hAnsi="Arial" w:eastAsia="Arial"/>
                <w:b w:val="0"/>
                <w:i w:val="0"/>
                <w:sz w:val="18"/>
              </w:rPr>
              <w:t>—</w:t>
            </w:r>
          </w:p>
        </w:tc>
      </w:tr>
    </w:tbl>
    <w:p>
      <w:pPr>
        <w:keepNext/>
        <w:spacing w:after="120" w:before="200"/>
      </w:pPr>
      <w:r>
        <w:rPr>
          <w:rFonts w:ascii="Arial" w:hAnsi="Arial" w:eastAsia="Arial"/>
          <w:b/>
          <w:i w:val="0"/>
          <w:color w:val="1F3864"/>
          <w:sz w:val="27"/>
        </w:rPr>
        <w:t>9. What is new in this impact plan</w:t>
      </w:r>
    </w:p>
    <w:p>
      <w:pPr>
        <w:spacing w:after="60" w:before="0"/>
        <w:ind w:left="283"/>
      </w:pPr>
      <w:r>
        <w:rPr>
          <w:rFonts w:ascii="Arial" w:hAnsi="Arial" w:eastAsia="Arial"/>
          <w:b/>
          <w:i w:val="0"/>
          <w:sz w:val="22"/>
        </w:rPr>
        <w:t xml:space="preserve">• </w:t>
      </w:r>
      <w:r>
        <w:rPr>
          <w:rFonts w:ascii="Arial" w:hAnsi="Arial" w:eastAsia="Arial"/>
          <w:b/>
          <w:i w:val="0"/>
          <w:sz w:val="21"/>
        </w:rPr>
        <w:t>A certified value for each user.</w:t>
      </w:r>
      <w:r>
        <w:rPr>
          <w:rFonts w:ascii="Arial" w:hAnsi="Arial" w:eastAsia="Arial"/>
          <w:b w:val="0"/>
          <w:i w:val="0"/>
          <w:sz w:val="21"/>
        </w:rPr>
        <w:t xml:space="preserve"> The certified miss rate is turned into a guaranteed lower bound on the economic value of the warning for each user's own decision (Section 5), so the operators know in advance what the warning is at least worth to them.</w:t>
      </w:r>
    </w:p>
    <w:p>
      <w:pPr>
        <w:spacing w:after="60" w:before="0"/>
        <w:ind w:left="283"/>
      </w:pPr>
      <w:r>
        <w:rPr>
          <w:rFonts w:ascii="Arial" w:hAnsi="Arial" w:eastAsia="Arial"/>
          <w:b/>
          <w:i w:val="0"/>
          <w:sz w:val="22"/>
        </w:rPr>
        <w:t xml:space="preserve">• </w:t>
      </w:r>
      <w:r>
        <w:rPr>
          <w:rFonts w:ascii="Arial" w:hAnsi="Arial" w:eastAsia="Arial"/>
          <w:b/>
          <w:i w:val="0"/>
          <w:sz w:val="21"/>
        </w:rPr>
        <w:t>Impact measured by the same log that checks the guarantees.</w:t>
      </w:r>
      <w:r>
        <w:rPr>
          <w:rFonts w:ascii="Arial" w:hAnsi="Arial" w:eastAsia="Arial"/>
          <w:b w:val="0"/>
          <w:i w:val="0"/>
          <w:sz w:val="21"/>
        </w:rPr>
        <w:t xml:space="preserve"> Every bulletin is logged with the action taken and the outcome; the same record verifies the miss rates, measures the value delivered and shows what was avoided.</w:t>
      </w:r>
    </w:p>
    <w:p>
      <w:pPr>
        <w:spacing w:after="60" w:before="0"/>
        <w:ind w:left="283"/>
      </w:pPr>
      <w:r>
        <w:rPr>
          <w:rFonts w:ascii="Arial" w:hAnsi="Arial" w:eastAsia="Arial"/>
          <w:b/>
          <w:i w:val="0"/>
          <w:sz w:val="22"/>
        </w:rPr>
        <w:t xml:space="preserve">• </w:t>
      </w:r>
      <w:r>
        <w:rPr>
          <w:rFonts w:ascii="Arial" w:hAnsi="Arial" w:eastAsia="Arial"/>
          <w:b/>
          <w:i w:val="0"/>
          <w:sz w:val="21"/>
        </w:rPr>
        <w:t>Impact defined in the users' terms.</w:t>
      </w:r>
      <w:r>
        <w:rPr>
          <w:rFonts w:ascii="Arial" w:hAnsi="Arial" w:eastAsia="Arial"/>
          <w:b w:val="0"/>
          <w:i w:val="0"/>
          <w:sz w:val="21"/>
        </w:rPr>
        <w:t xml:space="preserve"> The cost of acting and the loss avoided are set with each operator before live operation (T3.1), not chosen afterwards by the project.</w:t>
      </w:r>
    </w:p>
    <w:p>
      <w:pPr>
        <w:spacing w:after="60" w:before="0"/>
        <w:ind w:left="283"/>
      </w:pPr>
      <w:r>
        <w:rPr>
          <w:rFonts w:ascii="Arial" w:hAnsi="Arial" w:eastAsia="Arial"/>
          <w:b/>
          <w:i w:val="0"/>
          <w:sz w:val="22"/>
        </w:rPr>
        <w:t xml:space="preserve">• </w:t>
      </w:r>
      <w:r>
        <w:rPr>
          <w:rFonts w:ascii="Arial" w:hAnsi="Arial" w:eastAsia="Arial"/>
          <w:b/>
          <w:i w:val="0"/>
          <w:sz w:val="21"/>
        </w:rPr>
        <w:t>One warning, three assets, one picture.</w:t>
      </w:r>
      <w:r>
        <w:rPr>
          <w:rFonts w:ascii="Arial" w:hAnsi="Arial" w:eastAsia="Arial"/>
          <w:b w:val="0"/>
          <w:i w:val="0"/>
          <w:sz w:val="21"/>
        </w:rPr>
        <w:t xml:space="preserve"> The impact on water, port and energy is delivered by one system, so after an event civil protection receives one consistent assessment instead of three.</w:t>
      </w:r>
    </w:p>
    <w:p>
      <w:pPr>
        <w:spacing w:after="60" w:before="0"/>
        <w:ind w:left="283"/>
      </w:pPr>
      <w:r>
        <w:rPr>
          <w:rFonts w:ascii="Arial" w:hAnsi="Arial" w:eastAsia="Arial"/>
          <w:b/>
          <w:i w:val="0"/>
          <w:sz w:val="22"/>
        </w:rPr>
        <w:t xml:space="preserve">• </w:t>
      </w:r>
      <w:r>
        <w:rPr>
          <w:rFonts w:ascii="Arial" w:hAnsi="Arial" w:eastAsia="Arial"/>
          <w:b/>
          <w:i w:val="0"/>
          <w:sz w:val="21"/>
        </w:rPr>
        <w:t>Transfer tested within the project.</w:t>
      </w:r>
      <w:r>
        <w:rPr>
          <w:rFonts w:ascii="Arial" w:hAnsi="Arial" w:eastAsia="Arial"/>
          <w:b w:val="0"/>
          <w:i w:val="0"/>
          <w:sz w:val="21"/>
        </w:rPr>
        <w:t xml:space="preserve"> An outsider must install and run the system on the synthetic coast before the release is accepted, so transfer to other coasts is shown, not only promised.</w:t>
      </w:r>
    </w:p>
    <w:p>
      <w:pPr>
        <w:keepNext/>
        <w:spacing w:after="120" w:before="160"/>
      </w:pPr>
      <w:r>
        <w:rPr>
          <w:rFonts w:ascii="Arial" w:hAnsi="Arial" w:eastAsia="Arial"/>
          <w:b/>
          <w:i w:val="0"/>
          <w:color w:val="1F3864"/>
          <w:sz w:val="23"/>
        </w:rPr>
        <w:t>Sources</w:t>
      </w:r>
    </w:p>
    <w:p>
      <w:pPr>
        <w:spacing w:after="40" w:before="0"/>
        <w:ind w:left="283"/>
      </w:pPr>
      <w:r>
        <w:rPr>
          <w:rFonts w:ascii="Arial" w:hAnsi="Arial" w:eastAsia="Arial"/>
          <w:b w:val="0"/>
          <w:i w:val="0"/>
          <w:sz w:val="19"/>
        </w:rPr>
        <w:t xml:space="preserve">[1] EU Delegation to Albania: Release of the Post-Disaster Needs Assessment for Albania's recovery (February 2020). </w:t>
      </w:r>
      <w:hyperlink r:id="rId11">
        <w:r>
          <w:rPr>
            <w:rFonts w:ascii="Arial" w:hAnsi="Arial"/>
            <w:color w:val="1F5FBF"/>
            <w:u w:val="single"/>
            <w:sz w:val="17"/>
          </w:rPr>
          <w:t xml:space="preserve">https://www.eeas.europa.eu/delegations/albania/release-post-disaster-needs-assessment-albania-recovery_en</w:t>
        </w:r>
      </w:hyperlink>
    </w:p>
    <w:p>
      <w:pPr>
        <w:spacing w:after="40" w:before="0"/>
        <w:ind w:left="283"/>
      </w:pPr>
      <w:r>
        <w:rPr>
          <w:rFonts w:ascii="Arial" w:hAnsi="Arial" w:eastAsia="Arial"/>
          <w:b w:val="0"/>
          <w:i w:val="0"/>
          <w:sz w:val="19"/>
        </w:rPr>
        <w:t xml:space="preserve">[2] Government of Albania, EU, UN and World Bank: Albania Post-Disaster Needs Assessment, Volume A (2020). </w:t>
      </w:r>
      <w:hyperlink r:id="rId12">
        <w:r>
          <w:rPr>
            <w:rFonts w:ascii="Arial" w:hAnsi="Arial"/>
            <w:color w:val="1F5FBF"/>
            <w:u w:val="single"/>
            <w:sz w:val="17"/>
          </w:rPr>
          <w:t xml:space="preserve">https://eeas.europa.eu/sites/eeas/files/albania_post-disaster_recovery_a.pdf.pdf</w:t>
        </w:r>
      </w:hyperlink>
    </w:p>
    <w:p>
      <w:pPr>
        <w:spacing w:after="40" w:before="0"/>
        <w:ind w:left="283"/>
      </w:pPr>
      <w:r>
        <w:rPr>
          <w:rFonts w:ascii="Arial" w:hAnsi="Arial" w:eastAsia="Arial"/>
          <w:b w:val="0"/>
          <w:i w:val="0"/>
          <w:sz w:val="19"/>
        </w:rPr>
        <w:t xml:space="preserve">[3] Mavroulis, S., Lekkas, E. and Carydis, P. (2021). Liquefaction phenomena induced by the 26 November 2019, Mw = 6.4 Durrës (Albania) earthquake and liquefaction susceptibility assessment in the affected area. Geosciences 11(5), 215. </w:t>
      </w:r>
      <w:hyperlink r:id="rId13">
        <w:r>
          <w:rPr>
            <w:rFonts w:ascii="Arial" w:hAnsi="Arial"/>
            <w:color w:val="1F5FBF"/>
            <w:u w:val="single"/>
            <w:sz w:val="17"/>
          </w:rPr>
          <w:t xml:space="preserve">https://doi.org/10.3390/geosciences11050215</w:t>
        </w:r>
      </w:hyperlink>
    </w:p>
    <w:p>
      <w:pPr>
        <w:spacing w:after="40" w:before="0"/>
        <w:ind w:left="283"/>
      </w:pPr>
      <w:r>
        <w:rPr>
          <w:rFonts w:ascii="Arial" w:hAnsi="Arial" w:eastAsia="Arial"/>
          <w:b w:val="0"/>
          <w:i w:val="0"/>
          <w:sz w:val="19"/>
        </w:rPr>
        <w:t xml:space="preserve">[4] INSTAT: Maritime Transport Statistics, Q2 2026. </w:t>
      </w:r>
      <w:hyperlink r:id="rId14">
        <w:r>
          <w:rPr>
            <w:rFonts w:ascii="Arial" w:hAnsi="Arial"/>
            <w:color w:val="1F5FBF"/>
            <w:u w:val="single"/>
            <w:sz w:val="17"/>
          </w:rPr>
          <w:t xml:space="preserve">https://www.instat.gov.al/en/themes/industry-trade-and-services/transport-accidents-and-characteristics-of-road-vehicles/publikimet/2026/maritime-transport-statistics-q2-2026/</w:t>
        </w:r>
      </w:hyperlink>
    </w:p>
    <w:p>
      <w:pPr>
        <w:spacing w:after="40" w:before="0"/>
        <w:ind w:left="283"/>
      </w:pPr>
      <w:r>
        <w:rPr>
          <w:rFonts w:ascii="Arial" w:hAnsi="Arial" w:eastAsia="Arial"/>
          <w:b w:val="0"/>
          <w:i w:val="0"/>
          <w:sz w:val="19"/>
        </w:rPr>
        <w:t xml:space="preserve">[5] NATO: Resilience, civil preparedness and Article 3 (baseline requirements). </w:t>
      </w:r>
      <w:hyperlink r:id="rId15">
        <w:r>
          <w:rPr>
            <w:rFonts w:ascii="Arial" w:hAnsi="Arial"/>
            <w:color w:val="1F5FBF"/>
            <w:u w:val="single"/>
            <w:sz w:val="17"/>
          </w:rPr>
          <w:t xml:space="preserve">https://www.nato.int/cps/en/natohq/topics_132722.htm</w:t>
        </w:r>
      </w:hyperlink>
    </w:p>
    <w:p>
      <w:pPr>
        <w:spacing w:after="40" w:before="0"/>
        <w:ind w:left="283"/>
      </w:pPr>
      <w:r>
        <w:rPr>
          <w:rFonts w:ascii="Arial" w:hAnsi="Arial" w:eastAsia="Arial"/>
          <w:b w:val="0"/>
          <w:i w:val="0"/>
          <w:sz w:val="19"/>
        </w:rPr>
        <w:t xml:space="preserve">[6] NATO Science for Peace and Security Programme (overview and Key Priorities). </w:t>
      </w:r>
      <w:hyperlink r:id="rId16">
        <w:r>
          <w:rPr>
            <w:rFonts w:ascii="Arial" w:hAnsi="Arial"/>
            <w:color w:val="1F5FBF"/>
            <w:u w:val="single"/>
            <w:sz w:val="17"/>
          </w:rPr>
          <w:t xml:space="preserve">https://www.nato.int/cps/en/natohq/85291.htm</w:t>
        </w:r>
      </w:hyperlink>
    </w:p>
    <w:p>
      <w:pPr>
        <w:spacing w:after="40" w:before="0"/>
        <w:ind w:left="283"/>
      </w:pPr>
      <w:r>
        <w:rPr>
          <w:rFonts w:ascii="Arial" w:hAnsi="Arial" w:eastAsia="Arial"/>
          <w:b w:val="0"/>
          <w:i w:val="0"/>
          <w:sz w:val="19"/>
        </w:rPr>
        <w:t xml:space="preserve">[7] Richardson, D. S. (2000). Skill and relative economic value of the ECMWF Ensemble Prediction System. Quarterly Journal of the Royal Meteorological Society, 126, 649–667. </w:t>
      </w:r>
      <w:hyperlink r:id="rId17">
        <w:r>
          <w:rPr>
            <w:rFonts w:ascii="Arial" w:hAnsi="Arial"/>
            <w:color w:val="1F5FBF"/>
            <w:u w:val="single"/>
            <w:sz w:val="17"/>
          </w:rPr>
          <w:t xml:space="preserve">https://www.ecmwf.int/en/elibrary/76153-skill-and-relative-economic-value-ecmwf-ensemble-prediction-system</w:t>
        </w:r>
      </w:hyperlink>
    </w:p>
    <w:p>
      <w:pPr>
        <w:spacing w:after="40" w:before="0"/>
        <w:ind w:left="283"/>
      </w:pPr>
      <w:r>
        <w:rPr>
          <w:rFonts w:ascii="Arial" w:hAnsi="Arial" w:eastAsia="Arial"/>
          <w:b w:val="0"/>
          <w:i w:val="0"/>
          <w:sz w:val="19"/>
        </w:rPr>
        <w:t>[8] Murphy, A. H. (1977). The value of climatological, categorical and probabilistic forecasts in the cost-loss ratio situation. Monthly Weather Review, 105(7), 803.</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eeas.europa.eu/delegations/albania/release-post-disaster-needs-assessment-albania-recovery_en" TargetMode="External"/><Relationship Id="rId12" Type="http://schemas.openxmlformats.org/officeDocument/2006/relationships/hyperlink" Target="https://eeas.europa.eu/sites/eeas/files/albania_post-disaster_recovery_a.pdf.pdf" TargetMode="External"/><Relationship Id="rId13" Type="http://schemas.openxmlformats.org/officeDocument/2006/relationships/hyperlink" Target="https://doi.org/10.3390/geosciences11050215" TargetMode="External"/><Relationship Id="rId14" Type="http://schemas.openxmlformats.org/officeDocument/2006/relationships/hyperlink" Target="https://www.instat.gov.al/en/themes/industry-trade-and-services/transport-accidents-and-characteristics-of-road-vehicles/publikimet/2026/maritime-transport-statistics-q2-2026/" TargetMode="External"/><Relationship Id="rId15" Type="http://schemas.openxmlformats.org/officeDocument/2006/relationships/hyperlink" Target="https://www.nato.int/cps/en/natohq/topics_132722.htm" TargetMode="External"/><Relationship Id="rId16" Type="http://schemas.openxmlformats.org/officeDocument/2006/relationships/hyperlink" Target="https://www.nato.int/cps/en/natohq/85291.htm" TargetMode="External"/><Relationship Id="rId17" Type="http://schemas.openxmlformats.org/officeDocument/2006/relationships/hyperlink" Target="https://www.ecmwf.int/en/elibrary/76153-skill-and-relative-economic-value-ecmwf-ensemble-prediction-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