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Innovation</w:t>
      </w:r>
    </w:p>
    <w:p>
      <w:pPr>
        <w:spacing w:after="16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keepNext/>
        <w:spacing w:after="120" w:before="40"/>
      </w:pPr>
      <w:r>
        <w:rPr>
          <w:rFonts w:ascii="Arial" w:hAnsi="Arial" w:eastAsia="Arial"/>
          <w:b/>
          <w:i w:val="0"/>
          <w:color w:val="1F3864"/>
          <w:sz w:val="27"/>
        </w:rPr>
        <w:t>1. The core innovation</w:t>
      </w:r>
    </w:p>
    <w:p>
      <w:pPr>
        <w:spacing w:after="120" w:before="0"/>
        <w:jc w:val="both"/>
      </w:pPr>
      <w:r>
        <w:rPr>
          <w:rFonts w:ascii="Arial" w:hAnsi="Arial" w:eastAsia="Arial"/>
          <w:b w:val="0"/>
          <w:i w:val="0"/>
          <w:sz w:val="21"/>
        </w:rPr>
        <w:t xml:space="preserve">CERTAIN-COAST builds </w:t>
      </w:r>
      <w:r>
        <w:rPr>
          <w:rFonts w:ascii="Arial" w:hAnsi="Arial" w:eastAsia="Arial"/>
          <w:b/>
          <w:i w:val="0"/>
          <w:sz w:val="21"/>
        </w:rPr>
        <w:t>the first early warning for critical coastal infrastructure whose miss rate is certified in advance and verified in operation</w:t>
      </w:r>
      <w:r>
        <w:rPr>
          <w:rFonts w:ascii="Arial" w:hAnsi="Arial" w:eastAsia="Arial"/>
          <w:b w:val="0"/>
          <w:i w:val="0"/>
          <w:sz w:val="21"/>
        </w:rPr>
        <w:t>: one system for seawater intrusion at the wellfields, liquefaction at the port and the energy landfall, and extreme sea levels at all three, driven by one physical model of a subsiding coast. It closes three gaps that the State of the Art identifies in the 2020–2026 literature:</w:t>
      </w:r>
    </w:p>
    <w:p>
      <w:pPr>
        <w:spacing w:after="60" w:before="0"/>
        <w:ind w:left="283"/>
      </w:pPr>
      <w:r>
        <w:rPr>
          <w:rFonts w:ascii="Arial" w:hAnsi="Arial" w:eastAsia="Arial"/>
          <w:b/>
          <w:i w:val="0"/>
          <w:sz w:val="22"/>
        </w:rPr>
        <w:t xml:space="preserve">• </w:t>
      </w:r>
      <w:r>
        <w:rPr>
          <w:rFonts w:ascii="Arial" w:hAnsi="Arial" w:eastAsia="Arial"/>
          <w:b/>
          <w:i w:val="0"/>
          <w:sz w:val="21"/>
        </w:rPr>
        <w:t>No early warning treats the three hazards as one system,</w:t>
      </w:r>
      <w:r>
        <w:rPr>
          <w:rFonts w:ascii="Arial" w:hAnsi="Arial" w:eastAsia="Arial"/>
          <w:b w:val="0"/>
          <w:i w:val="0"/>
          <w:sz w:val="21"/>
        </w:rPr>
        <w:t xml:space="preserve"> although they share relative sea level and pore pressure and are moved by the same pumping lever (closed by P1, P2, P3, M2).</w:t>
      </w:r>
    </w:p>
    <w:p>
      <w:pPr>
        <w:spacing w:after="60" w:before="0"/>
        <w:ind w:left="283"/>
      </w:pPr>
      <w:r>
        <w:rPr>
          <w:rFonts w:ascii="Arial" w:hAnsi="Arial" w:eastAsia="Arial"/>
          <w:b/>
          <w:i w:val="0"/>
          <w:sz w:val="22"/>
        </w:rPr>
        <w:t xml:space="preserve">• </w:t>
      </w:r>
      <w:r>
        <w:rPr>
          <w:rFonts w:ascii="Arial" w:hAnsi="Arial" w:eastAsia="Arial"/>
          <w:b/>
          <w:i w:val="0"/>
          <w:sz w:val="21"/>
        </w:rPr>
        <w:t>No warning for any of them carries a guarantee:</w:t>
      </w:r>
      <w:r>
        <w:rPr>
          <w:rFonts w:ascii="Arial" w:hAnsi="Arial" w:eastAsia="Arial"/>
          <w:b w:val="0"/>
          <w:i w:val="0"/>
          <w:sz w:val="21"/>
        </w:rPr>
        <w:t xml:space="preserve"> certified methods assume exchangeable data or hold on time average, and none covers a slow physics model or states beyond the record (closed by M1, M4, M5).</w:t>
      </w:r>
    </w:p>
    <w:p>
      <w:pPr>
        <w:spacing w:after="60" w:before="0"/>
        <w:ind w:left="283"/>
      </w:pPr>
      <w:r>
        <w:rPr>
          <w:rFonts w:ascii="Arial" w:hAnsi="Arial" w:eastAsia="Arial"/>
          <w:b/>
          <w:i w:val="0"/>
          <w:sz w:val="22"/>
        </w:rPr>
        <w:t xml:space="preserve">• </w:t>
      </w:r>
      <w:r>
        <w:rPr>
          <w:rFonts w:ascii="Arial" w:hAnsi="Arial" w:eastAsia="Arial"/>
          <w:b/>
          <w:i w:val="0"/>
          <w:sz w:val="21"/>
        </w:rPr>
        <w:t>The new sensors are measured but not designed:</w:t>
      </w:r>
      <w:r>
        <w:rPr>
          <w:rFonts w:ascii="Arial" w:hAnsi="Arial" w:eastAsia="Arial"/>
          <w:b w:val="0"/>
          <w:i w:val="0"/>
          <w:sz w:val="21"/>
        </w:rPr>
        <w:t xml:space="preserve"> no study chooses InSAR, seismic noise and fibre jointly with wells and samples to reduce missed warnings (closed by M3, P5).</w:t>
      </w:r>
    </w:p>
    <w:p>
      <w:pPr>
        <w:spacing w:after="80" w:before="40"/>
        <w:jc w:val="both"/>
      </w:pPr>
      <w:r>
        <w:rPr>
          <w:rFonts w:ascii="Arial" w:hAnsi="Arial" w:eastAsia="Arial"/>
          <w:b w:val="0"/>
          <w:i w:val="0"/>
          <w:sz w:val="19"/>
        </w:rPr>
        <w:t>Numbers in brackets refer to the 30 key papers of the State of the Art; [L1] is the local Durrës study and letters to the additional sources listed at the end.</w:t>
      </w:r>
    </w:p>
    <w:p>
      <w:pPr>
        <w:keepNext/>
        <w:spacing w:after="120" w:before="120"/>
      </w:pPr>
      <w:r>
        <w:rPr>
          <w:rFonts w:ascii="Arial" w:hAnsi="Arial" w:eastAsia="Arial"/>
          <w:b/>
          <w:i w:val="0"/>
          <w:color w:val="1F3864"/>
          <w:sz w:val="27"/>
        </w:rPr>
        <w:t>2. Innovations at a glance</w:t>
      </w:r>
    </w:p>
    <w:tbl>
      <w:tblPr>
        <w:tblStyle w:val="TableGrid"/>
        <w:tblW w:type="auto" w:w="0"/>
        <w:jc w:val="center"/>
        <w:tblLayout w:type="fixed"/>
        <w:tblLook w:firstColumn="1" w:firstRow="1" w:lastColumn="0" w:lastRow="0" w:noHBand="0" w:noVBand="1" w:val="04A0"/>
        <w:tblLayout w:type="fixed"/>
      </w:tblPr>
      <w:tblGrid>
        <w:gridCol w:w="680"/>
        <w:gridCol w:w="2268"/>
        <w:gridCol w:w="3515"/>
        <w:gridCol w:w="1474"/>
        <w:gridCol w:w="1701"/>
      </w:tblGrid>
      <w:tr>
        <w:trPr>
          <w:cantSplit/>
          <w:tblHeader/>
        </w:trPr>
        <w:tc>
          <w:tcPr>
            <w:tcW w:type="dxa" w:w="680"/>
            <w:shd w:val="clear" w:color="auto" w:fill="1F3864"/>
          </w:tcPr>
          <w:p>
            <w:r/>
            <w:r>
              <w:rPr>
                <w:rFonts w:ascii="Arial" w:hAnsi="Arial" w:eastAsia="Arial"/>
                <w:b/>
                <w:i w:val="0"/>
                <w:color w:val="FFFFFF"/>
                <w:sz w:val="17"/>
              </w:rPr>
              <w:t>Code</w:t>
            </w:r>
          </w:p>
        </w:tc>
        <w:tc>
          <w:tcPr>
            <w:tcW w:type="dxa" w:w="2268"/>
            <w:shd w:val="clear" w:color="auto" w:fill="1F3864"/>
          </w:tcPr>
          <w:p>
            <w:r/>
            <w:r>
              <w:rPr>
                <w:rFonts w:ascii="Arial" w:hAnsi="Arial" w:eastAsia="Arial"/>
                <w:b/>
                <w:i w:val="0"/>
                <w:color w:val="FFFFFF"/>
                <w:sz w:val="17"/>
              </w:rPr>
              <w:t>Innovation</w:t>
            </w:r>
          </w:p>
        </w:tc>
        <w:tc>
          <w:tcPr>
            <w:tcW w:type="dxa" w:w="3515"/>
            <w:shd w:val="clear" w:color="auto" w:fill="1F3864"/>
          </w:tcPr>
          <w:p>
            <w:r/>
            <w:r>
              <w:rPr>
                <w:rFonts w:ascii="Arial" w:hAnsi="Arial" w:eastAsia="Arial"/>
                <w:b/>
                <w:i w:val="0"/>
                <w:color w:val="FFFFFF"/>
                <w:sz w:val="17"/>
              </w:rPr>
              <w:t>Beyond today</w:t>
            </w:r>
          </w:p>
        </w:tc>
        <w:tc>
          <w:tcPr>
            <w:tcW w:type="dxa" w:w="1474"/>
            <w:shd w:val="clear" w:color="auto" w:fill="1F3864"/>
          </w:tcPr>
          <w:p>
            <w:r/>
            <w:r>
              <w:rPr>
                <w:rFonts w:ascii="Arial" w:hAnsi="Arial" w:eastAsia="Arial"/>
                <w:b/>
                <w:i w:val="0"/>
                <w:color w:val="FFFFFF"/>
                <w:sz w:val="17"/>
              </w:rPr>
              <w:t>Novelty check</w:t>
            </w:r>
          </w:p>
        </w:tc>
        <w:tc>
          <w:tcPr>
            <w:tcW w:type="dxa" w:w="1701"/>
            <w:shd w:val="clear" w:color="auto" w:fill="1F3864"/>
          </w:tcPr>
          <w:p>
            <w:r/>
            <w:r>
              <w:rPr>
                <w:rFonts w:ascii="Arial" w:hAnsi="Arial" w:eastAsia="Arial"/>
                <w:b/>
                <w:i w:val="0"/>
                <w:color w:val="FFFFFF"/>
                <w:sz w:val="17"/>
              </w:rPr>
              <w:t>Tested in</w:t>
            </w:r>
          </w:p>
        </w:tc>
      </w:tr>
      <w:tr>
        <w:trPr>
          <w:cantSplit/>
        </w:trPr>
        <w:tc>
          <w:tcPr>
            <w:tcW w:type="dxa" w:w="680"/>
            <w:shd w:val="clear" w:color="auto" w:fill="#E8EDF5"/>
          </w:tcPr>
          <w:p>
            <w:r/>
            <w:r>
              <w:rPr>
                <w:rFonts w:ascii="Arial" w:hAnsi="Arial" w:eastAsia="Arial"/>
                <w:b w:val="0"/>
                <w:i w:val="0"/>
                <w:sz w:val="17"/>
              </w:rPr>
              <w:t>M1</w:t>
            </w:r>
          </w:p>
        </w:tc>
        <w:tc>
          <w:tcPr>
            <w:tcW w:type="dxa" w:w="2268"/>
          </w:tcPr>
          <w:p>
            <w:r/>
            <w:r>
              <w:rPr>
                <w:rFonts w:ascii="Arial" w:hAnsi="Arial" w:eastAsia="Arial"/>
                <w:b w:val="0"/>
                <w:i w:val="0"/>
                <w:sz w:val="17"/>
              </w:rPr>
              <w:t>Certified multi-hazard alarm</w:t>
            </w:r>
          </w:p>
        </w:tc>
        <w:tc>
          <w:tcPr>
            <w:tcW w:type="dxa" w:w="3515"/>
          </w:tcPr>
          <w:p>
            <w:r/>
            <w:r>
              <w:rPr>
                <w:rFonts w:ascii="Arial" w:hAnsi="Arial" w:eastAsia="Arial"/>
                <w:b w:val="0"/>
                <w:i w:val="0"/>
                <w:sz w:val="17"/>
              </w:rPr>
              <w:t>Guarantees exist for exchangeable data [19–23]; here they hold for a slow physics model, under nonstationarity and beyond the record</w:t>
            </w:r>
          </w:p>
        </w:tc>
        <w:tc>
          <w:tcPr>
            <w:tcW w:type="dxa" w:w="1474"/>
          </w:tcPr>
          <w:p>
            <w:r/>
            <w:r>
              <w:rPr>
                <w:rFonts w:ascii="Arial" w:hAnsi="Arial" w:eastAsia="Arial"/>
                <w:b w:val="0"/>
                <w:i w:val="0"/>
                <w:sz w:val="17"/>
              </w:rPr>
              <w:t>Goes beyond cited work</w:t>
            </w:r>
          </w:p>
        </w:tc>
        <w:tc>
          <w:tcPr>
            <w:tcW w:type="dxa" w:w="1701"/>
          </w:tcPr>
          <w:p>
            <w:r/>
            <w:r>
              <w:rPr>
                <w:rFonts w:ascii="Arial" w:hAnsi="Arial" w:eastAsia="Arial"/>
                <w:b w:val="0"/>
                <w:i w:val="0"/>
                <w:sz w:val="17"/>
              </w:rPr>
              <w:t>D3.1–D3.2 (M24–27); D5.1</w:t>
            </w:r>
          </w:p>
        </w:tc>
      </w:tr>
      <w:tr>
        <w:trPr>
          <w:cantSplit/>
        </w:trPr>
        <w:tc>
          <w:tcPr>
            <w:tcW w:type="dxa" w:w="680"/>
            <w:shd w:val="clear" w:color="auto" w:fill="#E8EDF5"/>
          </w:tcPr>
          <w:p>
            <w:r/>
            <w:r>
              <w:rPr>
                <w:rFonts w:ascii="Arial" w:hAnsi="Arial" w:eastAsia="Arial"/>
                <w:b w:val="0"/>
                <w:i w:val="0"/>
                <w:sz w:val="17"/>
              </w:rPr>
              <w:t>M2</w:t>
            </w:r>
          </w:p>
        </w:tc>
        <w:tc>
          <w:tcPr>
            <w:tcW w:type="dxa" w:w="2268"/>
          </w:tcPr>
          <w:p>
            <w:r/>
            <w:r>
              <w:rPr>
                <w:rFonts w:ascii="Arial" w:hAnsi="Arial" w:eastAsia="Arial"/>
                <w:b w:val="0"/>
                <w:i w:val="0"/>
                <w:sz w:val="17"/>
              </w:rPr>
              <w:t>A joint guarantee across hazards</w:t>
            </w:r>
          </w:p>
        </w:tc>
        <w:tc>
          <w:tcPr>
            <w:tcW w:type="dxa" w:w="3515"/>
          </w:tcPr>
          <w:p>
            <w:r/>
            <w:r>
              <w:rPr>
                <w:rFonts w:ascii="Arial" w:hAnsi="Arial" w:eastAsia="Arial"/>
                <w:b w:val="0"/>
                <w:i w:val="0"/>
                <w:sz w:val="17"/>
              </w:rPr>
              <w:t>Single-alarm guarantees only</w:t>
            </w:r>
          </w:p>
        </w:tc>
        <w:tc>
          <w:tcPr>
            <w:tcW w:type="dxa" w:w="1474"/>
            <w:shd w:val="clear" w:color="auto" w:fill="FDE7C2"/>
          </w:tcPr>
          <w:p>
            <w:r/>
            <w:r>
              <w:rPr>
                <w:rFonts w:ascii="Arial" w:hAnsi="Arial" w:eastAsia="Arial"/>
                <w:b w:val="0"/>
                <w:i w:val="0"/>
                <w:sz w:val="17"/>
              </w:rPr>
              <w:t>No direct precedent found</w:t>
            </w:r>
          </w:p>
        </w:tc>
        <w:tc>
          <w:tcPr>
            <w:tcW w:type="dxa" w:w="1701"/>
          </w:tcPr>
          <w:p>
            <w:r/>
            <w:r>
              <w:rPr>
                <w:rFonts w:ascii="Arial" w:hAnsi="Arial" w:eastAsia="Arial"/>
                <w:b w:val="0"/>
                <w:i w:val="0"/>
                <w:sz w:val="17"/>
              </w:rPr>
              <w:t>D3.1 (M24); D3.2 (M27)</w:t>
            </w:r>
          </w:p>
        </w:tc>
      </w:tr>
      <w:tr>
        <w:trPr>
          <w:cantSplit/>
        </w:trPr>
        <w:tc>
          <w:tcPr>
            <w:tcW w:type="dxa" w:w="680"/>
            <w:shd w:val="clear" w:color="auto" w:fill="#E8EDF5"/>
          </w:tcPr>
          <w:p>
            <w:r/>
            <w:r>
              <w:rPr>
                <w:rFonts w:ascii="Arial" w:hAnsi="Arial" w:eastAsia="Arial"/>
                <w:b w:val="0"/>
                <w:i w:val="0"/>
                <w:sz w:val="17"/>
              </w:rPr>
              <w:t>M3</w:t>
            </w:r>
          </w:p>
        </w:tc>
        <w:tc>
          <w:tcPr>
            <w:tcW w:type="dxa" w:w="2268"/>
          </w:tcPr>
          <w:p>
            <w:r/>
            <w:r>
              <w:rPr>
                <w:rFonts w:ascii="Arial" w:hAnsi="Arial" w:eastAsia="Arial"/>
                <w:b w:val="0"/>
                <w:i w:val="0"/>
                <w:sz w:val="17"/>
              </w:rPr>
              <w:t>Multi-hazard goal-oriented sensor design</w:t>
            </w:r>
          </w:p>
        </w:tc>
        <w:tc>
          <w:tcPr>
            <w:tcW w:type="dxa" w:w="3515"/>
          </w:tcPr>
          <w:p>
            <w:r/>
            <w:r>
              <w:rPr>
                <w:rFonts w:ascii="Arial" w:hAnsi="Arial" w:eastAsia="Arial"/>
                <w:b w:val="0"/>
                <w:i w:val="0"/>
                <w:sz w:val="17"/>
              </w:rPr>
              <w:t>Design for one quantity and one sensor type [30]; here three warnings and seven sensor types</w:t>
            </w:r>
          </w:p>
        </w:tc>
        <w:tc>
          <w:tcPr>
            <w:tcW w:type="dxa" w:w="1474"/>
          </w:tcPr>
          <w:p>
            <w:r/>
            <w:r>
              <w:rPr>
                <w:rFonts w:ascii="Arial" w:hAnsi="Arial" w:eastAsia="Arial"/>
                <w:b w:val="0"/>
                <w:i w:val="0"/>
                <w:sz w:val="17"/>
              </w:rPr>
              <w:t>Goes beyond cited work</w:t>
            </w:r>
          </w:p>
        </w:tc>
        <w:tc>
          <w:tcPr>
            <w:tcW w:type="dxa" w:w="1701"/>
          </w:tcPr>
          <w:p>
            <w:r/>
            <w:r>
              <w:rPr>
                <w:rFonts w:ascii="Arial" w:hAnsi="Arial" w:eastAsia="Arial"/>
                <w:b w:val="0"/>
                <w:i w:val="0"/>
                <w:sz w:val="17"/>
              </w:rPr>
              <w:t>D4.1 (M6)</w:t>
            </w:r>
          </w:p>
        </w:tc>
      </w:tr>
      <w:tr>
        <w:trPr>
          <w:cantSplit/>
        </w:trPr>
        <w:tc>
          <w:tcPr>
            <w:tcW w:type="dxa" w:w="680"/>
            <w:shd w:val="clear" w:color="auto" w:fill="#E8EDF5"/>
          </w:tcPr>
          <w:p>
            <w:r/>
            <w:r>
              <w:rPr>
                <w:rFonts w:ascii="Arial" w:hAnsi="Arial" w:eastAsia="Arial"/>
                <w:b w:val="0"/>
                <w:i w:val="0"/>
                <w:sz w:val="17"/>
              </w:rPr>
              <w:t>M4</w:t>
            </w:r>
          </w:p>
        </w:tc>
        <w:tc>
          <w:tcPr>
            <w:tcW w:type="dxa" w:w="2268"/>
          </w:tcPr>
          <w:p>
            <w:r/>
            <w:r>
              <w:rPr>
                <w:rFonts w:ascii="Arial" w:hAnsi="Arial" w:eastAsia="Arial"/>
                <w:b w:val="0"/>
                <w:i w:val="0"/>
                <w:sz w:val="17"/>
              </w:rPr>
              <w:t>An error-certified surrogate of the coupled model</w:t>
            </w:r>
          </w:p>
        </w:tc>
        <w:tc>
          <w:tcPr>
            <w:tcW w:type="dxa" w:w="3515"/>
          </w:tcPr>
          <w:p>
            <w:r/>
            <w:r>
              <w:rPr>
                <w:rFonts w:ascii="Arial" w:hAnsi="Arial" w:eastAsia="Arial"/>
                <w:b w:val="0"/>
                <w:i w:val="0"/>
                <w:sz w:val="17"/>
              </w:rPr>
              <w:t>Approximation guarantees [25, 26]; here a certificate on each forecast of a coupled model</w:t>
            </w:r>
          </w:p>
        </w:tc>
        <w:tc>
          <w:tcPr>
            <w:tcW w:type="dxa" w:w="1474"/>
          </w:tcPr>
          <w:p>
            <w:r/>
            <w:r>
              <w:rPr>
                <w:rFonts w:ascii="Arial" w:hAnsi="Arial" w:eastAsia="Arial"/>
                <w:b w:val="0"/>
                <w:i w:val="0"/>
                <w:sz w:val="17"/>
              </w:rPr>
              <w:t>Goes beyond cited work</w:t>
            </w:r>
          </w:p>
        </w:tc>
        <w:tc>
          <w:tcPr>
            <w:tcW w:type="dxa" w:w="1701"/>
          </w:tcPr>
          <w:p>
            <w:r/>
            <w:r>
              <w:rPr>
                <w:rFonts w:ascii="Arial" w:hAnsi="Arial" w:eastAsia="Arial"/>
                <w:b w:val="0"/>
                <w:i w:val="0"/>
                <w:sz w:val="17"/>
              </w:rPr>
              <w:t>D2.2 (M22)</w:t>
            </w:r>
          </w:p>
        </w:tc>
      </w:tr>
      <w:tr>
        <w:trPr>
          <w:cantSplit/>
        </w:trPr>
        <w:tc>
          <w:tcPr>
            <w:tcW w:type="dxa" w:w="680"/>
            <w:shd w:val="clear" w:color="auto" w:fill="#E8EDF5"/>
          </w:tcPr>
          <w:p>
            <w:r/>
            <w:r>
              <w:rPr>
                <w:rFonts w:ascii="Arial" w:hAnsi="Arial" w:eastAsia="Arial"/>
                <w:b w:val="0"/>
                <w:i w:val="0"/>
                <w:sz w:val="17"/>
              </w:rPr>
              <w:t>M5</w:t>
            </w:r>
          </w:p>
        </w:tc>
        <w:tc>
          <w:tcPr>
            <w:tcW w:type="dxa" w:w="2268"/>
          </w:tcPr>
          <w:p>
            <w:r/>
            <w:r>
              <w:rPr>
                <w:rFonts w:ascii="Arial" w:hAnsi="Arial" w:eastAsia="Arial"/>
                <w:b w:val="0"/>
                <w:i w:val="0"/>
                <w:sz w:val="17"/>
              </w:rPr>
              <w:t>Nonstationary extremes with measured land motion</w:t>
            </w:r>
          </w:p>
        </w:tc>
        <w:tc>
          <w:tcPr>
            <w:tcW w:type="dxa" w:w="3515"/>
          </w:tcPr>
          <w:p>
            <w:r/>
            <w:r>
              <w:rPr>
                <w:rFonts w:ascii="Arial" w:hAnsi="Arial" w:eastAsia="Arial"/>
                <w:b w:val="0"/>
                <w:i w:val="0"/>
                <w:sz w:val="17"/>
              </w:rPr>
              <w:t>Linear land-motion trend [4–6]; here measured, time-varying land motion</w:t>
            </w:r>
          </w:p>
        </w:tc>
        <w:tc>
          <w:tcPr>
            <w:tcW w:type="dxa" w:w="1474"/>
          </w:tcPr>
          <w:p>
            <w:r/>
            <w:r>
              <w:rPr>
                <w:rFonts w:ascii="Arial" w:hAnsi="Arial" w:eastAsia="Arial"/>
                <w:b w:val="0"/>
                <w:i w:val="0"/>
                <w:sz w:val="17"/>
              </w:rPr>
              <w:t>Goes beyond cited work</w:t>
            </w:r>
          </w:p>
        </w:tc>
        <w:tc>
          <w:tcPr>
            <w:tcW w:type="dxa" w:w="1701"/>
          </w:tcPr>
          <w:p>
            <w:r/>
            <w:r>
              <w:rPr>
                <w:rFonts w:ascii="Arial" w:hAnsi="Arial" w:eastAsia="Arial"/>
                <w:b w:val="0"/>
                <w:i w:val="0"/>
                <w:sz w:val="17"/>
              </w:rPr>
              <w:t>D1.1 (M12); D3.2 (M27)</w:t>
            </w:r>
          </w:p>
        </w:tc>
      </w:tr>
      <w:tr>
        <w:trPr>
          <w:cantSplit/>
        </w:trPr>
        <w:tc>
          <w:tcPr>
            <w:tcW w:type="dxa" w:w="680"/>
            <w:shd w:val="clear" w:color="auto" w:fill="#E6F4EC"/>
          </w:tcPr>
          <w:p>
            <w:r/>
            <w:r>
              <w:rPr>
                <w:rFonts w:ascii="Arial" w:hAnsi="Arial" w:eastAsia="Arial"/>
                <w:b w:val="0"/>
                <w:i w:val="0"/>
                <w:sz w:val="17"/>
              </w:rPr>
              <w:t>P1</w:t>
            </w:r>
          </w:p>
        </w:tc>
        <w:tc>
          <w:tcPr>
            <w:tcW w:type="dxa" w:w="2268"/>
          </w:tcPr>
          <w:p>
            <w:r/>
            <w:r>
              <w:rPr>
                <w:rFonts w:ascii="Arial" w:hAnsi="Arial" w:eastAsia="Arial"/>
                <w:b w:val="0"/>
                <w:i w:val="0"/>
                <w:sz w:val="17"/>
              </w:rPr>
              <w:t>One relative-sea-level boundary for all three hazards</w:t>
            </w:r>
          </w:p>
        </w:tc>
        <w:tc>
          <w:tcPr>
            <w:tcW w:type="dxa" w:w="3515"/>
          </w:tcPr>
          <w:p>
            <w:r/>
            <w:r>
              <w:rPr>
                <w:rFonts w:ascii="Arial" w:hAnsi="Arial" w:eastAsia="Arial"/>
                <w:b w:val="0"/>
                <w:i w:val="0"/>
                <w:sz w:val="17"/>
              </w:rPr>
              <w:t>Subsidence measured but not used as a shared boundary [1–3]</w:t>
            </w:r>
          </w:p>
        </w:tc>
        <w:tc>
          <w:tcPr>
            <w:tcW w:type="dxa" w:w="1474"/>
          </w:tcPr>
          <w:p>
            <w:r/>
            <w:r>
              <w:rPr>
                <w:rFonts w:ascii="Arial" w:hAnsi="Arial" w:eastAsia="Arial"/>
                <w:b w:val="0"/>
                <w:i w:val="0"/>
                <w:sz w:val="17"/>
              </w:rPr>
              <w:t>Goes beyond cited work</w:t>
            </w:r>
          </w:p>
        </w:tc>
        <w:tc>
          <w:tcPr>
            <w:tcW w:type="dxa" w:w="1701"/>
          </w:tcPr>
          <w:p>
            <w:r/>
            <w:r>
              <w:rPr>
                <w:rFonts w:ascii="Arial" w:hAnsi="Arial" w:eastAsia="Arial"/>
                <w:b w:val="0"/>
                <w:i w:val="0"/>
                <w:sz w:val="17"/>
              </w:rPr>
              <w:t>D1.1 (M12)</w:t>
            </w:r>
          </w:p>
        </w:tc>
      </w:tr>
      <w:tr>
        <w:trPr>
          <w:cantSplit/>
        </w:trPr>
        <w:tc>
          <w:tcPr>
            <w:tcW w:type="dxa" w:w="680"/>
            <w:shd w:val="clear" w:color="auto" w:fill="#E6F4EC"/>
          </w:tcPr>
          <w:p>
            <w:r/>
            <w:r>
              <w:rPr>
                <w:rFonts w:ascii="Arial" w:hAnsi="Arial" w:eastAsia="Arial"/>
                <w:b w:val="0"/>
                <w:i w:val="0"/>
                <w:sz w:val="17"/>
              </w:rPr>
              <w:t>P2</w:t>
            </w:r>
          </w:p>
        </w:tc>
        <w:tc>
          <w:tcPr>
            <w:tcW w:type="dxa" w:w="2268"/>
          </w:tcPr>
          <w:p>
            <w:r/>
            <w:r>
              <w:rPr>
                <w:rFonts w:ascii="Arial" w:hAnsi="Arial" w:eastAsia="Arial"/>
                <w:b w:val="0"/>
                <w:i w:val="0"/>
                <w:sz w:val="17"/>
              </w:rPr>
              <w:t>A time-varying liquefaction factor of safety</w:t>
            </w:r>
          </w:p>
        </w:tc>
        <w:tc>
          <w:tcPr>
            <w:tcW w:type="dxa" w:w="3515"/>
          </w:tcPr>
          <w:p>
            <w:r/>
            <w:r>
              <w:rPr>
                <w:rFonts w:ascii="Arial" w:hAnsi="Arial" w:eastAsia="Arial"/>
                <w:b w:val="0"/>
                <w:i w:val="0"/>
                <w:sz w:val="17"/>
              </w:rPr>
              <w:t>Static susceptibility, fixed water table [10, 12]</w:t>
            </w:r>
          </w:p>
        </w:tc>
        <w:tc>
          <w:tcPr>
            <w:tcW w:type="dxa" w:w="1474"/>
          </w:tcPr>
          <w:p>
            <w:r/>
            <w:r>
              <w:rPr>
                <w:rFonts w:ascii="Arial" w:hAnsi="Arial" w:eastAsia="Arial"/>
                <w:b w:val="0"/>
                <w:i w:val="0"/>
                <w:sz w:val="17"/>
              </w:rPr>
              <w:t>Goes beyond cited work</w:t>
            </w:r>
          </w:p>
        </w:tc>
        <w:tc>
          <w:tcPr>
            <w:tcW w:type="dxa" w:w="1701"/>
          </w:tcPr>
          <w:p>
            <w:r/>
            <w:r>
              <w:rPr>
                <w:rFonts w:ascii="Arial" w:hAnsi="Arial" w:eastAsia="Arial"/>
                <w:b w:val="0"/>
                <w:i w:val="0"/>
                <w:sz w:val="17"/>
              </w:rPr>
              <w:t>D2.1 (M18)</w:t>
            </w:r>
          </w:p>
        </w:tc>
      </w:tr>
      <w:tr>
        <w:trPr>
          <w:cantSplit/>
        </w:trPr>
        <w:tc>
          <w:tcPr>
            <w:tcW w:type="dxa" w:w="680"/>
            <w:shd w:val="clear" w:color="auto" w:fill="#E6F4EC"/>
          </w:tcPr>
          <w:p>
            <w:r/>
            <w:r>
              <w:rPr>
                <w:rFonts w:ascii="Arial" w:hAnsi="Arial" w:eastAsia="Arial"/>
                <w:b w:val="0"/>
                <w:i w:val="0"/>
                <w:sz w:val="17"/>
              </w:rPr>
              <w:t>P3</w:t>
            </w:r>
          </w:p>
        </w:tc>
        <w:tc>
          <w:tcPr>
            <w:tcW w:type="dxa" w:w="2268"/>
          </w:tcPr>
          <w:p>
            <w:r/>
            <w:r>
              <w:rPr>
                <w:rFonts w:ascii="Arial" w:hAnsi="Arial" w:eastAsia="Arial"/>
                <w:b w:val="0"/>
                <w:i w:val="0"/>
                <w:sz w:val="17"/>
              </w:rPr>
              <w:t>The pumping lever made explicit</w:t>
            </w:r>
          </w:p>
        </w:tc>
        <w:tc>
          <w:tcPr>
            <w:tcW w:type="dxa" w:w="3515"/>
          </w:tcPr>
          <w:p>
            <w:r/>
            <w:r>
              <w:rPr>
                <w:rFonts w:ascii="Arial" w:hAnsi="Arial" w:eastAsia="Arial"/>
                <w:b w:val="0"/>
                <w:i w:val="0"/>
                <w:sz w:val="17"/>
              </w:rPr>
              <w:t>One effect at a time [1]</w:t>
            </w:r>
          </w:p>
        </w:tc>
        <w:tc>
          <w:tcPr>
            <w:tcW w:type="dxa" w:w="1474"/>
            <w:shd w:val="clear" w:color="auto" w:fill="FDE7C2"/>
          </w:tcPr>
          <w:p>
            <w:r/>
            <w:r>
              <w:rPr>
                <w:rFonts w:ascii="Arial" w:hAnsi="Arial" w:eastAsia="Arial"/>
                <w:b w:val="0"/>
                <w:i w:val="0"/>
                <w:sz w:val="17"/>
              </w:rPr>
              <w:t>No direct precedent found</w:t>
            </w:r>
          </w:p>
        </w:tc>
        <w:tc>
          <w:tcPr>
            <w:tcW w:type="dxa" w:w="1701"/>
          </w:tcPr>
          <w:p>
            <w:r/>
            <w:r>
              <w:rPr>
                <w:rFonts w:ascii="Arial" w:hAnsi="Arial" w:eastAsia="Arial"/>
                <w:b w:val="0"/>
                <w:i w:val="0"/>
                <w:sz w:val="17"/>
              </w:rPr>
              <w:t>T5.3 (M33)</w:t>
            </w:r>
          </w:p>
        </w:tc>
      </w:tr>
      <w:tr>
        <w:trPr>
          <w:cantSplit/>
        </w:trPr>
        <w:tc>
          <w:tcPr>
            <w:tcW w:type="dxa" w:w="680"/>
            <w:shd w:val="clear" w:color="auto" w:fill="#E6F4EC"/>
          </w:tcPr>
          <w:p>
            <w:r/>
            <w:r>
              <w:rPr>
                <w:rFonts w:ascii="Arial" w:hAnsi="Arial" w:eastAsia="Arial"/>
                <w:b w:val="0"/>
                <w:i w:val="0"/>
                <w:sz w:val="17"/>
              </w:rPr>
              <w:t>P4</w:t>
            </w:r>
          </w:p>
        </w:tc>
        <w:tc>
          <w:tcPr>
            <w:tcW w:type="dxa" w:w="2268"/>
          </w:tcPr>
          <w:p>
            <w:r/>
            <w:r>
              <w:rPr>
                <w:rFonts w:ascii="Arial" w:hAnsi="Arial" w:eastAsia="Arial"/>
                <w:b w:val="0"/>
                <w:i w:val="0"/>
                <w:sz w:val="17"/>
              </w:rPr>
              <w:t>The compaction tipping point as a warning in itself</w:t>
            </w:r>
          </w:p>
        </w:tc>
        <w:tc>
          <w:tcPr>
            <w:tcW w:type="dxa" w:w="3515"/>
          </w:tcPr>
          <w:p>
            <w:r/>
            <w:r>
              <w:rPr>
                <w:rFonts w:ascii="Arial" w:hAnsi="Arial" w:eastAsia="Arial"/>
                <w:b w:val="0"/>
                <w:i w:val="0"/>
                <w:sz w:val="17"/>
              </w:rPr>
              <w:t>Detected after the fact [2, 3]; here a formal alarm and a pumping limit</w:t>
            </w:r>
          </w:p>
        </w:tc>
        <w:tc>
          <w:tcPr>
            <w:tcW w:type="dxa" w:w="1474"/>
          </w:tcPr>
          <w:p>
            <w:r/>
            <w:r>
              <w:rPr>
                <w:rFonts w:ascii="Arial" w:hAnsi="Arial" w:eastAsia="Arial"/>
                <w:b w:val="0"/>
                <w:i w:val="0"/>
                <w:sz w:val="17"/>
              </w:rPr>
              <w:t>Goes beyond cited work</w:t>
            </w:r>
          </w:p>
        </w:tc>
        <w:tc>
          <w:tcPr>
            <w:tcW w:type="dxa" w:w="1701"/>
          </w:tcPr>
          <w:p>
            <w:r/>
            <w:r>
              <w:rPr>
                <w:rFonts w:ascii="Arial" w:hAnsi="Arial" w:eastAsia="Arial"/>
                <w:b w:val="0"/>
                <w:i w:val="0"/>
                <w:sz w:val="17"/>
              </w:rPr>
              <w:t>D1.1 (M12)</w:t>
            </w:r>
          </w:p>
        </w:tc>
      </w:tr>
      <w:tr>
        <w:trPr>
          <w:cantSplit/>
        </w:trPr>
        <w:tc>
          <w:tcPr>
            <w:tcW w:type="dxa" w:w="680"/>
            <w:shd w:val="clear" w:color="auto" w:fill="#E6F4EC"/>
          </w:tcPr>
          <w:p>
            <w:r/>
            <w:r>
              <w:rPr>
                <w:rFonts w:ascii="Arial" w:hAnsi="Arial" w:eastAsia="Arial"/>
                <w:b w:val="0"/>
                <w:i w:val="0"/>
                <w:sz w:val="17"/>
              </w:rPr>
              <w:t>P5</w:t>
            </w:r>
          </w:p>
        </w:tc>
        <w:tc>
          <w:tcPr>
            <w:tcW w:type="dxa" w:w="2268"/>
          </w:tcPr>
          <w:p>
            <w:r/>
            <w:r>
              <w:rPr>
                <w:rFonts w:ascii="Arial" w:hAnsi="Arial" w:eastAsia="Arial"/>
                <w:b w:val="0"/>
                <w:i w:val="0"/>
                <w:sz w:val="17"/>
              </w:rPr>
              <w:t>Seismic velocity as a pore-pressure sensor in saturated coastal sediments</w:t>
            </w:r>
          </w:p>
        </w:tc>
        <w:tc>
          <w:tcPr>
            <w:tcW w:type="dxa" w:w="3515"/>
          </w:tcPr>
          <w:p>
            <w:r/>
            <w:r>
              <w:rPr>
                <w:rFonts w:ascii="Arial" w:hAnsi="Arial" w:eastAsia="Arial"/>
                <w:b w:val="0"/>
                <w:i w:val="0"/>
                <w:sz w:val="17"/>
              </w:rPr>
              <w:t>Dry or inland basins [16–18]; here saturated coastal sediments</w:t>
            </w:r>
          </w:p>
        </w:tc>
        <w:tc>
          <w:tcPr>
            <w:tcW w:type="dxa" w:w="1474"/>
          </w:tcPr>
          <w:p>
            <w:r/>
            <w:r>
              <w:rPr>
                <w:rFonts w:ascii="Arial" w:hAnsi="Arial" w:eastAsia="Arial"/>
                <w:b w:val="0"/>
                <w:i w:val="0"/>
                <w:sz w:val="17"/>
              </w:rPr>
              <w:t>Goes beyond cited work</w:t>
            </w:r>
          </w:p>
        </w:tc>
        <w:tc>
          <w:tcPr>
            <w:tcW w:type="dxa" w:w="1701"/>
          </w:tcPr>
          <w:p>
            <w:r/>
            <w:r>
              <w:rPr>
                <w:rFonts w:ascii="Arial" w:hAnsi="Arial" w:eastAsia="Arial"/>
                <w:b w:val="0"/>
                <w:i w:val="0"/>
                <w:sz w:val="17"/>
              </w:rPr>
              <w:t>T4.4 (M24)</w:t>
            </w:r>
          </w:p>
        </w:tc>
      </w:tr>
      <w:tr>
        <w:trPr>
          <w:cantSplit/>
        </w:trPr>
        <w:tc>
          <w:tcPr>
            <w:tcW w:type="dxa" w:w="680"/>
            <w:shd w:val="clear" w:color="auto" w:fill="#FCEBD9"/>
          </w:tcPr>
          <w:p>
            <w:r/>
            <w:r>
              <w:rPr>
                <w:rFonts w:ascii="Arial" w:hAnsi="Arial" w:eastAsia="Arial"/>
                <w:b w:val="0"/>
                <w:i w:val="0"/>
                <w:sz w:val="17"/>
              </w:rPr>
              <w:t>V1</w:t>
            </w:r>
          </w:p>
        </w:tc>
        <w:tc>
          <w:tcPr>
            <w:tcW w:type="dxa" w:w="2268"/>
          </w:tcPr>
          <w:p>
            <w:r/>
            <w:r>
              <w:rPr>
                <w:rFonts w:ascii="Arial" w:hAnsi="Arial" w:eastAsia="Arial"/>
                <w:b w:val="0"/>
                <w:i w:val="0"/>
                <w:sz w:val="17"/>
              </w:rPr>
              <w:t>A certified value of the warning for each user</w:t>
            </w:r>
          </w:p>
        </w:tc>
        <w:tc>
          <w:tcPr>
            <w:tcW w:type="dxa" w:w="3515"/>
          </w:tcPr>
          <w:p>
            <w:r/>
            <w:r>
              <w:rPr>
                <w:rFonts w:ascii="Arial" w:hAnsi="Arial" w:eastAsia="Arial"/>
                <w:b w:val="0"/>
                <w:i w:val="0"/>
                <w:sz w:val="17"/>
              </w:rPr>
              <w:t>Value computed after the fact [a, b]; here guaranteed in advance</w:t>
            </w:r>
          </w:p>
        </w:tc>
        <w:tc>
          <w:tcPr>
            <w:tcW w:type="dxa" w:w="1474"/>
          </w:tcPr>
          <w:p>
            <w:r/>
            <w:r>
              <w:rPr>
                <w:rFonts w:ascii="Arial" w:hAnsi="Arial" w:eastAsia="Arial"/>
                <w:b w:val="0"/>
                <w:i w:val="0"/>
                <w:sz w:val="17"/>
              </w:rPr>
              <w:t>Goes beyond cited work</w:t>
            </w:r>
          </w:p>
        </w:tc>
        <w:tc>
          <w:tcPr>
            <w:tcW w:type="dxa" w:w="1701"/>
          </w:tcPr>
          <w:p>
            <w:r/>
            <w:r>
              <w:rPr>
                <w:rFonts w:ascii="Arial" w:hAnsi="Arial" w:eastAsia="Arial"/>
                <w:b w:val="0"/>
                <w:i w:val="0"/>
                <w:sz w:val="17"/>
              </w:rPr>
              <w:t>D5.1 (M34)</w:t>
            </w:r>
          </w:p>
        </w:tc>
      </w:tr>
    </w:tbl>
    <w:p>
      <w:pPr>
        <w:keepNext/>
        <w:spacing w:after="40" w:before="160"/>
        <w:jc w:val="center"/>
      </w:pPr>
      <w:r>
        <w:drawing>
          <wp:inline xmlns:a="http://schemas.openxmlformats.org/drawingml/2006/main" xmlns:pic="http://schemas.openxmlformats.org/drawingml/2006/picture">
            <wp:extent cx="5940000" cy="3040925"/>
            <wp:docPr id="1" name="Picture 1"/>
            <wp:cNvGraphicFramePr>
              <a:graphicFrameLocks noChangeAspect="1"/>
            </wp:cNvGraphicFramePr>
            <a:graphic>
              <a:graphicData uri="http://schemas.openxmlformats.org/drawingml/2006/picture">
                <pic:pic>
                  <pic:nvPicPr>
                    <pic:cNvPr id="0" name="fig_chain.png"/>
                    <pic:cNvPicPr/>
                  </pic:nvPicPr>
                  <pic:blipFill>
                    <a:blip r:embed="rId9"/>
                    <a:stretch>
                      <a:fillRect/>
                    </a:stretch>
                  </pic:blipFill>
                  <pic:spPr>
                    <a:xfrm>
                      <a:off x="0" y="0"/>
                      <a:ext cx="5940000" cy="3040925"/>
                    </a:xfrm>
                    <a:prstGeom prst="rect"/>
                  </pic:spPr>
                </pic:pic>
              </a:graphicData>
            </a:graphic>
          </wp:inline>
        </w:drawing>
      </w:r>
    </w:p>
    <w:p>
      <w:pPr>
        <w:spacing w:after="80" w:before="0"/>
      </w:pPr>
      <w:r>
        <w:rPr>
          <w:rFonts w:ascii="Arial" w:hAnsi="Arial" w:eastAsia="Arial"/>
          <w:b w:val="0"/>
          <w:i/>
          <w:color w:val="52606D"/>
          <w:sz w:val="19"/>
        </w:rPr>
        <w:t>Figure 1. Where each innovation acts in the warning chain, from observing the coast to verifying the warnings. Colour: type of innovation; ★: no direct precedent found in our search.</w:t>
      </w:r>
    </w:p>
    <w:p>
      <w:pPr>
        <w:keepNext/>
        <w:spacing w:after="120" w:before="200"/>
      </w:pPr>
      <w:r>
        <w:rPr>
          <w:rFonts w:ascii="Arial" w:hAnsi="Arial" w:eastAsia="Arial"/>
          <w:b/>
          <w:i w:val="0"/>
          <w:color w:val="1F3864"/>
          <w:sz w:val="27"/>
        </w:rPr>
        <w:t>3. The innovations one by one</w:t>
      </w:r>
    </w:p>
    <w:p>
      <w:pPr>
        <w:keepNext/>
        <w:spacing w:after="40" w:before="120"/>
      </w:pPr>
      <w:r>
        <w:rPr>
          <w:rFonts w:ascii="Arial" w:hAnsi="Arial" w:eastAsia="Arial"/>
          <w:b/>
          <w:i w:val="0"/>
          <w:color w:val="1F3864"/>
          <w:sz w:val="23"/>
        </w:rPr>
        <w:t>M1  Certified multi-hazard alarm</w:t>
      </w:r>
      <w:r>
        <w:rPr>
          <w:rFonts w:ascii="Arial" w:hAnsi="Arial" w:eastAsia="Arial"/>
          <w:b w:val="0"/>
          <w:i w:val="0"/>
          <w:color w:val="52606D"/>
          <w:sz w:val="19"/>
        </w:rPr>
        <w:t xml:space="preserve">   Mathematical</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8EDF5"/>
          </w:tcPr>
          <w:p>
            <w:pPr>
              <w:keepNext/>
            </w:pPr>
            <w:r>
              <w:rPr>
                <w:b/>
              </w:rPr>
            </w:r>
            <w:r>
              <w:rPr>
                <w:rFonts w:ascii="Arial" w:hAnsi="Arial" w:eastAsia="Arial"/>
                <w:b/>
                <w:i w:val="0"/>
                <w:sz w:val="19"/>
              </w:rPr>
              <w:t>Today</w:t>
            </w:r>
          </w:p>
        </w:tc>
        <w:tc>
          <w:tcPr>
            <w:tcW w:type="dxa" w:w="7937"/>
          </w:tcPr>
          <w:p>
            <w:pPr>
              <w:keepNext/>
            </w:pPr>
            <w:r/>
            <w:r>
              <w:rPr>
                <w:rFonts w:ascii="Arial" w:hAnsi="Arial" w:eastAsia="Arial"/>
                <w:b w:val="0"/>
                <w:i w:val="0"/>
                <w:sz w:val="19"/>
              </w:rPr>
              <w:t>Distribution-free risk control and online conformal prediction give long-run guarantees [19–21], and conformal coverage exists for neural-operator surrogates [23]. They assume exchangeable data or hold only on time average, have not been applied to slow physics models of coastal hazards, and say nothing beyond the observed record.</w:t>
            </w:r>
          </w:p>
        </w:tc>
      </w:tr>
      <w:tr>
        <w:trPr>
          <w:cantSplit/>
        </w:trPr>
        <w:tc>
          <w:tcPr>
            <w:tcW w:type="dxa" w:w="1701"/>
            <w:shd w:val="clear" w:color="auto" w:fill="E8EDF5"/>
          </w:tcPr>
          <w:p>
            <w:pPr>
              <w:keepNext/>
            </w:pPr>
            <w:r>
              <w:rPr>
                <w:b/>
              </w:rPr>
            </w:r>
            <w:r>
              <w:rPr>
                <w:rFonts w:ascii="Arial" w:hAnsi="Arial" w:eastAsia="Arial"/>
                <w:b/>
                <w:i w:val="0"/>
                <w:sz w:val="19"/>
              </w:rPr>
              <w:t>What is new</w:t>
            </w:r>
          </w:p>
        </w:tc>
        <w:tc>
          <w:tcPr>
            <w:tcW w:type="dxa" w:w="7937"/>
          </w:tcPr>
          <w:p>
            <w:pPr>
              <w:keepNext/>
            </w:pPr>
            <w:r/>
            <w:r>
              <w:rPr>
                <w:rFonts w:ascii="Arial" w:hAnsi="Arial" w:eastAsia="Arial"/>
                <w:b w:val="0"/>
                <w:i w:val="0"/>
                <w:sz w:val="19"/>
              </w:rPr>
              <w:t>Alarm k fires when the forecast indicator exceeds its threshold minus a margin mₖ made of three certified parts: the surrogate error bound, an online conformal risk-control term and an extreme-aware term. The long-run miss rate stays at or below αₖ under nonstationarity and when the forcing leaves the record.</w:t>
            </w:r>
          </w:p>
        </w:tc>
      </w:tr>
      <w:tr>
        <w:trPr>
          <w:cantSplit/>
        </w:trPr>
        <w:tc>
          <w:tcPr>
            <w:tcW w:type="dxa" w:w="1701"/>
            <w:shd w:val="clear" w:color="auto" w:fill="E8EDF5"/>
          </w:tcPr>
          <w:p>
            <w:pPr>
              <w:keepNext/>
            </w:pPr>
            <w:r>
              <w:rPr>
                <w:b/>
              </w:rPr>
            </w:r>
            <w:r>
              <w:rPr>
                <w:rFonts w:ascii="Arial" w:hAnsi="Arial" w:eastAsia="Arial"/>
                <w:b/>
                <w:i w:val="0"/>
                <w:sz w:val="19"/>
              </w:rPr>
              <w:t>Why it matters</w:t>
            </w:r>
          </w:p>
        </w:tc>
        <w:tc>
          <w:tcPr>
            <w:tcW w:type="dxa" w:w="7937"/>
          </w:tcPr>
          <w:p>
            <w:pPr>
              <w:keepNext/>
            </w:pPr>
            <w:r/>
            <w:r>
              <w:rPr>
                <w:rFonts w:ascii="Arial" w:hAnsi="Arial" w:eastAsia="Arial"/>
                <w:b w:val="0"/>
                <w:i w:val="0"/>
                <w:sz w:val="19"/>
              </w:rPr>
              <w:t>The operator knows in advance how often a warning will be missed, and therefore what silence means.</w:t>
            </w:r>
          </w:p>
        </w:tc>
      </w:tr>
      <w:tr>
        <w:trPr>
          <w:cantSplit/>
        </w:trPr>
        <w:tc>
          <w:tcPr>
            <w:tcW w:type="dxa" w:w="1701"/>
            <w:shd w:val="clear" w:color="auto" w:fill="E8EDF5"/>
          </w:tcPr>
          <w:p>
            <w:r>
              <w:rPr>
                <w:b/>
              </w:rPr>
            </w:r>
            <w:r>
              <w:rPr>
                <w:rFonts w:ascii="Arial" w:hAnsi="Arial" w:eastAsia="Arial"/>
                <w:b/>
                <w:i w:val="0"/>
                <w:sz w:val="19"/>
              </w:rPr>
              <w:t>Tested by</w:t>
            </w:r>
          </w:p>
        </w:tc>
        <w:tc>
          <w:tcPr>
            <w:tcW w:type="dxa" w:w="7937"/>
          </w:tcPr>
          <w:p>
            <w:r/>
            <w:r>
              <w:rPr>
                <w:rFonts w:ascii="Arial" w:hAnsi="Arial" w:eastAsia="Arial"/>
                <w:b w:val="0"/>
                <w:i w:val="0"/>
                <w:sz w:val="19"/>
              </w:rPr>
              <w:t>D3.1 proofs (M24); D3.2 back-testing (M27, gate MS5): miss rate ≤ αₖ with Clopper–Pearson interval; D5.1 live verification (M34).</w:t>
            </w:r>
          </w:p>
        </w:tc>
      </w:tr>
    </w:tbl>
    <w:p>
      <w:pPr>
        <w:keepNext/>
        <w:spacing w:after="40" w:before="120"/>
      </w:pPr>
      <w:r>
        <w:rPr>
          <w:rFonts w:ascii="Arial" w:hAnsi="Arial" w:eastAsia="Arial"/>
          <w:b/>
          <w:i w:val="0"/>
          <w:color w:val="1F3864"/>
          <w:sz w:val="23"/>
        </w:rPr>
        <w:t>M2  A joint guarantee across hazards</w:t>
      </w:r>
      <w:r>
        <w:rPr>
          <w:rFonts w:ascii="Arial" w:hAnsi="Arial" w:eastAsia="Arial"/>
          <w:b w:val="0"/>
          <w:i w:val="0"/>
          <w:color w:val="52606D"/>
          <w:sz w:val="19"/>
        </w:rPr>
        <w:t xml:space="preserve">   Mathematical · no direct precedent found</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8EDF5"/>
          </w:tcPr>
          <w:p>
            <w:pPr>
              <w:keepNext/>
            </w:pPr>
            <w:r>
              <w:rPr>
                <w:b/>
              </w:rPr>
            </w:r>
            <w:r>
              <w:rPr>
                <w:rFonts w:ascii="Arial" w:hAnsi="Arial" w:eastAsia="Arial"/>
                <w:b/>
                <w:i w:val="0"/>
                <w:sz w:val="19"/>
              </w:rPr>
              <w:t>Today</w:t>
            </w:r>
          </w:p>
        </w:tc>
        <w:tc>
          <w:tcPr>
            <w:tcW w:type="dxa" w:w="7937"/>
          </w:tcPr>
          <w:p>
            <w:pPr>
              <w:keepNext/>
            </w:pPr>
            <w:r/>
            <w:r>
              <w:rPr>
                <w:rFonts w:ascii="Arial" w:hAnsi="Arial" w:eastAsia="Arial"/>
                <w:b w:val="0"/>
                <w:i w:val="0"/>
                <w:sz w:val="19"/>
              </w:rPr>
              <w:t>Guarantees are stated one alarm at a time. Our search found no warning that controls the probability that any of several dependent alarms is missed.</w:t>
            </w:r>
          </w:p>
        </w:tc>
      </w:tr>
      <w:tr>
        <w:trPr>
          <w:cantSplit/>
        </w:trPr>
        <w:tc>
          <w:tcPr>
            <w:tcW w:type="dxa" w:w="1701"/>
            <w:shd w:val="clear" w:color="auto" w:fill="E8EDF5"/>
          </w:tcPr>
          <w:p>
            <w:pPr>
              <w:keepNext/>
            </w:pPr>
            <w:r>
              <w:rPr>
                <w:b/>
              </w:rPr>
            </w:r>
            <w:r>
              <w:rPr>
                <w:rFonts w:ascii="Arial" w:hAnsi="Arial" w:eastAsia="Arial"/>
                <w:b/>
                <w:i w:val="0"/>
                <w:sz w:val="19"/>
              </w:rPr>
              <w:t>What is new</w:t>
            </w:r>
          </w:p>
        </w:tc>
        <w:tc>
          <w:tcPr>
            <w:tcW w:type="dxa" w:w="7937"/>
          </w:tcPr>
          <w:p>
            <w:pPr>
              <w:keepNext/>
            </w:pPr>
            <w:r/>
            <w:r>
              <w:rPr>
                <w:rFonts w:ascii="Arial" w:hAnsi="Arial" w:eastAsia="Arial"/>
                <w:b w:val="0"/>
                <w:i w:val="0"/>
                <w:sz w:val="19"/>
              </w:rPr>
              <w:t>The three alarms share inputs, so their misses are dependent. The probability that any of them is missed is held at or below Σαₖ (union bound), tightened by joint calibration, and the αₖ are allocated by consequence.</w:t>
            </w:r>
          </w:p>
        </w:tc>
      </w:tr>
      <w:tr>
        <w:trPr>
          <w:cantSplit/>
        </w:trPr>
        <w:tc>
          <w:tcPr>
            <w:tcW w:type="dxa" w:w="1701"/>
            <w:shd w:val="clear" w:color="auto" w:fill="E8EDF5"/>
          </w:tcPr>
          <w:p>
            <w:pPr>
              <w:keepNext/>
            </w:pPr>
            <w:r>
              <w:rPr>
                <w:b/>
              </w:rPr>
            </w:r>
            <w:r>
              <w:rPr>
                <w:rFonts w:ascii="Arial" w:hAnsi="Arial" w:eastAsia="Arial"/>
                <w:b/>
                <w:i w:val="0"/>
                <w:sz w:val="19"/>
              </w:rPr>
              <w:t>Why it matters</w:t>
            </w:r>
          </w:p>
        </w:tc>
        <w:tc>
          <w:tcPr>
            <w:tcW w:type="dxa" w:w="7937"/>
          </w:tcPr>
          <w:p>
            <w:pPr>
              <w:keepNext/>
            </w:pPr>
            <w:r/>
            <w:r>
              <w:rPr>
                <w:rFonts w:ascii="Arial" w:hAnsi="Arial" w:eastAsia="Arial"/>
                <w:b w:val="0"/>
                <w:i w:val="0"/>
                <w:sz w:val="19"/>
              </w:rPr>
              <w:t>A water-supply alarm and a landfall alarm are not held to the same tolerance by accident; civil protection receives one joint guarantee for the three assets.</w:t>
            </w:r>
          </w:p>
        </w:tc>
      </w:tr>
      <w:tr>
        <w:trPr>
          <w:cantSplit/>
        </w:trPr>
        <w:tc>
          <w:tcPr>
            <w:tcW w:type="dxa" w:w="1701"/>
            <w:shd w:val="clear" w:color="auto" w:fill="E8EDF5"/>
          </w:tcPr>
          <w:p>
            <w:r>
              <w:rPr>
                <w:b/>
              </w:rPr>
            </w:r>
            <w:r>
              <w:rPr>
                <w:rFonts w:ascii="Arial" w:hAnsi="Arial" w:eastAsia="Arial"/>
                <w:b/>
                <w:i w:val="0"/>
                <w:sz w:val="19"/>
              </w:rPr>
              <w:t>Tested by</w:t>
            </w:r>
          </w:p>
        </w:tc>
        <w:tc>
          <w:tcPr>
            <w:tcW w:type="dxa" w:w="7937"/>
          </w:tcPr>
          <w:p>
            <w:r/>
            <w:r>
              <w:rPr>
                <w:rFonts w:ascii="Arial" w:hAnsi="Arial" w:eastAsia="Arial"/>
                <w:b w:val="0"/>
                <w:i w:val="0"/>
                <w:sz w:val="19"/>
              </w:rPr>
              <w:t>T3.3 and D3.1 proofs (M24); joint miss rate in back-testing, D3.2 (M27).</w:t>
            </w:r>
          </w:p>
        </w:tc>
      </w:tr>
    </w:tbl>
    <w:p>
      <w:pPr>
        <w:keepNext/>
        <w:spacing w:after="40" w:before="120"/>
      </w:pPr>
      <w:r>
        <w:rPr>
          <w:rFonts w:ascii="Arial" w:hAnsi="Arial" w:eastAsia="Arial"/>
          <w:b/>
          <w:i w:val="0"/>
          <w:color w:val="1F3864"/>
          <w:sz w:val="23"/>
        </w:rPr>
        <w:t>M3  Multi-hazard goal-oriented sensor design</w:t>
      </w:r>
      <w:r>
        <w:rPr>
          <w:rFonts w:ascii="Arial" w:hAnsi="Arial" w:eastAsia="Arial"/>
          <w:b w:val="0"/>
          <w:i w:val="0"/>
          <w:color w:val="52606D"/>
          <w:sz w:val="19"/>
        </w:rPr>
        <w:t xml:space="preserve">   Mathematical</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8EDF5"/>
          </w:tcPr>
          <w:p>
            <w:pPr>
              <w:keepNext/>
            </w:pPr>
            <w:r>
              <w:rPr>
                <w:b/>
              </w:rPr>
            </w:r>
            <w:r>
              <w:rPr>
                <w:rFonts w:ascii="Arial" w:hAnsi="Arial" w:eastAsia="Arial"/>
                <w:b/>
                <w:i w:val="0"/>
                <w:sz w:val="19"/>
              </w:rPr>
              <w:t>Today</w:t>
            </w:r>
          </w:p>
        </w:tc>
        <w:tc>
          <w:tcPr>
            <w:tcW w:type="dxa" w:w="7937"/>
          </w:tcPr>
          <w:p>
            <w:pPr>
              <w:keepNext/>
            </w:pPr>
            <w:r/>
            <w:r>
              <w:rPr>
                <w:rFonts w:ascii="Arial" w:hAnsi="Arial" w:eastAsia="Arial"/>
                <w:b w:val="0"/>
                <w:i w:val="0"/>
                <w:sz w:val="19"/>
              </w:rPr>
              <w:t>Optimal experimental design has a unified theory [30], and groundwater can be sensed with seismic noise and fibre [16, 17]. No study chooses InSAR, wells, chemical samples, seismic noise and fibre together to minimise the miss probability of warnings.</w:t>
            </w:r>
          </w:p>
        </w:tc>
      </w:tr>
      <w:tr>
        <w:trPr>
          <w:cantSplit/>
        </w:trPr>
        <w:tc>
          <w:tcPr>
            <w:tcW w:type="dxa" w:w="1701"/>
            <w:shd w:val="clear" w:color="auto" w:fill="E8EDF5"/>
          </w:tcPr>
          <w:p>
            <w:pPr>
              <w:keepNext/>
            </w:pPr>
            <w:r>
              <w:rPr>
                <w:b/>
              </w:rPr>
            </w:r>
            <w:r>
              <w:rPr>
                <w:rFonts w:ascii="Arial" w:hAnsi="Arial" w:eastAsia="Arial"/>
                <w:b/>
                <w:i w:val="0"/>
                <w:sz w:val="19"/>
              </w:rPr>
              <w:t>What is new</w:t>
            </w:r>
          </w:p>
        </w:tc>
        <w:tc>
          <w:tcPr>
            <w:tcW w:type="dxa" w:w="7937"/>
          </w:tcPr>
          <w:p>
            <w:pPr>
              <w:keepNext/>
            </w:pPr>
            <w:r/>
            <w:r>
              <w:rPr>
                <w:rFonts w:ascii="Arial" w:hAnsi="Arial" w:eastAsia="Arial"/>
                <w:b w:val="0"/>
                <w:i w:val="0"/>
                <w:sz w:val="19"/>
              </w:rPr>
              <w:t>Seven sensor types are chosen jointly to maximise the expected reduction in the miss probability of the three alarms per unit cost.</w:t>
            </w:r>
          </w:p>
        </w:tc>
      </w:tr>
      <w:tr>
        <w:trPr>
          <w:cantSplit/>
        </w:trPr>
        <w:tc>
          <w:tcPr>
            <w:tcW w:type="dxa" w:w="1701"/>
            <w:shd w:val="clear" w:color="auto" w:fill="E8EDF5"/>
          </w:tcPr>
          <w:p>
            <w:pPr>
              <w:keepNext/>
            </w:pPr>
            <w:r>
              <w:rPr>
                <w:b/>
              </w:rPr>
            </w:r>
            <w:r>
              <w:rPr>
                <w:rFonts w:ascii="Arial" w:hAnsi="Arial" w:eastAsia="Arial"/>
                <w:b/>
                <w:i w:val="0"/>
                <w:sz w:val="19"/>
              </w:rPr>
              <w:t>Why it matters</w:t>
            </w:r>
          </w:p>
        </w:tc>
        <w:tc>
          <w:tcPr>
            <w:tcW w:type="dxa" w:w="7937"/>
          </w:tcPr>
          <w:p>
            <w:pPr>
              <w:keepNext/>
            </w:pPr>
            <w:r/>
            <w:r>
              <w:rPr>
                <w:rFonts w:ascii="Arial" w:hAnsi="Arial" w:eastAsia="Arial"/>
                <w:b w:val="0"/>
                <w:i w:val="0"/>
                <w:sz w:val="19"/>
              </w:rPr>
              <w:t>Every euro of equipment is spent where it most reduces missed warnings at the three assets.</w:t>
            </w:r>
          </w:p>
        </w:tc>
      </w:tr>
      <w:tr>
        <w:trPr>
          <w:cantSplit/>
        </w:trPr>
        <w:tc>
          <w:tcPr>
            <w:tcW w:type="dxa" w:w="1701"/>
            <w:shd w:val="clear" w:color="auto" w:fill="E8EDF5"/>
          </w:tcPr>
          <w:p>
            <w:r>
              <w:rPr>
                <w:b/>
              </w:rPr>
            </w:r>
            <w:r>
              <w:rPr>
                <w:rFonts w:ascii="Arial" w:hAnsi="Arial" w:eastAsia="Arial"/>
                <w:b/>
                <w:i w:val="0"/>
                <w:sz w:val="19"/>
              </w:rPr>
              <w:t>Tested by</w:t>
            </w:r>
          </w:p>
        </w:tc>
        <w:tc>
          <w:tcPr>
            <w:tcW w:type="dxa" w:w="7937"/>
          </w:tcPr>
          <w:p>
            <w:r/>
            <w:r>
              <w:rPr>
                <w:rFonts w:ascii="Arial" w:hAnsi="Arial" w:eastAsia="Arial"/>
                <w:b w:val="0"/>
                <w:i w:val="0"/>
                <w:sz w:val="19"/>
              </w:rPr>
              <w:t>D4.1 design report (M6, MS1); after installation, forecast spread reduced as the design predicted (T4.3).</w:t>
            </w:r>
          </w:p>
        </w:tc>
      </w:tr>
    </w:tbl>
    <w:p>
      <w:pPr>
        <w:keepNext/>
        <w:spacing w:after="40" w:before="120"/>
      </w:pPr>
      <w:r>
        <w:rPr>
          <w:rFonts w:ascii="Arial" w:hAnsi="Arial" w:eastAsia="Arial"/>
          <w:b/>
          <w:i w:val="0"/>
          <w:color w:val="1F3864"/>
          <w:sz w:val="23"/>
        </w:rPr>
        <w:t>M4  An error-certified surrogate of the coupled model</w:t>
      </w:r>
      <w:r>
        <w:rPr>
          <w:rFonts w:ascii="Arial" w:hAnsi="Arial" w:eastAsia="Arial"/>
          <w:b w:val="0"/>
          <w:i w:val="0"/>
          <w:color w:val="52606D"/>
          <w:sz w:val="19"/>
        </w:rPr>
        <w:t xml:space="preserve">   Mathematical</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8EDF5"/>
          </w:tcPr>
          <w:p>
            <w:pPr>
              <w:keepNext/>
            </w:pPr>
            <w:r>
              <w:rPr>
                <w:b/>
              </w:rPr>
            </w:r>
            <w:r>
              <w:rPr>
                <w:rFonts w:ascii="Arial" w:hAnsi="Arial" w:eastAsia="Arial"/>
                <w:b/>
                <w:i w:val="0"/>
                <w:sz w:val="19"/>
              </w:rPr>
              <w:t>Today</w:t>
            </w:r>
          </w:p>
        </w:tc>
        <w:tc>
          <w:tcPr>
            <w:tcW w:type="dxa" w:w="7937"/>
          </w:tcPr>
          <w:p>
            <w:pPr>
              <w:keepNext/>
            </w:pPr>
            <w:r/>
            <w:r>
              <w:rPr>
                <w:rFonts w:ascii="Arial" w:hAnsi="Arial" w:eastAsia="Arial"/>
                <w:b w:val="0"/>
                <w:i w:val="0"/>
                <w:sz w:val="19"/>
              </w:rPr>
              <w:t>Neural operators approximate PDE solution maps [25], kernel methods solve nonlinear PDEs [26], and conformal prediction calibrates operator learning [23]. These give approximation guarantees, not a certificate on each forecast of a coupled variable-density and poroelastic model.</w:t>
            </w:r>
          </w:p>
        </w:tc>
      </w:tr>
      <w:tr>
        <w:trPr>
          <w:cantSplit/>
        </w:trPr>
        <w:tc>
          <w:tcPr>
            <w:tcW w:type="dxa" w:w="1701"/>
            <w:shd w:val="clear" w:color="auto" w:fill="E8EDF5"/>
          </w:tcPr>
          <w:p>
            <w:pPr>
              <w:keepNext/>
            </w:pPr>
            <w:r>
              <w:rPr>
                <w:b/>
              </w:rPr>
            </w:r>
            <w:r>
              <w:rPr>
                <w:rFonts w:ascii="Arial" w:hAnsi="Arial" w:eastAsia="Arial"/>
                <w:b/>
                <w:i w:val="0"/>
                <w:sz w:val="19"/>
              </w:rPr>
              <w:t>What is new</w:t>
            </w:r>
          </w:p>
        </w:tc>
        <w:tc>
          <w:tcPr>
            <w:tcW w:type="dxa" w:w="7937"/>
          </w:tcPr>
          <w:p>
            <w:pPr>
              <w:keepNext/>
            </w:pPr>
            <w:r/>
            <w:r>
              <w:rPr>
                <w:rFonts w:ascii="Arial" w:hAnsi="Arial" w:eastAsia="Arial"/>
                <w:b w:val="0"/>
                <w:i w:val="0"/>
                <w:sz w:val="19"/>
              </w:rPr>
              <w:t>A neural or kernel operator of the coupled model whose error Δₖ is bounded a posteriori for every forecast and calibrated conformally, fast enough for thousands of storylines per day.</w:t>
            </w:r>
          </w:p>
        </w:tc>
      </w:tr>
      <w:tr>
        <w:trPr>
          <w:cantSplit/>
        </w:trPr>
        <w:tc>
          <w:tcPr>
            <w:tcW w:type="dxa" w:w="1701"/>
            <w:shd w:val="clear" w:color="auto" w:fill="E8EDF5"/>
          </w:tcPr>
          <w:p>
            <w:pPr>
              <w:keepNext/>
            </w:pPr>
            <w:r>
              <w:rPr>
                <w:b/>
              </w:rPr>
            </w:r>
            <w:r>
              <w:rPr>
                <w:rFonts w:ascii="Arial" w:hAnsi="Arial" w:eastAsia="Arial"/>
                <w:b/>
                <w:i w:val="0"/>
                <w:sz w:val="19"/>
              </w:rPr>
              <w:t>Why it matters</w:t>
            </w:r>
          </w:p>
        </w:tc>
        <w:tc>
          <w:tcPr>
            <w:tcW w:type="dxa" w:w="7937"/>
          </w:tcPr>
          <w:p>
            <w:pPr>
              <w:keepNext/>
            </w:pPr>
            <w:r/>
            <w:r>
              <w:rPr>
                <w:rFonts w:ascii="Arial" w:hAnsi="Arial" w:eastAsia="Arial"/>
                <w:b w:val="0"/>
                <w:i w:val="0"/>
                <w:sz w:val="19"/>
              </w:rPr>
              <w:t>Real-time warnings and storylines become affordable without losing the guarantee.</w:t>
            </w:r>
          </w:p>
        </w:tc>
      </w:tr>
      <w:tr>
        <w:trPr>
          <w:cantSplit/>
        </w:trPr>
        <w:tc>
          <w:tcPr>
            <w:tcW w:type="dxa" w:w="1701"/>
            <w:shd w:val="clear" w:color="auto" w:fill="E8EDF5"/>
          </w:tcPr>
          <w:p>
            <w:r>
              <w:rPr>
                <w:b/>
              </w:rPr>
            </w:r>
            <w:r>
              <w:rPr>
                <w:rFonts w:ascii="Arial" w:hAnsi="Arial" w:eastAsia="Arial"/>
                <w:b/>
                <w:i w:val="0"/>
                <w:sz w:val="19"/>
              </w:rPr>
              <w:t>Tested by</w:t>
            </w:r>
          </w:p>
        </w:tc>
        <w:tc>
          <w:tcPr>
            <w:tcW w:type="dxa" w:w="7937"/>
          </w:tcPr>
          <w:p>
            <w:r/>
            <w:r>
              <w:rPr>
                <w:rFonts w:ascii="Arial" w:hAnsi="Arial" w:eastAsia="Arial"/>
                <w:b w:val="0"/>
                <w:i w:val="0"/>
                <w:sz w:val="19"/>
              </w:rPr>
              <w:t>D2.2 (M22, gate MS4): coverage of Δₖ ≥ 1 − δ on held-out full-model runs; fallback: full model on a reduced domain.</w:t>
            </w:r>
          </w:p>
        </w:tc>
      </w:tr>
    </w:tbl>
    <w:p>
      <w:pPr>
        <w:keepNext/>
        <w:spacing w:after="40" w:before="120"/>
      </w:pPr>
      <w:r>
        <w:rPr>
          <w:rFonts w:ascii="Arial" w:hAnsi="Arial" w:eastAsia="Arial"/>
          <w:b/>
          <w:i w:val="0"/>
          <w:color w:val="1F3864"/>
          <w:sz w:val="23"/>
        </w:rPr>
        <w:t>M5  Nonstationary extremes with measured land motion</w:t>
      </w:r>
      <w:r>
        <w:rPr>
          <w:rFonts w:ascii="Arial" w:hAnsi="Arial" w:eastAsia="Arial"/>
          <w:b w:val="0"/>
          <w:i w:val="0"/>
          <w:color w:val="52606D"/>
          <w:sz w:val="19"/>
        </w:rPr>
        <w:t xml:space="preserve">   Mathematical</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8EDF5"/>
          </w:tcPr>
          <w:p>
            <w:pPr>
              <w:keepNext/>
            </w:pPr>
            <w:r>
              <w:rPr>
                <w:b/>
              </w:rPr>
            </w:r>
            <w:r>
              <w:rPr>
                <w:rFonts w:ascii="Arial" w:hAnsi="Arial" w:eastAsia="Arial"/>
                <w:b/>
                <w:i w:val="0"/>
                <w:sz w:val="19"/>
              </w:rPr>
              <w:t>Today</w:t>
            </w:r>
          </w:p>
        </w:tc>
        <w:tc>
          <w:tcPr>
            <w:tcW w:type="dxa" w:w="7937"/>
          </w:tcPr>
          <w:p>
            <w:pPr>
              <w:keepNext/>
            </w:pPr>
            <w:r/>
            <w:r>
              <w:rPr>
                <w:rFonts w:ascii="Arial" w:hAnsi="Arial" w:eastAsia="Arial"/>
                <w:b w:val="0"/>
                <w:i w:val="0"/>
                <w:sz w:val="19"/>
              </w:rPr>
              <w:t>Land motion at tide gauges changes its rate with fluid withdrawal and earthquakes [4]; sea-level change and its causes are reconstructed probabilistically [5]; extremes have become more frequent with relative sea-level rise [6]. Local extreme-value models still use a straight-line land-motion trend.</w:t>
            </w:r>
          </w:p>
        </w:tc>
      </w:tr>
      <w:tr>
        <w:trPr>
          <w:cantSplit/>
        </w:trPr>
        <w:tc>
          <w:tcPr>
            <w:tcW w:type="dxa" w:w="1701"/>
            <w:shd w:val="clear" w:color="auto" w:fill="E8EDF5"/>
          </w:tcPr>
          <w:p>
            <w:pPr>
              <w:keepNext/>
            </w:pPr>
            <w:r>
              <w:rPr>
                <w:b/>
              </w:rPr>
            </w:r>
            <w:r>
              <w:rPr>
                <w:rFonts w:ascii="Arial" w:hAnsi="Arial" w:eastAsia="Arial"/>
                <w:b/>
                <w:i w:val="0"/>
                <w:sz w:val="19"/>
              </w:rPr>
              <w:t>What is new</w:t>
            </w:r>
          </w:p>
        </w:tc>
        <w:tc>
          <w:tcPr>
            <w:tcW w:type="dxa" w:w="7937"/>
          </w:tcPr>
          <w:p>
            <w:pPr>
              <w:keepNext/>
            </w:pPr>
            <w:r/>
            <w:r>
              <w:rPr>
                <w:rFonts w:ascii="Arial" w:hAnsi="Arial" w:eastAsia="Arial"/>
                <w:b w:val="0"/>
                <w:i w:val="0"/>
                <w:sz w:val="19"/>
              </w:rPr>
              <w:t>Extreme water levels are modelled with InSAR/GNSS land motion as a time-varying covariate of the location parameter.</w:t>
            </w:r>
          </w:p>
        </w:tc>
      </w:tr>
      <w:tr>
        <w:trPr>
          <w:cantSplit/>
        </w:trPr>
        <w:tc>
          <w:tcPr>
            <w:tcW w:type="dxa" w:w="1701"/>
            <w:shd w:val="clear" w:color="auto" w:fill="E8EDF5"/>
          </w:tcPr>
          <w:p>
            <w:pPr>
              <w:keepNext/>
            </w:pPr>
            <w:r>
              <w:rPr>
                <w:b/>
              </w:rPr>
            </w:r>
            <w:r>
              <w:rPr>
                <w:rFonts w:ascii="Arial" w:hAnsi="Arial" w:eastAsia="Arial"/>
                <w:b/>
                <w:i w:val="0"/>
                <w:sz w:val="19"/>
              </w:rPr>
              <w:t>Why it matters</w:t>
            </w:r>
          </w:p>
        </w:tc>
        <w:tc>
          <w:tcPr>
            <w:tcW w:type="dxa" w:w="7937"/>
          </w:tcPr>
          <w:p>
            <w:pPr>
              <w:keepNext/>
            </w:pPr>
            <w:r/>
            <w:r>
              <w:rPr>
                <w:rFonts w:ascii="Arial" w:hAnsi="Arial" w:eastAsia="Arial"/>
                <w:b w:val="0"/>
                <w:i w:val="0"/>
                <w:sz w:val="19"/>
              </w:rPr>
              <w:t>Design and warning levels at the port and landfall follow the land as it actually moves, including after earthquakes.</w:t>
            </w:r>
          </w:p>
        </w:tc>
      </w:tr>
      <w:tr>
        <w:trPr>
          <w:cantSplit/>
        </w:trPr>
        <w:tc>
          <w:tcPr>
            <w:tcW w:type="dxa" w:w="1701"/>
            <w:shd w:val="clear" w:color="auto" w:fill="E8EDF5"/>
          </w:tcPr>
          <w:p>
            <w:r>
              <w:rPr>
                <w:b/>
              </w:rPr>
            </w:r>
            <w:r>
              <w:rPr>
                <w:rFonts w:ascii="Arial" w:hAnsi="Arial" w:eastAsia="Arial"/>
                <w:b/>
                <w:i w:val="0"/>
                <w:sz w:val="19"/>
              </w:rPr>
              <w:t>Tested by</w:t>
            </w:r>
          </w:p>
        </w:tc>
        <w:tc>
          <w:tcPr>
            <w:tcW w:type="dxa" w:w="7937"/>
          </w:tcPr>
          <w:p>
            <w:r/>
            <w:r>
              <w:rPr>
                <w:rFonts w:ascii="Arial" w:hAnsi="Arial" w:eastAsia="Arial"/>
                <w:b w:val="0"/>
                <w:i w:val="0"/>
                <w:sz w:val="19"/>
              </w:rPr>
              <w:t>D1.1 (M12) and D3.2 (M27): the extreme-water-level alarm meets its miss target; the covariate model is compared with a linear trend on held-out years.</w:t>
            </w:r>
          </w:p>
        </w:tc>
      </w:tr>
    </w:tbl>
    <w:p>
      <w:pPr>
        <w:keepNext/>
        <w:spacing w:after="40" w:before="120"/>
      </w:pPr>
      <w:r>
        <w:rPr>
          <w:rFonts w:ascii="Arial" w:hAnsi="Arial" w:eastAsia="Arial"/>
          <w:b/>
          <w:i w:val="0"/>
          <w:color w:val="1E8A5A"/>
          <w:sz w:val="23"/>
        </w:rPr>
        <w:t>P1  One relative-sea-level boundary for all three hazards</w:t>
      </w:r>
      <w:r>
        <w:rPr>
          <w:rFonts w:ascii="Arial" w:hAnsi="Arial" w:eastAsia="Arial"/>
          <w:b w:val="0"/>
          <w:i w:val="0"/>
          <w:color w:val="52606D"/>
          <w:sz w:val="19"/>
        </w:rPr>
        <w:t xml:space="preserve">   Physical</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6F4EC"/>
          </w:tcPr>
          <w:p>
            <w:pPr>
              <w:keepNext/>
            </w:pPr>
            <w:r>
              <w:rPr>
                <w:b/>
              </w:rPr>
            </w:r>
            <w:r>
              <w:rPr>
                <w:rFonts w:ascii="Arial" w:hAnsi="Arial" w:eastAsia="Arial"/>
                <w:b/>
                <w:i w:val="0"/>
                <w:sz w:val="19"/>
              </w:rPr>
              <w:t>Today</w:t>
            </w:r>
          </w:p>
        </w:tc>
        <w:tc>
          <w:tcPr>
            <w:tcW w:type="dxa" w:w="7937"/>
          </w:tcPr>
          <w:p>
            <w:pPr>
              <w:keepNext/>
            </w:pPr>
            <w:r/>
            <w:r>
              <w:rPr>
                <w:rFonts w:ascii="Arial" w:hAnsi="Arial" w:eastAsia="Arial"/>
                <w:b w:val="0"/>
                <w:i w:val="0"/>
                <w:sz w:val="19"/>
              </w:rPr>
              <w:t>Subsidence is measured with InSAR and GNSS and used to set sustainable pumping [1–3], but it is not used as a time-varying boundary condition of intrusion, flooding and liquefaction models at the same site.</w:t>
            </w:r>
          </w:p>
        </w:tc>
      </w:tr>
      <w:tr>
        <w:trPr>
          <w:cantSplit/>
        </w:trPr>
        <w:tc>
          <w:tcPr>
            <w:tcW w:type="dxa" w:w="1701"/>
            <w:shd w:val="clear" w:color="auto" w:fill="E6F4EC"/>
          </w:tcPr>
          <w:p>
            <w:pPr>
              <w:keepNext/>
            </w:pPr>
            <w:r>
              <w:rPr>
                <w:b/>
              </w:rPr>
            </w:r>
            <w:r>
              <w:rPr>
                <w:rFonts w:ascii="Arial" w:hAnsi="Arial" w:eastAsia="Arial"/>
                <w:b/>
                <w:i w:val="0"/>
                <w:sz w:val="19"/>
              </w:rPr>
              <w:t>What is new</w:t>
            </w:r>
          </w:p>
        </w:tc>
        <w:tc>
          <w:tcPr>
            <w:tcW w:type="dxa" w:w="7937"/>
          </w:tcPr>
          <w:p>
            <w:pPr>
              <w:keepNext/>
            </w:pPr>
            <w:r/>
            <w:r>
              <w:rPr>
                <w:rFonts w:ascii="Arial" w:hAnsi="Arial" w:eastAsia="Arial"/>
                <w:b w:val="0"/>
                <w:i w:val="0"/>
                <w:sz w:val="19"/>
              </w:rPr>
              <w:t>One relative sea level, R(t) = η(t) − u_z(t), with u_z from InSAR/GNSS, drives all three hazard models.</w:t>
            </w:r>
          </w:p>
        </w:tc>
      </w:tr>
      <w:tr>
        <w:trPr>
          <w:cantSplit/>
        </w:trPr>
        <w:tc>
          <w:tcPr>
            <w:tcW w:type="dxa" w:w="1701"/>
            <w:shd w:val="clear" w:color="auto" w:fill="E6F4EC"/>
          </w:tcPr>
          <w:p>
            <w:pPr>
              <w:keepNext/>
            </w:pPr>
            <w:r>
              <w:rPr>
                <w:b/>
              </w:rPr>
            </w:r>
            <w:r>
              <w:rPr>
                <w:rFonts w:ascii="Arial" w:hAnsi="Arial" w:eastAsia="Arial"/>
                <w:b/>
                <w:i w:val="0"/>
                <w:sz w:val="19"/>
              </w:rPr>
              <w:t>Why it matters</w:t>
            </w:r>
          </w:p>
        </w:tc>
        <w:tc>
          <w:tcPr>
            <w:tcW w:type="dxa" w:w="7937"/>
          </w:tcPr>
          <w:p>
            <w:pPr>
              <w:keepNext/>
            </w:pPr>
            <w:r/>
            <w:r>
              <w:rPr>
                <w:rFonts w:ascii="Arial" w:hAnsi="Arial" w:eastAsia="Arial"/>
                <w:b w:val="0"/>
                <w:i w:val="0"/>
                <w:sz w:val="19"/>
              </w:rPr>
              <w:t>The three warnings agree on where the sea is relative to the land, so they cannot contradict each other.</w:t>
            </w:r>
          </w:p>
        </w:tc>
      </w:tr>
      <w:tr>
        <w:trPr>
          <w:cantSplit/>
        </w:trPr>
        <w:tc>
          <w:tcPr>
            <w:tcW w:type="dxa" w:w="1701"/>
            <w:shd w:val="clear" w:color="auto" w:fill="E6F4EC"/>
          </w:tcPr>
          <w:p>
            <w:r>
              <w:rPr>
                <w:b/>
              </w:rPr>
            </w:r>
            <w:r>
              <w:rPr>
                <w:rFonts w:ascii="Arial" w:hAnsi="Arial" w:eastAsia="Arial"/>
                <w:b/>
                <w:i w:val="0"/>
                <w:sz w:val="19"/>
              </w:rPr>
              <w:t>Tested by</w:t>
            </w:r>
          </w:p>
        </w:tc>
        <w:tc>
          <w:tcPr>
            <w:tcW w:type="dxa" w:w="7937"/>
          </w:tcPr>
          <w:p>
            <w:r/>
            <w:r>
              <w:rPr>
                <w:rFonts w:ascii="Arial" w:hAnsi="Arial" w:eastAsia="Arial"/>
                <w:b w:val="0"/>
                <w:i w:val="0"/>
                <w:sz w:val="19"/>
              </w:rPr>
              <w:t>D1.1 (M12, MS2): vertical-velocity uncertainty of the order of 1–2 mm/yr at asset points; InSAR and GNSS agree.</w:t>
            </w:r>
          </w:p>
        </w:tc>
      </w:tr>
    </w:tbl>
    <w:p>
      <w:pPr>
        <w:keepNext/>
        <w:spacing w:after="40" w:before="120"/>
      </w:pPr>
      <w:r>
        <w:rPr>
          <w:rFonts w:ascii="Arial" w:hAnsi="Arial" w:eastAsia="Arial"/>
          <w:b/>
          <w:i w:val="0"/>
          <w:color w:val="1E8A5A"/>
          <w:sz w:val="23"/>
        </w:rPr>
        <w:t>P2  A time-varying liquefaction factor of safety</w:t>
      </w:r>
      <w:r>
        <w:rPr>
          <w:rFonts w:ascii="Arial" w:hAnsi="Arial" w:eastAsia="Arial"/>
          <w:b w:val="0"/>
          <w:i w:val="0"/>
          <w:color w:val="52606D"/>
          <w:sz w:val="19"/>
        </w:rPr>
        <w:t xml:space="preserve">   Physical</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6F4EC"/>
          </w:tcPr>
          <w:p>
            <w:pPr>
              <w:keepNext/>
            </w:pPr>
            <w:r>
              <w:rPr>
                <w:b/>
              </w:rPr>
            </w:r>
            <w:r>
              <w:rPr>
                <w:rFonts w:ascii="Arial" w:hAnsi="Arial" w:eastAsia="Arial"/>
                <w:b/>
                <w:i w:val="0"/>
                <w:sz w:val="19"/>
              </w:rPr>
              <w:t>Today</w:t>
            </w:r>
          </w:p>
        </w:tc>
        <w:tc>
          <w:tcPr>
            <w:tcW w:type="dxa" w:w="7937"/>
          </w:tcPr>
          <w:p>
            <w:pPr>
              <w:keepNext/>
            </w:pPr>
            <w:r/>
            <w:r>
              <w:rPr>
                <w:rFonts w:ascii="Arial" w:hAnsi="Arial" w:eastAsia="Arial"/>
                <w:b w:val="0"/>
                <w:i w:val="0"/>
                <w:sz w:val="19"/>
              </w:rPr>
              <w:t>Liquefaction is mapped from data with spatial correlation [10], and the water table is known to control near-surface stiffness [12]; liquefaction after the 2019 Durrës earthquake was mapped [L1]. Susceptibility stays static, with a fixed design water table.</w:t>
            </w:r>
          </w:p>
        </w:tc>
      </w:tr>
      <w:tr>
        <w:trPr>
          <w:cantSplit/>
        </w:trPr>
        <w:tc>
          <w:tcPr>
            <w:tcW w:type="dxa" w:w="1701"/>
            <w:shd w:val="clear" w:color="auto" w:fill="E6F4EC"/>
          </w:tcPr>
          <w:p>
            <w:pPr>
              <w:keepNext/>
            </w:pPr>
            <w:r>
              <w:rPr>
                <w:b/>
              </w:rPr>
            </w:r>
            <w:r>
              <w:rPr>
                <w:rFonts w:ascii="Arial" w:hAnsi="Arial" w:eastAsia="Arial"/>
                <w:b/>
                <w:i w:val="0"/>
                <w:sz w:val="19"/>
              </w:rPr>
              <w:t>What is new</w:t>
            </w:r>
          </w:p>
        </w:tc>
        <w:tc>
          <w:tcPr>
            <w:tcW w:type="dxa" w:w="7937"/>
          </w:tcPr>
          <w:p>
            <w:pPr>
              <w:keepNext/>
            </w:pPr>
            <w:r/>
            <w:r>
              <w:rPr>
                <w:rFonts w:ascii="Arial" w:hAnsi="Arial" w:eastAsia="Arial"/>
                <w:b w:val="0"/>
                <w:i w:val="0"/>
                <w:sz w:val="19"/>
              </w:rPr>
              <w:t>A time-varying factor of safety, FS(x, t) = CRR / CSR(z_w(x, t)), with the water table from the calibrated groundwater model and checked by seismic velocity.</w:t>
            </w:r>
          </w:p>
        </w:tc>
      </w:tr>
      <w:tr>
        <w:trPr>
          <w:cantSplit/>
        </w:trPr>
        <w:tc>
          <w:tcPr>
            <w:tcW w:type="dxa" w:w="1701"/>
            <w:shd w:val="clear" w:color="auto" w:fill="E6F4EC"/>
          </w:tcPr>
          <w:p>
            <w:pPr>
              <w:keepNext/>
            </w:pPr>
            <w:r>
              <w:rPr>
                <w:b/>
              </w:rPr>
            </w:r>
            <w:r>
              <w:rPr>
                <w:rFonts w:ascii="Arial" w:hAnsi="Arial" w:eastAsia="Arial"/>
                <w:b/>
                <w:i w:val="0"/>
                <w:sz w:val="19"/>
              </w:rPr>
              <w:t>Why it matters</w:t>
            </w:r>
          </w:p>
        </w:tc>
        <w:tc>
          <w:tcPr>
            <w:tcW w:type="dxa" w:w="7937"/>
          </w:tcPr>
          <w:p>
            <w:pPr>
              <w:keepNext/>
            </w:pPr>
            <w:r/>
            <w:r>
              <w:rPr>
                <w:rFonts w:ascii="Arial" w:hAnsi="Arial" w:eastAsia="Arial"/>
                <w:b w:val="0"/>
                <w:i w:val="0"/>
                <w:sz w:val="19"/>
              </w:rPr>
              <w:t>The port and landfall learn how their liquefaction risk changes with pumping, drought and sea level, not only in a design scenario.</w:t>
            </w:r>
          </w:p>
        </w:tc>
      </w:tr>
      <w:tr>
        <w:trPr>
          <w:cantSplit/>
        </w:trPr>
        <w:tc>
          <w:tcPr>
            <w:tcW w:type="dxa" w:w="1701"/>
            <w:shd w:val="clear" w:color="auto" w:fill="E6F4EC"/>
          </w:tcPr>
          <w:p>
            <w:r>
              <w:rPr>
                <w:b/>
              </w:rPr>
            </w:r>
            <w:r>
              <w:rPr>
                <w:rFonts w:ascii="Arial" w:hAnsi="Arial" w:eastAsia="Arial"/>
                <w:b/>
                <w:i w:val="0"/>
                <w:sz w:val="19"/>
              </w:rPr>
              <w:t>Tested by</w:t>
            </w:r>
          </w:p>
        </w:tc>
        <w:tc>
          <w:tcPr>
            <w:tcW w:type="dxa" w:w="7937"/>
          </w:tcPr>
          <w:p>
            <w:r/>
            <w:r>
              <w:rPr>
                <w:rFonts w:ascii="Arial" w:hAnsi="Arial" w:eastAsia="Arial"/>
                <w:b w:val="0"/>
                <w:i w:val="0"/>
                <w:sz w:val="19"/>
              </w:rPr>
              <w:t>D2.1 (M18, gate MS3): held-out heads and seismic velocity inside the 90% predictive intervals at close to the nominal rate.</w:t>
            </w:r>
          </w:p>
        </w:tc>
      </w:tr>
    </w:tbl>
    <w:p>
      <w:pPr>
        <w:keepNext/>
        <w:spacing w:after="40" w:before="120"/>
      </w:pPr>
      <w:r>
        <w:rPr>
          <w:rFonts w:ascii="Arial" w:hAnsi="Arial" w:eastAsia="Arial"/>
          <w:b/>
          <w:i w:val="0"/>
          <w:color w:val="1E8A5A"/>
          <w:sz w:val="23"/>
        </w:rPr>
        <w:t>P3  The pumping lever made explicit</w:t>
      </w:r>
      <w:r>
        <w:rPr>
          <w:rFonts w:ascii="Arial" w:hAnsi="Arial" w:eastAsia="Arial"/>
          <w:b w:val="0"/>
          <w:i w:val="0"/>
          <w:color w:val="52606D"/>
          <w:sz w:val="19"/>
        </w:rPr>
        <w:t xml:space="preserve">   Physical · no direct precedent found</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6F4EC"/>
          </w:tcPr>
          <w:p>
            <w:pPr>
              <w:keepNext/>
            </w:pPr>
            <w:r>
              <w:rPr>
                <w:b/>
              </w:rPr>
            </w:r>
            <w:r>
              <w:rPr>
                <w:rFonts w:ascii="Arial" w:hAnsi="Arial" w:eastAsia="Arial"/>
                <w:b/>
                <w:i w:val="0"/>
                <w:sz w:val="19"/>
              </w:rPr>
              <w:t>Today</w:t>
            </w:r>
          </w:p>
        </w:tc>
        <w:tc>
          <w:tcPr>
            <w:tcW w:type="dxa" w:w="7937"/>
          </w:tcPr>
          <w:p>
            <w:pPr>
              <w:keepNext/>
            </w:pPr>
            <w:r/>
            <w:r>
              <w:rPr>
                <w:rFonts w:ascii="Arial" w:hAnsi="Arial" w:eastAsia="Arial"/>
                <w:b w:val="0"/>
                <w:i w:val="0"/>
                <w:sz w:val="19"/>
              </w:rPr>
              <w:t>Pumping limits are set for one effect at a time, for example subsidence from InSAR [1]. Our search found no pumping rule evaluated against intrusion, subsidence and liquefaction together.</w:t>
            </w:r>
          </w:p>
        </w:tc>
      </w:tr>
      <w:tr>
        <w:trPr>
          <w:cantSplit/>
        </w:trPr>
        <w:tc>
          <w:tcPr>
            <w:tcW w:type="dxa" w:w="1701"/>
            <w:shd w:val="clear" w:color="auto" w:fill="E6F4EC"/>
          </w:tcPr>
          <w:p>
            <w:pPr>
              <w:keepNext/>
            </w:pPr>
            <w:r>
              <w:rPr>
                <w:b/>
              </w:rPr>
            </w:r>
            <w:r>
              <w:rPr>
                <w:rFonts w:ascii="Arial" w:hAnsi="Arial" w:eastAsia="Arial"/>
                <w:b/>
                <w:i w:val="0"/>
                <w:sz w:val="19"/>
              </w:rPr>
              <w:t>What is new</w:t>
            </w:r>
          </w:p>
        </w:tc>
        <w:tc>
          <w:tcPr>
            <w:tcW w:type="dxa" w:w="7937"/>
          </w:tcPr>
          <w:p>
            <w:pPr>
              <w:keepNext/>
            </w:pPr>
            <w:r/>
            <w:r>
              <w:rPr>
                <w:rFonts w:ascii="Arial" w:hAnsi="Arial" w:eastAsia="Arial"/>
                <w:b w:val="0"/>
                <w:i w:val="0"/>
                <w:sz w:val="19"/>
              </w:rPr>
              <w:t>Every pumping rule is evaluated against the three hazards at once: more pumping raises intrusion and subsidence but lowers the water table and liquefaction susceptibility.</w:t>
            </w:r>
          </w:p>
        </w:tc>
      </w:tr>
      <w:tr>
        <w:trPr>
          <w:cantSplit/>
        </w:trPr>
        <w:tc>
          <w:tcPr>
            <w:tcW w:type="dxa" w:w="1701"/>
            <w:shd w:val="clear" w:color="auto" w:fill="E6F4EC"/>
          </w:tcPr>
          <w:p>
            <w:pPr>
              <w:keepNext/>
            </w:pPr>
            <w:r>
              <w:rPr>
                <w:b/>
              </w:rPr>
            </w:r>
            <w:r>
              <w:rPr>
                <w:rFonts w:ascii="Arial" w:hAnsi="Arial" w:eastAsia="Arial"/>
                <w:b/>
                <w:i w:val="0"/>
                <w:sz w:val="19"/>
              </w:rPr>
              <w:t>Why it matters</w:t>
            </w:r>
          </w:p>
        </w:tc>
        <w:tc>
          <w:tcPr>
            <w:tcW w:type="dxa" w:w="7937"/>
          </w:tcPr>
          <w:p>
            <w:pPr>
              <w:keepNext/>
            </w:pPr>
            <w:r/>
            <w:r>
              <w:rPr>
                <w:rFonts w:ascii="Arial" w:hAnsi="Arial" w:eastAsia="Arial"/>
                <w:b w:val="0"/>
                <w:i w:val="0"/>
                <w:sz w:val="19"/>
              </w:rPr>
              <w:t>The warning recommends actions that do not shift the risk from one asset to another.</w:t>
            </w:r>
          </w:p>
        </w:tc>
      </w:tr>
      <w:tr>
        <w:trPr>
          <w:cantSplit/>
        </w:trPr>
        <w:tc>
          <w:tcPr>
            <w:tcW w:type="dxa" w:w="1701"/>
            <w:shd w:val="clear" w:color="auto" w:fill="E6F4EC"/>
          </w:tcPr>
          <w:p>
            <w:r>
              <w:rPr>
                <w:b/>
              </w:rPr>
            </w:r>
            <w:r>
              <w:rPr>
                <w:rFonts w:ascii="Arial" w:hAnsi="Arial" w:eastAsia="Arial"/>
                <w:b/>
                <w:i w:val="0"/>
                <w:sz w:val="19"/>
              </w:rPr>
              <w:t>Tested by</w:t>
            </w:r>
          </w:p>
        </w:tc>
        <w:tc>
          <w:tcPr>
            <w:tcW w:type="dxa" w:w="7937"/>
          </w:tcPr>
          <w:p>
            <w:r/>
            <w:r>
              <w:rPr>
                <w:rFonts w:ascii="Arial" w:hAnsi="Arial" w:eastAsia="Arial"/>
                <w:b w:val="0"/>
                <w:i w:val="0"/>
                <w:sz w:val="19"/>
              </w:rPr>
              <w:t>T5.3 (M24–33): the rule keeps the three alarms within their targets together and is agreed with the water utility.</w:t>
            </w:r>
          </w:p>
        </w:tc>
      </w:tr>
    </w:tbl>
    <w:p>
      <w:pPr>
        <w:keepNext/>
        <w:spacing w:after="40" w:before="120"/>
      </w:pPr>
      <w:r>
        <w:rPr>
          <w:rFonts w:ascii="Arial" w:hAnsi="Arial" w:eastAsia="Arial"/>
          <w:b/>
          <w:i w:val="0"/>
          <w:color w:val="1E8A5A"/>
          <w:sz w:val="23"/>
        </w:rPr>
        <w:t>P4  The compaction tipping point as a warning in itself</w:t>
      </w:r>
      <w:r>
        <w:rPr>
          <w:rFonts w:ascii="Arial" w:hAnsi="Arial" w:eastAsia="Arial"/>
          <w:b w:val="0"/>
          <w:i w:val="0"/>
          <w:color w:val="52606D"/>
          <w:sz w:val="19"/>
        </w:rPr>
        <w:t xml:space="preserve">   Physical</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6F4EC"/>
          </w:tcPr>
          <w:p>
            <w:pPr>
              <w:keepNext/>
            </w:pPr>
            <w:r>
              <w:rPr>
                <w:b/>
              </w:rPr>
            </w:r>
            <w:r>
              <w:rPr>
                <w:rFonts w:ascii="Arial" w:hAnsi="Arial" w:eastAsia="Arial"/>
                <w:b/>
                <w:i w:val="0"/>
                <w:sz w:val="19"/>
              </w:rPr>
              <w:t>Today</w:t>
            </w:r>
          </w:p>
        </w:tc>
        <w:tc>
          <w:tcPr>
            <w:tcW w:type="dxa" w:w="7937"/>
          </w:tcPr>
          <w:p>
            <w:pPr>
              <w:keepNext/>
            </w:pPr>
            <w:r/>
            <w:r>
              <w:rPr>
                <w:rFonts w:ascii="Arial" w:hAnsi="Arial" w:eastAsia="Arial"/>
                <w:b w:val="0"/>
                <w:i w:val="0"/>
                <w:sz w:val="19"/>
              </w:rPr>
              <w:t>An abrupt switch to irreversible compaction has been detected with InSAR, GNSS and wells and proposed as an early warning [2]; elastic and inelastic compaction can be separated geodetically [3]. The switch is not yet a formal alarm.</w:t>
            </w:r>
          </w:p>
        </w:tc>
      </w:tr>
      <w:tr>
        <w:trPr>
          <w:cantSplit/>
        </w:trPr>
        <w:tc>
          <w:tcPr>
            <w:tcW w:type="dxa" w:w="1701"/>
            <w:shd w:val="clear" w:color="auto" w:fill="E6F4EC"/>
          </w:tcPr>
          <w:p>
            <w:pPr>
              <w:keepNext/>
            </w:pPr>
            <w:r>
              <w:rPr>
                <w:b/>
              </w:rPr>
            </w:r>
            <w:r>
              <w:rPr>
                <w:rFonts w:ascii="Arial" w:hAnsi="Arial" w:eastAsia="Arial"/>
                <w:b/>
                <w:i w:val="0"/>
                <w:sz w:val="19"/>
              </w:rPr>
              <w:t>What is new</w:t>
            </w:r>
          </w:p>
        </w:tc>
        <w:tc>
          <w:tcPr>
            <w:tcW w:type="dxa" w:w="7937"/>
          </w:tcPr>
          <w:p>
            <w:pPr>
              <w:keepNext/>
            </w:pPr>
            <w:r/>
            <w:r>
              <w:rPr>
                <w:rFonts w:ascii="Arial" w:hAnsi="Arial" w:eastAsia="Arial"/>
                <w:b w:val="0"/>
                <w:i w:val="0"/>
                <w:sz w:val="19"/>
              </w:rPr>
              <w:t>The switch from elastic to inelastic compaction becomes an alarm in itself, and its permanent rise of R(t) is propagated into the intrusion and flooding warnings; a pumping limit h_pc avoids it.</w:t>
            </w:r>
          </w:p>
        </w:tc>
      </w:tr>
      <w:tr>
        <w:trPr>
          <w:cantSplit/>
        </w:trPr>
        <w:tc>
          <w:tcPr>
            <w:tcW w:type="dxa" w:w="1701"/>
            <w:shd w:val="clear" w:color="auto" w:fill="E6F4EC"/>
          </w:tcPr>
          <w:p>
            <w:pPr>
              <w:keepNext/>
            </w:pPr>
            <w:r>
              <w:rPr>
                <w:b/>
              </w:rPr>
            </w:r>
            <w:r>
              <w:rPr>
                <w:rFonts w:ascii="Arial" w:hAnsi="Arial" w:eastAsia="Arial"/>
                <w:b/>
                <w:i w:val="0"/>
                <w:sz w:val="19"/>
              </w:rPr>
              <w:t>Why it matters</w:t>
            </w:r>
          </w:p>
        </w:tc>
        <w:tc>
          <w:tcPr>
            <w:tcW w:type="dxa" w:w="7937"/>
          </w:tcPr>
          <w:p>
            <w:pPr>
              <w:keepNext/>
            </w:pPr>
            <w:r/>
            <w:r>
              <w:rPr>
                <w:rFonts w:ascii="Arial" w:hAnsi="Arial" w:eastAsia="Arial"/>
                <w:b w:val="0"/>
                <w:i w:val="0"/>
                <w:sz w:val="19"/>
              </w:rPr>
              <w:t>An irreversible loss of land elevation is caught before it permanently worsens all three hazards.</w:t>
            </w:r>
          </w:p>
        </w:tc>
      </w:tr>
      <w:tr>
        <w:trPr>
          <w:cantSplit/>
        </w:trPr>
        <w:tc>
          <w:tcPr>
            <w:tcW w:type="dxa" w:w="1701"/>
            <w:shd w:val="clear" w:color="auto" w:fill="E6F4EC"/>
          </w:tcPr>
          <w:p>
            <w:r>
              <w:rPr>
                <w:b/>
              </w:rPr>
            </w:r>
            <w:r>
              <w:rPr>
                <w:rFonts w:ascii="Arial" w:hAnsi="Arial" w:eastAsia="Arial"/>
                <w:b/>
                <w:i w:val="0"/>
                <w:sz w:val="19"/>
              </w:rPr>
              <w:t>Tested by</w:t>
            </w:r>
          </w:p>
        </w:tc>
        <w:tc>
          <w:tcPr>
            <w:tcW w:type="dxa" w:w="7937"/>
          </w:tcPr>
          <w:p>
            <w:r/>
            <w:r>
              <w:rPr>
                <w:rFonts w:ascii="Arial" w:hAnsi="Arial" w:eastAsia="Arial"/>
                <w:b w:val="0"/>
                <w:i w:val="0"/>
                <w:sz w:val="19"/>
              </w:rPr>
              <w:t>T1.3 and D1.1 (M12): elastic and inelastic parameters and the head limit h_pc with uncertainty.</w:t>
            </w:r>
          </w:p>
        </w:tc>
      </w:tr>
    </w:tbl>
    <w:p>
      <w:pPr>
        <w:keepNext/>
        <w:spacing w:after="40" w:before="120"/>
      </w:pPr>
      <w:r>
        <w:rPr>
          <w:rFonts w:ascii="Arial" w:hAnsi="Arial" w:eastAsia="Arial"/>
          <w:b/>
          <w:i w:val="0"/>
          <w:color w:val="1E8A5A"/>
          <w:sz w:val="23"/>
        </w:rPr>
        <w:t>P5  Seismic velocity as a pore-pressure sensor in saturated coastal sediments</w:t>
      </w:r>
      <w:r>
        <w:rPr>
          <w:rFonts w:ascii="Arial" w:hAnsi="Arial" w:eastAsia="Arial"/>
          <w:b w:val="0"/>
          <w:i w:val="0"/>
          <w:color w:val="52606D"/>
          <w:sz w:val="19"/>
        </w:rPr>
        <w:t xml:space="preserve">   Physical</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E6F4EC"/>
          </w:tcPr>
          <w:p>
            <w:pPr>
              <w:keepNext/>
            </w:pPr>
            <w:r>
              <w:rPr>
                <w:b/>
              </w:rPr>
            </w:r>
            <w:r>
              <w:rPr>
                <w:rFonts w:ascii="Arial" w:hAnsi="Arial" w:eastAsia="Arial"/>
                <w:b/>
                <w:i w:val="0"/>
                <w:sz w:val="19"/>
              </w:rPr>
              <w:t>Today</w:t>
            </w:r>
          </w:p>
        </w:tc>
        <w:tc>
          <w:tcPr>
            <w:tcW w:type="dxa" w:w="7937"/>
          </w:tcPr>
          <w:p>
            <w:pPr>
              <w:keepNext/>
            </w:pPr>
            <w:r/>
            <w:r>
              <w:rPr>
                <w:rFonts w:ascii="Arial" w:hAnsi="Arial" w:eastAsia="Arial"/>
                <w:b w:val="0"/>
                <w:i w:val="0"/>
                <w:sz w:val="19"/>
              </w:rPr>
              <w:t>Ambient seismic noise tracks groundwater levels [16], telecom fibre senses soil moisture [17], and twenty years of seismic velocity separate droughts, floods and earthquakes [18], in dry or inland basins. Never used to warn of liquefaction.</w:t>
            </w:r>
          </w:p>
        </w:tc>
      </w:tr>
      <w:tr>
        <w:trPr>
          <w:cantSplit/>
        </w:trPr>
        <w:tc>
          <w:tcPr>
            <w:tcW w:type="dxa" w:w="1701"/>
            <w:shd w:val="clear" w:color="auto" w:fill="E6F4EC"/>
          </w:tcPr>
          <w:p>
            <w:pPr>
              <w:keepNext/>
            </w:pPr>
            <w:r>
              <w:rPr>
                <w:b/>
              </w:rPr>
            </w:r>
            <w:r>
              <w:rPr>
                <w:rFonts w:ascii="Arial" w:hAnsi="Arial" w:eastAsia="Arial"/>
                <w:b/>
                <w:i w:val="0"/>
                <w:sz w:val="19"/>
              </w:rPr>
              <w:t>What is new</w:t>
            </w:r>
          </w:p>
        </w:tc>
        <w:tc>
          <w:tcPr>
            <w:tcW w:type="dxa" w:w="7937"/>
          </w:tcPr>
          <w:p>
            <w:pPr>
              <w:keepNext/>
            </w:pPr>
            <w:r/>
            <w:r>
              <w:rPr>
                <w:rFonts w:ascii="Arial" w:hAnsi="Arial" w:eastAsia="Arial"/>
                <w:b w:val="0"/>
                <w:i w:val="0"/>
                <w:sz w:val="19"/>
              </w:rPr>
              <w:t>Seismic velocity change is calibrated as a pore-pressure and water-table sensor in saturated coastal sediments at the port and the landfall.</w:t>
            </w:r>
          </w:p>
        </w:tc>
      </w:tr>
      <w:tr>
        <w:trPr>
          <w:cantSplit/>
        </w:trPr>
        <w:tc>
          <w:tcPr>
            <w:tcW w:type="dxa" w:w="1701"/>
            <w:shd w:val="clear" w:color="auto" w:fill="E6F4EC"/>
          </w:tcPr>
          <w:p>
            <w:pPr>
              <w:keepNext/>
            </w:pPr>
            <w:r>
              <w:rPr>
                <w:b/>
              </w:rPr>
            </w:r>
            <w:r>
              <w:rPr>
                <w:rFonts w:ascii="Arial" w:hAnsi="Arial" w:eastAsia="Arial"/>
                <w:b/>
                <w:i w:val="0"/>
                <w:sz w:val="19"/>
              </w:rPr>
              <w:t>Why it matters</w:t>
            </w:r>
          </w:p>
        </w:tc>
        <w:tc>
          <w:tcPr>
            <w:tcW w:type="dxa" w:w="7937"/>
          </w:tcPr>
          <w:p>
            <w:pPr>
              <w:keepNext/>
            </w:pPr>
            <w:r/>
            <w:r>
              <w:rPr>
                <w:rFonts w:ascii="Arial" w:hAnsi="Arial" w:eastAsia="Arial"/>
                <w:b w:val="0"/>
                <w:i w:val="0"/>
                <w:sz w:val="19"/>
              </w:rPr>
              <w:t>A dense, low-cost view of the water table where liquefaction matters, from stations and fibre that already exist.</w:t>
            </w:r>
          </w:p>
        </w:tc>
      </w:tr>
      <w:tr>
        <w:trPr>
          <w:cantSplit/>
        </w:trPr>
        <w:tc>
          <w:tcPr>
            <w:tcW w:type="dxa" w:w="1701"/>
            <w:shd w:val="clear" w:color="auto" w:fill="E6F4EC"/>
          </w:tcPr>
          <w:p>
            <w:r>
              <w:rPr>
                <w:b/>
              </w:rPr>
            </w:r>
            <w:r>
              <w:rPr>
                <w:rFonts w:ascii="Arial" w:hAnsi="Arial" w:eastAsia="Arial"/>
                <w:b/>
                <w:i w:val="0"/>
                <w:sz w:val="19"/>
              </w:rPr>
              <w:t>Tested by</w:t>
            </w:r>
          </w:p>
        </w:tc>
        <w:tc>
          <w:tcPr>
            <w:tcW w:type="dxa" w:w="7937"/>
          </w:tcPr>
          <w:p>
            <w:r/>
            <w:r>
              <w:rPr>
                <w:rFonts w:ascii="Arial" w:hAnsi="Arial" w:eastAsia="Arial"/>
                <w:b w:val="0"/>
                <w:i w:val="0"/>
                <w:sz w:val="19"/>
              </w:rPr>
              <w:t>T4.4 (M12–24): relation significant against piezometers at the port or landfall; fallback: piezometers alone.</w:t>
            </w:r>
          </w:p>
        </w:tc>
      </w:tr>
    </w:tbl>
    <w:p>
      <w:pPr>
        <w:keepNext/>
        <w:spacing w:after="40" w:before="120"/>
      </w:pPr>
      <w:r>
        <w:rPr>
          <w:rFonts w:ascii="Arial" w:hAnsi="Arial" w:eastAsia="Arial"/>
          <w:b/>
          <w:i w:val="0"/>
          <w:color w:val="B45309"/>
          <w:sz w:val="23"/>
        </w:rPr>
        <w:t>V1  A certified value of the warning for each user</w:t>
      </w:r>
      <w:r>
        <w:rPr>
          <w:rFonts w:ascii="Arial" w:hAnsi="Arial" w:eastAsia="Arial"/>
          <w:b w:val="0"/>
          <w:i w:val="0"/>
          <w:color w:val="52606D"/>
          <w:sz w:val="19"/>
        </w:rPr>
        <w:t xml:space="preserve">   Decision value</w:t>
      </w:r>
    </w:p>
    <w:tbl>
      <w:tblPr>
        <w:tblStyle w:val="TableGrid"/>
        <w:tblW w:type="auto" w:w="0"/>
        <w:jc w:val="center"/>
        <w:tblLayout w:type="fixed"/>
        <w:tblLook w:firstColumn="1" w:firstRow="1" w:lastColumn="0" w:lastRow="0" w:noHBand="0" w:noVBand="1" w:val="04A0"/>
        <w:tblLayout w:type="fixed"/>
      </w:tblPr>
      <w:tblGrid>
        <w:gridCol w:w="1701"/>
        <w:gridCol w:w="7937"/>
      </w:tblGrid>
      <w:tr>
        <w:trPr>
          <w:cantSplit/>
        </w:trPr>
        <w:tc>
          <w:tcPr>
            <w:tcW w:type="dxa" w:w="1701"/>
            <w:shd w:val="clear" w:color="auto" w:fill="FCEBD9"/>
          </w:tcPr>
          <w:p>
            <w:pPr>
              <w:keepNext/>
            </w:pPr>
            <w:r>
              <w:rPr>
                <w:b/>
              </w:rPr>
            </w:r>
            <w:r>
              <w:rPr>
                <w:rFonts w:ascii="Arial" w:hAnsi="Arial" w:eastAsia="Arial"/>
                <w:b/>
                <w:i w:val="0"/>
                <w:sz w:val="19"/>
              </w:rPr>
              <w:t>Today</w:t>
            </w:r>
          </w:p>
        </w:tc>
        <w:tc>
          <w:tcPr>
            <w:tcW w:type="dxa" w:w="7937"/>
          </w:tcPr>
          <w:p>
            <w:pPr>
              <w:keepNext/>
            </w:pPr>
            <w:r/>
            <w:r>
              <w:rPr>
                <w:rFonts w:ascii="Arial" w:hAnsi="Arial" w:eastAsia="Arial"/>
                <w:b w:val="0"/>
                <w:i w:val="0"/>
                <w:sz w:val="19"/>
              </w:rPr>
              <w:t>The cost-loss model gives the relative economic value of a forecast for a user [a, b], computed after the fact from verification data.</w:t>
            </w:r>
          </w:p>
        </w:tc>
      </w:tr>
      <w:tr>
        <w:trPr>
          <w:cantSplit/>
        </w:trPr>
        <w:tc>
          <w:tcPr>
            <w:tcW w:type="dxa" w:w="1701"/>
            <w:shd w:val="clear" w:color="auto" w:fill="FCEBD9"/>
          </w:tcPr>
          <w:p>
            <w:pPr>
              <w:keepNext/>
            </w:pPr>
            <w:r>
              <w:rPr>
                <w:b/>
              </w:rPr>
            </w:r>
            <w:r>
              <w:rPr>
                <w:rFonts w:ascii="Arial" w:hAnsi="Arial" w:eastAsia="Arial"/>
                <w:b/>
                <w:i w:val="0"/>
                <w:sz w:val="19"/>
              </w:rPr>
              <w:t>What is new</w:t>
            </w:r>
          </w:p>
        </w:tc>
        <w:tc>
          <w:tcPr>
            <w:tcW w:type="dxa" w:w="7937"/>
          </w:tcPr>
          <w:p>
            <w:pPr>
              <w:keepNext/>
            </w:pPr>
            <w:r/>
            <w:r>
              <w:rPr>
                <w:rFonts w:ascii="Arial" w:hAnsi="Arial" w:eastAsia="Arial"/>
                <w:b w:val="0"/>
                <w:i w:val="0"/>
                <w:sz w:val="19"/>
              </w:rPr>
              <w:t>Because the miss rate is certified, each user's relative value has a guaranteed lower bound, V ≥ 1 − (rF(1−s) + αₖs(1−r)) / (min(r, s) − rs), known before live operation for every cost-loss ratio r (Impact, Section 5).</w:t>
            </w:r>
          </w:p>
        </w:tc>
      </w:tr>
      <w:tr>
        <w:trPr>
          <w:cantSplit/>
        </w:trPr>
        <w:tc>
          <w:tcPr>
            <w:tcW w:type="dxa" w:w="1701"/>
            <w:shd w:val="clear" w:color="auto" w:fill="FCEBD9"/>
          </w:tcPr>
          <w:p>
            <w:pPr>
              <w:keepNext/>
            </w:pPr>
            <w:r>
              <w:rPr>
                <w:b/>
              </w:rPr>
            </w:r>
            <w:r>
              <w:rPr>
                <w:rFonts w:ascii="Arial" w:hAnsi="Arial" w:eastAsia="Arial"/>
                <w:b/>
                <w:i w:val="0"/>
                <w:sz w:val="19"/>
              </w:rPr>
              <w:t>Why it matters</w:t>
            </w:r>
          </w:p>
        </w:tc>
        <w:tc>
          <w:tcPr>
            <w:tcW w:type="dxa" w:w="7937"/>
          </w:tcPr>
          <w:p>
            <w:pPr>
              <w:keepNext/>
            </w:pPr>
            <w:r/>
            <w:r>
              <w:rPr>
                <w:rFonts w:ascii="Arial" w:hAnsi="Arial" w:eastAsia="Arial"/>
                <w:b w:val="0"/>
                <w:i w:val="0"/>
                <w:sz w:val="19"/>
              </w:rPr>
              <w:t>Each operator knows in advance what the warning is at least worth for its own decision.</w:t>
            </w:r>
          </w:p>
        </w:tc>
      </w:tr>
      <w:tr>
        <w:trPr>
          <w:cantSplit/>
        </w:trPr>
        <w:tc>
          <w:tcPr>
            <w:tcW w:type="dxa" w:w="1701"/>
            <w:shd w:val="clear" w:color="auto" w:fill="FCEBD9"/>
          </w:tcPr>
          <w:p>
            <w:r>
              <w:rPr>
                <w:b/>
              </w:rPr>
            </w:r>
            <w:r>
              <w:rPr>
                <w:rFonts w:ascii="Arial" w:hAnsi="Arial" w:eastAsia="Arial"/>
                <w:b/>
                <w:i w:val="0"/>
                <w:sz w:val="19"/>
              </w:rPr>
              <w:t>Tested by</w:t>
            </w:r>
          </w:p>
        </w:tc>
        <w:tc>
          <w:tcPr>
            <w:tcW w:type="dxa" w:w="7937"/>
          </w:tcPr>
          <w:p>
            <w:r/>
            <w:r>
              <w:rPr>
                <w:rFonts w:ascii="Arial" w:hAnsi="Arial" w:eastAsia="Arial"/>
                <w:b w:val="0"/>
                <w:i w:val="0"/>
                <w:sz w:val="19"/>
              </w:rPr>
              <w:t>T3.1 (cost-loss ratios agreed, M13–15); D5.1 (M34): bound reported for each user and compared with the observed value.</w:t>
            </w:r>
          </w:p>
        </w:tc>
      </w:tr>
    </w:tbl>
    <w:p>
      <w:pPr>
        <w:keepNext/>
        <w:spacing w:after="120" w:before="200"/>
      </w:pPr>
      <w:r>
        <w:rPr>
          <w:rFonts w:ascii="Arial" w:hAnsi="Arial" w:eastAsia="Arial"/>
          <w:b/>
          <w:i w:val="0"/>
          <w:color w:val="1F3864"/>
          <w:sz w:val="27"/>
        </w:rPr>
        <w:t>4. Preliminary evidence</w:t>
      </w:r>
    </w:p>
    <w:p>
      <w:pPr>
        <w:keepNext/>
        <w:spacing w:after="80" w:before="0"/>
        <w:jc w:val="both"/>
      </w:pPr>
      <w:r>
        <w:rPr>
          <w:rFonts w:ascii="Arial" w:hAnsi="Arial" w:eastAsia="Arial"/>
          <w:b w:val="0"/>
          <w:i w:val="0"/>
          <w:sz w:val="21"/>
        </w:rPr>
        <w:t xml:space="preserve">In preparatory synthetic tests on a coupled variable-density model, an extreme-aware margin (the third part of M1) kept the share of seasons above the chloride limit at </w:t>
      </w:r>
      <w:r>
        <w:rPr>
          <w:rFonts w:ascii="Arial" w:hAnsi="Arial" w:eastAsia="Arial"/>
          <w:b/>
          <w:i w:val="0"/>
          <w:sz w:val="21"/>
        </w:rPr>
        <w:t>4–9%</w:t>
      </w:r>
      <w:r>
        <w:rPr>
          <w:rFonts w:ascii="Arial" w:hAnsi="Arial" w:eastAsia="Arial"/>
          <w:b w:val="0"/>
          <w:i w:val="0"/>
          <w:sz w:val="21"/>
        </w:rPr>
        <w:t xml:space="preserve"> across drought, human-feedback and compound storylines, where a static alarm allowed </w:t>
      </w:r>
      <w:r>
        <w:rPr>
          <w:rFonts w:ascii="Arial" w:hAnsi="Arial" w:eastAsia="Arial"/>
          <w:b/>
          <w:i w:val="0"/>
          <w:sz w:val="21"/>
        </w:rPr>
        <w:t>13–21%</w:t>
      </w:r>
      <w:r>
        <w:rPr>
          <w:rFonts w:ascii="Arial" w:hAnsi="Arial" w:eastAsia="Arial"/>
          <w:b w:val="0"/>
          <w:i w:val="0"/>
          <w:sz w:val="21"/>
        </w:rPr>
        <w:t xml:space="preserve"> (Figure 2). The value bound of V1 was checked against a direct calculation of the cost-loss model (Impact, Section 5).</w:t>
      </w:r>
    </w:p>
    <w:p>
      <w:pPr>
        <w:keepNext/>
        <w:spacing w:after="40" w:before="0"/>
        <w:jc w:val="center"/>
      </w:pPr>
      <w:r>
        <w:drawing>
          <wp:inline xmlns:a="http://schemas.openxmlformats.org/drawingml/2006/main" xmlns:pic="http://schemas.openxmlformats.org/drawingml/2006/picture">
            <wp:extent cx="5580000" cy="1624030"/>
            <wp:docPr id="2" name="Picture 2"/>
            <wp:cNvGraphicFramePr>
              <a:graphicFrameLocks noChangeAspect="1"/>
            </wp:cNvGraphicFramePr>
            <a:graphic>
              <a:graphicData uri="http://schemas.openxmlformats.org/drawingml/2006/picture">
                <pic:pic>
                  <pic:nvPicPr>
                    <pic:cNvPr id="0" name="fig_evidence.png"/>
                    <pic:cNvPicPr/>
                  </pic:nvPicPr>
                  <pic:blipFill>
                    <a:blip r:embed="rId10"/>
                    <a:stretch>
                      <a:fillRect/>
                    </a:stretch>
                  </pic:blipFill>
                  <pic:spPr>
                    <a:xfrm>
                      <a:off x="0" y="0"/>
                      <a:ext cx="5580000" cy="1624030"/>
                    </a:xfrm>
                    <a:prstGeom prst="rect"/>
                  </pic:spPr>
                </pic:pic>
              </a:graphicData>
            </a:graphic>
          </wp:inline>
        </w:drawing>
      </w:r>
    </w:p>
    <w:p>
      <w:pPr>
        <w:spacing w:after="80" w:before="0"/>
      </w:pPr>
      <w:r>
        <w:rPr>
          <w:rFonts w:ascii="Arial" w:hAnsi="Arial" w:eastAsia="Arial"/>
          <w:b w:val="0"/>
          <w:i/>
          <w:color w:val="52606D"/>
          <w:sz w:val="19"/>
        </w:rPr>
        <w:t>Figure 2. Preparatory synthetic result: range over storylines of the share of seasons above the chloride limit. These are tests on a synthetic coast, not results at Durrës.</w:t>
      </w:r>
    </w:p>
    <w:p>
      <w:pPr>
        <w:keepNext/>
        <w:spacing w:after="120" w:before="200"/>
      </w:pPr>
      <w:r>
        <w:rPr>
          <w:rFonts w:ascii="Arial" w:hAnsi="Arial" w:eastAsia="Arial"/>
          <w:b/>
          <w:i w:val="0"/>
          <w:color w:val="1F3864"/>
          <w:sz w:val="27"/>
        </w:rPr>
        <w:t>5. Readiness now and at the end of the project</w:t>
      </w:r>
    </w:p>
    <w:p>
      <w:pPr>
        <w:keepNext/>
        <w:spacing w:after="80" w:before="0"/>
        <w:jc w:val="both"/>
      </w:pPr>
      <w:r>
        <w:rPr>
          <w:rFonts w:ascii="Arial" w:hAnsi="Arial" w:eastAsia="Arial"/>
          <w:b w:val="0"/>
          <w:i w:val="0"/>
          <w:sz w:val="21"/>
        </w:rPr>
        <w:t>Technology readiness levels (TRL) on the EU definitions [c]: TRL 2 technology concept formulated, TRL 3 experimental proof of concept, TRL 6 technology demonstrated in a relevant environment, TRL 7 system prototype demonstration in an operational environment. Levels are the consortium's estimates.</w:t>
      </w:r>
    </w:p>
    <w:tbl>
      <w:tblPr>
        <w:tblStyle w:val="TableGrid"/>
        <w:tblW w:type="auto" w:w="0"/>
        <w:jc w:val="center"/>
        <w:tblLayout w:type="fixed"/>
        <w:tblLook w:firstColumn="1" w:firstRow="1" w:lastColumn="0" w:lastRow="0" w:noHBand="0" w:noVBand="1" w:val="04A0"/>
        <w:tblLayout w:type="fixed"/>
      </w:tblPr>
      <w:tblGrid>
        <w:gridCol w:w="2608"/>
        <w:gridCol w:w="1361"/>
        <w:gridCol w:w="850"/>
        <w:gridCol w:w="907"/>
        <w:gridCol w:w="3912"/>
      </w:tblGrid>
      <w:tr>
        <w:trPr>
          <w:cantSplit/>
          <w:tblHeader/>
        </w:trPr>
        <w:tc>
          <w:tcPr>
            <w:tcW w:type="dxa" w:w="2608"/>
            <w:shd w:val="clear" w:color="auto" w:fill="1F3864"/>
          </w:tcPr>
          <w:p>
            <w:r/>
            <w:r>
              <w:rPr>
                <w:rFonts w:ascii="Arial" w:hAnsi="Arial" w:eastAsia="Arial"/>
                <w:b/>
                <w:i w:val="0"/>
                <w:color w:val="FFFFFF"/>
                <w:sz w:val="18"/>
              </w:rPr>
              <w:t>Component</w:t>
            </w:r>
          </w:p>
        </w:tc>
        <w:tc>
          <w:tcPr>
            <w:tcW w:type="dxa" w:w="1361"/>
            <w:shd w:val="clear" w:color="auto" w:fill="1F3864"/>
          </w:tcPr>
          <w:p>
            <w:r/>
            <w:r>
              <w:rPr>
                <w:rFonts w:ascii="Arial" w:hAnsi="Arial" w:eastAsia="Arial"/>
                <w:b/>
                <w:i w:val="0"/>
                <w:color w:val="FFFFFF"/>
                <w:sz w:val="18"/>
              </w:rPr>
              <w:t>Innovations</w:t>
            </w:r>
          </w:p>
        </w:tc>
        <w:tc>
          <w:tcPr>
            <w:tcW w:type="dxa" w:w="850"/>
            <w:shd w:val="clear" w:color="auto" w:fill="1F3864"/>
          </w:tcPr>
          <w:p>
            <w:r/>
            <w:r>
              <w:rPr>
                <w:rFonts w:ascii="Arial" w:hAnsi="Arial" w:eastAsia="Arial"/>
                <w:b/>
                <w:i w:val="0"/>
                <w:color w:val="FFFFFF"/>
                <w:sz w:val="18"/>
              </w:rPr>
              <w:t>TRL now</w:t>
            </w:r>
          </w:p>
        </w:tc>
        <w:tc>
          <w:tcPr>
            <w:tcW w:type="dxa" w:w="907"/>
            <w:shd w:val="clear" w:color="auto" w:fill="1F3864"/>
          </w:tcPr>
          <w:p>
            <w:r/>
            <w:r>
              <w:rPr>
                <w:rFonts w:ascii="Arial" w:hAnsi="Arial" w:eastAsia="Arial"/>
                <w:b/>
                <w:i w:val="0"/>
                <w:color w:val="FFFFFF"/>
                <w:sz w:val="18"/>
              </w:rPr>
              <w:t>TRL M36</w:t>
            </w:r>
          </w:p>
        </w:tc>
        <w:tc>
          <w:tcPr>
            <w:tcW w:type="dxa" w:w="3912"/>
            <w:shd w:val="clear" w:color="auto" w:fill="1F3864"/>
          </w:tcPr>
          <w:p>
            <w:r/>
            <w:r>
              <w:rPr>
                <w:rFonts w:ascii="Arial" w:hAnsi="Arial" w:eastAsia="Arial"/>
                <w:b/>
                <w:i w:val="0"/>
                <w:color w:val="FFFFFF"/>
                <w:sz w:val="18"/>
              </w:rPr>
              <w:t>Evidence behind the step</w:t>
            </w:r>
          </w:p>
        </w:tc>
      </w:tr>
      <w:tr>
        <w:trPr>
          <w:cantSplit/>
        </w:trPr>
        <w:tc>
          <w:tcPr>
            <w:tcW w:type="dxa" w:w="2608"/>
          </w:tcPr>
          <w:p>
            <w:r/>
            <w:r>
              <w:rPr>
                <w:rFonts w:ascii="Arial" w:hAnsi="Arial" w:eastAsia="Arial"/>
                <w:b w:val="0"/>
                <w:i w:val="0"/>
                <w:sz w:val="18"/>
              </w:rPr>
              <w:t>Certified multi-hazard warning system as a whole</w:t>
            </w:r>
          </w:p>
        </w:tc>
        <w:tc>
          <w:tcPr>
            <w:tcW w:type="dxa" w:w="1361"/>
          </w:tcPr>
          <w:p>
            <w:r/>
            <w:r>
              <w:rPr>
                <w:rFonts w:ascii="Arial" w:hAnsi="Arial" w:eastAsia="Arial"/>
                <w:b w:val="0"/>
                <w:i w:val="0"/>
                <w:sz w:val="18"/>
              </w:rPr>
              <w:t>M1–M5, P1–P5</w:t>
            </w:r>
          </w:p>
        </w:tc>
        <w:tc>
          <w:tcPr>
            <w:tcW w:type="dxa" w:w="850"/>
            <w:shd w:val="clear" w:color="auto" w:fill="EEF0F2"/>
          </w:tcPr>
          <w:p>
            <w:r/>
            <w:r>
              <w:rPr>
                <w:rFonts w:ascii="Arial" w:hAnsi="Arial" w:eastAsia="Arial"/>
                <w:b w:val="0"/>
                <w:i w:val="0"/>
                <w:sz w:val="18"/>
              </w:rPr>
              <w:t>3</w:t>
            </w:r>
          </w:p>
        </w:tc>
        <w:tc>
          <w:tcPr>
            <w:tcW w:type="dxa" w:w="907"/>
            <w:shd w:val="clear" w:color="auto" w:fill="E6F4EC"/>
          </w:tcPr>
          <w:p>
            <w:r/>
            <w:r>
              <w:rPr>
                <w:rFonts w:ascii="Arial" w:hAnsi="Arial" w:eastAsia="Arial"/>
                <w:b w:val="0"/>
                <w:i w:val="0"/>
                <w:sz w:val="18"/>
              </w:rPr>
              <w:t>7</w:t>
            </w:r>
          </w:p>
        </w:tc>
        <w:tc>
          <w:tcPr>
            <w:tcW w:type="dxa" w:w="3912"/>
          </w:tcPr>
          <w:p>
            <w:r/>
            <w:r>
              <w:rPr>
                <w:rFonts w:ascii="Arial" w:hAnsi="Arial" w:eastAsia="Arial"/>
                <w:b w:val="0"/>
                <w:i w:val="0"/>
                <w:sz w:val="18"/>
              </w:rPr>
              <w:t>Proof of concept on a synthetic coast → twelve months of live operation with the operators</w:t>
            </w:r>
          </w:p>
        </w:tc>
      </w:tr>
      <w:tr>
        <w:trPr>
          <w:cantSplit/>
        </w:trPr>
        <w:tc>
          <w:tcPr>
            <w:tcW w:type="dxa" w:w="2608"/>
          </w:tcPr>
          <w:p>
            <w:r/>
            <w:r>
              <w:rPr>
                <w:rFonts w:ascii="Arial" w:hAnsi="Arial" w:eastAsia="Arial"/>
                <w:b w:val="0"/>
                <w:i w:val="0"/>
                <w:sz w:val="18"/>
              </w:rPr>
              <w:t>Certified alarm margin and joint guarantee</w:t>
            </w:r>
          </w:p>
        </w:tc>
        <w:tc>
          <w:tcPr>
            <w:tcW w:type="dxa" w:w="1361"/>
          </w:tcPr>
          <w:p>
            <w:r/>
            <w:r>
              <w:rPr>
                <w:rFonts w:ascii="Arial" w:hAnsi="Arial" w:eastAsia="Arial"/>
                <w:b w:val="0"/>
                <w:i w:val="0"/>
                <w:sz w:val="18"/>
              </w:rPr>
              <w:t>M1, M2</w:t>
            </w:r>
          </w:p>
        </w:tc>
        <w:tc>
          <w:tcPr>
            <w:tcW w:type="dxa" w:w="850"/>
            <w:shd w:val="clear" w:color="auto" w:fill="EEF0F2"/>
          </w:tcPr>
          <w:p>
            <w:r/>
            <w:r>
              <w:rPr>
                <w:rFonts w:ascii="Arial" w:hAnsi="Arial" w:eastAsia="Arial"/>
                <w:b w:val="0"/>
                <w:i w:val="0"/>
                <w:sz w:val="18"/>
              </w:rPr>
              <w:t>3</w:t>
            </w:r>
          </w:p>
        </w:tc>
        <w:tc>
          <w:tcPr>
            <w:tcW w:type="dxa" w:w="907"/>
            <w:shd w:val="clear" w:color="auto" w:fill="E6F4EC"/>
          </w:tcPr>
          <w:p>
            <w:r/>
            <w:r>
              <w:rPr>
                <w:rFonts w:ascii="Arial" w:hAnsi="Arial" w:eastAsia="Arial"/>
                <w:b w:val="0"/>
                <w:i w:val="0"/>
                <w:sz w:val="18"/>
              </w:rPr>
              <w:t>7</w:t>
            </w:r>
          </w:p>
        </w:tc>
        <w:tc>
          <w:tcPr>
            <w:tcW w:type="dxa" w:w="3912"/>
          </w:tcPr>
          <w:p>
            <w:r/>
            <w:r>
              <w:rPr>
                <w:rFonts w:ascii="Arial" w:hAnsi="Arial" w:eastAsia="Arial"/>
                <w:b w:val="0"/>
                <w:i w:val="0"/>
                <w:sz w:val="18"/>
              </w:rPr>
              <w:t>Synthetic tests (4–9% vs 13–21%) → back-tested and verified live</w:t>
            </w:r>
          </w:p>
        </w:tc>
      </w:tr>
      <w:tr>
        <w:trPr>
          <w:cantSplit/>
        </w:trPr>
        <w:tc>
          <w:tcPr>
            <w:tcW w:type="dxa" w:w="2608"/>
          </w:tcPr>
          <w:p>
            <w:r/>
            <w:r>
              <w:rPr>
                <w:rFonts w:ascii="Arial" w:hAnsi="Arial" w:eastAsia="Arial"/>
                <w:b w:val="0"/>
                <w:i w:val="0"/>
                <w:sz w:val="18"/>
              </w:rPr>
              <w:t>Error-certified surrogate of the coupled model</w:t>
            </w:r>
          </w:p>
        </w:tc>
        <w:tc>
          <w:tcPr>
            <w:tcW w:type="dxa" w:w="1361"/>
          </w:tcPr>
          <w:p>
            <w:r/>
            <w:r>
              <w:rPr>
                <w:rFonts w:ascii="Arial" w:hAnsi="Arial" w:eastAsia="Arial"/>
                <w:b w:val="0"/>
                <w:i w:val="0"/>
                <w:sz w:val="18"/>
              </w:rPr>
              <w:t>M4</w:t>
            </w:r>
          </w:p>
        </w:tc>
        <w:tc>
          <w:tcPr>
            <w:tcW w:type="dxa" w:w="850"/>
            <w:shd w:val="clear" w:color="auto" w:fill="EEF0F2"/>
          </w:tcPr>
          <w:p>
            <w:r/>
            <w:r>
              <w:rPr>
                <w:rFonts w:ascii="Arial" w:hAnsi="Arial" w:eastAsia="Arial"/>
                <w:b w:val="0"/>
                <w:i w:val="0"/>
                <w:sz w:val="18"/>
              </w:rPr>
              <w:t>3</w:t>
            </w:r>
          </w:p>
        </w:tc>
        <w:tc>
          <w:tcPr>
            <w:tcW w:type="dxa" w:w="907"/>
            <w:shd w:val="clear" w:color="auto" w:fill="E6F4EC"/>
          </w:tcPr>
          <w:p>
            <w:r/>
            <w:r>
              <w:rPr>
                <w:rFonts w:ascii="Arial" w:hAnsi="Arial" w:eastAsia="Arial"/>
                <w:b w:val="0"/>
                <w:i w:val="0"/>
                <w:sz w:val="18"/>
              </w:rPr>
              <w:t>7</w:t>
            </w:r>
          </w:p>
        </w:tc>
        <w:tc>
          <w:tcPr>
            <w:tcW w:type="dxa" w:w="3912"/>
          </w:tcPr>
          <w:p>
            <w:r/>
            <w:r>
              <w:rPr>
                <w:rFonts w:ascii="Arial" w:hAnsi="Arial" w:eastAsia="Arial"/>
                <w:b w:val="0"/>
                <w:i w:val="0"/>
                <w:sz w:val="18"/>
              </w:rPr>
              <w:t>Method components published → used for every live forecast</w:t>
            </w:r>
          </w:p>
        </w:tc>
      </w:tr>
      <w:tr>
        <w:trPr>
          <w:cantSplit/>
        </w:trPr>
        <w:tc>
          <w:tcPr>
            <w:tcW w:type="dxa" w:w="2608"/>
          </w:tcPr>
          <w:p>
            <w:r/>
            <w:r>
              <w:rPr>
                <w:rFonts w:ascii="Arial" w:hAnsi="Arial" w:eastAsia="Arial"/>
                <w:b w:val="0"/>
                <w:i w:val="0"/>
                <w:sz w:val="18"/>
              </w:rPr>
              <w:t>Coupled model with R(t), FS(x,t) and compaction</w:t>
            </w:r>
          </w:p>
        </w:tc>
        <w:tc>
          <w:tcPr>
            <w:tcW w:type="dxa" w:w="1361"/>
          </w:tcPr>
          <w:p>
            <w:r/>
            <w:r>
              <w:rPr>
                <w:rFonts w:ascii="Arial" w:hAnsi="Arial" w:eastAsia="Arial"/>
                <w:b w:val="0"/>
                <w:i w:val="0"/>
                <w:sz w:val="18"/>
              </w:rPr>
              <w:t>P1, P2, P4</w:t>
            </w:r>
          </w:p>
        </w:tc>
        <w:tc>
          <w:tcPr>
            <w:tcW w:type="dxa" w:w="850"/>
            <w:shd w:val="clear" w:color="auto" w:fill="EEF0F2"/>
          </w:tcPr>
          <w:p>
            <w:r/>
            <w:r>
              <w:rPr>
                <w:rFonts w:ascii="Arial" w:hAnsi="Arial" w:eastAsia="Arial"/>
                <w:b w:val="0"/>
                <w:i w:val="0"/>
                <w:sz w:val="18"/>
              </w:rPr>
              <w:t>3</w:t>
            </w:r>
          </w:p>
        </w:tc>
        <w:tc>
          <w:tcPr>
            <w:tcW w:type="dxa" w:w="907"/>
            <w:shd w:val="clear" w:color="auto" w:fill="E6F4EC"/>
          </w:tcPr>
          <w:p>
            <w:r/>
            <w:r>
              <w:rPr>
                <w:rFonts w:ascii="Arial" w:hAnsi="Arial" w:eastAsia="Arial"/>
                <w:b w:val="0"/>
                <w:i w:val="0"/>
                <w:sz w:val="18"/>
              </w:rPr>
              <w:t>7</w:t>
            </w:r>
          </w:p>
        </w:tc>
        <w:tc>
          <w:tcPr>
            <w:tcW w:type="dxa" w:w="3912"/>
          </w:tcPr>
          <w:p>
            <w:r/>
            <w:r>
              <w:rPr>
                <w:rFonts w:ascii="Arial" w:hAnsi="Arial" w:eastAsia="Arial"/>
                <w:b w:val="0"/>
                <w:i w:val="0"/>
                <w:sz w:val="18"/>
              </w:rPr>
              <w:t>Preparatory coupled model → calibrated at the site and run live</w:t>
            </w:r>
          </w:p>
        </w:tc>
      </w:tr>
      <w:tr>
        <w:trPr>
          <w:cantSplit/>
        </w:trPr>
        <w:tc>
          <w:tcPr>
            <w:tcW w:type="dxa" w:w="2608"/>
          </w:tcPr>
          <w:p>
            <w:r/>
            <w:r>
              <w:rPr>
                <w:rFonts w:ascii="Arial" w:hAnsi="Arial" w:eastAsia="Arial"/>
                <w:b w:val="0"/>
                <w:i w:val="0"/>
                <w:sz w:val="18"/>
              </w:rPr>
              <w:t>Multi-hazard sensor design</w:t>
            </w:r>
          </w:p>
        </w:tc>
        <w:tc>
          <w:tcPr>
            <w:tcW w:type="dxa" w:w="1361"/>
          </w:tcPr>
          <w:p>
            <w:r/>
            <w:r>
              <w:rPr>
                <w:rFonts w:ascii="Arial" w:hAnsi="Arial" w:eastAsia="Arial"/>
                <w:b w:val="0"/>
                <w:i w:val="0"/>
                <w:sz w:val="18"/>
              </w:rPr>
              <w:t>M3</w:t>
            </w:r>
          </w:p>
        </w:tc>
        <w:tc>
          <w:tcPr>
            <w:tcW w:type="dxa" w:w="850"/>
            <w:shd w:val="clear" w:color="auto" w:fill="EEF0F2"/>
          </w:tcPr>
          <w:p>
            <w:r/>
            <w:r>
              <w:rPr>
                <w:rFonts w:ascii="Arial" w:hAnsi="Arial" w:eastAsia="Arial"/>
                <w:b w:val="0"/>
                <w:i w:val="0"/>
                <w:sz w:val="18"/>
              </w:rPr>
              <w:t>3</w:t>
            </w:r>
          </w:p>
        </w:tc>
        <w:tc>
          <w:tcPr>
            <w:tcW w:type="dxa" w:w="907"/>
            <w:shd w:val="clear" w:color="auto" w:fill="E6F4EC"/>
          </w:tcPr>
          <w:p>
            <w:r/>
            <w:r>
              <w:rPr>
                <w:rFonts w:ascii="Arial" w:hAnsi="Arial" w:eastAsia="Arial"/>
                <w:b w:val="0"/>
                <w:i w:val="0"/>
                <w:sz w:val="18"/>
              </w:rPr>
              <w:t>7</w:t>
            </w:r>
          </w:p>
        </w:tc>
        <w:tc>
          <w:tcPr>
            <w:tcW w:type="dxa" w:w="3912"/>
          </w:tcPr>
          <w:p>
            <w:r/>
            <w:r>
              <w:rPr>
                <w:rFonts w:ascii="Arial" w:hAnsi="Arial" w:eastAsia="Arial"/>
                <w:b w:val="0"/>
                <w:i w:val="0"/>
                <w:sz w:val="18"/>
              </w:rPr>
              <w:t>Theory and preparatory design → network installed and streaming</w:t>
            </w:r>
          </w:p>
        </w:tc>
      </w:tr>
      <w:tr>
        <w:trPr>
          <w:cantSplit/>
        </w:trPr>
        <w:tc>
          <w:tcPr>
            <w:tcW w:type="dxa" w:w="2608"/>
          </w:tcPr>
          <w:p>
            <w:r/>
            <w:r>
              <w:rPr>
                <w:rFonts w:ascii="Arial" w:hAnsi="Arial" w:eastAsia="Arial"/>
                <w:b w:val="0"/>
                <w:i w:val="0"/>
                <w:sz w:val="18"/>
              </w:rPr>
              <w:t>Seismic velocity as coastal water-table sensor</w:t>
            </w:r>
          </w:p>
        </w:tc>
        <w:tc>
          <w:tcPr>
            <w:tcW w:type="dxa" w:w="1361"/>
          </w:tcPr>
          <w:p>
            <w:r/>
            <w:r>
              <w:rPr>
                <w:rFonts w:ascii="Arial" w:hAnsi="Arial" w:eastAsia="Arial"/>
                <w:b w:val="0"/>
                <w:i w:val="0"/>
                <w:sz w:val="18"/>
              </w:rPr>
              <w:t>P5</w:t>
            </w:r>
          </w:p>
        </w:tc>
        <w:tc>
          <w:tcPr>
            <w:tcW w:type="dxa" w:w="850"/>
            <w:shd w:val="clear" w:color="auto" w:fill="EEF0F2"/>
          </w:tcPr>
          <w:p>
            <w:r/>
            <w:r>
              <w:rPr>
                <w:rFonts w:ascii="Arial" w:hAnsi="Arial" w:eastAsia="Arial"/>
                <w:b w:val="0"/>
                <w:i w:val="0"/>
                <w:sz w:val="18"/>
              </w:rPr>
              <w:t>3</w:t>
            </w:r>
          </w:p>
        </w:tc>
        <w:tc>
          <w:tcPr>
            <w:tcW w:type="dxa" w:w="907"/>
            <w:shd w:val="clear" w:color="auto" w:fill="E6F4EC"/>
          </w:tcPr>
          <w:p>
            <w:r/>
            <w:r>
              <w:rPr>
                <w:rFonts w:ascii="Arial" w:hAnsi="Arial" w:eastAsia="Arial"/>
                <w:b w:val="0"/>
                <w:i w:val="0"/>
                <w:sz w:val="18"/>
              </w:rPr>
              <w:t>6</w:t>
            </w:r>
          </w:p>
        </w:tc>
        <w:tc>
          <w:tcPr>
            <w:tcW w:type="dxa" w:w="3912"/>
          </w:tcPr>
          <w:p>
            <w:r/>
            <w:r>
              <w:rPr>
                <w:rFonts w:ascii="Arial" w:hAnsi="Arial" w:eastAsia="Arial"/>
                <w:b w:val="0"/>
                <w:i w:val="0"/>
                <w:sz w:val="18"/>
              </w:rPr>
              <w:t>Shown in inland basins → calibrated at the port or landfall</w:t>
            </w:r>
          </w:p>
        </w:tc>
      </w:tr>
      <w:tr>
        <w:trPr>
          <w:cantSplit/>
        </w:trPr>
        <w:tc>
          <w:tcPr>
            <w:tcW w:type="dxa" w:w="2608"/>
          </w:tcPr>
          <w:p>
            <w:r/>
            <w:r>
              <w:rPr>
                <w:rFonts w:ascii="Arial" w:hAnsi="Arial" w:eastAsia="Arial"/>
                <w:b w:val="0"/>
                <w:i w:val="0"/>
                <w:sz w:val="18"/>
              </w:rPr>
              <w:t>Pumping rule safe for three hazards</w:t>
            </w:r>
          </w:p>
        </w:tc>
        <w:tc>
          <w:tcPr>
            <w:tcW w:type="dxa" w:w="1361"/>
          </w:tcPr>
          <w:p>
            <w:r/>
            <w:r>
              <w:rPr>
                <w:rFonts w:ascii="Arial" w:hAnsi="Arial" w:eastAsia="Arial"/>
                <w:b w:val="0"/>
                <w:i w:val="0"/>
                <w:sz w:val="18"/>
              </w:rPr>
              <w:t>P3</w:t>
            </w:r>
          </w:p>
        </w:tc>
        <w:tc>
          <w:tcPr>
            <w:tcW w:type="dxa" w:w="850"/>
            <w:shd w:val="clear" w:color="auto" w:fill="EEF0F2"/>
          </w:tcPr>
          <w:p>
            <w:r/>
            <w:r>
              <w:rPr>
                <w:rFonts w:ascii="Arial" w:hAnsi="Arial" w:eastAsia="Arial"/>
                <w:b w:val="0"/>
                <w:i w:val="0"/>
                <w:sz w:val="18"/>
              </w:rPr>
              <w:t>2</w:t>
            </w:r>
          </w:p>
        </w:tc>
        <w:tc>
          <w:tcPr>
            <w:tcW w:type="dxa" w:w="907"/>
            <w:shd w:val="clear" w:color="auto" w:fill="E6F4EC"/>
          </w:tcPr>
          <w:p>
            <w:r/>
            <w:r>
              <w:rPr>
                <w:rFonts w:ascii="Arial" w:hAnsi="Arial" w:eastAsia="Arial"/>
                <w:b w:val="0"/>
                <w:i w:val="0"/>
                <w:sz w:val="18"/>
              </w:rPr>
              <w:t>6</w:t>
            </w:r>
          </w:p>
        </w:tc>
        <w:tc>
          <w:tcPr>
            <w:tcW w:type="dxa" w:w="3912"/>
          </w:tcPr>
          <w:p>
            <w:r/>
            <w:r>
              <w:rPr>
                <w:rFonts w:ascii="Arial" w:hAnsi="Arial" w:eastAsia="Arial"/>
                <w:b w:val="0"/>
                <w:i w:val="0"/>
                <w:sz w:val="18"/>
              </w:rPr>
              <w:t>Concept formulated → evaluated and agreed with the utility</w:t>
            </w:r>
          </w:p>
        </w:tc>
      </w:tr>
      <w:tr>
        <w:trPr>
          <w:cantSplit/>
        </w:trPr>
        <w:tc>
          <w:tcPr>
            <w:tcW w:type="dxa" w:w="2608"/>
          </w:tcPr>
          <w:p>
            <w:r/>
            <w:r>
              <w:rPr>
                <w:rFonts w:ascii="Arial" w:hAnsi="Arial" w:eastAsia="Arial"/>
                <w:b w:val="0"/>
                <w:i w:val="0"/>
                <w:sz w:val="18"/>
              </w:rPr>
              <w:t>Certified value for each user</w:t>
            </w:r>
          </w:p>
        </w:tc>
        <w:tc>
          <w:tcPr>
            <w:tcW w:type="dxa" w:w="1361"/>
          </w:tcPr>
          <w:p>
            <w:r/>
            <w:r>
              <w:rPr>
                <w:rFonts w:ascii="Arial" w:hAnsi="Arial" w:eastAsia="Arial"/>
                <w:b w:val="0"/>
                <w:i w:val="0"/>
                <w:sz w:val="18"/>
              </w:rPr>
              <w:t>V1</w:t>
            </w:r>
          </w:p>
        </w:tc>
        <w:tc>
          <w:tcPr>
            <w:tcW w:type="dxa" w:w="850"/>
            <w:shd w:val="clear" w:color="auto" w:fill="EEF0F2"/>
          </w:tcPr>
          <w:p>
            <w:r/>
            <w:r>
              <w:rPr>
                <w:rFonts w:ascii="Arial" w:hAnsi="Arial" w:eastAsia="Arial"/>
                <w:b w:val="0"/>
                <w:i w:val="0"/>
                <w:sz w:val="18"/>
              </w:rPr>
              <w:t>2</w:t>
            </w:r>
          </w:p>
        </w:tc>
        <w:tc>
          <w:tcPr>
            <w:tcW w:type="dxa" w:w="907"/>
            <w:shd w:val="clear" w:color="auto" w:fill="E6F4EC"/>
          </w:tcPr>
          <w:p>
            <w:r/>
            <w:r>
              <w:rPr>
                <w:rFonts w:ascii="Arial" w:hAnsi="Arial" w:eastAsia="Arial"/>
                <w:b w:val="0"/>
                <w:i w:val="0"/>
                <w:sz w:val="18"/>
              </w:rPr>
              <w:t>6</w:t>
            </w:r>
          </w:p>
        </w:tc>
        <w:tc>
          <w:tcPr>
            <w:tcW w:type="dxa" w:w="3912"/>
          </w:tcPr>
          <w:p>
            <w:r/>
            <w:r>
              <w:rPr>
                <w:rFonts w:ascii="Arial" w:hAnsi="Arial" w:eastAsia="Arial"/>
                <w:b w:val="0"/>
                <w:i w:val="0"/>
                <w:sz w:val="18"/>
              </w:rPr>
              <w:t>Bound derived → reported for each user from live data</w:t>
            </w:r>
          </w:p>
        </w:tc>
      </w:tr>
    </w:tbl>
    <w:p>
      <w:pPr>
        <w:keepNext/>
        <w:spacing w:after="120" w:before="200"/>
      </w:pPr>
      <w:r>
        <w:rPr>
          <w:rFonts w:ascii="Arial" w:hAnsi="Arial" w:eastAsia="Arial"/>
          <w:b/>
          <w:i w:val="0"/>
          <w:color w:val="1F3864"/>
          <w:sz w:val="27"/>
        </w:rPr>
        <w:t>6. Innovation in delivery</w:t>
      </w:r>
    </w:p>
    <w:p>
      <w:pPr>
        <w:spacing w:after="60" w:before="0"/>
        <w:ind w:left="283"/>
      </w:pPr>
      <w:r>
        <w:rPr>
          <w:rFonts w:ascii="Arial" w:hAnsi="Arial" w:eastAsia="Arial"/>
          <w:b/>
          <w:i w:val="0"/>
          <w:color w:val="52606D"/>
          <w:sz w:val="22"/>
        </w:rPr>
        <w:t xml:space="preserve">O1. </w:t>
      </w:r>
      <w:r>
        <w:rPr>
          <w:rFonts w:ascii="Arial" w:hAnsi="Arial" w:eastAsia="Arial"/>
          <w:b/>
          <w:i w:val="0"/>
          <w:sz w:val="21"/>
        </w:rPr>
        <w:t>Verification registered in advance.</w:t>
      </w:r>
      <w:r>
        <w:rPr>
          <w:rFonts w:ascii="Arial" w:hAnsi="Arial" w:eastAsia="Arial"/>
          <w:b w:val="0"/>
          <w:i w:val="0"/>
          <w:sz w:val="21"/>
        </w:rPr>
        <w:t xml:space="preserve"> The back-testing protocol of D3.2 is published with a DOI before the results are computed, and D5.1 publishes the observed miss and false-alarm rates of the live warnings.</w:t>
      </w:r>
    </w:p>
    <w:p>
      <w:pPr>
        <w:spacing w:after="60" w:before="0"/>
        <w:ind w:left="283"/>
      </w:pPr>
      <w:r>
        <w:rPr>
          <w:rFonts w:ascii="Arial" w:hAnsi="Arial" w:eastAsia="Arial"/>
          <w:b/>
          <w:i w:val="0"/>
          <w:color w:val="52606D"/>
          <w:sz w:val="22"/>
        </w:rPr>
        <w:t xml:space="preserve">O2. </w:t>
      </w:r>
      <w:r>
        <w:rPr>
          <w:rFonts w:ascii="Arial" w:hAnsi="Arial" w:eastAsia="Arial"/>
          <w:b/>
          <w:i w:val="0"/>
          <w:sz w:val="21"/>
        </w:rPr>
        <w:t>Evidence gates with fixed thresholds.</w:t>
      </w:r>
      <w:r>
        <w:rPr>
          <w:rFonts w:ascii="Arial" w:hAnsi="Arial" w:eastAsia="Arial"/>
          <w:b w:val="0"/>
          <w:i w:val="0"/>
          <w:sz w:val="21"/>
        </w:rPr>
        <w:t xml:space="preserve"> Live operation starts and the guarantees are stated only after gates MS3, MS4 and MS5 are passed, each with a go, go-with-conditions and no-go rule fixed in advance (Milestones).</w:t>
      </w:r>
    </w:p>
    <w:p>
      <w:pPr>
        <w:spacing w:after="60" w:before="0"/>
        <w:ind w:left="283"/>
      </w:pPr>
      <w:r>
        <w:rPr>
          <w:rFonts w:ascii="Arial" w:hAnsi="Arial" w:eastAsia="Arial"/>
          <w:b/>
          <w:i w:val="0"/>
          <w:color w:val="52606D"/>
          <w:sz w:val="22"/>
        </w:rPr>
        <w:t xml:space="preserve">O3. </w:t>
      </w:r>
      <w:r>
        <w:rPr>
          <w:rFonts w:ascii="Arial" w:hAnsi="Arial" w:eastAsia="Arial"/>
          <w:b/>
          <w:i w:val="0"/>
          <w:sz w:val="21"/>
        </w:rPr>
        <w:t>Transfer tested by an outsider.</w:t>
      </w:r>
      <w:r>
        <w:rPr>
          <w:rFonts w:ascii="Arial" w:hAnsi="Arial" w:eastAsia="Arial"/>
          <w:b w:val="0"/>
          <w:i w:val="0"/>
          <w:sz w:val="21"/>
        </w:rPr>
        <w:t xml:space="preserve"> The software release D6.1 is accepted only when someone outside the team installs it and reproduces the synthetic test coast.</w:t>
      </w:r>
    </w:p>
    <w:p>
      <w:pPr>
        <w:keepNext/>
        <w:spacing w:after="120" w:before="160"/>
      </w:pPr>
      <w:r>
        <w:rPr>
          <w:rFonts w:ascii="Arial" w:hAnsi="Arial" w:eastAsia="Arial"/>
          <w:b/>
          <w:i w:val="0"/>
          <w:color w:val="1F3864"/>
          <w:sz w:val="27"/>
        </w:rPr>
        <w:t>7. Protecting and sharing the innovation</w:t>
      </w:r>
    </w:p>
    <w:p>
      <w:pPr>
        <w:spacing w:after="60" w:before="0"/>
        <w:ind w:left="283"/>
      </w:pPr>
      <w:r>
        <w:rPr>
          <w:rFonts w:ascii="Arial" w:hAnsi="Arial" w:eastAsia="Arial"/>
          <w:b/>
          <w:i w:val="0"/>
          <w:sz w:val="22"/>
        </w:rPr>
        <w:t xml:space="preserve">• </w:t>
      </w:r>
      <w:r>
        <w:rPr>
          <w:rFonts w:ascii="Arial" w:hAnsi="Arial" w:eastAsia="Arial"/>
          <w:b/>
          <w:i w:val="0"/>
          <w:sz w:val="21"/>
        </w:rPr>
        <w:t>Open by default.</w:t>
      </w:r>
      <w:r>
        <w:rPr>
          <w:rFonts w:ascii="Arial" w:hAnsi="Arial" w:eastAsia="Arial"/>
          <w:b w:val="0"/>
          <w:i w:val="0"/>
          <w:sz w:val="21"/>
        </w:rPr>
        <w:t xml:space="preserve"> Software under Apache-2.0 and data under CC BY 4.0 (D6.1), papers in open access, so Allies and partners can use the innovations without licence barriers.</w:t>
      </w:r>
    </w:p>
    <w:p>
      <w:pPr>
        <w:spacing w:after="60" w:before="0"/>
        <w:ind w:left="283"/>
      </w:pPr>
      <w:r>
        <w:rPr>
          <w:rFonts w:ascii="Arial" w:hAnsi="Arial" w:eastAsia="Arial"/>
          <w:b/>
          <w:i w:val="0"/>
          <w:sz w:val="22"/>
        </w:rPr>
        <w:t xml:space="preserve">• </w:t>
      </w:r>
      <w:r>
        <w:rPr>
          <w:rFonts w:ascii="Arial" w:hAnsi="Arial" w:eastAsia="Arial"/>
          <w:b/>
          <w:i w:val="0"/>
          <w:sz w:val="21"/>
        </w:rPr>
        <w:t>Restricted where security requires it.</w:t>
      </w:r>
      <w:r>
        <w:rPr>
          <w:rFonts w:ascii="Arial" w:hAnsi="Arial" w:eastAsia="Arial"/>
          <w:b w:val="0"/>
          <w:i w:val="0"/>
          <w:sz w:val="21"/>
        </w:rPr>
        <w:t xml:space="preserve"> Asset-level results, sensor locations and vulnerability details stay with the operators and authorities (two-tier dissemination, Data Management Plan).</w:t>
      </w:r>
    </w:p>
    <w:p>
      <w:pPr>
        <w:spacing w:after="60" w:before="0"/>
        <w:ind w:left="283"/>
      </w:pPr>
      <w:r>
        <w:rPr>
          <w:rFonts w:ascii="Arial" w:hAnsi="Arial" w:eastAsia="Arial"/>
          <w:b/>
          <w:i w:val="0"/>
          <w:sz w:val="22"/>
        </w:rPr>
        <w:t xml:space="preserve">• </w:t>
      </w:r>
      <w:r>
        <w:rPr>
          <w:rFonts w:ascii="Arial" w:hAnsi="Arial" w:eastAsia="Arial"/>
          <w:b/>
          <w:i w:val="0"/>
          <w:sz w:val="21"/>
        </w:rPr>
        <w:t>Credit and reuse.</w:t>
      </w:r>
      <w:r>
        <w:rPr>
          <w:rFonts w:ascii="Arial" w:hAnsi="Arial" w:eastAsia="Arial"/>
          <w:b w:val="0"/>
          <w:i w:val="0"/>
          <w:sz w:val="21"/>
        </w:rPr>
        <w:t xml:space="preserve"> Each release carries a DOI and a citation file; the synthetic test coast lets others reproduce the results without access to restricted site data.</w:t>
      </w:r>
    </w:p>
    <w:p>
      <w:pPr>
        <w:keepNext/>
        <w:spacing w:after="120" w:before="160"/>
      </w:pPr>
      <w:r>
        <w:rPr>
          <w:rFonts w:ascii="Arial" w:hAnsi="Arial" w:eastAsia="Arial"/>
          <w:b/>
          <w:i w:val="0"/>
          <w:color w:val="1F3864"/>
          <w:sz w:val="27"/>
        </w:rPr>
        <w:t>8. What is new in this section</w:t>
      </w:r>
    </w:p>
    <w:p>
      <w:pPr>
        <w:spacing w:after="60" w:before="0"/>
        <w:ind w:left="283"/>
      </w:pPr>
      <w:r>
        <w:rPr>
          <w:rFonts w:ascii="Arial" w:hAnsi="Arial" w:eastAsia="Arial"/>
          <w:b/>
          <w:i w:val="0"/>
          <w:sz w:val="22"/>
        </w:rPr>
        <w:t xml:space="preserve">• </w:t>
      </w:r>
      <w:r>
        <w:rPr>
          <w:rFonts w:ascii="Arial" w:hAnsi="Arial" w:eastAsia="Arial"/>
          <w:b/>
          <w:i w:val="0"/>
          <w:sz w:val="21"/>
        </w:rPr>
        <w:t>Every novelty claim is checked against the literature.</w:t>
      </w:r>
      <w:r>
        <w:rPr>
          <w:rFonts w:ascii="Arial" w:hAnsi="Arial" w:eastAsia="Arial"/>
          <w:b w:val="0"/>
          <w:i w:val="0"/>
          <w:sz w:val="21"/>
        </w:rPr>
        <w:t xml:space="preserve"> Each innovation names the 2020–2026 work it goes beyond, or states that no direct precedent was found in our search (M2, P3).</w:t>
      </w:r>
    </w:p>
    <w:p>
      <w:pPr>
        <w:spacing w:after="60" w:before="0"/>
        <w:ind w:left="283"/>
      </w:pPr>
      <w:r>
        <w:rPr>
          <w:rFonts w:ascii="Arial" w:hAnsi="Arial" w:eastAsia="Arial"/>
          <w:b/>
          <w:i w:val="0"/>
          <w:sz w:val="22"/>
        </w:rPr>
        <w:t xml:space="preserve">• </w:t>
      </w:r>
      <w:r>
        <w:rPr>
          <w:rFonts w:ascii="Arial" w:hAnsi="Arial" w:eastAsia="Arial"/>
          <w:b/>
          <w:i w:val="0"/>
          <w:sz w:val="21"/>
        </w:rPr>
        <w:t>Every innovation is a testable claim.</w:t>
      </w:r>
      <w:r>
        <w:rPr>
          <w:rFonts w:ascii="Arial" w:hAnsi="Arial" w:eastAsia="Arial"/>
          <w:b w:val="0"/>
          <w:i w:val="0"/>
          <w:sz w:val="21"/>
        </w:rPr>
        <w:t xml:space="preserve"> Each has a pass test, a deliverable and a month, and the tests of M1, M4 and P2 decide the evidence gates.</w:t>
      </w:r>
    </w:p>
    <w:p>
      <w:pPr>
        <w:spacing w:after="60" w:before="0"/>
        <w:ind w:left="283"/>
      </w:pPr>
      <w:r>
        <w:rPr>
          <w:rFonts w:ascii="Arial" w:hAnsi="Arial" w:eastAsia="Arial"/>
          <w:b/>
          <w:i w:val="0"/>
          <w:sz w:val="22"/>
        </w:rPr>
        <w:t xml:space="preserve">• </w:t>
      </w:r>
      <w:r>
        <w:rPr>
          <w:rFonts w:ascii="Arial" w:hAnsi="Arial" w:eastAsia="Arial"/>
          <w:b/>
          <w:i w:val="0"/>
          <w:sz w:val="21"/>
        </w:rPr>
        <w:t>Innovations placed in the warning chain.</w:t>
      </w:r>
      <w:r>
        <w:rPr>
          <w:rFonts w:ascii="Arial" w:hAnsi="Arial" w:eastAsia="Arial"/>
          <w:b w:val="0"/>
          <w:i w:val="0"/>
          <w:sz w:val="21"/>
        </w:rPr>
        <w:t xml:space="preserve"> Figure 1 shows where each acts, from observing the coast to verifying the warnings, so gaps and overlaps are visible.</w:t>
      </w:r>
    </w:p>
    <w:p>
      <w:pPr>
        <w:spacing w:after="60" w:before="0"/>
        <w:ind w:left="283"/>
      </w:pPr>
      <w:r>
        <w:rPr>
          <w:rFonts w:ascii="Arial" w:hAnsi="Arial" w:eastAsia="Arial"/>
          <w:b/>
          <w:i w:val="0"/>
          <w:sz w:val="22"/>
        </w:rPr>
        <w:t xml:space="preserve">• </w:t>
      </w:r>
      <w:r>
        <w:rPr>
          <w:rFonts w:ascii="Arial" w:hAnsi="Arial" w:eastAsia="Arial"/>
          <w:b/>
          <w:i w:val="0"/>
          <w:sz w:val="21"/>
        </w:rPr>
        <w:t>Readiness measured, not asserted.</w:t>
      </w:r>
      <w:r>
        <w:rPr>
          <w:rFonts w:ascii="Arial" w:hAnsi="Arial" w:eastAsia="Arial"/>
          <w:b w:val="0"/>
          <w:i w:val="0"/>
          <w:sz w:val="21"/>
        </w:rPr>
        <w:t xml:space="preserve"> The TRL of each component is given now and at the end, on the EU definitions, with the evidence behind each step.</w:t>
      </w:r>
    </w:p>
    <w:p>
      <w:pPr>
        <w:keepNext/>
        <w:spacing w:after="120" w:before="160"/>
      </w:pPr>
      <w:r>
        <w:rPr>
          <w:rFonts w:ascii="Arial" w:hAnsi="Arial" w:eastAsia="Arial"/>
          <w:b/>
          <w:i w:val="0"/>
          <w:color w:val="1F3864"/>
          <w:sz w:val="23"/>
        </w:rPr>
        <w:t>Sources cited</w:t>
      </w:r>
    </w:p>
    <w:p>
      <w:pPr>
        <w:spacing w:after="20" w:before="0"/>
        <w:ind w:left="283"/>
      </w:pPr>
      <w:r>
        <w:rPr>
          <w:rFonts w:ascii="Arial" w:hAnsi="Arial" w:eastAsia="Arial"/>
          <w:b w:val="0"/>
          <w:i w:val="0"/>
          <w:sz w:val="18"/>
        </w:rPr>
        <w:t xml:space="preserve">[1] Zheng, Y. and Simons, M. (2025). Integrating long-term InSAR monitoring into local groundwater management: insights from the Hollywood Basin, California. Water Resources Research 61(11). </w:t>
      </w:r>
      <w:hyperlink r:id="rId11">
        <w:r>
          <w:rPr>
            <w:rFonts w:ascii="Arial" w:hAnsi="Arial"/>
            <w:color w:val="1F5FBF"/>
            <w:u w:val="single"/>
            <w:sz w:val="17"/>
          </w:rPr>
          <w:t xml:space="preserve">doi.org/10.1029/2024WR039161</w:t>
        </w:r>
      </w:hyperlink>
    </w:p>
    <w:p>
      <w:pPr>
        <w:spacing w:after="20" w:before="0"/>
        <w:ind w:left="283"/>
      </w:pPr>
      <w:r>
        <w:rPr>
          <w:rFonts w:ascii="Arial" w:hAnsi="Arial" w:eastAsia="Arial"/>
          <w:b w:val="0"/>
          <w:i w:val="0"/>
          <w:sz w:val="18"/>
        </w:rPr>
        <w:t xml:space="preserve">[2] Larochelle et al. (2026). Abrupt transition to irreversible damage in the overdrafted Sacramento Valley aquifer system. PNAS 123(31). </w:t>
      </w:r>
      <w:hyperlink r:id="rId12">
        <w:r>
          <w:rPr>
            <w:rFonts w:ascii="Arial" w:hAnsi="Arial"/>
            <w:color w:val="1F5FBF"/>
            <w:u w:val="single"/>
            <w:sz w:val="17"/>
          </w:rPr>
          <w:t xml:space="preserve">doi.org/10.1073/pnas.2526041123</w:t>
        </w:r>
      </w:hyperlink>
    </w:p>
    <w:p>
      <w:pPr>
        <w:spacing w:after="20" w:before="0"/>
        <w:ind w:left="283"/>
      </w:pPr>
      <w:r>
        <w:rPr>
          <w:rFonts w:ascii="Arial" w:hAnsi="Arial" w:eastAsia="Arial"/>
          <w:b w:val="0"/>
          <w:i w:val="0"/>
          <w:sz w:val="18"/>
        </w:rPr>
        <w:t xml:space="preserve">[3] Li et al. (2025). Geodetic monitoring of elastic and inelastic deformation in compacting reservoirs due to subsurface operations. Journal of Geophysical Research: Solid Earth 130(3). </w:t>
      </w:r>
      <w:hyperlink r:id="rId13">
        <w:r>
          <w:rPr>
            <w:rFonts w:ascii="Arial" w:hAnsi="Arial"/>
            <w:color w:val="1F5FBF"/>
            <w:u w:val="single"/>
            <w:sz w:val="17"/>
          </w:rPr>
          <w:t xml:space="preserve">doi.org/10.1029/2024JB030794</w:t>
        </w:r>
      </w:hyperlink>
    </w:p>
    <w:p>
      <w:pPr>
        <w:spacing w:after="20" w:before="0"/>
        <w:ind w:left="283"/>
      </w:pPr>
      <w:r>
        <w:rPr>
          <w:rFonts w:ascii="Arial" w:hAnsi="Arial" w:eastAsia="Arial"/>
          <w:b w:val="0"/>
          <w:i w:val="0"/>
          <w:sz w:val="18"/>
        </w:rPr>
        <w:t xml:space="preserve">[4] Dangendorf et al. (2026). Variable contributions of vertical land motion to sea-level change inferred at tide gauges. Nature Geoscience 19, 814–821. </w:t>
      </w:r>
      <w:hyperlink r:id="rId14">
        <w:r>
          <w:rPr>
            <w:rFonts w:ascii="Arial" w:hAnsi="Arial"/>
            <w:color w:val="1F5FBF"/>
            <w:u w:val="single"/>
            <w:sz w:val="17"/>
          </w:rPr>
          <w:t xml:space="preserve">doi.org/10.1038/s41561-026-02005-1</w:t>
        </w:r>
      </w:hyperlink>
    </w:p>
    <w:p>
      <w:pPr>
        <w:spacing w:after="20" w:before="0"/>
        <w:ind w:left="283"/>
      </w:pPr>
      <w:r>
        <w:rPr>
          <w:rFonts w:ascii="Arial" w:hAnsi="Arial" w:eastAsia="Arial"/>
          <w:b w:val="0"/>
          <w:i w:val="0"/>
          <w:sz w:val="18"/>
        </w:rPr>
        <w:t xml:space="preserve">[5] Dangendorf et al. (2024). Probabilistic reconstruction of sea-level changes and their causes since 1900. Earth System Science Data 16, 3471–3494. </w:t>
      </w:r>
      <w:hyperlink r:id="rId15">
        <w:r>
          <w:rPr>
            <w:rFonts w:ascii="Arial" w:hAnsi="Arial"/>
            <w:color w:val="1F5FBF"/>
            <w:u w:val="single"/>
            <w:sz w:val="17"/>
          </w:rPr>
          <w:t xml:space="preserve">doi.org/10.5194/essd-16-3471-2024</w:t>
        </w:r>
      </w:hyperlink>
    </w:p>
    <w:p>
      <w:pPr>
        <w:spacing w:after="20" w:before="0"/>
        <w:ind w:left="283"/>
      </w:pPr>
      <w:r>
        <w:rPr>
          <w:rFonts w:ascii="Arial" w:hAnsi="Arial" w:eastAsia="Arial"/>
          <w:b w:val="0"/>
          <w:i w:val="0"/>
          <w:sz w:val="18"/>
        </w:rPr>
        <w:t xml:space="preserve">[6] Dangendorf et al. (2026). Human-driven sea-level rise has quadrupled the frequency of coastal sea-level extremes since 1900. Nature Climate Change 16(7), 796–803. </w:t>
      </w:r>
      <w:hyperlink r:id="rId16">
        <w:r>
          <w:rPr>
            <w:rFonts w:ascii="Arial" w:hAnsi="Arial"/>
            <w:color w:val="1F5FBF"/>
            <w:u w:val="single"/>
            <w:sz w:val="17"/>
          </w:rPr>
          <w:t xml:space="preserve">doi.org/10.1038/s41558-026-02659-0</w:t>
        </w:r>
      </w:hyperlink>
    </w:p>
    <w:p>
      <w:pPr>
        <w:spacing w:after="20" w:before="0"/>
        <w:ind w:left="283"/>
      </w:pPr>
      <w:r>
        <w:rPr>
          <w:rFonts w:ascii="Arial" w:hAnsi="Arial" w:eastAsia="Arial"/>
          <w:b w:val="0"/>
          <w:i w:val="0"/>
          <w:sz w:val="18"/>
        </w:rPr>
        <w:t xml:space="preserve">[10] Bullock et al. (2023). A latent Gaussian process model for the spatial distribution of liquefaction manifestation. Earthquake Spectra 39(2), 1189–1213. </w:t>
      </w:r>
      <w:hyperlink r:id="rId17">
        <w:r>
          <w:rPr>
            <w:rFonts w:ascii="Arial" w:hAnsi="Arial"/>
            <w:color w:val="1F5FBF"/>
            <w:u w:val="single"/>
            <w:sz w:val="17"/>
          </w:rPr>
          <w:t xml:space="preserve">doi.org/10.1177/87552930231163894</w:t>
        </w:r>
      </w:hyperlink>
    </w:p>
    <w:p>
      <w:pPr>
        <w:spacing w:after="20" w:before="0"/>
        <w:ind w:left="283"/>
      </w:pPr>
      <w:r>
        <w:rPr>
          <w:rFonts w:ascii="Arial" w:hAnsi="Arial" w:eastAsia="Arial"/>
          <w:b w:val="0"/>
          <w:i w:val="0"/>
          <w:sz w:val="18"/>
        </w:rPr>
        <w:t xml:space="preserve">[12] Qin et al. (2022). Monitoring seasonal shear wave velocity changes in the top 6 m at Garner Valley in Southern California with borehole data. Geophysical Research Letters 49. </w:t>
      </w:r>
      <w:hyperlink r:id="rId18">
        <w:r>
          <w:rPr>
            <w:rFonts w:ascii="Arial" w:hAnsi="Arial"/>
            <w:color w:val="1F5FBF"/>
            <w:u w:val="single"/>
            <w:sz w:val="17"/>
          </w:rPr>
          <w:t xml:space="preserve">doi.org/10.1029/2022GL101189</w:t>
        </w:r>
      </w:hyperlink>
    </w:p>
    <w:p>
      <w:pPr>
        <w:spacing w:after="20" w:before="0"/>
        <w:ind w:left="283"/>
      </w:pPr>
      <w:r>
        <w:rPr>
          <w:rFonts w:ascii="Arial" w:hAnsi="Arial" w:eastAsia="Arial"/>
          <w:b w:val="0"/>
          <w:i w:val="0"/>
          <w:sz w:val="18"/>
        </w:rPr>
        <w:t xml:space="preserve">[16] Mao et al. (2022). Space-time monitoring of groundwater fluctuations with passive seismic interferometry. Nature Communications 13. </w:t>
      </w:r>
      <w:hyperlink r:id="rId19">
        <w:r>
          <w:rPr>
            <w:rFonts w:ascii="Arial" w:hAnsi="Arial"/>
            <w:color w:val="1F5FBF"/>
            <w:u w:val="single"/>
            <w:sz w:val="17"/>
          </w:rPr>
          <w:t xml:space="preserve">doi.org/10.1038/s41467-022-32194-3</w:t>
        </w:r>
      </w:hyperlink>
    </w:p>
    <w:p>
      <w:pPr>
        <w:spacing w:after="20" w:before="0"/>
        <w:ind w:left="283"/>
      </w:pPr>
      <w:r>
        <w:rPr>
          <w:rFonts w:ascii="Arial" w:hAnsi="Arial" w:eastAsia="Arial"/>
          <w:b w:val="0"/>
          <w:i w:val="0"/>
          <w:sz w:val="18"/>
        </w:rPr>
        <w:t xml:space="preserve">[17] Shen et al. (2024). Fiber-optic seismic sensing of vadose zone soil moisture dynamics. Nature Communications 15. </w:t>
      </w:r>
      <w:hyperlink r:id="rId20">
        <w:r>
          <w:rPr>
            <w:rFonts w:ascii="Arial" w:hAnsi="Arial"/>
            <w:color w:val="1F5FBF"/>
            <w:u w:val="single"/>
            <w:sz w:val="17"/>
          </w:rPr>
          <w:t xml:space="preserve">doi.org/10.1038/s41467-024-50690-6</w:t>
        </w:r>
      </w:hyperlink>
    </w:p>
    <w:p>
      <w:pPr>
        <w:spacing w:after="20" w:before="0"/>
        <w:ind w:left="283"/>
      </w:pPr>
      <w:r>
        <w:rPr>
          <w:rFonts w:ascii="Arial" w:hAnsi="Arial" w:eastAsia="Arial"/>
          <w:b w:val="0"/>
          <w:i w:val="0"/>
          <w:sz w:val="18"/>
        </w:rPr>
        <w:t xml:space="preserve">[18] Clements, T. and Denolle, M.A. (2023). The seismic signature of California's earthquakes, droughts, and floods. Journal of Geophysical Research: Solid Earth 128(1). </w:t>
      </w:r>
      <w:hyperlink r:id="rId21">
        <w:r>
          <w:rPr>
            <w:rFonts w:ascii="Arial" w:hAnsi="Arial"/>
            <w:color w:val="1F5FBF"/>
            <w:u w:val="single"/>
            <w:sz w:val="17"/>
          </w:rPr>
          <w:t xml:space="preserve">doi.org/10.1029/2022JB025553</w:t>
        </w:r>
      </w:hyperlink>
    </w:p>
    <w:p>
      <w:pPr>
        <w:spacing w:after="20" w:before="0"/>
        <w:ind w:left="283"/>
      </w:pPr>
      <w:r>
        <w:rPr>
          <w:rFonts w:ascii="Arial" w:hAnsi="Arial" w:eastAsia="Arial"/>
          <w:b w:val="0"/>
          <w:i w:val="0"/>
          <w:sz w:val="18"/>
        </w:rPr>
        <w:t xml:space="preserve">[19] Angelopoulos et al. (2024). Conformal risk control. International Conference on Learning Representations (ICLR 2024). </w:t>
      </w:r>
      <w:hyperlink r:id="rId22">
        <w:r>
          <w:rPr>
            <w:rFonts w:ascii="Arial" w:hAnsi="Arial"/>
            <w:color w:val="1F5FBF"/>
            <w:u w:val="single"/>
            <w:sz w:val="17"/>
          </w:rPr>
          <w:t xml:space="preserve">proceedings.iclr.cc/paper_files/paper/2024/hash/f3549ef9b5ff520a7e41ff3cc306ab2b-Abstract-Conference.html</w:t>
        </w:r>
      </w:hyperlink>
    </w:p>
    <w:p>
      <w:pPr>
        <w:spacing w:after="20" w:before="0"/>
        <w:ind w:left="283"/>
      </w:pPr>
      <w:r>
        <w:rPr>
          <w:rFonts w:ascii="Arial" w:hAnsi="Arial" w:eastAsia="Arial"/>
          <w:b w:val="0"/>
          <w:i w:val="0"/>
          <w:sz w:val="18"/>
        </w:rPr>
        <w:t xml:space="preserve">[20] Angelopoulos et al. (2024). Online conformal prediction with decaying step sizes. Proceedings of the 41st International Conference on Machine Learning, PMLR 235, 1616–1630. </w:t>
      </w:r>
      <w:hyperlink r:id="rId23">
        <w:r>
          <w:rPr>
            <w:rFonts w:ascii="Arial" w:hAnsi="Arial"/>
            <w:color w:val="1F5FBF"/>
            <w:u w:val="single"/>
            <w:sz w:val="17"/>
          </w:rPr>
          <w:t xml:space="preserve">proceedings.mlr.press/v235/angelopoulos24a.html</w:t>
        </w:r>
      </w:hyperlink>
    </w:p>
    <w:p>
      <w:pPr>
        <w:spacing w:after="20" w:before="0"/>
        <w:ind w:left="283"/>
      </w:pPr>
      <w:r>
        <w:rPr>
          <w:rFonts w:ascii="Arial" w:hAnsi="Arial" w:eastAsia="Arial"/>
          <w:b w:val="0"/>
          <w:i w:val="0"/>
          <w:sz w:val="18"/>
        </w:rPr>
        <w:t xml:space="preserve">[21] Zhang et al. (2024). Discounted adaptive online learning: towards better regularization. Proceedings of the 41st International Conference on Machine Learning, PMLR 235, 58631–58661. </w:t>
      </w:r>
      <w:hyperlink r:id="rId24">
        <w:r>
          <w:rPr>
            <w:rFonts w:ascii="Arial" w:hAnsi="Arial"/>
            <w:color w:val="1F5FBF"/>
            <w:u w:val="single"/>
            <w:sz w:val="17"/>
          </w:rPr>
          <w:t xml:space="preserve">proceedings.mlr.press/v235/zhang24e.html</w:t>
        </w:r>
      </w:hyperlink>
    </w:p>
    <w:p>
      <w:pPr>
        <w:spacing w:after="20" w:before="0"/>
        <w:ind w:left="283"/>
      </w:pPr>
      <w:r>
        <w:rPr>
          <w:rFonts w:ascii="Arial" w:hAnsi="Arial" w:eastAsia="Arial"/>
          <w:b w:val="0"/>
          <w:i w:val="0"/>
          <w:sz w:val="18"/>
        </w:rPr>
        <w:t xml:space="preserve">[22] Dixit et al. (2023). Adaptive conformal prediction for motion planning among dynamic agents. Proceedings of the 5th Learning for Dynamics and Control Conference, PMLR 211, 300–314. </w:t>
      </w:r>
      <w:hyperlink r:id="rId25">
        <w:r>
          <w:rPr>
            <w:rFonts w:ascii="Arial" w:hAnsi="Arial"/>
            <w:color w:val="1F5FBF"/>
            <w:u w:val="single"/>
            <w:sz w:val="17"/>
          </w:rPr>
          <w:t xml:space="preserve">proceedings.mlr.press/v211/dixit23a.html</w:t>
        </w:r>
      </w:hyperlink>
    </w:p>
    <w:p>
      <w:pPr>
        <w:spacing w:after="20" w:before="0"/>
        <w:ind w:left="283"/>
      </w:pPr>
      <w:r>
        <w:rPr>
          <w:rFonts w:ascii="Arial" w:hAnsi="Arial" w:eastAsia="Arial"/>
          <w:b w:val="0"/>
          <w:i w:val="0"/>
          <w:sz w:val="18"/>
        </w:rPr>
        <w:t xml:space="preserve">[23] Ma et al. (2024). Calibrated uncertainty quantification for operator learning via conformal prediction. Transactions on Machine Learning Research, August 2024. </w:t>
      </w:r>
      <w:hyperlink r:id="rId26">
        <w:r>
          <w:rPr>
            <w:rFonts w:ascii="Arial" w:hAnsi="Arial"/>
            <w:color w:val="1F5FBF"/>
            <w:u w:val="single"/>
            <w:sz w:val="17"/>
          </w:rPr>
          <w:t xml:space="preserve">openreview.net/forum?id=cGpegxy12T</w:t>
        </w:r>
      </w:hyperlink>
    </w:p>
    <w:p>
      <w:pPr>
        <w:spacing w:after="20" w:before="0"/>
        <w:ind w:left="283"/>
      </w:pPr>
      <w:r>
        <w:rPr>
          <w:rFonts w:ascii="Arial" w:hAnsi="Arial" w:eastAsia="Arial"/>
          <w:b w:val="0"/>
          <w:i w:val="0"/>
          <w:sz w:val="18"/>
        </w:rPr>
        <w:t xml:space="preserve">[25] Kovachki et al. (2023). Neural operator: learning maps between function spaces with applications to PDEs. Journal of Machine Learning Research 24(89), 1–97. </w:t>
      </w:r>
      <w:hyperlink r:id="rId27">
        <w:r>
          <w:rPr>
            <w:rFonts w:ascii="Arial" w:hAnsi="Arial"/>
            <w:color w:val="1F5FBF"/>
            <w:u w:val="single"/>
            <w:sz w:val="17"/>
          </w:rPr>
          <w:t xml:space="preserve">www.jmlr.org/papers/v24/21-1524.html</w:t>
        </w:r>
      </w:hyperlink>
    </w:p>
    <w:p>
      <w:pPr>
        <w:spacing w:after="20" w:before="0"/>
        <w:ind w:left="283"/>
      </w:pPr>
      <w:r>
        <w:rPr>
          <w:rFonts w:ascii="Arial" w:hAnsi="Arial" w:eastAsia="Arial"/>
          <w:b w:val="0"/>
          <w:i w:val="0"/>
          <w:sz w:val="18"/>
        </w:rPr>
        <w:t xml:space="preserve">[26] Chen et al. (2021). Solving and learning nonlinear PDEs with Gaussian processes. Journal of Computational Physics 447. </w:t>
      </w:r>
      <w:hyperlink r:id="rId28">
        <w:r>
          <w:rPr>
            <w:rFonts w:ascii="Arial" w:hAnsi="Arial"/>
            <w:color w:val="1F5FBF"/>
            <w:u w:val="single"/>
            <w:sz w:val="17"/>
          </w:rPr>
          <w:t xml:space="preserve">doi.org/10.1016/j.jcp.2021.110668</w:t>
        </w:r>
      </w:hyperlink>
    </w:p>
    <w:p>
      <w:pPr>
        <w:spacing w:after="20" w:before="0"/>
        <w:ind w:left="283"/>
      </w:pPr>
      <w:r>
        <w:rPr>
          <w:rFonts w:ascii="Arial" w:hAnsi="Arial" w:eastAsia="Arial"/>
          <w:b w:val="0"/>
          <w:i w:val="0"/>
          <w:sz w:val="18"/>
        </w:rPr>
        <w:t xml:space="preserve">[30] Huan et al. (2024). Optimal experimental design: formulations and computations. Acta Numerica 33, 715–840. </w:t>
      </w:r>
      <w:hyperlink r:id="rId29">
        <w:r>
          <w:rPr>
            <w:rFonts w:ascii="Arial" w:hAnsi="Arial"/>
            <w:color w:val="1F5FBF"/>
            <w:u w:val="single"/>
            <w:sz w:val="17"/>
          </w:rPr>
          <w:t xml:space="preserve">doi.org/10.1017/S0962492924000023</w:t>
        </w:r>
      </w:hyperlink>
    </w:p>
    <w:p>
      <w:pPr>
        <w:spacing w:after="20" w:before="0"/>
        <w:ind w:left="283"/>
      </w:pPr>
      <w:r>
        <w:rPr>
          <w:rFonts w:ascii="Arial" w:hAnsi="Arial" w:eastAsia="Arial"/>
          <w:b w:val="0"/>
          <w:i w:val="0"/>
          <w:sz w:val="18"/>
        </w:rPr>
        <w:t xml:space="preserve">[L1] Mavroulis, S., Lekkas, E. and Carydis, P. (2021). Liquefaction phenomena induced by the 26 November 2019, Mw = 6.4 Durrës (Albania) earthquake and liquefaction susceptibility assessment in the affected area. Geosciences 11(5), 215. </w:t>
      </w:r>
      <w:hyperlink r:id="rId30">
        <w:r>
          <w:rPr>
            <w:rFonts w:ascii="Arial" w:hAnsi="Arial"/>
            <w:color w:val="1F5FBF"/>
            <w:u w:val="single"/>
            <w:sz w:val="17"/>
          </w:rPr>
          <w:t xml:space="preserve">doi.org/10.3390/geosciences11050215</w:t>
        </w:r>
      </w:hyperlink>
    </w:p>
    <w:p>
      <w:pPr>
        <w:spacing w:after="20" w:before="0"/>
        <w:ind w:left="283"/>
      </w:pPr>
      <w:r>
        <w:rPr>
          <w:rFonts w:ascii="Arial" w:hAnsi="Arial" w:eastAsia="Arial"/>
          <w:b w:val="0"/>
          <w:i w:val="0"/>
          <w:sz w:val="18"/>
        </w:rPr>
        <w:t xml:space="preserve">[a] Richardson, D. S. (2000). Skill and relative economic value of the ECMWF Ensemble Prediction System. Quarterly Journal of the Royal Meteorological Society 126, 649–667. </w:t>
      </w:r>
      <w:hyperlink r:id="rId31">
        <w:r>
          <w:rPr>
            <w:rFonts w:ascii="Arial" w:hAnsi="Arial"/>
            <w:color w:val="1F5FBF"/>
            <w:u w:val="single"/>
            <w:sz w:val="17"/>
          </w:rPr>
          <w:t xml:space="preserve">www.ecmwf.int/en/elibrary/76153-skill-and-relative-economic-value-ecmwf-ensemble-prediction-system</w:t>
        </w:r>
      </w:hyperlink>
    </w:p>
    <w:p>
      <w:pPr>
        <w:spacing w:after="20" w:before="0"/>
        <w:ind w:left="283"/>
      </w:pPr>
      <w:r>
        <w:rPr>
          <w:rFonts w:ascii="Arial" w:hAnsi="Arial" w:eastAsia="Arial"/>
          <w:b w:val="0"/>
          <w:i w:val="0"/>
          <w:sz w:val="18"/>
        </w:rPr>
        <w:t>[b] Murphy, A. H. (1977). The value of climatological, categorical and probabilistic forecasts in the cost-loss ratio situation. Monthly Weather Review 105(7), 803.</w:t>
      </w:r>
    </w:p>
    <w:p>
      <w:pPr>
        <w:spacing w:after="20" w:before="0"/>
        <w:ind w:left="283"/>
      </w:pPr>
      <w:r>
        <w:rPr>
          <w:rFonts w:ascii="Arial" w:hAnsi="Arial" w:eastAsia="Arial"/>
          <w:b w:val="0"/>
          <w:i w:val="0"/>
          <w:sz w:val="18"/>
        </w:rPr>
        <w:t xml:space="preserve">[c] European Commission. Horizon 2020 Work Programme 2014–2015, General Annexes, Annex G: Technology readiness levels (TRL). </w:t>
      </w:r>
      <w:hyperlink r:id="rId32">
        <w:r>
          <w:rPr>
            <w:rFonts w:ascii="Arial" w:hAnsi="Arial"/>
            <w:color w:val="1F5FBF"/>
            <w:u w:val="single"/>
            <w:sz w:val="17"/>
          </w:rPr>
          <w:t xml:space="preserve">ec.europa.eu/research/participants/data/ref/h2020/wp/2014_2015/annexes/h2020-wp1415-annex-g-trl_en.pdf</w:t>
        </w:r>
      </w:hyperlink>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doi.org/10.1029/2024WR039161" TargetMode="External"/><Relationship Id="rId12" Type="http://schemas.openxmlformats.org/officeDocument/2006/relationships/hyperlink" Target="https://doi.org/10.1073/pnas.2526041123" TargetMode="External"/><Relationship Id="rId13" Type="http://schemas.openxmlformats.org/officeDocument/2006/relationships/hyperlink" Target="https://doi.org/10.1029/2024JB030794" TargetMode="External"/><Relationship Id="rId14" Type="http://schemas.openxmlformats.org/officeDocument/2006/relationships/hyperlink" Target="https://doi.org/10.1038/s41561-026-02005-1" TargetMode="External"/><Relationship Id="rId15" Type="http://schemas.openxmlformats.org/officeDocument/2006/relationships/hyperlink" Target="https://doi.org/10.5194/essd-16-3471-2024" TargetMode="External"/><Relationship Id="rId16" Type="http://schemas.openxmlformats.org/officeDocument/2006/relationships/hyperlink" Target="https://doi.org/10.1038/s41558-026-02659-0" TargetMode="External"/><Relationship Id="rId17" Type="http://schemas.openxmlformats.org/officeDocument/2006/relationships/hyperlink" Target="https://doi.org/10.1177/87552930231163894" TargetMode="External"/><Relationship Id="rId18" Type="http://schemas.openxmlformats.org/officeDocument/2006/relationships/hyperlink" Target="https://doi.org/10.1029/2022GL101189" TargetMode="External"/><Relationship Id="rId19" Type="http://schemas.openxmlformats.org/officeDocument/2006/relationships/hyperlink" Target="https://doi.org/10.1038/s41467-022-32194-3" TargetMode="External"/><Relationship Id="rId20" Type="http://schemas.openxmlformats.org/officeDocument/2006/relationships/hyperlink" Target="https://doi.org/10.1038/s41467-024-50690-6" TargetMode="External"/><Relationship Id="rId21" Type="http://schemas.openxmlformats.org/officeDocument/2006/relationships/hyperlink" Target="https://doi.org/10.1029/2022JB025553" TargetMode="External"/><Relationship Id="rId22" Type="http://schemas.openxmlformats.org/officeDocument/2006/relationships/hyperlink" Target="https://proceedings.iclr.cc/paper_files/paper/2024/hash/f3549ef9b5ff520a7e41ff3cc306ab2b-Abstract-Conference.html" TargetMode="External"/><Relationship Id="rId23" Type="http://schemas.openxmlformats.org/officeDocument/2006/relationships/hyperlink" Target="https://proceedings.mlr.press/v235/angelopoulos24a.html" TargetMode="External"/><Relationship Id="rId24" Type="http://schemas.openxmlformats.org/officeDocument/2006/relationships/hyperlink" Target="https://proceedings.mlr.press/v235/zhang24e.html" TargetMode="External"/><Relationship Id="rId25" Type="http://schemas.openxmlformats.org/officeDocument/2006/relationships/hyperlink" Target="https://proceedings.mlr.press/v211/dixit23a.html" TargetMode="External"/><Relationship Id="rId26" Type="http://schemas.openxmlformats.org/officeDocument/2006/relationships/hyperlink" Target="https://openreview.net/forum?id=cGpegxy12T" TargetMode="External"/><Relationship Id="rId27" Type="http://schemas.openxmlformats.org/officeDocument/2006/relationships/hyperlink" Target="https://www.jmlr.org/papers/v24/21-1524.html" TargetMode="External"/><Relationship Id="rId28" Type="http://schemas.openxmlformats.org/officeDocument/2006/relationships/hyperlink" Target="https://doi.org/10.1016/j.jcp.2021.110668" TargetMode="External"/><Relationship Id="rId29" Type="http://schemas.openxmlformats.org/officeDocument/2006/relationships/hyperlink" Target="https://doi.org/10.1017/S0962492924000023" TargetMode="External"/><Relationship Id="rId30" Type="http://schemas.openxmlformats.org/officeDocument/2006/relationships/hyperlink" Target="https://doi.org/10.3390/geosciences11050215" TargetMode="External"/><Relationship Id="rId31" Type="http://schemas.openxmlformats.org/officeDocument/2006/relationships/hyperlink" Target="https://www.ecmwf.int/en/elibrary/76153-skill-and-relative-economic-value-ecmwf-ensemble-prediction-system" TargetMode="External"/><Relationship Id="rId32" Type="http://schemas.openxmlformats.org/officeDocument/2006/relationships/hyperlink" Target="https://ec.europa.eu/research/participants/data/ref/h2020/wp/2014_2015/annexes/h2020-wp1415-annex-g-trl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