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Arial"/>
          <w:b/>
          <w:i w:val="0"/>
          <w:color w:val="1F3864"/>
          <w:sz w:val="36"/>
        </w:rPr>
        <w:t>CERTAIN-COAST — Ethics</w:t>
      </w:r>
    </w:p>
    <w:p>
      <w:pPr>
        <w:spacing w:after="200" w:before="0"/>
        <w:jc w:val="center"/>
      </w:pPr>
      <w:r>
        <w:rPr>
          <w:rFonts w:ascii="Arial" w:hAnsi="Arial" w:eastAsia="Arial"/>
          <w:b/>
          <w:i w:val="0"/>
          <w:color w:val="1F3864"/>
          <w:sz w:val="24"/>
        </w:rPr>
        <w:t>Certified early warning for seawater intrusion, liquefaction and extreme sea levels at the wellfields, port and energy landfall of a subsiding Adriatic coast</w:t>
      </w:r>
    </w:p>
    <w:p>
      <w:pPr>
        <w:spacing w:after="160" w:before="0"/>
        <w:jc w:val="both"/>
      </w:pPr>
      <w:r>
        <w:rPr>
          <w:rFonts w:ascii="Arial" w:hAnsi="Arial" w:eastAsia="Arial"/>
          <w:b w:val="0"/>
          <w:i w:val="0"/>
          <w:sz w:val="23"/>
        </w:rPr>
        <w:t>CERTAIN-COAST raises no ethical issues of the kind that involve animals, human tissue or clinical research. Its ethical questions are of a different kind and are central to the project: it works with people and their data, with security-sensitive information about critical infrastructure, with machine learning used in safety decisions, with field work and drilling on the coast, and above all with warnings that people will act on. The project handles these with the same discipline as its science: each issue has a named measure, a responsible person and a check, and the most important one, the honesty of a warning, is made measurable.</w:t>
      </w:r>
    </w:p>
    <w:p>
      <w:pPr>
        <w:keepNext/>
        <w:spacing w:after="120" w:before="80"/>
      </w:pPr>
      <w:r>
        <w:rPr>
          <w:rFonts w:ascii="Arial" w:hAnsi="Arial" w:eastAsia="Arial"/>
          <w:b/>
          <w:i w:val="0"/>
          <w:color w:val="1F3864"/>
          <w:sz w:val="26"/>
        </w:rPr>
        <w:t>Rules and frameworks applied</w:t>
      </w:r>
    </w:p>
    <w:p>
      <w:pPr>
        <w:spacing w:after="60" w:before="0"/>
        <w:ind w:left="283"/>
      </w:pPr>
      <w:r>
        <w:rPr>
          <w:rFonts w:ascii="Arial" w:hAnsi="Arial" w:eastAsia="Arial"/>
          <w:b/>
          <w:i w:val="0"/>
          <w:sz w:val="21"/>
        </w:rPr>
        <w:t xml:space="preserve">• </w:t>
      </w:r>
      <w:r>
        <w:rPr>
          <w:rFonts w:ascii="Arial" w:hAnsi="Arial" w:eastAsia="Arial"/>
          <w:b/>
          <w:i w:val="0"/>
          <w:sz w:val="21"/>
        </w:rPr>
        <w:t>NATO SPS</w:t>
      </w:r>
      <w:r>
        <w:rPr>
          <w:rFonts w:ascii="Arial" w:hAnsi="Arial" w:eastAsia="Arial"/>
          <w:b w:val="0"/>
          <w:i w:val="0"/>
          <w:sz w:val="21"/>
        </w:rPr>
        <w:t xml:space="preserve"> supports security-related civilian science; grants may carry additional conditions recommended by the Independent Scientific Evaluation Group or by NATO, which the project will apply.</w:t>
      </w:r>
    </w:p>
    <w:p>
      <w:pPr>
        <w:spacing w:after="60" w:before="0"/>
        <w:ind w:left="283"/>
      </w:pPr>
      <w:r>
        <w:rPr>
          <w:rFonts w:ascii="Arial" w:hAnsi="Arial" w:eastAsia="Arial"/>
          <w:b/>
          <w:i w:val="0"/>
          <w:sz w:val="21"/>
        </w:rPr>
        <w:t xml:space="preserve">• </w:t>
      </w:r>
      <w:r>
        <w:rPr>
          <w:rFonts w:ascii="Arial" w:hAnsi="Arial" w:eastAsia="Arial"/>
          <w:b/>
          <w:i w:val="0"/>
          <w:sz w:val="21"/>
        </w:rPr>
        <w:t>Albania, Law No. 124/2024 "On Personal Data Protection"</w:t>
      </w:r>
      <w:r>
        <w:rPr>
          <w:rFonts w:ascii="Arial" w:hAnsi="Arial" w:eastAsia="Arial"/>
          <w:b w:val="0"/>
          <w:i w:val="0"/>
          <w:sz w:val="21"/>
        </w:rPr>
        <w:t xml:space="preserve">, aligned with the EU General Data Protection Regulation and supervised by the Information and Data Protection Commissioner; the </w:t>
      </w:r>
      <w:r>
        <w:rPr>
          <w:rFonts w:ascii="Arial" w:hAnsi="Arial" w:eastAsia="Arial"/>
          <w:b/>
          <w:i w:val="0"/>
          <w:sz w:val="21"/>
        </w:rPr>
        <w:t>GDPR</w:t>
      </w:r>
      <w:r>
        <w:rPr>
          <w:rFonts w:ascii="Arial" w:hAnsi="Arial" w:eastAsia="Arial"/>
          <w:b w:val="0"/>
          <w:i w:val="0"/>
          <w:sz w:val="21"/>
        </w:rPr>
        <w:t xml:space="preserve"> applies to any partner in the EU, and the partner country's own law to the partner-country team.</w:t>
      </w:r>
    </w:p>
    <w:p>
      <w:pPr>
        <w:spacing w:after="60" w:before="0"/>
        <w:ind w:left="283"/>
      </w:pPr>
      <w:r>
        <w:rPr>
          <w:rFonts w:ascii="Arial" w:hAnsi="Arial" w:eastAsia="Arial"/>
          <w:b/>
          <w:i w:val="0"/>
          <w:sz w:val="21"/>
        </w:rPr>
        <w:t xml:space="preserve">• </w:t>
      </w:r>
      <w:r>
        <w:rPr>
          <w:rFonts w:ascii="Arial" w:hAnsi="Arial" w:eastAsia="Arial"/>
          <w:b/>
          <w:i w:val="0"/>
          <w:sz w:val="21"/>
        </w:rPr>
        <w:t>NATO Principles of Responsible Use of Artificial Intelligence</w:t>
      </w:r>
      <w:r>
        <w:rPr>
          <w:rFonts w:ascii="Arial" w:hAnsi="Arial" w:eastAsia="Arial"/>
          <w:b w:val="0"/>
          <w:i w:val="0"/>
          <w:sz w:val="21"/>
        </w:rPr>
        <w:t xml:space="preserve"> (2021 AI Strategy): lawfulness; responsibility and accountability; explainability and traceability; reliability; governability; bias mitigation.</w:t>
      </w:r>
    </w:p>
    <w:p>
      <w:pPr>
        <w:spacing w:after="60" w:before="0"/>
        <w:ind w:left="283"/>
      </w:pPr>
      <w:r>
        <w:rPr>
          <w:rFonts w:ascii="Arial" w:hAnsi="Arial" w:eastAsia="Arial"/>
          <w:b/>
          <w:i w:val="0"/>
          <w:sz w:val="21"/>
        </w:rPr>
        <w:t xml:space="preserve">• </w:t>
      </w:r>
      <w:r>
        <w:rPr>
          <w:rFonts w:ascii="Arial" w:hAnsi="Arial" w:eastAsia="Arial"/>
          <w:b/>
          <w:i w:val="0"/>
          <w:sz w:val="21"/>
        </w:rPr>
        <w:t>The European Code of Conduct for Research Integrity</w:t>
      </w:r>
      <w:r>
        <w:rPr>
          <w:rFonts w:ascii="Arial" w:hAnsi="Arial" w:eastAsia="Arial"/>
          <w:b w:val="0"/>
          <w:i w:val="0"/>
          <w:sz w:val="21"/>
        </w:rPr>
        <w:t xml:space="preserve"> (ALLEA, revised 2023) for all research practice.</w:t>
      </w:r>
    </w:p>
    <w:p>
      <w:pPr>
        <w:spacing w:after="60" w:before="0"/>
        <w:ind w:left="283"/>
      </w:pPr>
      <w:r>
        <w:rPr>
          <w:rFonts w:ascii="Arial" w:hAnsi="Arial" w:eastAsia="Arial"/>
          <w:b/>
          <w:i w:val="0"/>
          <w:sz w:val="21"/>
        </w:rPr>
        <w:t xml:space="preserve">• </w:t>
      </w:r>
      <w:r>
        <w:rPr>
          <w:rFonts w:ascii="Arial" w:hAnsi="Arial" w:eastAsia="Arial"/>
          <w:b/>
          <w:i w:val="0"/>
          <w:sz w:val="21"/>
        </w:rPr>
        <w:t>For reference, the EU AI Act</w:t>
      </w:r>
      <w:r>
        <w:rPr>
          <w:rFonts w:ascii="Arial" w:hAnsi="Arial" w:eastAsia="Arial"/>
          <w:b w:val="0"/>
          <w:i w:val="0"/>
          <w:sz w:val="21"/>
        </w:rPr>
        <w:t xml:space="preserve"> (Regulation (EU) 2024/1689) lists AI used as a safety component in the supply of water, gas, heating or electricity among high-risk uses; although it does not apply in Albania, the project follows its main requirements voluntarily.</w:t>
      </w:r>
    </w:p>
    <w:p>
      <w:pPr>
        <w:spacing w:after="40" w:before="60"/>
      </w:pPr>
      <w:r>
        <w:rPr>
          <w:rFonts w:ascii="Arial" w:hAnsi="Arial" w:eastAsia="Arial"/>
          <w:b/>
          <w:i w:val="0"/>
          <w:color w:val="52606D"/>
          <w:sz w:val="19"/>
        </w:rPr>
        <w:t xml:space="preserve">Sources: </w:t>
      </w:r>
      <w:hyperlink r:id="rId9">
        <w:r>
          <w:rPr>
            <w:rFonts w:ascii="Arial" w:hAnsi="Arial"/>
            <w:color w:val="1F5FBF"/>
            <w:u w:val="single"/>
            <w:sz w:val="19"/>
          </w:rPr>
          <w:t xml:space="preserve">Law No. 124/2024 (Albanian Commissioner)</w:t>
        </w:r>
      </w:hyperlink>
      <w:r>
        <w:rPr>
          <w:rFonts w:ascii="Arial" w:hAnsi="Arial" w:eastAsia="Arial"/>
          <w:b w:val="0"/>
          <w:i w:val="0"/>
          <w:color w:val="52606D"/>
          <w:sz w:val="19"/>
        </w:rPr>
        <w:t xml:space="preserve">; </w:t>
      </w:r>
      <w:hyperlink r:id="rId10">
        <w:r>
          <w:rPr>
            <w:rFonts w:ascii="Arial" w:hAnsi="Arial"/>
            <w:color w:val="1F5FBF"/>
            <w:u w:val="single"/>
            <w:sz w:val="19"/>
          </w:rPr>
          <w:t xml:space="preserve">Summary of the NATO AI Strategy (2021)</w:t>
        </w:r>
      </w:hyperlink>
      <w:r>
        <w:rPr>
          <w:rFonts w:ascii="Arial" w:hAnsi="Arial" w:eastAsia="Arial"/>
          <w:b w:val="0"/>
          <w:i w:val="0"/>
          <w:color w:val="52606D"/>
          <w:sz w:val="19"/>
        </w:rPr>
        <w:t xml:space="preserve">; </w:t>
      </w:r>
      <w:hyperlink r:id="rId11">
        <w:r>
          <w:rPr>
            <w:rFonts w:ascii="Arial" w:hAnsi="Arial"/>
            <w:color w:val="1F5FBF"/>
            <w:u w:val="single"/>
            <w:sz w:val="19"/>
          </w:rPr>
          <w:t xml:space="preserve">European Code of Conduct for Research Integrity</w:t>
        </w:r>
      </w:hyperlink>
      <w:r>
        <w:rPr>
          <w:rFonts w:ascii="Arial" w:hAnsi="Arial" w:eastAsia="Arial"/>
          <w:b w:val="0"/>
          <w:i w:val="0"/>
          <w:color w:val="52606D"/>
          <w:sz w:val="19"/>
        </w:rPr>
        <w:t xml:space="preserve">; </w:t>
      </w:r>
      <w:hyperlink r:id="rId12">
        <w:r>
          <w:rPr>
            <w:rFonts w:ascii="Arial" w:hAnsi="Arial"/>
            <w:color w:val="1F5FBF"/>
            <w:u w:val="single"/>
            <w:sz w:val="19"/>
          </w:rPr>
          <w:t xml:space="preserve">EU AI Act, Regulation (EU) 2024/1689</w:t>
        </w:r>
      </w:hyperlink>
    </w:p>
    <w:p>
      <w:pPr>
        <w:keepNext/>
        <w:spacing w:after="120" w:before="200"/>
      </w:pPr>
      <w:r>
        <w:rPr>
          <w:rFonts w:ascii="Arial" w:hAnsi="Arial" w:eastAsia="Arial"/>
          <w:b/>
          <w:i w:val="0"/>
          <w:color w:val="1F3864"/>
          <w:sz w:val="27"/>
        </w:rPr>
        <w:t>1. Ethics self-assessment</w:t>
      </w:r>
    </w:p>
    <w:p>
      <w:pPr>
        <w:keepNext/>
        <w:spacing w:after="60" w:before="0"/>
      </w:pPr>
      <w:r>
        <w:rPr>
          <w:rFonts w:ascii="Arial" w:hAnsi="Arial" w:eastAsia="Arial"/>
          <w:b w:val="0"/>
          <w:i/>
          <w:color w:val="52606D"/>
          <w:sz w:val="20"/>
        </w:rPr>
        <w:t>Table 1. Ethical issues, whether they apply, and how they are handled.</w:t>
      </w:r>
    </w:p>
    <w:tbl>
      <w:tblPr>
        <w:tblStyle w:val="TableGrid"/>
        <w:tblW w:type="auto" w:w="0"/>
        <w:jc w:val="center"/>
        <w:tblLayout w:type="fixed"/>
        <w:tblLook w:firstColumn="1" w:firstRow="1" w:lastColumn="0" w:lastRow="0" w:noHBand="0" w:noVBand="1" w:val="04A0"/>
        <w:tblLayout w:type="fixed"/>
      </w:tblPr>
      <w:tblGrid>
        <w:gridCol w:w="2494"/>
        <w:gridCol w:w="907"/>
        <w:gridCol w:w="4762"/>
        <w:gridCol w:w="1474"/>
      </w:tblGrid>
      <w:tr>
        <w:trPr>
          <w:cantSplit/>
          <w:tblHeader/>
        </w:trPr>
        <w:tc>
          <w:tcPr>
            <w:tcW w:type="dxa" w:w="2494"/>
            <w:shd w:val="clear" w:color="auto" w:fill="1F3864"/>
          </w:tcPr>
          <w:p>
            <w:pPr>
              <w:keepNext/>
            </w:pPr>
            <w:r/>
            <w:r>
              <w:rPr>
                <w:rFonts w:ascii="Arial" w:hAnsi="Arial" w:eastAsia="Arial"/>
                <w:b/>
                <w:i w:val="0"/>
                <w:color w:val="FFFFFF"/>
                <w:sz w:val="19"/>
              </w:rPr>
              <w:t>Issue</w:t>
            </w:r>
          </w:p>
        </w:tc>
        <w:tc>
          <w:tcPr>
            <w:tcW w:type="dxa" w:w="907"/>
            <w:shd w:val="clear" w:color="auto" w:fill="1F3864"/>
          </w:tcPr>
          <w:p>
            <w:pPr>
              <w:keepNext/>
            </w:pPr>
            <w:r/>
            <w:r>
              <w:rPr>
                <w:rFonts w:ascii="Arial" w:hAnsi="Arial" w:eastAsia="Arial"/>
                <w:b/>
                <w:i w:val="0"/>
                <w:color w:val="FFFFFF"/>
                <w:sz w:val="19"/>
              </w:rPr>
              <w:t>Applies</w:t>
            </w:r>
          </w:p>
        </w:tc>
        <w:tc>
          <w:tcPr>
            <w:tcW w:type="dxa" w:w="4762"/>
            <w:shd w:val="clear" w:color="auto" w:fill="1F3864"/>
          </w:tcPr>
          <w:p>
            <w:pPr>
              <w:keepNext/>
            </w:pPr>
            <w:r/>
            <w:r>
              <w:rPr>
                <w:rFonts w:ascii="Arial" w:hAnsi="Arial" w:eastAsia="Arial"/>
                <w:b/>
                <w:i w:val="0"/>
                <w:color w:val="FFFFFF"/>
                <w:sz w:val="19"/>
              </w:rPr>
              <w:t>How it is handled</w:t>
            </w:r>
          </w:p>
        </w:tc>
        <w:tc>
          <w:tcPr>
            <w:tcW w:type="dxa" w:w="1474"/>
            <w:shd w:val="clear" w:color="auto" w:fill="1F3864"/>
          </w:tcPr>
          <w:p>
            <w:pPr>
              <w:keepNext/>
            </w:pPr>
            <w:r/>
            <w:r>
              <w:rPr>
                <w:rFonts w:ascii="Arial" w:hAnsi="Arial" w:eastAsia="Arial"/>
                <w:b/>
                <w:i w:val="0"/>
                <w:color w:val="FFFFFF"/>
                <w:sz w:val="19"/>
              </w:rPr>
              <w:t>Where</w:t>
            </w:r>
          </w:p>
        </w:tc>
      </w:tr>
      <w:tr>
        <w:trPr>
          <w:cantSplit/>
        </w:trPr>
        <w:tc>
          <w:tcPr>
            <w:tcW w:type="dxa" w:w="2494"/>
          </w:tcPr>
          <w:p>
            <w:pPr>
              <w:keepNext/>
            </w:pPr>
            <w:r/>
            <w:r>
              <w:rPr>
                <w:rFonts w:ascii="Arial" w:hAnsi="Arial" w:eastAsia="Arial"/>
                <w:b w:val="0"/>
                <w:i w:val="0"/>
                <w:sz w:val="19"/>
              </w:rPr>
              <w:t>People taking part (workshops, training, interviews, tests of the bulletins)</w:t>
            </w:r>
          </w:p>
        </w:tc>
        <w:tc>
          <w:tcPr>
            <w:tcW w:type="dxa" w:w="907"/>
            <w:shd w:val="clear" w:color="auto" w:fill="FFF1C2"/>
          </w:tcPr>
          <w:p>
            <w:pPr>
              <w:keepNext/>
            </w:pPr>
            <w:r/>
            <w:r>
              <w:rPr>
                <w:rFonts w:ascii="Arial" w:hAnsi="Arial" w:eastAsia="Arial"/>
                <w:b w:val="0"/>
                <w:i w:val="0"/>
                <w:sz w:val="19"/>
              </w:rPr>
              <w:t>Yes</w:t>
            </w:r>
          </w:p>
        </w:tc>
        <w:tc>
          <w:tcPr>
            <w:tcW w:type="dxa" w:w="4762"/>
          </w:tcPr>
          <w:p>
            <w:pPr>
              <w:keepNext/>
            </w:pPr>
            <w:r/>
            <w:r>
              <w:rPr>
                <w:rFonts w:ascii="Arial" w:hAnsi="Arial" w:eastAsia="Arial"/>
                <w:b w:val="0"/>
                <w:i w:val="0"/>
                <w:sz w:val="19"/>
              </w:rPr>
              <w:t>Voluntary participation with informed consent and the right to withdraw; approval of the institutional ethics committee before any interview or survey; no vulnerable groups are targeted</w:t>
            </w:r>
          </w:p>
        </w:tc>
        <w:tc>
          <w:tcPr>
            <w:tcW w:type="dxa" w:w="1474"/>
          </w:tcPr>
          <w:p>
            <w:pPr>
              <w:keepNext/>
            </w:pPr>
            <w:r/>
            <w:r>
              <w:rPr>
                <w:rFonts w:ascii="Arial" w:hAnsi="Arial" w:eastAsia="Arial"/>
                <w:b w:val="0"/>
                <w:i w:val="0"/>
                <w:sz w:val="19"/>
              </w:rPr>
              <w:t>T3.1, T5.1, T6.2</w:t>
            </w:r>
          </w:p>
        </w:tc>
      </w:tr>
      <w:tr>
        <w:trPr>
          <w:cantSplit/>
        </w:trPr>
        <w:tc>
          <w:tcPr>
            <w:tcW w:type="dxa" w:w="2494"/>
          </w:tcPr>
          <w:p>
            <w:r/>
            <w:r>
              <w:rPr>
                <w:rFonts w:ascii="Arial" w:hAnsi="Arial" w:eastAsia="Arial"/>
                <w:b w:val="0"/>
                <w:i w:val="0"/>
                <w:sz w:val="19"/>
              </w:rPr>
              <w:t>Personal data</w:t>
            </w:r>
          </w:p>
        </w:tc>
        <w:tc>
          <w:tcPr>
            <w:tcW w:type="dxa" w:w="907"/>
            <w:shd w:val="clear" w:color="auto" w:fill="FFF1C2"/>
          </w:tcPr>
          <w:p>
            <w:r/>
            <w:r>
              <w:rPr>
                <w:rFonts w:ascii="Arial" w:hAnsi="Arial" w:eastAsia="Arial"/>
                <w:b w:val="0"/>
                <w:i w:val="0"/>
                <w:sz w:val="19"/>
              </w:rPr>
              <w:t>Yes</w:t>
            </w:r>
          </w:p>
        </w:tc>
        <w:tc>
          <w:tcPr>
            <w:tcW w:type="dxa" w:w="4762"/>
          </w:tcPr>
          <w:p>
            <w:r/>
            <w:r>
              <w:rPr>
                <w:rFonts w:ascii="Arial" w:hAnsi="Arial" w:eastAsia="Arial"/>
                <w:b w:val="0"/>
                <w:i w:val="0"/>
                <w:sz w:val="19"/>
              </w:rPr>
              <w:t>Only what is needed (names, contacts, role, participation by sex); pseudonymised for analysis; stored on partner servers with access control; deleted at the end of the retention period</w:t>
            </w:r>
          </w:p>
        </w:tc>
        <w:tc>
          <w:tcPr>
            <w:tcW w:type="dxa" w:w="1474"/>
          </w:tcPr>
          <w:p>
            <w:r/>
            <w:r>
              <w:rPr>
                <w:rFonts w:ascii="Arial" w:hAnsi="Arial" w:eastAsia="Arial"/>
                <w:b w:val="0"/>
                <w:i w:val="0"/>
                <w:sz w:val="19"/>
              </w:rPr>
              <w:t>T7.2</w:t>
            </w:r>
          </w:p>
        </w:tc>
      </w:tr>
      <w:tr>
        <w:trPr>
          <w:cantSplit/>
        </w:trPr>
        <w:tc>
          <w:tcPr>
            <w:tcW w:type="dxa" w:w="2494"/>
          </w:tcPr>
          <w:p>
            <w:r/>
            <w:r>
              <w:rPr>
                <w:rFonts w:ascii="Arial" w:hAnsi="Arial" w:eastAsia="Arial"/>
                <w:b w:val="0"/>
                <w:i w:val="0"/>
                <w:sz w:val="19"/>
              </w:rPr>
              <w:t>Confidential operator data</w:t>
            </w:r>
          </w:p>
        </w:tc>
        <w:tc>
          <w:tcPr>
            <w:tcW w:type="dxa" w:w="907"/>
            <w:shd w:val="clear" w:color="auto" w:fill="FFF1C2"/>
          </w:tcPr>
          <w:p>
            <w:r/>
            <w:r>
              <w:rPr>
                <w:rFonts w:ascii="Arial" w:hAnsi="Arial" w:eastAsia="Arial"/>
                <w:b w:val="0"/>
                <w:i w:val="0"/>
                <w:sz w:val="19"/>
              </w:rPr>
              <w:t>Yes</w:t>
            </w:r>
          </w:p>
        </w:tc>
        <w:tc>
          <w:tcPr>
            <w:tcW w:type="dxa" w:w="4762"/>
          </w:tcPr>
          <w:p>
            <w:r/>
            <w:r>
              <w:rPr>
                <w:rFonts w:ascii="Arial" w:hAnsi="Arial" w:eastAsia="Arial"/>
                <w:b w:val="0"/>
                <w:i w:val="0"/>
                <w:sz w:val="19"/>
              </w:rPr>
              <w:t>Access agreements; restricted tier; encrypted storage; no transfer outside the consortium without the operator's consent</w:t>
            </w:r>
          </w:p>
        </w:tc>
        <w:tc>
          <w:tcPr>
            <w:tcW w:type="dxa" w:w="1474"/>
          </w:tcPr>
          <w:p>
            <w:r/>
            <w:r>
              <w:rPr>
                <w:rFonts w:ascii="Arial" w:hAnsi="Arial" w:eastAsia="Arial"/>
                <w:b w:val="0"/>
                <w:i w:val="0"/>
                <w:sz w:val="19"/>
              </w:rPr>
              <w:t>T7.2; R20</w:t>
            </w:r>
          </w:p>
        </w:tc>
      </w:tr>
      <w:tr>
        <w:trPr>
          <w:cantSplit/>
        </w:trPr>
        <w:tc>
          <w:tcPr>
            <w:tcW w:type="dxa" w:w="2494"/>
          </w:tcPr>
          <w:p>
            <w:r/>
            <w:r>
              <w:rPr>
                <w:rFonts w:ascii="Arial" w:hAnsi="Arial" w:eastAsia="Arial"/>
                <w:b w:val="0"/>
                <w:i w:val="0"/>
                <w:sz w:val="19"/>
              </w:rPr>
              <w:t>Security-sensitive results and misuse</w:t>
            </w:r>
          </w:p>
        </w:tc>
        <w:tc>
          <w:tcPr>
            <w:tcW w:type="dxa" w:w="907"/>
            <w:shd w:val="clear" w:color="auto" w:fill="FFF1C2"/>
          </w:tcPr>
          <w:p>
            <w:r/>
            <w:r>
              <w:rPr>
                <w:rFonts w:ascii="Arial" w:hAnsi="Arial" w:eastAsia="Arial"/>
                <w:b w:val="0"/>
                <w:i w:val="0"/>
                <w:sz w:val="19"/>
              </w:rPr>
              <w:t>Yes</w:t>
            </w:r>
          </w:p>
        </w:tc>
        <w:tc>
          <w:tcPr>
            <w:tcW w:type="dxa" w:w="4762"/>
          </w:tcPr>
          <w:p>
            <w:r/>
            <w:r>
              <w:rPr>
                <w:rFonts w:ascii="Arial" w:hAnsi="Arial" w:eastAsia="Arial"/>
                <w:b w:val="0"/>
                <w:i w:val="0"/>
                <w:sz w:val="19"/>
              </w:rPr>
              <w:t>Two-tier dissemination and release gate; asset-level vulnerability shared only with operators and authorities</w:t>
            </w:r>
          </w:p>
        </w:tc>
        <w:tc>
          <w:tcPr>
            <w:tcW w:type="dxa" w:w="1474"/>
          </w:tcPr>
          <w:p>
            <w:r/>
            <w:r>
              <w:rPr>
                <w:rFonts w:ascii="Arial" w:hAnsi="Arial" w:eastAsia="Arial"/>
                <w:b w:val="0"/>
                <w:i w:val="0"/>
                <w:sz w:val="19"/>
              </w:rPr>
              <w:t>Dissemination Plan</w:t>
            </w:r>
          </w:p>
        </w:tc>
      </w:tr>
      <w:tr>
        <w:trPr>
          <w:cantSplit/>
        </w:trPr>
        <w:tc>
          <w:tcPr>
            <w:tcW w:type="dxa" w:w="2494"/>
          </w:tcPr>
          <w:p>
            <w:r/>
            <w:r>
              <w:rPr>
                <w:rFonts w:ascii="Arial" w:hAnsi="Arial" w:eastAsia="Arial"/>
                <w:b w:val="0"/>
                <w:i w:val="0"/>
                <w:sz w:val="19"/>
              </w:rPr>
              <w:t>Dual use and export control</w:t>
            </w:r>
          </w:p>
        </w:tc>
        <w:tc>
          <w:tcPr>
            <w:tcW w:type="dxa" w:w="907"/>
            <w:shd w:val="clear" w:color="auto" w:fill="F9D3B4"/>
          </w:tcPr>
          <w:p>
            <w:r/>
            <w:r>
              <w:rPr>
                <w:rFonts w:ascii="Arial" w:hAnsi="Arial" w:eastAsia="Arial"/>
                <w:b w:val="0"/>
                <w:i w:val="0"/>
                <w:sz w:val="19"/>
              </w:rPr>
              <w:t>To check</w:t>
            </w:r>
          </w:p>
        </w:tc>
        <w:tc>
          <w:tcPr>
            <w:tcW w:type="dxa" w:w="4762"/>
          </w:tcPr>
          <w:p>
            <w:r/>
            <w:r>
              <w:rPr>
                <w:rFonts w:ascii="Arial" w:hAnsi="Arial" w:eastAsia="Arial"/>
                <w:b w:val="0"/>
                <w:i w:val="0"/>
                <w:sz w:val="19"/>
              </w:rPr>
              <w:t>Civilian aims only; export classification of GNSS, seismic and fibre-sensing equipment and of software checked with suppliers and national authorities before purchase and shipment</w:t>
            </w:r>
          </w:p>
        </w:tc>
        <w:tc>
          <w:tcPr>
            <w:tcW w:type="dxa" w:w="1474"/>
          </w:tcPr>
          <w:p>
            <w:r/>
            <w:r>
              <w:rPr>
                <w:rFonts w:ascii="Arial" w:hAnsi="Arial" w:eastAsia="Arial"/>
                <w:b w:val="0"/>
                <w:i w:val="0"/>
                <w:sz w:val="19"/>
              </w:rPr>
              <w:t>T4.2</w:t>
            </w:r>
          </w:p>
        </w:tc>
      </w:tr>
      <w:tr>
        <w:trPr>
          <w:cantSplit/>
        </w:trPr>
        <w:tc>
          <w:tcPr>
            <w:tcW w:type="dxa" w:w="2494"/>
          </w:tcPr>
          <w:p>
            <w:r/>
            <w:r>
              <w:rPr>
                <w:rFonts w:ascii="Arial" w:hAnsi="Arial" w:eastAsia="Arial"/>
                <w:b w:val="0"/>
                <w:i w:val="0"/>
                <w:sz w:val="19"/>
              </w:rPr>
              <w:t>Artificial intelligence in safety decisions</w:t>
            </w:r>
          </w:p>
        </w:tc>
        <w:tc>
          <w:tcPr>
            <w:tcW w:type="dxa" w:w="907"/>
            <w:shd w:val="clear" w:color="auto" w:fill="FFF1C2"/>
          </w:tcPr>
          <w:p>
            <w:r/>
            <w:r>
              <w:rPr>
                <w:rFonts w:ascii="Arial" w:hAnsi="Arial" w:eastAsia="Arial"/>
                <w:b w:val="0"/>
                <w:i w:val="0"/>
                <w:sz w:val="19"/>
              </w:rPr>
              <w:t>Yes</w:t>
            </w:r>
          </w:p>
        </w:tc>
        <w:tc>
          <w:tcPr>
            <w:tcW w:type="dxa" w:w="4762"/>
          </w:tcPr>
          <w:p>
            <w:r/>
            <w:r>
              <w:rPr>
                <w:rFonts w:ascii="Arial" w:hAnsi="Arial" w:eastAsia="Arial"/>
                <w:b w:val="0"/>
                <w:i w:val="0"/>
                <w:sz w:val="19"/>
              </w:rPr>
              <w:t>Six NATO principles applied (Section 2); human oversight; full logs</w:t>
            </w:r>
          </w:p>
        </w:tc>
        <w:tc>
          <w:tcPr>
            <w:tcW w:type="dxa" w:w="1474"/>
          </w:tcPr>
          <w:p>
            <w:r/>
            <w:r>
              <w:rPr>
                <w:rFonts w:ascii="Arial" w:hAnsi="Arial" w:eastAsia="Arial"/>
                <w:b w:val="0"/>
                <w:i w:val="0"/>
                <w:sz w:val="19"/>
              </w:rPr>
              <w:t>WP2, WP3, WP5</w:t>
            </w:r>
          </w:p>
        </w:tc>
      </w:tr>
      <w:tr>
        <w:trPr>
          <w:cantSplit/>
        </w:trPr>
        <w:tc>
          <w:tcPr>
            <w:tcW w:type="dxa" w:w="2494"/>
          </w:tcPr>
          <w:p>
            <w:r/>
            <w:r>
              <w:rPr>
                <w:rFonts w:ascii="Arial" w:hAnsi="Arial" w:eastAsia="Arial"/>
                <w:b w:val="0"/>
                <w:i w:val="0"/>
                <w:sz w:val="19"/>
              </w:rPr>
              <w:t>Environment, health and safety</w:t>
            </w:r>
          </w:p>
        </w:tc>
        <w:tc>
          <w:tcPr>
            <w:tcW w:type="dxa" w:w="907"/>
            <w:shd w:val="clear" w:color="auto" w:fill="FFF1C2"/>
          </w:tcPr>
          <w:p>
            <w:r/>
            <w:r>
              <w:rPr>
                <w:rFonts w:ascii="Arial" w:hAnsi="Arial" w:eastAsia="Arial"/>
                <w:b w:val="0"/>
                <w:i w:val="0"/>
                <w:sz w:val="19"/>
              </w:rPr>
              <w:t>Yes</w:t>
            </w:r>
          </w:p>
        </w:tc>
        <w:tc>
          <w:tcPr>
            <w:tcW w:type="dxa" w:w="4762"/>
          </w:tcPr>
          <w:p>
            <w:r/>
            <w:r>
              <w:rPr>
                <w:rFonts w:ascii="Arial" w:hAnsi="Arial" w:eastAsia="Arial"/>
                <w:b w:val="0"/>
                <w:i w:val="0"/>
                <w:sz w:val="19"/>
              </w:rPr>
              <w:t>Permits for drilling and installation; boreholes sealed and logged; field safety plan; removal or hand-over of all equipment at the end</w:t>
            </w:r>
          </w:p>
        </w:tc>
        <w:tc>
          <w:tcPr>
            <w:tcW w:type="dxa" w:w="1474"/>
          </w:tcPr>
          <w:p>
            <w:r/>
            <w:r>
              <w:rPr>
                <w:rFonts w:ascii="Arial" w:hAnsi="Arial" w:eastAsia="Arial"/>
                <w:b w:val="0"/>
                <w:i w:val="0"/>
                <w:sz w:val="19"/>
              </w:rPr>
              <w:t>WP4; R12, R13</w:t>
            </w:r>
          </w:p>
        </w:tc>
      </w:tr>
      <w:tr>
        <w:trPr>
          <w:cantSplit/>
        </w:trPr>
        <w:tc>
          <w:tcPr>
            <w:tcW w:type="dxa" w:w="2494"/>
          </w:tcPr>
          <w:p>
            <w:r/>
            <w:r>
              <w:rPr>
                <w:rFonts w:ascii="Arial" w:hAnsi="Arial" w:eastAsia="Arial"/>
                <w:b w:val="0"/>
                <w:i w:val="0"/>
                <w:sz w:val="19"/>
              </w:rPr>
              <w:t>Partner outside NATO</w:t>
            </w:r>
          </w:p>
        </w:tc>
        <w:tc>
          <w:tcPr>
            <w:tcW w:type="dxa" w:w="907"/>
            <w:shd w:val="clear" w:color="auto" w:fill="FFF1C2"/>
          </w:tcPr>
          <w:p>
            <w:r/>
            <w:r>
              <w:rPr>
                <w:rFonts w:ascii="Arial" w:hAnsi="Arial" w:eastAsia="Arial"/>
                <w:b w:val="0"/>
                <w:i w:val="0"/>
                <w:sz w:val="19"/>
              </w:rPr>
              <w:t>Yes</w:t>
            </w:r>
          </w:p>
        </w:tc>
        <w:tc>
          <w:tcPr>
            <w:tcW w:type="dxa" w:w="4762"/>
          </w:tcPr>
          <w:p>
            <w:r/>
            <w:r>
              <w:rPr>
                <w:rFonts w:ascii="Arial" w:hAnsi="Arial" w:eastAsia="Arial"/>
                <w:b w:val="0"/>
                <w:i w:val="0"/>
                <w:sz w:val="19"/>
              </w:rPr>
              <w:t>Equal partnership; data transfer agreements; local ethics approval and data law respected in each country</w:t>
            </w:r>
          </w:p>
        </w:tc>
        <w:tc>
          <w:tcPr>
            <w:tcW w:type="dxa" w:w="1474"/>
          </w:tcPr>
          <w:p>
            <w:r/>
            <w:r>
              <w:rPr>
                <w:rFonts w:ascii="Arial" w:hAnsi="Arial" w:eastAsia="Arial"/>
                <w:b w:val="0"/>
                <w:i w:val="0"/>
                <w:sz w:val="19"/>
              </w:rPr>
              <w:t>Partnership</w:t>
            </w:r>
          </w:p>
        </w:tc>
      </w:tr>
      <w:tr>
        <w:trPr>
          <w:cantSplit/>
        </w:trPr>
        <w:tc>
          <w:tcPr>
            <w:tcW w:type="dxa" w:w="2494"/>
          </w:tcPr>
          <w:p>
            <w:pPr>
              <w:keepNext/>
            </w:pPr>
            <w:r/>
            <w:r>
              <w:rPr>
                <w:rFonts w:ascii="Arial" w:hAnsi="Arial" w:eastAsia="Arial"/>
                <w:b w:val="0"/>
                <w:i w:val="0"/>
                <w:sz w:val="19"/>
              </w:rPr>
              <w:t>Animals, human tissue, clinical research</w:t>
            </w:r>
          </w:p>
        </w:tc>
        <w:tc>
          <w:tcPr>
            <w:tcW w:type="dxa" w:w="907"/>
            <w:shd w:val="clear" w:color="auto" w:fill="DCEFE3"/>
          </w:tcPr>
          <w:p>
            <w:pPr>
              <w:keepNext/>
            </w:pPr>
            <w:r/>
            <w:r>
              <w:rPr>
                <w:rFonts w:ascii="Arial" w:hAnsi="Arial" w:eastAsia="Arial"/>
                <w:b w:val="0"/>
                <w:i w:val="0"/>
                <w:sz w:val="19"/>
              </w:rPr>
              <w:t>No</w:t>
            </w:r>
          </w:p>
        </w:tc>
        <w:tc>
          <w:tcPr>
            <w:tcW w:type="dxa" w:w="4762"/>
          </w:tcPr>
          <w:p>
            <w:pPr>
              <w:keepNext/>
            </w:pPr>
            <w:r/>
            <w:r>
              <w:rPr>
                <w:rFonts w:ascii="Arial" w:hAnsi="Arial" w:eastAsia="Arial"/>
                <w:b w:val="0"/>
                <w:i w:val="0"/>
                <w:sz w:val="19"/>
              </w:rPr>
              <w:t>—</w:t>
            </w:r>
          </w:p>
        </w:tc>
        <w:tc>
          <w:tcPr>
            <w:tcW w:type="dxa" w:w="1474"/>
          </w:tcPr>
          <w:p>
            <w:pPr>
              <w:keepNext/>
            </w:pPr>
            <w:r/>
            <w:r>
              <w:rPr>
                <w:rFonts w:ascii="Arial" w:hAnsi="Arial" w:eastAsia="Arial"/>
                <w:b w:val="0"/>
                <w:i w:val="0"/>
                <w:sz w:val="19"/>
              </w:rPr>
              <w:t>—</w:t>
            </w:r>
          </w:p>
        </w:tc>
      </w:tr>
      <w:tr>
        <w:trPr>
          <w:cantSplit/>
        </w:trPr>
        <w:tc>
          <w:tcPr>
            <w:tcW w:type="dxa" w:w="2494"/>
          </w:tcPr>
          <w:p>
            <w:r/>
            <w:r>
              <w:rPr>
                <w:rFonts w:ascii="Arial" w:hAnsi="Arial" w:eastAsia="Arial"/>
                <w:b w:val="0"/>
                <w:i w:val="0"/>
                <w:sz w:val="19"/>
              </w:rPr>
              <w:t>Military applications</w:t>
            </w:r>
          </w:p>
        </w:tc>
        <w:tc>
          <w:tcPr>
            <w:tcW w:type="dxa" w:w="907"/>
            <w:shd w:val="clear" w:color="auto" w:fill="DCEFE3"/>
          </w:tcPr>
          <w:p>
            <w:r/>
            <w:r>
              <w:rPr>
                <w:rFonts w:ascii="Arial" w:hAnsi="Arial" w:eastAsia="Arial"/>
                <w:b w:val="0"/>
                <w:i w:val="0"/>
                <w:sz w:val="19"/>
              </w:rPr>
              <w:t>No</w:t>
            </w:r>
          </w:p>
        </w:tc>
        <w:tc>
          <w:tcPr>
            <w:tcW w:type="dxa" w:w="4762"/>
          </w:tcPr>
          <w:p>
            <w:r/>
            <w:r>
              <w:rPr>
                <w:rFonts w:ascii="Arial" w:hAnsi="Arial" w:eastAsia="Arial"/>
                <w:b w:val="0"/>
                <w:i w:val="0"/>
                <w:sz w:val="19"/>
              </w:rPr>
              <w:t>The project is civilian; its results protect critical civilian infrastructure and are not designed for weapons or targeting</w:t>
            </w:r>
          </w:p>
        </w:tc>
        <w:tc>
          <w:tcPr>
            <w:tcW w:type="dxa" w:w="1474"/>
          </w:tcPr>
          <w:p>
            <w:r/>
            <w:r>
              <w:rPr>
                <w:rFonts w:ascii="Arial" w:hAnsi="Arial" w:eastAsia="Arial"/>
                <w:b w:val="0"/>
                <w:i w:val="0"/>
                <w:sz w:val="19"/>
              </w:rPr>
              <w:t>—</w:t>
            </w:r>
          </w:p>
        </w:tc>
      </w:tr>
    </w:tbl>
    <w:p>
      <w:pPr>
        <w:spacing w:after="80" w:before="0"/>
      </w:pPr>
    </w:p>
    <w:p>
      <w:pPr>
        <w:keepNext/>
        <w:spacing w:after="120" w:before="160"/>
      </w:pPr>
      <w:r>
        <w:rPr>
          <w:rFonts w:ascii="Arial" w:hAnsi="Arial" w:eastAsia="Arial"/>
          <w:b/>
          <w:i w:val="0"/>
          <w:color w:val="1F3864"/>
          <w:sz w:val="27"/>
        </w:rPr>
        <w:t>2. Responsible use of artificial intelligence</w:t>
      </w:r>
    </w:p>
    <w:p>
      <w:pPr>
        <w:spacing w:after="80" w:before="0"/>
        <w:jc w:val="both"/>
      </w:pPr>
      <w:r>
        <w:rPr>
          <w:rFonts w:ascii="Arial" w:hAnsi="Arial" w:eastAsia="Arial"/>
          <w:b w:val="0"/>
          <w:i w:val="0"/>
          <w:sz w:val="22"/>
        </w:rPr>
        <w:t>A machine-learned surrogate of the physical model produces the forecasts behind safety decisions at critical infrastructure. Each of NATO's six principles is met by a concrete measure:</w:t>
      </w:r>
    </w:p>
    <w:p>
      <w:pPr>
        <w:keepNext/>
        <w:spacing w:after="60" w:before="0"/>
      </w:pPr>
      <w:r>
        <w:rPr>
          <w:rFonts w:ascii="Arial" w:hAnsi="Arial" w:eastAsia="Arial"/>
          <w:b w:val="0"/>
          <w:i/>
          <w:color w:val="52606D"/>
          <w:sz w:val="20"/>
        </w:rPr>
        <w:t>Table 2. NATO Principles of Responsible Use and how CERTAIN-COAST meets them.</w:t>
      </w:r>
    </w:p>
    <w:tbl>
      <w:tblPr>
        <w:tblStyle w:val="TableGrid"/>
        <w:tblW w:type="auto" w:w="0"/>
        <w:jc w:val="center"/>
        <w:tblLayout w:type="fixed"/>
        <w:tblLook w:firstColumn="1" w:firstRow="1" w:lastColumn="0" w:lastRow="0" w:noHBand="0" w:noVBand="1" w:val="04A0"/>
        <w:tblLayout w:type="fixed"/>
      </w:tblPr>
      <w:tblGrid>
        <w:gridCol w:w="2494"/>
        <w:gridCol w:w="7143"/>
      </w:tblGrid>
      <w:tr>
        <w:trPr>
          <w:cantSplit/>
          <w:tblHeader/>
        </w:trPr>
        <w:tc>
          <w:tcPr>
            <w:tcW w:type="dxa" w:w="2494"/>
            <w:shd w:val="clear" w:color="auto" w:fill="1F3864"/>
          </w:tcPr>
          <w:p>
            <w:pPr>
              <w:keepNext/>
            </w:pPr>
            <w:r/>
            <w:r>
              <w:rPr>
                <w:rFonts w:ascii="Arial" w:hAnsi="Arial" w:eastAsia="Arial"/>
                <w:b/>
                <w:i w:val="0"/>
                <w:color w:val="FFFFFF"/>
                <w:sz w:val="20"/>
              </w:rPr>
              <w:t>Principle</w:t>
            </w:r>
          </w:p>
        </w:tc>
        <w:tc>
          <w:tcPr>
            <w:tcW w:type="dxa" w:w="7143"/>
            <w:shd w:val="clear" w:color="auto" w:fill="1F3864"/>
          </w:tcPr>
          <w:p>
            <w:pPr>
              <w:keepNext/>
            </w:pPr>
            <w:r/>
            <w:r>
              <w:rPr>
                <w:rFonts w:ascii="Arial" w:hAnsi="Arial" w:eastAsia="Arial"/>
                <w:b/>
                <w:i w:val="0"/>
                <w:color w:val="FFFFFF"/>
                <w:sz w:val="20"/>
              </w:rPr>
              <w:t>Measure in CERTAIN-COAST</w:t>
            </w:r>
          </w:p>
        </w:tc>
      </w:tr>
      <w:tr>
        <w:trPr>
          <w:cantSplit/>
        </w:trPr>
        <w:tc>
          <w:tcPr>
            <w:tcW w:type="dxa" w:w="2494"/>
          </w:tcPr>
          <w:p>
            <w:pPr>
              <w:keepNext/>
            </w:pPr>
            <w:r/>
            <w:r>
              <w:rPr>
                <w:rFonts w:ascii="Arial" w:hAnsi="Arial" w:eastAsia="Arial"/>
                <w:b w:val="0"/>
                <w:i w:val="0"/>
                <w:sz w:val="20"/>
              </w:rPr>
              <w:t>Lawfulness</w:t>
            </w:r>
          </w:p>
        </w:tc>
        <w:tc>
          <w:tcPr>
            <w:tcW w:type="dxa" w:w="7143"/>
          </w:tcPr>
          <w:p>
            <w:pPr>
              <w:keepNext/>
            </w:pPr>
            <w:r/>
            <w:r>
              <w:rPr>
                <w:rFonts w:ascii="Arial" w:hAnsi="Arial" w:eastAsia="Arial"/>
                <w:b w:val="0"/>
                <w:i w:val="0"/>
                <w:sz w:val="20"/>
              </w:rPr>
              <w:t>Used only within the operators' legal mandates and in line with data protection law.</w:t>
            </w:r>
          </w:p>
        </w:tc>
      </w:tr>
      <w:tr>
        <w:trPr>
          <w:cantSplit/>
        </w:trPr>
        <w:tc>
          <w:tcPr>
            <w:tcW w:type="dxa" w:w="2494"/>
          </w:tcPr>
          <w:p>
            <w:r/>
            <w:r>
              <w:rPr>
                <w:rFonts w:ascii="Arial" w:hAnsi="Arial" w:eastAsia="Arial"/>
                <w:b w:val="0"/>
                <w:i w:val="0"/>
                <w:sz w:val="20"/>
              </w:rPr>
              <w:t>Responsibility and accountability</w:t>
            </w:r>
          </w:p>
        </w:tc>
        <w:tc>
          <w:tcPr>
            <w:tcW w:type="dxa" w:w="7143"/>
          </w:tcPr>
          <w:p>
            <w:r/>
            <w:r>
              <w:rPr>
                <w:rFonts w:ascii="Arial" w:hAnsi="Arial" w:eastAsia="Arial"/>
                <w:b w:val="0"/>
                <w:i w:val="0"/>
                <w:sz w:val="20"/>
              </w:rPr>
              <w:t>Every decision stays with named operator staff; each bulletin is logged with its inputs, model version, margin and outcome; roles are written into the bulletin protocol (T5.1).</w:t>
            </w:r>
          </w:p>
        </w:tc>
      </w:tr>
      <w:tr>
        <w:trPr>
          <w:cantSplit/>
        </w:trPr>
        <w:tc>
          <w:tcPr>
            <w:tcW w:type="dxa" w:w="2494"/>
          </w:tcPr>
          <w:p>
            <w:r/>
            <w:r>
              <w:rPr>
                <w:rFonts w:ascii="Arial" w:hAnsi="Arial" w:eastAsia="Arial"/>
                <w:b w:val="0"/>
                <w:i w:val="0"/>
                <w:sz w:val="20"/>
              </w:rPr>
              <w:t>Explainability and traceability</w:t>
            </w:r>
          </w:p>
        </w:tc>
        <w:tc>
          <w:tcPr>
            <w:tcW w:type="dxa" w:w="7143"/>
          </w:tcPr>
          <w:p>
            <w:r/>
            <w:r>
              <w:rPr>
                <w:rFonts w:ascii="Arial" w:hAnsi="Arial" w:eastAsia="Arial"/>
                <w:b w:val="0"/>
                <w:i w:val="0"/>
                <w:sz w:val="20"/>
              </w:rPr>
              <w:t>Each bulletin shows the forecast, the margin and its three parts, and the certified miss rate; any bulletin can be reproduced from the log and the open code.</w:t>
            </w:r>
          </w:p>
        </w:tc>
      </w:tr>
      <w:tr>
        <w:trPr>
          <w:cantSplit/>
        </w:trPr>
        <w:tc>
          <w:tcPr>
            <w:tcW w:type="dxa" w:w="2494"/>
          </w:tcPr>
          <w:p>
            <w:r/>
            <w:r>
              <w:rPr>
                <w:rFonts w:ascii="Arial" w:hAnsi="Arial" w:eastAsia="Arial"/>
                <w:b w:val="0"/>
                <w:i w:val="0"/>
                <w:sz w:val="20"/>
              </w:rPr>
              <w:t>Reliability</w:t>
            </w:r>
          </w:p>
        </w:tc>
        <w:tc>
          <w:tcPr>
            <w:tcW w:type="dxa" w:w="7143"/>
          </w:tcPr>
          <w:p>
            <w:r/>
            <w:r>
              <w:rPr>
                <w:rFonts w:ascii="Arial" w:hAnsi="Arial" w:eastAsia="Arial"/>
                <w:b w:val="0"/>
                <w:i w:val="0"/>
                <w:sz w:val="20"/>
              </w:rPr>
              <w:t>An error bound for every forecast of the surrogate; miss rates certified, back-tested and checked in operation; data integrity checks against tampering.</w:t>
            </w:r>
          </w:p>
        </w:tc>
      </w:tr>
      <w:tr>
        <w:trPr>
          <w:cantSplit/>
        </w:trPr>
        <w:tc>
          <w:tcPr>
            <w:tcW w:type="dxa" w:w="2494"/>
          </w:tcPr>
          <w:p>
            <w:pPr>
              <w:keepNext/>
            </w:pPr>
            <w:r/>
            <w:r>
              <w:rPr>
                <w:rFonts w:ascii="Arial" w:hAnsi="Arial" w:eastAsia="Arial"/>
                <w:b w:val="0"/>
                <w:i w:val="0"/>
                <w:sz w:val="20"/>
              </w:rPr>
              <w:t>Governability</w:t>
            </w:r>
          </w:p>
        </w:tc>
        <w:tc>
          <w:tcPr>
            <w:tcW w:type="dxa" w:w="7143"/>
          </w:tcPr>
          <w:p>
            <w:pPr>
              <w:keepNext/>
            </w:pPr>
            <w:r/>
            <w:r>
              <w:rPr>
                <w:rFonts w:ascii="Arial" w:hAnsi="Arial" w:eastAsia="Arial"/>
                <w:b w:val="0"/>
                <w:i w:val="0"/>
                <w:sz w:val="20"/>
              </w:rPr>
              <w:t>Operators can override, pause or return to manual procedures at any time; if the error bound fails, the system falls back to the full model or a wider margin; live use only after the go/no-go milestone (MS4).</w:t>
            </w:r>
          </w:p>
        </w:tc>
      </w:tr>
      <w:tr>
        <w:trPr>
          <w:cantSplit/>
        </w:trPr>
        <w:tc>
          <w:tcPr>
            <w:tcW w:type="dxa" w:w="2494"/>
          </w:tcPr>
          <w:p>
            <w:r/>
            <w:r>
              <w:rPr>
                <w:rFonts w:ascii="Arial" w:hAnsi="Arial" w:eastAsia="Arial"/>
                <w:b w:val="0"/>
                <w:i w:val="0"/>
                <w:sz w:val="20"/>
              </w:rPr>
              <w:t>Bias mitigation</w:t>
            </w:r>
          </w:p>
        </w:tc>
        <w:tc>
          <w:tcPr>
            <w:tcW w:type="dxa" w:w="7143"/>
          </w:tcPr>
          <w:p>
            <w:r/>
            <w:r>
              <w:rPr>
                <w:rFonts w:ascii="Arial" w:hAnsi="Arial" w:eastAsia="Arial"/>
                <w:b w:val="0"/>
                <w:i w:val="0"/>
                <w:sz w:val="20"/>
              </w:rPr>
              <w:t>Miss and false-alarm rates are checked separately for each asset, season and type of event, so that no area or condition is served worse; gaps in the data are quantified, not hidden.</w:t>
            </w:r>
          </w:p>
        </w:tc>
      </w:tr>
    </w:tbl>
    <w:p>
      <w:pPr>
        <w:spacing w:after="80" w:before="0"/>
      </w:pPr>
    </w:p>
    <w:p>
      <w:pPr>
        <w:keepNext/>
        <w:spacing w:after="120" w:before="160"/>
      </w:pPr>
      <w:r>
        <w:rPr>
          <w:rFonts w:ascii="Arial" w:hAnsi="Arial" w:eastAsia="Arial"/>
          <w:b/>
          <w:i w:val="0"/>
          <w:color w:val="1F3864"/>
          <w:sz w:val="27"/>
        </w:rPr>
        <w:t>3. The ethics of issuing warnings</w:t>
      </w:r>
    </w:p>
    <w:p>
      <w:pPr>
        <w:spacing w:after="60" w:before="0"/>
        <w:ind w:left="283"/>
      </w:pPr>
      <w:r>
        <w:rPr>
          <w:rFonts w:ascii="Arial" w:hAnsi="Arial" w:eastAsia="Arial"/>
          <w:b/>
          <w:i w:val="0"/>
          <w:sz w:val="22"/>
        </w:rPr>
        <w:t xml:space="preserve">• </w:t>
      </w:r>
      <w:r>
        <w:rPr>
          <w:rFonts w:ascii="Arial" w:hAnsi="Arial" w:eastAsia="Arial"/>
          <w:b/>
          <w:i w:val="0"/>
          <w:sz w:val="22"/>
        </w:rPr>
        <w:t>Honesty about uncertainty.</w:t>
      </w:r>
      <w:r>
        <w:rPr>
          <w:rFonts w:ascii="Arial" w:hAnsi="Arial" w:eastAsia="Arial"/>
          <w:b w:val="0"/>
          <w:i w:val="0"/>
          <w:sz w:val="22"/>
        </w:rPr>
        <w:t xml:space="preserve"> No bulletin claims more certainty than it has: each states how often such warnings miss, and that rate is checked against the log.</w:t>
      </w:r>
    </w:p>
    <w:p>
      <w:pPr>
        <w:spacing w:after="60" w:before="0"/>
        <w:ind w:left="283"/>
      </w:pPr>
      <w:r>
        <w:rPr>
          <w:rFonts w:ascii="Arial" w:hAnsi="Arial" w:eastAsia="Arial"/>
          <w:b/>
          <w:i w:val="0"/>
          <w:sz w:val="22"/>
        </w:rPr>
        <w:t xml:space="preserve">• </w:t>
      </w:r>
      <w:r>
        <w:rPr>
          <w:rFonts w:ascii="Arial" w:hAnsi="Arial" w:eastAsia="Arial"/>
          <w:b/>
          <w:i w:val="0"/>
          <w:sz w:val="22"/>
        </w:rPr>
        <w:t>Who bears the error is decided openly.</w:t>
      </w:r>
      <w:r>
        <w:rPr>
          <w:rFonts w:ascii="Arial" w:hAnsi="Arial" w:eastAsia="Arial"/>
          <w:b w:val="0"/>
          <w:i w:val="0"/>
          <w:sz w:val="22"/>
        </w:rPr>
        <w:t xml:space="preserve"> The trade-off between misses and false alarms is agreed with the operators before the alarms are designed, and tolerances are allocated by consequence, not by convenience (Methodology, Section 5.4).</w:t>
      </w:r>
    </w:p>
    <w:p>
      <w:pPr>
        <w:spacing w:after="60" w:before="0"/>
        <w:ind w:left="283"/>
      </w:pPr>
      <w:r>
        <w:rPr>
          <w:rFonts w:ascii="Arial" w:hAnsi="Arial" w:eastAsia="Arial"/>
          <w:b/>
          <w:i w:val="0"/>
          <w:sz w:val="22"/>
        </w:rPr>
        <w:t xml:space="preserve">• </w:t>
      </w:r>
      <w:r>
        <w:rPr>
          <w:rFonts w:ascii="Arial" w:hAnsi="Arial" w:eastAsia="Arial"/>
          <w:b/>
          <w:i w:val="0"/>
          <w:sz w:val="22"/>
        </w:rPr>
        <w:t>Official warnings stay with the authorities.</w:t>
      </w:r>
      <w:r>
        <w:rPr>
          <w:rFonts w:ascii="Arial" w:hAnsi="Arial" w:eastAsia="Arial"/>
          <w:b w:val="0"/>
          <w:i w:val="0"/>
          <w:sz w:val="22"/>
        </w:rPr>
        <w:t xml:space="preserve"> CERTAIN-COAST bulletins go to the operators and civil protection; any warning to the public is issued only by the competent authorities through their own channels.</w:t>
      </w:r>
    </w:p>
    <w:p>
      <w:pPr>
        <w:spacing w:after="60" w:before="0"/>
        <w:ind w:left="283"/>
      </w:pPr>
      <w:r>
        <w:rPr>
          <w:rFonts w:ascii="Arial" w:hAnsi="Arial" w:eastAsia="Arial"/>
          <w:b/>
          <w:i w:val="0"/>
          <w:sz w:val="22"/>
        </w:rPr>
        <w:t xml:space="preserve">• </w:t>
      </w:r>
      <w:r>
        <w:rPr>
          <w:rFonts w:ascii="Arial" w:hAnsi="Arial" w:eastAsia="Arial"/>
          <w:b/>
          <w:i w:val="0"/>
          <w:sz w:val="22"/>
        </w:rPr>
        <w:t>Misses are reviewed, not hidden.</w:t>
      </w:r>
      <w:r>
        <w:rPr>
          <w:rFonts w:ascii="Arial" w:hAnsi="Arial" w:eastAsia="Arial"/>
          <w:b w:val="0"/>
          <w:i w:val="0"/>
          <w:sz w:val="22"/>
        </w:rPr>
        <w:t xml:space="preserve"> Every missed exceedance is reviewed within a week, and the findings are shared with the operators and civil protection.</w:t>
      </w:r>
    </w:p>
    <w:p>
      <w:pPr>
        <w:spacing w:after="60" w:before="0"/>
        <w:ind w:left="283"/>
      </w:pPr>
      <w:r>
        <w:rPr>
          <w:rFonts w:ascii="Arial" w:hAnsi="Arial" w:eastAsia="Arial"/>
          <w:b/>
          <w:i w:val="0"/>
          <w:sz w:val="22"/>
        </w:rPr>
        <w:t xml:space="preserve">• </w:t>
      </w:r>
      <w:r>
        <w:rPr>
          <w:rFonts w:ascii="Arial" w:hAnsi="Arial" w:eastAsia="Arial"/>
          <w:b/>
          <w:i w:val="0"/>
          <w:sz w:val="22"/>
        </w:rPr>
        <w:t>No false reassurance.</w:t>
      </w:r>
      <w:r>
        <w:rPr>
          <w:rFonts w:ascii="Arial" w:hAnsi="Arial" w:eastAsia="Arial"/>
          <w:b w:val="0"/>
          <w:i w:val="0"/>
          <w:sz w:val="22"/>
        </w:rPr>
        <w:t xml:space="preserve"> When conditions leave the observed record, the bulletin says so and the margin widens, rather than presenting a forecast as reliable where it is not.</w:t>
      </w:r>
    </w:p>
    <w:p>
      <w:pPr>
        <w:keepNext/>
        <w:spacing w:after="120" w:before="160"/>
      </w:pPr>
      <w:r>
        <w:rPr>
          <w:rFonts w:ascii="Arial" w:hAnsi="Arial" w:eastAsia="Arial"/>
          <w:b/>
          <w:i w:val="0"/>
          <w:color w:val="1F3864"/>
          <w:sz w:val="27"/>
        </w:rPr>
        <w:t>4. Data protection</w:t>
      </w:r>
    </w:p>
    <w:p>
      <w:pPr>
        <w:spacing w:after="60" w:before="0"/>
        <w:ind w:left="283"/>
      </w:pPr>
      <w:r>
        <w:rPr>
          <w:rFonts w:ascii="Arial" w:hAnsi="Arial" w:eastAsia="Arial"/>
          <w:b/>
          <w:i w:val="0"/>
          <w:sz w:val="22"/>
        </w:rPr>
        <w:t xml:space="preserve">• </w:t>
      </w:r>
      <w:r>
        <w:rPr>
          <w:rFonts w:ascii="Arial" w:hAnsi="Arial" w:eastAsia="Arial"/>
          <w:b/>
          <w:i w:val="0"/>
          <w:sz w:val="22"/>
        </w:rPr>
        <w:t>What is collected:</w:t>
      </w:r>
      <w:r>
        <w:rPr>
          <w:rFonts w:ascii="Arial" w:hAnsi="Arial" w:eastAsia="Arial"/>
          <w:b w:val="0"/>
          <w:i w:val="0"/>
          <w:sz w:val="22"/>
        </w:rPr>
        <w:t xml:space="preserve"> names, contact details and roles of participants; participation by sex and age band for the gender and inclusion indicators; notes from interviews and tests of the bulletins.</w:t>
      </w:r>
    </w:p>
    <w:p>
      <w:pPr>
        <w:spacing w:after="60" w:before="0"/>
        <w:ind w:left="283"/>
      </w:pPr>
      <w:r>
        <w:rPr>
          <w:rFonts w:ascii="Arial" w:hAnsi="Arial" w:eastAsia="Arial"/>
          <w:b/>
          <w:i w:val="0"/>
          <w:sz w:val="22"/>
        </w:rPr>
        <w:t xml:space="preserve">• </w:t>
      </w:r>
      <w:r>
        <w:rPr>
          <w:rFonts w:ascii="Arial" w:hAnsi="Arial" w:eastAsia="Arial"/>
          <w:b/>
          <w:i w:val="0"/>
          <w:sz w:val="22"/>
        </w:rPr>
        <w:t>Legal basis:</w:t>
      </w:r>
      <w:r>
        <w:rPr>
          <w:rFonts w:ascii="Arial" w:hAnsi="Arial" w:eastAsia="Arial"/>
          <w:b w:val="0"/>
          <w:i w:val="0"/>
          <w:sz w:val="22"/>
        </w:rPr>
        <w:t xml:space="preserve"> consent for interviews and tests; the partners' legitimate interest for project contact data; information sheets in Albanian and English.</w:t>
      </w:r>
    </w:p>
    <w:p>
      <w:pPr>
        <w:spacing w:after="60" w:before="0"/>
        <w:ind w:left="283"/>
      </w:pPr>
      <w:r>
        <w:rPr>
          <w:rFonts w:ascii="Arial" w:hAnsi="Arial" w:eastAsia="Arial"/>
          <w:b/>
          <w:i w:val="0"/>
          <w:sz w:val="22"/>
        </w:rPr>
        <w:t xml:space="preserve">• </w:t>
      </w:r>
      <w:r>
        <w:rPr>
          <w:rFonts w:ascii="Arial" w:hAnsi="Arial" w:eastAsia="Arial"/>
          <w:b/>
          <w:i w:val="0"/>
          <w:sz w:val="22"/>
        </w:rPr>
        <w:t>Protection:</w:t>
      </w:r>
      <w:r>
        <w:rPr>
          <w:rFonts w:ascii="Arial" w:hAnsi="Arial" w:eastAsia="Arial"/>
          <w:b w:val="0"/>
          <w:i w:val="0"/>
          <w:sz w:val="22"/>
        </w:rPr>
        <w:t xml:space="preserve"> pseudonymisation for analysis; storage on partner servers in the partner countries with access control and encryption; no personal data in published datasets.</w:t>
      </w:r>
    </w:p>
    <w:p>
      <w:pPr>
        <w:spacing w:after="60" w:before="0"/>
        <w:ind w:left="283"/>
      </w:pPr>
      <w:r>
        <w:rPr>
          <w:rFonts w:ascii="Arial" w:hAnsi="Arial" w:eastAsia="Arial"/>
          <w:b/>
          <w:i w:val="0"/>
          <w:sz w:val="22"/>
        </w:rPr>
        <w:t xml:space="preserve">• </w:t>
      </w:r>
      <w:r>
        <w:rPr>
          <w:rFonts w:ascii="Arial" w:hAnsi="Arial" w:eastAsia="Arial"/>
          <w:b/>
          <w:i w:val="0"/>
          <w:sz w:val="22"/>
        </w:rPr>
        <w:t>Rights:</w:t>
      </w:r>
      <w:r>
        <w:rPr>
          <w:rFonts w:ascii="Arial" w:hAnsi="Arial" w:eastAsia="Arial"/>
          <w:b w:val="0"/>
          <w:i w:val="0"/>
          <w:sz w:val="22"/>
        </w:rPr>
        <w:t xml:space="preserve"> participants can access, correct or delete their data and withdraw consent at any time; each partner's data protection officer is the contact point.</w:t>
      </w:r>
    </w:p>
    <w:p>
      <w:pPr>
        <w:spacing w:after="60" w:before="0"/>
        <w:ind w:left="283"/>
      </w:pPr>
      <w:r>
        <w:rPr>
          <w:rFonts w:ascii="Arial" w:hAnsi="Arial" w:eastAsia="Arial"/>
          <w:b/>
          <w:i w:val="0"/>
          <w:sz w:val="22"/>
        </w:rPr>
        <w:t xml:space="preserve">• </w:t>
      </w:r>
      <w:r>
        <w:rPr>
          <w:rFonts w:ascii="Arial" w:hAnsi="Arial" w:eastAsia="Arial"/>
          <w:b/>
          <w:i w:val="0"/>
          <w:sz w:val="22"/>
        </w:rPr>
        <w:t>Retention:</w:t>
      </w:r>
      <w:r>
        <w:rPr>
          <w:rFonts w:ascii="Arial" w:hAnsi="Arial" w:eastAsia="Arial"/>
          <w:b w:val="0"/>
          <w:i w:val="0"/>
          <w:sz w:val="22"/>
        </w:rPr>
        <w:t xml:space="preserve"> personal data are kept only as long as needed for the project and its reporting, then deleted; breaches are reported to the competent authority as the law requires.</w:t>
      </w:r>
    </w:p>
    <w:p>
      <w:pPr>
        <w:keepNext/>
        <w:spacing w:after="120" w:before="160"/>
      </w:pPr>
      <w:r>
        <w:rPr>
          <w:rFonts w:ascii="Arial" w:hAnsi="Arial" w:eastAsia="Arial"/>
          <w:b/>
          <w:i w:val="0"/>
          <w:color w:val="1F3864"/>
          <w:sz w:val="27"/>
        </w:rPr>
        <w:t>5. Environment, health and safety</w:t>
      </w:r>
    </w:p>
    <w:p>
      <w:pPr>
        <w:spacing w:after="60" w:before="0"/>
        <w:ind w:left="283"/>
      </w:pPr>
      <w:r>
        <w:rPr>
          <w:rFonts w:ascii="Arial" w:hAnsi="Arial" w:eastAsia="Arial"/>
          <w:b/>
          <w:i w:val="0"/>
          <w:sz w:val="22"/>
        </w:rPr>
        <w:t xml:space="preserve">• </w:t>
      </w:r>
      <w:r>
        <w:rPr>
          <w:rFonts w:ascii="Arial" w:hAnsi="Arial" w:eastAsia="Arial"/>
          <w:b/>
          <w:i w:val="0"/>
          <w:sz w:val="22"/>
        </w:rPr>
        <w:t>Permits and consent of owners</w:t>
      </w:r>
      <w:r>
        <w:rPr>
          <w:rFonts w:ascii="Arial" w:hAnsi="Arial" w:eastAsia="Arial"/>
          <w:b w:val="0"/>
          <w:i w:val="0"/>
          <w:sz w:val="22"/>
        </w:rPr>
        <w:t xml:space="preserve"> for drilling, installation and access, obtained before any field work.</w:t>
      </w:r>
    </w:p>
    <w:p>
      <w:pPr>
        <w:spacing w:after="60" w:before="0"/>
        <w:ind w:left="283"/>
      </w:pPr>
      <w:r>
        <w:rPr>
          <w:rFonts w:ascii="Arial" w:hAnsi="Arial" w:eastAsia="Arial"/>
          <w:b/>
          <w:i w:val="0"/>
          <w:sz w:val="22"/>
        </w:rPr>
        <w:t xml:space="preserve">• </w:t>
      </w:r>
      <w:r>
        <w:rPr>
          <w:rFonts w:ascii="Arial" w:hAnsi="Arial" w:eastAsia="Arial"/>
          <w:b/>
          <w:i w:val="0"/>
          <w:sz w:val="22"/>
        </w:rPr>
        <w:t>Protection of the aquifer:</w:t>
      </w:r>
      <w:r>
        <w:rPr>
          <w:rFonts w:ascii="Arial" w:hAnsi="Arial" w:eastAsia="Arial"/>
          <w:b w:val="0"/>
          <w:i w:val="0"/>
          <w:sz w:val="22"/>
        </w:rPr>
        <w:t xml:space="preserve"> boreholes designed and sealed so that they do not connect fresh and saline layers, with conductivity logged before and after (R12).</w:t>
      </w:r>
    </w:p>
    <w:p>
      <w:pPr>
        <w:spacing w:after="60" w:before="0"/>
        <w:ind w:left="283"/>
      </w:pPr>
      <w:r>
        <w:rPr>
          <w:rFonts w:ascii="Arial" w:hAnsi="Arial" w:eastAsia="Arial"/>
          <w:b/>
          <w:i w:val="0"/>
          <w:sz w:val="22"/>
        </w:rPr>
        <w:t xml:space="preserve">• </w:t>
      </w:r>
      <w:r>
        <w:rPr>
          <w:rFonts w:ascii="Arial" w:hAnsi="Arial" w:eastAsia="Arial"/>
          <w:b/>
          <w:i w:val="0"/>
          <w:sz w:val="22"/>
        </w:rPr>
        <w:t>Safety of people:</w:t>
      </w:r>
      <w:r>
        <w:rPr>
          <w:rFonts w:ascii="Arial" w:hAnsi="Arial" w:eastAsia="Arial"/>
          <w:b w:val="0"/>
          <w:i w:val="0"/>
          <w:sz w:val="22"/>
        </w:rPr>
        <w:t xml:space="preserve"> field safety plan, inductions at each site, two-person rule and no field work during active warnings (R13).</w:t>
      </w:r>
    </w:p>
    <w:p>
      <w:pPr>
        <w:spacing w:after="60" w:before="0"/>
        <w:ind w:left="283"/>
      </w:pPr>
      <w:r>
        <w:rPr>
          <w:rFonts w:ascii="Arial" w:hAnsi="Arial" w:eastAsia="Arial"/>
          <w:b/>
          <w:i w:val="0"/>
          <w:sz w:val="22"/>
        </w:rPr>
        <w:t xml:space="preserve">• </w:t>
      </w:r>
      <w:r>
        <w:rPr>
          <w:rFonts w:ascii="Arial" w:hAnsi="Arial" w:eastAsia="Arial"/>
          <w:b/>
          <w:i w:val="0"/>
          <w:sz w:val="22"/>
        </w:rPr>
        <w:t>Clean exit:</w:t>
      </w:r>
      <w:r>
        <w:rPr>
          <w:rFonts w:ascii="Arial" w:hAnsi="Arial" w:eastAsia="Arial"/>
          <w:b w:val="0"/>
          <w:i w:val="0"/>
          <w:sz w:val="22"/>
        </w:rPr>
        <w:t xml:space="preserve"> equipment not handed over is removed at the end; batteries and electronic waste are disposed of through licensed channels.</w:t>
      </w:r>
    </w:p>
    <w:p>
      <w:pPr>
        <w:keepNext/>
        <w:spacing w:after="120" w:before="160"/>
      </w:pPr>
      <w:r>
        <w:rPr>
          <w:rFonts w:ascii="Arial" w:hAnsi="Arial" w:eastAsia="Arial"/>
          <w:b/>
          <w:i w:val="0"/>
          <w:color w:val="1F3864"/>
          <w:sz w:val="27"/>
        </w:rPr>
        <w:t>6. Research integrity</w:t>
      </w:r>
    </w:p>
    <w:p>
      <w:pPr>
        <w:spacing w:after="60" w:before="0"/>
        <w:ind w:left="283"/>
      </w:pPr>
      <w:r>
        <w:rPr>
          <w:rFonts w:ascii="Arial" w:hAnsi="Arial" w:eastAsia="Arial"/>
          <w:b/>
          <w:i w:val="0"/>
          <w:sz w:val="22"/>
        </w:rPr>
        <w:t xml:space="preserve">• </w:t>
      </w:r>
      <w:r>
        <w:rPr>
          <w:rFonts w:ascii="Arial" w:hAnsi="Arial" w:eastAsia="Arial"/>
          <w:b/>
          <w:i w:val="0"/>
          <w:sz w:val="22"/>
        </w:rPr>
        <w:t>A fixed test before the results.</w:t>
      </w:r>
      <w:r>
        <w:rPr>
          <w:rFonts w:ascii="Arial" w:hAnsi="Arial" w:eastAsia="Arial"/>
          <w:b w:val="0"/>
          <w:i w:val="0"/>
          <w:sz w:val="22"/>
        </w:rPr>
        <w:t xml:space="preserve"> The back-testing protocol (data, issue times, metrics) is written down and frozen before the results are seen, so the reported miss rates cannot be tuned after the fact.</w:t>
      </w:r>
    </w:p>
    <w:p>
      <w:pPr>
        <w:spacing w:after="60" w:before="0"/>
        <w:ind w:left="283"/>
      </w:pPr>
      <w:r>
        <w:rPr>
          <w:rFonts w:ascii="Arial" w:hAnsi="Arial" w:eastAsia="Arial"/>
          <w:b/>
          <w:i w:val="0"/>
          <w:sz w:val="22"/>
        </w:rPr>
        <w:t xml:space="preserve">• </w:t>
      </w:r>
      <w:r>
        <w:rPr>
          <w:rFonts w:ascii="Arial" w:hAnsi="Arial" w:eastAsia="Arial"/>
          <w:b/>
          <w:i w:val="0"/>
          <w:sz w:val="22"/>
        </w:rPr>
        <w:t>Negative results reported.</w:t>
      </w:r>
      <w:r>
        <w:rPr>
          <w:rFonts w:ascii="Arial" w:hAnsi="Arial" w:eastAsia="Arial"/>
          <w:b w:val="0"/>
          <w:i w:val="0"/>
          <w:sz w:val="22"/>
        </w:rPr>
        <w:t xml:space="preserve"> Misses, failed tests and limitations are reported in the papers and progress reports, not only successes.</w:t>
      </w:r>
    </w:p>
    <w:p>
      <w:pPr>
        <w:spacing w:after="60" w:before="0"/>
        <w:ind w:left="283"/>
      </w:pPr>
      <w:r>
        <w:rPr>
          <w:rFonts w:ascii="Arial" w:hAnsi="Arial" w:eastAsia="Arial"/>
          <w:b/>
          <w:i w:val="0"/>
          <w:sz w:val="22"/>
        </w:rPr>
        <w:t xml:space="preserve">• </w:t>
      </w:r>
      <w:r>
        <w:rPr>
          <w:rFonts w:ascii="Arial" w:hAnsi="Arial" w:eastAsia="Arial"/>
          <w:b/>
          <w:i w:val="0"/>
          <w:sz w:val="22"/>
        </w:rPr>
        <w:t>Authorship and credit</w:t>
      </w:r>
      <w:r>
        <w:rPr>
          <w:rFonts w:ascii="Arial" w:hAnsi="Arial" w:eastAsia="Arial"/>
          <w:b w:val="0"/>
          <w:i w:val="0"/>
          <w:sz w:val="22"/>
        </w:rPr>
        <w:t xml:space="preserve"> agreed in the publication plan, with contributions stated for each paper; early-career researchers credited for their work.</w:t>
      </w:r>
    </w:p>
    <w:p>
      <w:pPr>
        <w:spacing w:after="60" w:before="0"/>
        <w:ind w:left="283"/>
      </w:pPr>
      <w:r>
        <w:rPr>
          <w:rFonts w:ascii="Arial" w:hAnsi="Arial" w:eastAsia="Arial"/>
          <w:b/>
          <w:i w:val="0"/>
          <w:sz w:val="22"/>
        </w:rPr>
        <w:t xml:space="preserve">• </w:t>
      </w:r>
      <w:r>
        <w:rPr>
          <w:rFonts w:ascii="Arial" w:hAnsi="Arial" w:eastAsia="Arial"/>
          <w:b/>
          <w:i w:val="0"/>
          <w:sz w:val="22"/>
        </w:rPr>
        <w:t>Conflicts of interest declared:</w:t>
      </w:r>
      <w:r>
        <w:rPr>
          <w:rFonts w:ascii="Arial" w:hAnsi="Arial" w:eastAsia="Arial"/>
          <w:b w:val="0"/>
          <w:i w:val="0"/>
          <w:sz w:val="22"/>
        </w:rPr>
        <w:t xml:space="preserve"> the operators are both partners and users of the system; their role in thresholds and publication review is limited to their own assets and to sensitive content.</w:t>
      </w:r>
    </w:p>
    <w:p>
      <w:pPr>
        <w:spacing w:after="60" w:before="0"/>
        <w:ind w:left="283"/>
      </w:pPr>
      <w:r>
        <w:rPr>
          <w:rFonts w:ascii="Arial" w:hAnsi="Arial" w:eastAsia="Arial"/>
          <w:b/>
          <w:i w:val="0"/>
          <w:sz w:val="22"/>
        </w:rPr>
        <w:t xml:space="preserve">• </w:t>
      </w:r>
      <w:r>
        <w:rPr>
          <w:rFonts w:ascii="Arial" w:hAnsi="Arial" w:eastAsia="Arial"/>
          <w:b/>
          <w:i w:val="0"/>
          <w:sz w:val="22"/>
        </w:rPr>
        <w:t>Open methods and data</w:t>
      </w:r>
      <w:r>
        <w:rPr>
          <w:rFonts w:ascii="Arial" w:hAnsi="Arial" w:eastAsia="Arial"/>
          <w:b w:val="0"/>
          <w:i w:val="0"/>
          <w:sz w:val="22"/>
        </w:rPr>
        <w:t xml:space="preserve"> in line with the two-tier dissemination plan.</w:t>
      </w:r>
    </w:p>
    <w:p>
      <w:pPr>
        <w:keepNext/>
        <w:spacing w:after="120" w:before="160"/>
      </w:pPr>
      <w:r>
        <w:rPr>
          <w:rFonts w:ascii="Arial" w:hAnsi="Arial" w:eastAsia="Arial"/>
          <w:b/>
          <w:i w:val="0"/>
          <w:color w:val="1F3864"/>
          <w:sz w:val="27"/>
        </w:rPr>
        <w:t>7. Ethics governance</w:t>
      </w:r>
    </w:p>
    <w:p>
      <w:pPr>
        <w:spacing w:after="60" w:before="0"/>
        <w:ind w:left="283"/>
      </w:pPr>
      <w:r>
        <w:rPr>
          <w:rFonts w:ascii="Arial" w:hAnsi="Arial" w:eastAsia="Arial"/>
          <w:b/>
          <w:i w:val="0"/>
          <w:sz w:val="22"/>
        </w:rPr>
        <w:t xml:space="preserve">• </w:t>
      </w:r>
      <w:r>
        <w:rPr>
          <w:rFonts w:ascii="Arial" w:hAnsi="Arial" w:eastAsia="Arial"/>
          <w:b/>
          <w:i w:val="0"/>
          <w:sz w:val="22"/>
        </w:rPr>
        <w:t>Ethics contact point and independent advisor.</w:t>
      </w:r>
      <w:r>
        <w:rPr>
          <w:rFonts w:ascii="Arial" w:hAnsi="Arial" w:eastAsia="Arial"/>
          <w:b w:val="0"/>
          <w:i w:val="0"/>
          <w:sz w:val="22"/>
        </w:rPr>
        <w:t xml:space="preserve"> A member of the steering committee is the ethics contact point; an independent ethics advisor, not involved in the research, reviews the ethics and data plan and any issue raised.</w:t>
      </w:r>
    </w:p>
    <w:p>
      <w:pPr>
        <w:spacing w:after="60" w:before="0"/>
        <w:ind w:left="283"/>
      </w:pPr>
      <w:r>
        <w:rPr>
          <w:rFonts w:ascii="Arial" w:hAnsi="Arial" w:eastAsia="Arial"/>
          <w:b/>
          <w:i w:val="0"/>
          <w:sz w:val="22"/>
        </w:rPr>
        <w:t xml:space="preserve">• </w:t>
      </w:r>
      <w:r>
        <w:rPr>
          <w:rFonts w:ascii="Arial" w:hAnsi="Arial" w:eastAsia="Arial"/>
          <w:b/>
          <w:i w:val="0"/>
          <w:sz w:val="22"/>
        </w:rPr>
        <w:t>Approvals before activities.</w:t>
      </w:r>
      <w:r>
        <w:rPr>
          <w:rFonts w:ascii="Arial" w:hAnsi="Arial" w:eastAsia="Arial"/>
          <w:b w:val="0"/>
          <w:i w:val="0"/>
          <w:sz w:val="22"/>
        </w:rPr>
        <w:t xml:space="preserve"> Ethics committee approvals, permits and export checks are obtained before the activity they concern, and recorded.</w:t>
      </w:r>
    </w:p>
    <w:p>
      <w:pPr>
        <w:spacing w:after="60" w:before="0"/>
        <w:ind w:left="283"/>
      </w:pPr>
      <w:r>
        <w:rPr>
          <w:rFonts w:ascii="Arial" w:hAnsi="Arial" w:eastAsia="Arial"/>
          <w:b/>
          <w:i w:val="0"/>
          <w:sz w:val="22"/>
        </w:rPr>
        <w:t xml:space="preserve">• </w:t>
      </w:r>
      <w:r>
        <w:rPr>
          <w:rFonts w:ascii="Arial" w:hAnsi="Arial" w:eastAsia="Arial"/>
          <w:b/>
          <w:i w:val="0"/>
          <w:sz w:val="22"/>
        </w:rPr>
        <w:t>Data management and ethics plan</w:t>
      </w:r>
      <w:r>
        <w:rPr>
          <w:rFonts w:ascii="Arial" w:hAnsi="Arial" w:eastAsia="Arial"/>
          <w:b w:val="0"/>
          <w:i w:val="0"/>
          <w:sz w:val="22"/>
        </w:rPr>
        <w:t xml:space="preserve"> delivered with the access agreements in Month 3 (T7.2) and updated each year.</w:t>
      </w:r>
    </w:p>
    <w:p>
      <w:pPr>
        <w:spacing w:after="60" w:before="0"/>
        <w:ind w:left="283"/>
      </w:pPr>
      <w:r>
        <w:rPr>
          <w:rFonts w:ascii="Arial" w:hAnsi="Arial" w:eastAsia="Arial"/>
          <w:b/>
          <w:i w:val="0"/>
          <w:sz w:val="22"/>
        </w:rPr>
        <w:t xml:space="preserve">• </w:t>
      </w:r>
      <w:r>
        <w:rPr>
          <w:rFonts w:ascii="Arial" w:hAnsi="Arial" w:eastAsia="Arial"/>
          <w:b/>
          <w:i w:val="0"/>
          <w:sz w:val="22"/>
        </w:rPr>
        <w:t>Review and reporting.</w:t>
      </w:r>
      <w:r>
        <w:rPr>
          <w:rFonts w:ascii="Arial" w:hAnsi="Arial" w:eastAsia="Arial"/>
          <w:b w:val="0"/>
          <w:i w:val="0"/>
          <w:sz w:val="22"/>
        </w:rPr>
        <w:t xml:space="preserve"> Ethics is a standing item at each steering-committee meeting and a section of each progress report to the SPS Programme.</w:t>
      </w:r>
    </w:p>
    <w:p>
      <w:pPr>
        <w:keepNext/>
        <w:spacing w:after="120" w:before="160"/>
      </w:pPr>
      <w:r>
        <w:rPr>
          <w:rFonts w:ascii="Arial" w:hAnsi="Arial" w:eastAsia="Arial"/>
          <w:b/>
          <w:i w:val="0"/>
          <w:color w:val="1F3864"/>
          <w:sz w:val="27"/>
        </w:rPr>
        <w:t>8. What is new in this ethics approach</w:t>
      </w:r>
    </w:p>
    <w:p>
      <w:pPr>
        <w:spacing w:after="60" w:before="0"/>
        <w:ind w:left="283"/>
      </w:pPr>
      <w:r>
        <w:rPr>
          <w:rFonts w:ascii="Arial" w:hAnsi="Arial" w:eastAsia="Arial"/>
          <w:b/>
          <w:i w:val="0"/>
          <w:sz w:val="22"/>
        </w:rPr>
        <w:t xml:space="preserve">• </w:t>
      </w:r>
      <w:r>
        <w:rPr>
          <w:rFonts w:ascii="Arial" w:hAnsi="Arial" w:eastAsia="Arial"/>
          <w:b/>
          <w:i w:val="0"/>
          <w:sz w:val="22"/>
        </w:rPr>
        <w:t>The ethics of a warning made measurable.</w:t>
      </w:r>
      <w:r>
        <w:rPr>
          <w:rFonts w:ascii="Arial" w:hAnsi="Arial" w:eastAsia="Arial"/>
          <w:b w:val="0"/>
          <w:i w:val="0"/>
          <w:sz w:val="22"/>
        </w:rPr>
        <w:t xml:space="preserve"> Honesty about uncertainty is not a promise but a number: every bulletin carries its certified miss rate, and the log shows whether it held.</w:t>
      </w:r>
    </w:p>
    <w:p>
      <w:pPr>
        <w:spacing w:after="60" w:before="0"/>
        <w:ind w:left="283"/>
      </w:pPr>
      <w:r>
        <w:rPr>
          <w:rFonts w:ascii="Arial" w:hAnsi="Arial" w:eastAsia="Arial"/>
          <w:b/>
          <w:i w:val="0"/>
          <w:sz w:val="22"/>
        </w:rPr>
        <w:t xml:space="preserve">• </w:t>
      </w:r>
      <w:r>
        <w:rPr>
          <w:rFonts w:ascii="Arial" w:hAnsi="Arial" w:eastAsia="Arial"/>
          <w:b/>
          <w:i w:val="0"/>
          <w:sz w:val="22"/>
        </w:rPr>
        <w:t>Responsible AI by construction.</w:t>
      </w:r>
      <w:r>
        <w:rPr>
          <w:rFonts w:ascii="Arial" w:hAnsi="Arial" w:eastAsia="Arial"/>
          <w:b w:val="0"/>
          <w:i w:val="0"/>
          <w:sz w:val="22"/>
        </w:rPr>
        <w:t xml:space="preserve"> The machine-learned surrogate never acts alone: each forecast carries its own error bound, the system falls back automatically when the bound fails, and a person decides.</w:t>
      </w:r>
    </w:p>
    <w:p>
      <w:pPr>
        <w:spacing w:after="60" w:before="0"/>
        <w:ind w:left="283"/>
      </w:pPr>
      <w:r>
        <w:rPr>
          <w:rFonts w:ascii="Arial" w:hAnsi="Arial" w:eastAsia="Arial"/>
          <w:b/>
          <w:i w:val="0"/>
          <w:sz w:val="22"/>
        </w:rPr>
        <w:t xml:space="preserve">• </w:t>
      </w:r>
      <w:r>
        <w:rPr>
          <w:rFonts w:ascii="Arial" w:hAnsi="Arial" w:eastAsia="Arial"/>
          <w:b/>
          <w:i w:val="0"/>
          <w:sz w:val="22"/>
        </w:rPr>
        <w:t>The burden of error shared openly.</w:t>
      </w:r>
      <w:r>
        <w:rPr>
          <w:rFonts w:ascii="Arial" w:hAnsi="Arial" w:eastAsia="Arial"/>
          <w:b w:val="0"/>
          <w:i w:val="0"/>
          <w:sz w:val="22"/>
        </w:rPr>
        <w:t xml:space="preserve"> Who bears the cost of a miss and who bears the cost of a false alarm is agreed with the operators in advance, rather than hidden in a threshold.</w:t>
      </w:r>
    </w:p>
    <w:p>
      <w:pPr>
        <w:spacing w:after="60" w:before="0"/>
        <w:ind w:left="283"/>
      </w:pPr>
      <w:r>
        <w:rPr>
          <w:rFonts w:ascii="Arial" w:hAnsi="Arial" w:eastAsia="Arial"/>
          <w:b/>
          <w:i w:val="0"/>
          <w:sz w:val="22"/>
        </w:rPr>
        <w:t xml:space="preserve">• </w:t>
      </w:r>
      <w:r>
        <w:rPr>
          <w:rFonts w:ascii="Arial" w:hAnsi="Arial" w:eastAsia="Arial"/>
          <w:b/>
          <w:i w:val="0"/>
          <w:sz w:val="22"/>
        </w:rPr>
        <w:t>Integrity protected by a frozen test.</w:t>
      </w:r>
      <w:r>
        <w:rPr>
          <w:rFonts w:ascii="Arial" w:hAnsi="Arial" w:eastAsia="Arial"/>
          <w:b w:val="0"/>
          <w:i w:val="0"/>
          <w:sz w:val="22"/>
        </w:rPr>
        <w:t xml:space="preserve"> The back-testing protocol is fixed before the results are seen, so the central claim of the project cannot be tuned after the fact.</w:t>
      </w:r>
    </w:p>
    <w:p>
      <w:pPr>
        <w:spacing w:after="60" w:before="0"/>
        <w:ind w:left="283"/>
      </w:pPr>
      <w:r>
        <w:rPr>
          <w:rFonts w:ascii="Arial" w:hAnsi="Arial" w:eastAsia="Arial"/>
          <w:b/>
          <w:i w:val="0"/>
          <w:sz w:val="22"/>
        </w:rPr>
        <w:t xml:space="preserve">• </w:t>
      </w:r>
      <w:r>
        <w:rPr>
          <w:rFonts w:ascii="Arial" w:hAnsi="Arial" w:eastAsia="Arial"/>
          <w:b/>
          <w:i w:val="0"/>
          <w:sz w:val="22"/>
        </w:rPr>
        <w:t>Openness without harm.</w:t>
      </w:r>
      <w:r>
        <w:rPr>
          <w:rFonts w:ascii="Arial" w:hAnsi="Arial" w:eastAsia="Arial"/>
          <w:b w:val="0"/>
          <w:i w:val="0"/>
          <w:sz w:val="22"/>
        </w:rPr>
        <w:t xml:space="preserve"> The release gate lets the project publish its methods and its verification openly while keeping asset-level vulnerability away from those who could misuse it.</w:t>
      </w:r>
    </w:p>
    <w:p>
      <w:pPr>
        <w:keepNext/>
        <w:spacing w:after="120" w:before="160"/>
      </w:pPr>
      <w:r>
        <w:rPr>
          <w:rFonts w:ascii="Arial" w:hAnsi="Arial" w:eastAsia="Arial"/>
          <w:b/>
          <w:i w:val="0"/>
          <w:color w:val="1F3864"/>
          <w:sz w:val="27"/>
        </w:rPr>
        <w:t>9. Short paragraph for the application form (155 words)</w:t>
      </w:r>
    </w:p>
    <w:p>
      <w:pPr>
        <w:spacing w:after="120" w:before="0"/>
        <w:jc w:val="both"/>
      </w:pPr>
      <w:r>
        <w:rPr>
          <w:rFonts w:ascii="Arial" w:hAnsi="Arial" w:eastAsia="Arial"/>
          <w:b w:val="0"/>
          <w:i w:val="0"/>
          <w:sz w:val="22"/>
        </w:rPr>
        <w:t>CERTAIN-COAST involves no animals, human tissue or clinical research. Its ethical issues are people and their data, security-sensitive information about critical infrastructure, machine learning in safety decisions, field work and the responsibility of issuing warnings. Participants in workshops, interviews and tests of the bulletins take part voluntarily with informed consent, after institutional ethics approval; personal data are minimised, pseudonymised and protected under Albania's Law No. 124/2024, aligned with the GDPR. Asset-level vulnerability results are shared only with operators and authorities through a release gate. The machine-learned surrogate follows NATO's six principles of responsible AI: every forecast carries an error bound, every bulletin is logged and reproducible, and operators keep the decision. Each bulletin states its certified miss rate, the miss-false-alarm trade-off is agreed with the operators in advance, public warnings remain with the authorities, and the back-testing protocol is frozen before results are seen. An independent ethics advisor and a yearly review oversee these measures.</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dp.al/wp-content/uploads/2025/03/Law-no.124-2024.pdf" TargetMode="External"/><Relationship Id="rId10" Type="http://schemas.openxmlformats.org/officeDocument/2006/relationships/hyperlink" Target="https://www.nato.int/en/about-us/official-texts-and-resources/official-texts/2021/10/22/summary-of-the-nato-artificial-intelligence-strategy" TargetMode="External"/><Relationship Id="rId11" Type="http://schemas.openxmlformats.org/officeDocument/2006/relationships/hyperlink" Target="https://allea.org/code-of-conduct/" TargetMode="External"/><Relationship Id="rId12" Type="http://schemas.openxmlformats.org/officeDocument/2006/relationships/hyperlink" Target="https://eur-lex.europa.eu/eli/reg/2024/1689/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