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Milestones</w:t>
      </w:r>
    </w:p>
    <w:p>
      <w:pPr>
        <w:spacing w:after="16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120" w:before="0"/>
        <w:jc w:val="both"/>
      </w:pPr>
      <w:r>
        <w:rPr>
          <w:rFonts w:ascii="Arial" w:hAnsi="Arial" w:eastAsia="Arial"/>
          <w:b w:val="0"/>
          <w:i w:val="0"/>
          <w:sz w:val="21"/>
        </w:rPr>
        <w:t xml:space="preserve">CERTAIN-COAST has </w:t>
      </w:r>
      <w:r>
        <w:rPr>
          <w:rFonts w:ascii="Arial" w:hAnsi="Arial" w:eastAsia="Arial"/>
          <w:b/>
          <w:i w:val="0"/>
          <w:sz w:val="21"/>
        </w:rPr>
        <w:t>7 milestones</w:t>
      </w:r>
      <w:r>
        <w:rPr>
          <w:rFonts w:ascii="Arial" w:hAnsi="Arial" w:eastAsia="Arial"/>
          <w:b w:val="0"/>
          <w:i w:val="0"/>
          <w:sz w:val="21"/>
        </w:rPr>
        <w:t xml:space="preserve"> over 36 months. Each is a test with a stated pass level, evidence in one or more deliverables, a named decision-maker and a fallback. Three of them are </w:t>
      </w:r>
      <w:r>
        <w:rPr>
          <w:rFonts w:ascii="Arial" w:hAnsi="Arial" w:eastAsia="Arial"/>
          <w:b/>
          <w:i w:val="0"/>
          <w:sz w:val="21"/>
        </w:rPr>
        <w:t>evidence gates</w:t>
      </w:r>
      <w:r>
        <w:rPr>
          <w:rFonts w:ascii="Arial" w:hAnsi="Arial" w:eastAsia="Arial"/>
          <w:b w:val="0"/>
          <w:i w:val="0"/>
          <w:sz w:val="21"/>
        </w:rPr>
        <w:t xml:space="preserve"> (MS3, MS4 and MS5 at Months 18, 22 and 27): live operation starts, and the guarantees are stated, only when they are passed. Months count from the start of the grant.</w:t>
      </w:r>
    </w:p>
    <w:p>
      <w:pPr>
        <w:keepNext/>
        <w:spacing w:after="120" w:before="80"/>
      </w:pPr>
      <w:r>
        <w:rPr>
          <w:rFonts w:ascii="Arial" w:hAnsi="Arial" w:eastAsia="Arial"/>
          <w:b/>
          <w:i w:val="0"/>
          <w:color w:val="1F3864"/>
          <w:sz w:val="27"/>
        </w:rPr>
        <w:t>1. Milestones at a glance</w:t>
      </w:r>
    </w:p>
    <w:tbl>
      <w:tblPr>
        <w:tblStyle w:val="TableGrid"/>
        <w:tblW w:type="auto" w:w="0"/>
        <w:jc w:val="center"/>
        <w:tblLayout w:type="fixed"/>
        <w:tblLook w:firstColumn="1" w:firstRow="1" w:lastColumn="0" w:lastRow="0" w:noHBand="0" w:noVBand="1" w:val="04A0"/>
        <w:tblLayout w:type="fixed"/>
      </w:tblPr>
      <w:tblGrid>
        <w:gridCol w:w="850"/>
        <w:gridCol w:w="2041"/>
        <w:gridCol w:w="765"/>
        <w:gridCol w:w="907"/>
        <w:gridCol w:w="3487"/>
        <w:gridCol w:w="1587"/>
      </w:tblGrid>
      <w:tr>
        <w:trPr>
          <w:cantSplit/>
          <w:tblHeader/>
        </w:trPr>
        <w:tc>
          <w:tcPr>
            <w:tcW w:type="dxa" w:w="850"/>
            <w:shd w:val="clear" w:color="auto" w:fill="1F3864"/>
          </w:tcPr>
          <w:p>
            <w:r/>
            <w:r>
              <w:rPr>
                <w:rFonts w:ascii="Arial" w:hAnsi="Arial" w:eastAsia="Arial"/>
                <w:b/>
                <w:i w:val="0"/>
                <w:color w:val="FFFFFF"/>
                <w:sz w:val="18"/>
              </w:rPr>
              <w:t>No.</w:t>
            </w:r>
          </w:p>
        </w:tc>
        <w:tc>
          <w:tcPr>
            <w:tcW w:type="dxa" w:w="2041"/>
            <w:shd w:val="clear" w:color="auto" w:fill="1F3864"/>
          </w:tcPr>
          <w:p>
            <w:r/>
            <w:r>
              <w:rPr>
                <w:rFonts w:ascii="Arial" w:hAnsi="Arial" w:eastAsia="Arial"/>
                <w:b/>
                <w:i w:val="0"/>
                <w:color w:val="FFFFFF"/>
                <w:sz w:val="18"/>
              </w:rPr>
              <w:t>Milestone</w:t>
            </w:r>
          </w:p>
        </w:tc>
        <w:tc>
          <w:tcPr>
            <w:tcW w:type="dxa" w:w="765"/>
            <w:shd w:val="clear" w:color="auto" w:fill="1F3864"/>
          </w:tcPr>
          <w:p>
            <w:r/>
            <w:r>
              <w:rPr>
                <w:rFonts w:ascii="Arial" w:hAnsi="Arial" w:eastAsia="Arial"/>
                <w:b/>
                <w:i w:val="0"/>
                <w:color w:val="FFFFFF"/>
                <w:sz w:val="18"/>
              </w:rPr>
              <w:t>Month</w:t>
            </w:r>
          </w:p>
        </w:tc>
        <w:tc>
          <w:tcPr>
            <w:tcW w:type="dxa" w:w="907"/>
            <w:shd w:val="clear" w:color="auto" w:fill="1F3864"/>
          </w:tcPr>
          <w:p>
            <w:r/>
            <w:r>
              <w:rPr>
                <w:rFonts w:ascii="Arial" w:hAnsi="Arial" w:eastAsia="Arial"/>
                <w:b/>
                <w:i w:val="0"/>
                <w:color w:val="FFFFFF"/>
                <w:sz w:val="18"/>
              </w:rPr>
              <w:t>Lead</w:t>
            </w:r>
          </w:p>
        </w:tc>
        <w:tc>
          <w:tcPr>
            <w:tcW w:type="dxa" w:w="3487"/>
            <w:shd w:val="clear" w:color="auto" w:fill="1F3864"/>
          </w:tcPr>
          <w:p>
            <w:r/>
            <w:r>
              <w:rPr>
                <w:rFonts w:ascii="Arial" w:hAnsi="Arial" w:eastAsia="Arial"/>
                <w:b/>
                <w:i w:val="0"/>
                <w:color w:val="FFFFFF"/>
                <w:sz w:val="18"/>
              </w:rPr>
              <w:t>Means of verification</w:t>
            </w:r>
          </w:p>
        </w:tc>
        <w:tc>
          <w:tcPr>
            <w:tcW w:type="dxa" w:w="1587"/>
            <w:shd w:val="clear" w:color="auto" w:fill="1F3864"/>
          </w:tcPr>
          <w:p>
            <w:r/>
            <w:r>
              <w:rPr>
                <w:rFonts w:ascii="Arial" w:hAnsi="Arial" w:eastAsia="Arial"/>
                <w:b/>
                <w:i w:val="0"/>
                <w:color w:val="FFFFFF"/>
                <w:sz w:val="18"/>
              </w:rPr>
              <w:t>Claim proven</w:t>
            </w:r>
          </w:p>
        </w:tc>
      </w:tr>
      <w:tr>
        <w:trPr>
          <w:cantSplit/>
        </w:trPr>
        <w:tc>
          <w:tcPr>
            <w:tcW w:type="dxa" w:w="850"/>
            <w:shd w:val="clear" w:color="auto" w:fill="E8EDF5"/>
          </w:tcPr>
          <w:p>
            <w:r/>
            <w:r>
              <w:rPr>
                <w:rFonts w:ascii="Arial" w:hAnsi="Arial" w:eastAsia="Arial"/>
                <w:b w:val="0"/>
                <w:i w:val="0"/>
                <w:sz w:val="18"/>
              </w:rPr>
              <w:t>MS1</w:t>
            </w:r>
          </w:p>
        </w:tc>
        <w:tc>
          <w:tcPr>
            <w:tcW w:type="dxa" w:w="2041"/>
          </w:tcPr>
          <w:p>
            <w:r/>
            <w:r>
              <w:rPr>
                <w:rFonts w:ascii="Arial" w:hAnsi="Arial" w:eastAsia="Arial"/>
                <w:b w:val="0"/>
                <w:i w:val="0"/>
                <w:sz w:val="18"/>
              </w:rPr>
              <w:t>Network design agreed</w:t>
            </w:r>
          </w:p>
        </w:tc>
        <w:tc>
          <w:tcPr>
            <w:tcW w:type="dxa" w:w="765"/>
          </w:tcPr>
          <w:p>
            <w:r/>
            <w:r>
              <w:rPr>
                <w:rFonts w:ascii="Arial" w:hAnsi="Arial" w:eastAsia="Arial"/>
                <w:b w:val="0"/>
                <w:i w:val="0"/>
                <w:sz w:val="18"/>
              </w:rPr>
              <w:t>M6</w:t>
            </w:r>
          </w:p>
        </w:tc>
        <w:tc>
          <w:tcPr>
            <w:tcW w:type="dxa" w:w="907"/>
          </w:tcPr>
          <w:p>
            <w:r/>
            <w:r>
              <w:rPr>
                <w:rFonts w:ascii="Arial" w:hAnsi="Arial" w:eastAsia="Arial"/>
                <w:b w:val="0"/>
                <w:i w:val="0"/>
                <w:sz w:val="18"/>
              </w:rPr>
              <w:t>WP4</w:t>
            </w:r>
          </w:p>
        </w:tc>
        <w:tc>
          <w:tcPr>
            <w:tcW w:type="dxa" w:w="3487"/>
          </w:tcPr>
          <w:p>
            <w:r/>
            <w:r>
              <w:rPr>
                <w:rFonts w:ascii="Arial" w:hAnsi="Arial" w:eastAsia="Arial"/>
                <w:b w:val="0"/>
                <w:i w:val="0"/>
                <w:sz w:val="18"/>
              </w:rPr>
              <w:t>D4.1 approved by the steering committee and the operators</w:t>
            </w:r>
          </w:p>
        </w:tc>
        <w:tc>
          <w:tcPr>
            <w:tcW w:type="dxa" w:w="1587"/>
          </w:tcPr>
          <w:p>
            <w:r/>
            <w:r>
              <w:rPr>
                <w:rFonts w:ascii="Arial" w:hAnsi="Arial" w:eastAsia="Arial"/>
                <w:b w:val="0"/>
                <w:i w:val="0"/>
                <w:sz w:val="18"/>
              </w:rPr>
              <w:t>Designed</w:t>
            </w:r>
          </w:p>
        </w:tc>
      </w:tr>
      <w:tr>
        <w:trPr>
          <w:cantSplit/>
        </w:trPr>
        <w:tc>
          <w:tcPr>
            <w:tcW w:type="dxa" w:w="850"/>
            <w:shd w:val="clear" w:color="auto" w:fill="E8EDF5"/>
          </w:tcPr>
          <w:p>
            <w:r/>
            <w:r>
              <w:rPr>
                <w:rFonts w:ascii="Arial" w:hAnsi="Arial" w:eastAsia="Arial"/>
                <w:b w:val="0"/>
                <w:i w:val="0"/>
                <w:sz w:val="18"/>
              </w:rPr>
              <w:t>MS2</w:t>
            </w:r>
          </w:p>
        </w:tc>
        <w:tc>
          <w:tcPr>
            <w:tcW w:type="dxa" w:w="2041"/>
          </w:tcPr>
          <w:p>
            <w:r/>
            <w:r>
              <w:rPr>
                <w:rFonts w:ascii="Arial" w:hAnsi="Arial" w:eastAsia="Arial"/>
                <w:b w:val="0"/>
                <w:i w:val="0"/>
                <w:sz w:val="18"/>
              </w:rPr>
              <w:t>Network streaming; coastal motion known</w:t>
            </w:r>
          </w:p>
        </w:tc>
        <w:tc>
          <w:tcPr>
            <w:tcW w:type="dxa" w:w="765"/>
          </w:tcPr>
          <w:p>
            <w:r/>
            <w:r>
              <w:rPr>
                <w:rFonts w:ascii="Arial" w:hAnsi="Arial" w:eastAsia="Arial"/>
                <w:b w:val="0"/>
                <w:i w:val="0"/>
                <w:sz w:val="18"/>
              </w:rPr>
              <w:t>M12</w:t>
            </w:r>
          </w:p>
        </w:tc>
        <w:tc>
          <w:tcPr>
            <w:tcW w:type="dxa" w:w="907"/>
          </w:tcPr>
          <w:p>
            <w:r/>
            <w:r>
              <w:rPr>
                <w:rFonts w:ascii="Arial" w:hAnsi="Arial" w:eastAsia="Arial"/>
                <w:b w:val="0"/>
                <w:i w:val="0"/>
                <w:sz w:val="18"/>
              </w:rPr>
              <w:t>WP4, WP1</w:t>
            </w:r>
          </w:p>
        </w:tc>
        <w:tc>
          <w:tcPr>
            <w:tcW w:type="dxa" w:w="3487"/>
          </w:tcPr>
          <w:p>
            <w:r/>
            <w:r>
              <w:rPr>
                <w:rFonts w:ascii="Arial" w:hAnsi="Arial" w:eastAsia="Arial"/>
                <w:b w:val="0"/>
                <w:i w:val="0"/>
                <w:sz w:val="18"/>
              </w:rPr>
              <w:t>D4.2 (≥ 90% data availability over the first month) and D1.1 delivered</w:t>
            </w:r>
          </w:p>
        </w:tc>
        <w:tc>
          <w:tcPr>
            <w:tcW w:type="dxa" w:w="1587"/>
          </w:tcPr>
          <w:p>
            <w:r/>
            <w:r>
              <w:rPr>
                <w:rFonts w:ascii="Arial" w:hAnsi="Arial" w:eastAsia="Arial"/>
                <w:b w:val="0"/>
                <w:i w:val="0"/>
                <w:sz w:val="18"/>
              </w:rPr>
              <w:t>Measured</w:t>
            </w:r>
          </w:p>
        </w:tc>
      </w:tr>
      <w:tr>
        <w:trPr>
          <w:cantSplit/>
        </w:trPr>
        <w:tc>
          <w:tcPr>
            <w:tcW w:type="dxa" w:w="850"/>
            <w:shd w:val="clear" w:color="auto" w:fill="FDE7C2"/>
          </w:tcPr>
          <w:p>
            <w:r/>
            <w:r>
              <w:rPr>
                <w:rFonts w:ascii="Arial" w:hAnsi="Arial" w:eastAsia="Arial"/>
                <w:b w:val="0"/>
                <w:i w:val="0"/>
                <w:sz w:val="18"/>
              </w:rPr>
              <w:t>MS3</w:t>
              <w:br/>
              <w:t>(gate)</w:t>
            </w:r>
          </w:p>
        </w:tc>
        <w:tc>
          <w:tcPr>
            <w:tcW w:type="dxa" w:w="2041"/>
          </w:tcPr>
          <w:p>
            <w:r/>
            <w:r>
              <w:rPr>
                <w:rFonts w:ascii="Arial" w:hAnsi="Arial" w:eastAsia="Arial"/>
                <w:b w:val="0"/>
                <w:i w:val="0"/>
                <w:sz w:val="18"/>
              </w:rPr>
              <w:t>Coupled model calibrated</w:t>
            </w:r>
          </w:p>
        </w:tc>
        <w:tc>
          <w:tcPr>
            <w:tcW w:type="dxa" w:w="765"/>
          </w:tcPr>
          <w:p>
            <w:r/>
            <w:r>
              <w:rPr>
                <w:rFonts w:ascii="Arial" w:hAnsi="Arial" w:eastAsia="Arial"/>
                <w:b w:val="0"/>
                <w:i w:val="0"/>
                <w:sz w:val="18"/>
              </w:rPr>
              <w:t>M18</w:t>
            </w:r>
          </w:p>
        </w:tc>
        <w:tc>
          <w:tcPr>
            <w:tcW w:type="dxa" w:w="907"/>
          </w:tcPr>
          <w:p>
            <w:r/>
            <w:r>
              <w:rPr>
                <w:rFonts w:ascii="Arial" w:hAnsi="Arial" w:eastAsia="Arial"/>
                <w:b w:val="0"/>
                <w:i w:val="0"/>
                <w:sz w:val="18"/>
              </w:rPr>
              <w:t>WP2</w:t>
            </w:r>
          </w:p>
        </w:tc>
        <w:tc>
          <w:tcPr>
            <w:tcW w:type="dxa" w:w="3487"/>
          </w:tcPr>
          <w:p>
            <w:r/>
            <w:r>
              <w:rPr>
                <w:rFonts w:ascii="Arial" w:hAnsi="Arial" w:eastAsia="Arial"/>
                <w:b w:val="0"/>
                <w:i w:val="0"/>
                <w:sz w:val="18"/>
              </w:rPr>
              <w:t>D2.1: held-out observations reproduced within their stated uncertainty</w:t>
            </w:r>
          </w:p>
        </w:tc>
        <w:tc>
          <w:tcPr>
            <w:tcW w:type="dxa" w:w="1587"/>
          </w:tcPr>
          <w:p>
            <w:r/>
            <w:r>
              <w:rPr>
                <w:rFonts w:ascii="Arial" w:hAnsi="Arial" w:eastAsia="Arial"/>
                <w:b w:val="0"/>
                <w:i w:val="0"/>
                <w:sz w:val="18"/>
              </w:rPr>
              <w:t>Calibrated</w:t>
            </w:r>
          </w:p>
        </w:tc>
      </w:tr>
      <w:tr>
        <w:trPr>
          <w:cantSplit/>
        </w:trPr>
        <w:tc>
          <w:tcPr>
            <w:tcW w:type="dxa" w:w="850"/>
            <w:shd w:val="clear" w:color="auto" w:fill="FDE7C2"/>
          </w:tcPr>
          <w:p>
            <w:r/>
            <w:r>
              <w:rPr>
                <w:rFonts w:ascii="Arial" w:hAnsi="Arial" w:eastAsia="Arial"/>
                <w:b w:val="0"/>
                <w:i w:val="0"/>
                <w:sz w:val="18"/>
              </w:rPr>
              <w:t>MS4</w:t>
              <w:br/>
              <w:t>(gate)</w:t>
            </w:r>
          </w:p>
        </w:tc>
        <w:tc>
          <w:tcPr>
            <w:tcW w:type="dxa" w:w="2041"/>
          </w:tcPr>
          <w:p>
            <w:r/>
            <w:r>
              <w:rPr>
                <w:rFonts w:ascii="Arial" w:hAnsi="Arial" w:eastAsia="Arial"/>
                <w:b w:val="0"/>
                <w:i w:val="0"/>
                <w:sz w:val="18"/>
              </w:rPr>
              <w:t>Go/no-go for live operation</w:t>
            </w:r>
          </w:p>
        </w:tc>
        <w:tc>
          <w:tcPr>
            <w:tcW w:type="dxa" w:w="765"/>
          </w:tcPr>
          <w:p>
            <w:r/>
            <w:r>
              <w:rPr>
                <w:rFonts w:ascii="Arial" w:hAnsi="Arial" w:eastAsia="Arial"/>
                <w:b w:val="0"/>
                <w:i w:val="0"/>
                <w:sz w:val="18"/>
              </w:rPr>
              <w:t>M22</w:t>
            </w:r>
          </w:p>
        </w:tc>
        <w:tc>
          <w:tcPr>
            <w:tcW w:type="dxa" w:w="907"/>
          </w:tcPr>
          <w:p>
            <w:r/>
            <w:r>
              <w:rPr>
                <w:rFonts w:ascii="Arial" w:hAnsi="Arial" w:eastAsia="Arial"/>
                <w:b w:val="0"/>
                <w:i w:val="0"/>
                <w:sz w:val="18"/>
              </w:rPr>
              <w:t>WP2, WP3</w:t>
            </w:r>
          </w:p>
        </w:tc>
        <w:tc>
          <w:tcPr>
            <w:tcW w:type="dxa" w:w="3487"/>
          </w:tcPr>
          <w:p>
            <w:r/>
            <w:r>
              <w:rPr>
                <w:rFonts w:ascii="Arial" w:hAnsi="Arial" w:eastAsia="Arial"/>
                <w:b w:val="0"/>
                <w:i w:val="0"/>
                <w:sz w:val="18"/>
              </w:rPr>
              <w:t>D2.2 surrogate error bound met on the test set; alarm prototype passes a dry run</w:t>
            </w:r>
          </w:p>
        </w:tc>
        <w:tc>
          <w:tcPr>
            <w:tcW w:type="dxa" w:w="1587"/>
          </w:tcPr>
          <w:p>
            <w:r/>
            <w:r>
              <w:rPr>
                <w:rFonts w:ascii="Arial" w:hAnsi="Arial" w:eastAsia="Arial"/>
                <w:b w:val="0"/>
                <w:i w:val="0"/>
                <w:sz w:val="18"/>
              </w:rPr>
              <w:t>Certified offline</w:t>
            </w:r>
          </w:p>
        </w:tc>
      </w:tr>
      <w:tr>
        <w:trPr>
          <w:cantSplit/>
        </w:trPr>
        <w:tc>
          <w:tcPr>
            <w:tcW w:type="dxa" w:w="850"/>
            <w:shd w:val="clear" w:color="auto" w:fill="FDE7C2"/>
          </w:tcPr>
          <w:p>
            <w:r/>
            <w:r>
              <w:rPr>
                <w:rFonts w:ascii="Arial" w:hAnsi="Arial" w:eastAsia="Arial"/>
                <w:b w:val="0"/>
                <w:i w:val="0"/>
                <w:sz w:val="18"/>
              </w:rPr>
              <w:t>MS5</w:t>
              <w:br/>
              <w:t>(gate)</w:t>
            </w:r>
          </w:p>
        </w:tc>
        <w:tc>
          <w:tcPr>
            <w:tcW w:type="dxa" w:w="2041"/>
          </w:tcPr>
          <w:p>
            <w:r/>
            <w:r>
              <w:rPr>
                <w:rFonts w:ascii="Arial" w:hAnsi="Arial" w:eastAsia="Arial"/>
                <w:b w:val="0"/>
                <w:i w:val="0"/>
                <w:sz w:val="18"/>
              </w:rPr>
              <w:t>Miss-rate targets confirmed in back-testing</w:t>
            </w:r>
          </w:p>
        </w:tc>
        <w:tc>
          <w:tcPr>
            <w:tcW w:type="dxa" w:w="765"/>
          </w:tcPr>
          <w:p>
            <w:r/>
            <w:r>
              <w:rPr>
                <w:rFonts w:ascii="Arial" w:hAnsi="Arial" w:eastAsia="Arial"/>
                <w:b w:val="0"/>
                <w:i w:val="0"/>
                <w:sz w:val="18"/>
              </w:rPr>
              <w:t>M27</w:t>
            </w:r>
          </w:p>
        </w:tc>
        <w:tc>
          <w:tcPr>
            <w:tcW w:type="dxa" w:w="907"/>
          </w:tcPr>
          <w:p>
            <w:r/>
            <w:r>
              <w:rPr>
                <w:rFonts w:ascii="Arial" w:hAnsi="Arial" w:eastAsia="Arial"/>
                <w:b w:val="0"/>
                <w:i w:val="0"/>
                <w:sz w:val="18"/>
              </w:rPr>
              <w:t>WP3</w:t>
            </w:r>
          </w:p>
        </w:tc>
        <w:tc>
          <w:tcPr>
            <w:tcW w:type="dxa" w:w="3487"/>
          </w:tcPr>
          <w:p>
            <w:r/>
            <w:r>
              <w:rPr>
                <w:rFonts w:ascii="Arial" w:hAnsi="Arial" w:eastAsia="Arial"/>
                <w:b w:val="0"/>
                <w:i w:val="0"/>
                <w:sz w:val="18"/>
              </w:rPr>
              <w:t>D3.2: each miss rate ≤ αₖ with its confidence interval reported</w:t>
            </w:r>
          </w:p>
        </w:tc>
        <w:tc>
          <w:tcPr>
            <w:tcW w:type="dxa" w:w="1587"/>
          </w:tcPr>
          <w:p>
            <w:r/>
            <w:r>
              <w:rPr>
                <w:rFonts w:ascii="Arial" w:hAnsi="Arial" w:eastAsia="Arial"/>
                <w:b w:val="0"/>
                <w:i w:val="0"/>
                <w:sz w:val="18"/>
              </w:rPr>
              <w:t>Confirmed on the record</w:t>
            </w:r>
          </w:p>
        </w:tc>
      </w:tr>
      <w:tr>
        <w:trPr>
          <w:cantSplit/>
        </w:trPr>
        <w:tc>
          <w:tcPr>
            <w:tcW w:type="dxa" w:w="850"/>
            <w:shd w:val="clear" w:color="auto" w:fill="E8EDF5"/>
          </w:tcPr>
          <w:p>
            <w:r/>
            <w:r>
              <w:rPr>
                <w:rFonts w:ascii="Arial" w:hAnsi="Arial" w:eastAsia="Arial"/>
                <w:b w:val="0"/>
                <w:i w:val="0"/>
                <w:sz w:val="18"/>
              </w:rPr>
              <w:t>MS6</w:t>
            </w:r>
          </w:p>
        </w:tc>
        <w:tc>
          <w:tcPr>
            <w:tcW w:type="dxa" w:w="2041"/>
          </w:tcPr>
          <w:p>
            <w:r/>
            <w:r>
              <w:rPr>
                <w:rFonts w:ascii="Arial" w:hAnsi="Arial" w:eastAsia="Arial"/>
                <w:b w:val="0"/>
                <w:i w:val="0"/>
                <w:sz w:val="18"/>
              </w:rPr>
              <w:t>Twelve months of live operation completed</w:t>
            </w:r>
          </w:p>
        </w:tc>
        <w:tc>
          <w:tcPr>
            <w:tcW w:type="dxa" w:w="765"/>
          </w:tcPr>
          <w:p>
            <w:r/>
            <w:r>
              <w:rPr>
                <w:rFonts w:ascii="Arial" w:hAnsi="Arial" w:eastAsia="Arial"/>
                <w:b w:val="0"/>
                <w:i w:val="0"/>
                <w:sz w:val="18"/>
              </w:rPr>
              <w:t>M34</w:t>
            </w:r>
          </w:p>
        </w:tc>
        <w:tc>
          <w:tcPr>
            <w:tcW w:type="dxa" w:w="907"/>
          </w:tcPr>
          <w:p>
            <w:r/>
            <w:r>
              <w:rPr>
                <w:rFonts w:ascii="Arial" w:hAnsi="Arial" w:eastAsia="Arial"/>
                <w:b w:val="0"/>
                <w:i w:val="0"/>
                <w:sz w:val="18"/>
              </w:rPr>
              <w:t>WP5</w:t>
            </w:r>
          </w:p>
        </w:tc>
        <w:tc>
          <w:tcPr>
            <w:tcW w:type="dxa" w:w="3487"/>
          </w:tcPr>
          <w:p>
            <w:r/>
            <w:r>
              <w:rPr>
                <w:rFonts w:ascii="Arial" w:hAnsi="Arial" w:eastAsia="Arial"/>
                <w:b w:val="0"/>
                <w:i w:val="0"/>
                <w:sz w:val="18"/>
              </w:rPr>
              <w:t>D5.1 with the bulletin log and verified outcomes</w:t>
            </w:r>
          </w:p>
        </w:tc>
        <w:tc>
          <w:tcPr>
            <w:tcW w:type="dxa" w:w="1587"/>
          </w:tcPr>
          <w:p>
            <w:r/>
            <w:r>
              <w:rPr>
                <w:rFonts w:ascii="Arial" w:hAnsi="Arial" w:eastAsia="Arial"/>
                <w:b w:val="0"/>
                <w:i w:val="0"/>
                <w:sz w:val="18"/>
              </w:rPr>
              <w:t>Verified live</w:t>
            </w:r>
          </w:p>
        </w:tc>
      </w:tr>
      <w:tr>
        <w:trPr>
          <w:cantSplit/>
        </w:trPr>
        <w:tc>
          <w:tcPr>
            <w:tcW w:type="dxa" w:w="850"/>
            <w:shd w:val="clear" w:color="auto" w:fill="E8EDF5"/>
          </w:tcPr>
          <w:p>
            <w:r/>
            <w:r>
              <w:rPr>
                <w:rFonts w:ascii="Arial" w:hAnsi="Arial" w:eastAsia="Arial"/>
                <w:b w:val="0"/>
                <w:i w:val="0"/>
                <w:sz w:val="18"/>
              </w:rPr>
              <w:t>MS7</w:t>
            </w:r>
          </w:p>
        </w:tc>
        <w:tc>
          <w:tcPr>
            <w:tcW w:type="dxa" w:w="2041"/>
          </w:tcPr>
          <w:p>
            <w:r/>
            <w:r>
              <w:rPr>
                <w:rFonts w:ascii="Arial" w:hAnsi="Arial" w:eastAsia="Arial"/>
                <w:b w:val="0"/>
                <w:i w:val="0"/>
                <w:sz w:val="18"/>
              </w:rPr>
              <w:t>Hand-over to the operators</w:t>
            </w:r>
          </w:p>
        </w:tc>
        <w:tc>
          <w:tcPr>
            <w:tcW w:type="dxa" w:w="765"/>
          </w:tcPr>
          <w:p>
            <w:r/>
            <w:r>
              <w:rPr>
                <w:rFonts w:ascii="Arial" w:hAnsi="Arial" w:eastAsia="Arial"/>
                <w:b w:val="0"/>
                <w:i w:val="0"/>
                <w:sz w:val="18"/>
              </w:rPr>
              <w:t>M36</w:t>
            </w:r>
          </w:p>
        </w:tc>
        <w:tc>
          <w:tcPr>
            <w:tcW w:type="dxa" w:w="907"/>
          </w:tcPr>
          <w:p>
            <w:r/>
            <w:r>
              <w:rPr>
                <w:rFonts w:ascii="Arial" w:hAnsi="Arial" w:eastAsia="Arial"/>
                <w:b w:val="0"/>
                <w:i w:val="0"/>
                <w:sz w:val="18"/>
              </w:rPr>
              <w:t>WP6</w:t>
            </w:r>
          </w:p>
        </w:tc>
        <w:tc>
          <w:tcPr>
            <w:tcW w:type="dxa" w:w="3487"/>
          </w:tcPr>
          <w:p>
            <w:r/>
            <w:r>
              <w:rPr>
                <w:rFonts w:ascii="Arial" w:hAnsi="Arial" w:eastAsia="Arial"/>
                <w:b w:val="0"/>
                <w:i w:val="0"/>
                <w:sz w:val="18"/>
              </w:rPr>
              <w:t>D6.2 procedures adopted; operator staff run the system unaided</w:t>
            </w:r>
          </w:p>
        </w:tc>
        <w:tc>
          <w:tcPr>
            <w:tcW w:type="dxa" w:w="1587"/>
          </w:tcPr>
          <w:p>
            <w:r/>
            <w:r>
              <w:rPr>
                <w:rFonts w:ascii="Arial" w:hAnsi="Arial" w:eastAsia="Arial"/>
                <w:b w:val="0"/>
                <w:i w:val="0"/>
                <w:sz w:val="18"/>
              </w:rPr>
              <w:t>Owned by the operators</w:t>
            </w:r>
          </w:p>
        </w:tc>
      </w:tr>
    </w:tbl>
    <w:p>
      <w:pPr>
        <w:spacing w:after="60" w:before="0"/>
      </w:pPr>
    </w:p>
    <w:p>
      <w:pPr>
        <w:spacing w:after="40" w:before="0"/>
        <w:jc w:val="center"/>
      </w:pPr>
      <w:r>
        <w:drawing>
          <wp:inline xmlns:a="http://schemas.openxmlformats.org/drawingml/2006/main" xmlns:pic="http://schemas.openxmlformats.org/drawingml/2006/picture">
            <wp:extent cx="5580000" cy="3248060"/>
            <wp:docPr id="1" name="Picture 1"/>
            <wp:cNvGraphicFramePr>
              <a:graphicFrameLocks noChangeAspect="1"/>
            </wp:cNvGraphicFramePr>
            <a:graphic>
              <a:graphicData uri="http://schemas.openxmlformats.org/drawingml/2006/picture">
                <pic:pic>
                  <pic:nvPicPr>
                    <pic:cNvPr id="0" name="fig_milestones.png"/>
                    <pic:cNvPicPr/>
                  </pic:nvPicPr>
                  <pic:blipFill>
                    <a:blip r:embed="rId9"/>
                    <a:stretch>
                      <a:fillRect/>
                    </a:stretch>
                  </pic:blipFill>
                  <pic:spPr>
                    <a:xfrm>
                      <a:off x="0" y="0"/>
                      <a:ext cx="5580000" cy="3248060"/>
                    </a:xfrm>
                    <a:prstGeom prst="rect"/>
                  </pic:spPr>
                </pic:pic>
              </a:graphicData>
            </a:graphic>
          </wp:inline>
        </w:drawing>
      </w:r>
    </w:p>
    <w:p>
      <w:pPr>
        <w:spacing w:after="80" w:before="0"/>
      </w:pPr>
      <w:r>
        <w:rPr>
          <w:rFonts w:ascii="Arial" w:hAnsi="Arial" w:eastAsia="Arial"/>
          <w:b w:val="0"/>
          <w:i/>
          <w:color w:val="52606D"/>
          <w:sz w:val="19"/>
        </w:rPr>
        <w:t>Figure 1. The evidence ladder. Each milestone raises the claim the project can make by one rung; orange diamonds are the evidence gates; the shaded band is the twelve months of live operation; triangles mark the reports to the SPS Programme.</w:t>
      </w:r>
    </w:p>
    <w:p>
      <w:pPr>
        <w:keepNext/>
        <w:spacing w:after="120" w:before="160"/>
      </w:pPr>
      <w:r>
        <w:rPr>
          <w:rFonts w:ascii="Arial" w:hAnsi="Arial" w:eastAsia="Arial"/>
          <w:b/>
          <w:i w:val="0"/>
          <w:color w:val="1F3864"/>
          <w:sz w:val="27"/>
        </w:rPr>
        <w:t>2. Milestone descriptions</w:t>
      </w:r>
    </w:p>
    <w:p>
      <w:pPr>
        <w:keepNext/>
        <w:spacing w:after="40" w:before="120"/>
      </w:pPr>
      <w:r>
        <w:rPr>
          <w:rFonts w:ascii="Arial" w:hAnsi="Arial" w:eastAsia="Arial"/>
          <w:b/>
          <w:i w:val="0"/>
          <w:color w:val="1F3864"/>
          <w:sz w:val="23"/>
        </w:rPr>
        <w:t>MS1  Network design agreed</w:t>
      </w:r>
      <w:r>
        <w:rPr>
          <w:rFonts w:ascii="Arial" w:hAnsi="Arial" w:eastAsia="Arial"/>
          <w:b w:val="0"/>
          <w:i w:val="0"/>
          <w:color w:val="52606D"/>
          <w:sz w:val="19"/>
        </w:rPr>
        <w:t xml:space="preserve">   Month 6 · WP4</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8EDF5"/>
          </w:tcPr>
          <w:p>
            <w:pPr>
              <w:keepNext/>
            </w:pPr>
            <w:r>
              <w:rPr>
                <w:b/>
              </w:rPr>
            </w:r>
            <w:r>
              <w:rPr>
                <w:rFonts w:ascii="Arial" w:hAnsi="Arial" w:eastAsia="Arial"/>
                <w:b/>
                <w:i w:val="0"/>
                <w:sz w:val="19"/>
              </w:rPr>
              <w:t>Achieved</w:t>
            </w:r>
          </w:p>
        </w:tc>
        <w:tc>
          <w:tcPr>
            <w:tcW w:type="dxa" w:w="7937"/>
          </w:tcPr>
          <w:p>
            <w:pPr>
              <w:keepNext/>
            </w:pPr>
            <w:r/>
            <w:r>
              <w:rPr>
                <w:rFonts w:ascii="Arial" w:hAnsi="Arial" w:eastAsia="Arial"/>
                <w:b w:val="0"/>
                <w:i w:val="0"/>
                <w:sz w:val="19"/>
              </w:rPr>
              <w:t>The monitoring network is designed for the three warnings, not for general coverage: every candidate sensor is ranked by its value for the warnings per unit cost.</w:t>
            </w:r>
          </w:p>
        </w:tc>
      </w:tr>
      <w:tr>
        <w:trPr>
          <w:cantSplit/>
        </w:trPr>
        <w:tc>
          <w:tcPr>
            <w:tcW w:type="dxa" w:w="1701"/>
            <w:shd w:val="clear" w:color="auto" w:fill="E8EDF5"/>
          </w:tcPr>
          <w:p>
            <w:pPr>
              <w:keepNext/>
            </w:pPr>
            <w:r>
              <w:rPr>
                <w:b/>
              </w:rPr>
            </w:r>
            <w:r>
              <w:rPr>
                <w:rFonts w:ascii="Arial" w:hAnsi="Arial" w:eastAsia="Arial"/>
                <w:b/>
                <w:i w:val="0"/>
                <w:sz w:val="19"/>
              </w:rPr>
              <w:t>Pass test</w:t>
            </w:r>
          </w:p>
        </w:tc>
        <w:tc>
          <w:tcPr>
            <w:tcW w:type="dxa" w:w="7937"/>
          </w:tcPr>
          <w:p>
            <w:pPr>
              <w:keepNext/>
            </w:pPr>
            <w:r/>
            <w:r>
              <w:rPr>
                <w:rFonts w:ascii="Arial" w:hAnsi="Arial" w:eastAsia="Arial"/>
                <w:b w:val="0"/>
                <w:i w:val="0"/>
                <w:sz w:val="19"/>
              </w:rPr>
              <w:t>D4.1 approved by the steering committee and by the operators; the chosen network fits the equipment budget; installation and access plan agreed for each site.</w:t>
            </w:r>
          </w:p>
        </w:tc>
      </w:tr>
      <w:tr>
        <w:trPr>
          <w:cantSplit/>
        </w:trPr>
        <w:tc>
          <w:tcPr>
            <w:tcW w:type="dxa" w:w="1701"/>
            <w:shd w:val="clear" w:color="auto" w:fill="E8EDF5"/>
          </w:tcPr>
          <w:p>
            <w:pPr>
              <w:keepNext/>
            </w:pPr>
            <w:r>
              <w:rPr>
                <w:b/>
              </w:rPr>
            </w:r>
            <w:r>
              <w:rPr>
                <w:rFonts w:ascii="Arial" w:hAnsi="Arial" w:eastAsia="Arial"/>
                <w:b/>
                <w:i w:val="0"/>
                <w:sz w:val="19"/>
              </w:rPr>
              <w:t>Evidence</w:t>
            </w:r>
          </w:p>
        </w:tc>
        <w:tc>
          <w:tcPr>
            <w:tcW w:type="dxa" w:w="7937"/>
          </w:tcPr>
          <w:p>
            <w:pPr>
              <w:keepNext/>
            </w:pPr>
            <w:r/>
            <w:r>
              <w:rPr>
                <w:rFonts w:ascii="Arial" w:hAnsi="Arial" w:eastAsia="Arial"/>
                <w:b w:val="0"/>
                <w:i w:val="0"/>
                <w:sz w:val="19"/>
              </w:rPr>
              <w:t>D4.1 Network design report</w:t>
            </w:r>
          </w:p>
        </w:tc>
      </w:tr>
      <w:tr>
        <w:trPr>
          <w:cantSplit/>
        </w:trPr>
        <w:tc>
          <w:tcPr>
            <w:tcW w:type="dxa" w:w="1701"/>
            <w:shd w:val="clear" w:color="auto" w:fill="E8EDF5"/>
          </w:tcPr>
          <w:p>
            <w:pPr>
              <w:keepNext/>
            </w:pPr>
            <w:r>
              <w:rPr>
                <w:b/>
              </w:rPr>
            </w:r>
            <w:r>
              <w:rPr>
                <w:rFonts w:ascii="Arial" w:hAnsi="Arial" w:eastAsia="Arial"/>
                <w:b/>
                <w:i w:val="0"/>
                <w:sz w:val="19"/>
              </w:rPr>
              <w:t>Decided by</w:t>
            </w:r>
          </w:p>
        </w:tc>
        <w:tc>
          <w:tcPr>
            <w:tcW w:type="dxa" w:w="7937"/>
          </w:tcPr>
          <w:p>
            <w:pPr>
              <w:keepNext/>
            </w:pPr>
            <w:r/>
            <w:r>
              <w:rPr>
                <w:rFonts w:ascii="Arial" w:hAnsi="Arial" w:eastAsia="Arial"/>
                <w:b w:val="0"/>
                <w:i w:val="0"/>
                <w:sz w:val="19"/>
              </w:rPr>
              <w:t>Steering committee (Month 6 meeting); operators co-sign the installation plan</w:t>
            </w:r>
          </w:p>
        </w:tc>
      </w:tr>
      <w:tr>
        <w:trPr>
          <w:cantSplit/>
        </w:trPr>
        <w:tc>
          <w:tcPr>
            <w:tcW w:type="dxa" w:w="1701"/>
            <w:shd w:val="clear" w:color="auto" w:fill="E8EDF5"/>
          </w:tcPr>
          <w:p>
            <w:pPr>
              <w:keepNext/>
            </w:pPr>
            <w:r>
              <w:rPr>
                <w:b/>
              </w:rPr>
            </w:r>
            <w:r>
              <w:rPr>
                <w:rFonts w:ascii="Arial" w:hAnsi="Arial" w:eastAsia="Arial"/>
                <w:b/>
                <w:i w:val="0"/>
                <w:sz w:val="19"/>
              </w:rPr>
              <w:t>Risks watched</w:t>
            </w:r>
          </w:p>
        </w:tc>
        <w:tc>
          <w:tcPr>
            <w:tcW w:type="dxa" w:w="7937"/>
          </w:tcPr>
          <w:p>
            <w:pPr>
              <w:keepNext/>
            </w:pPr>
            <w:r/>
            <w:r>
              <w:rPr>
                <w:rFonts w:ascii="Arial" w:hAnsi="Arial" w:eastAsia="Arial"/>
                <w:b w:val="0"/>
                <w:i w:val="0"/>
                <w:sz w:val="19"/>
              </w:rPr>
              <w:t>R1 (access agreements not signed by Month 3); R2 (site access not granted by Month 6); R19 (quotes more than 10% above the budget line)</w:t>
            </w:r>
          </w:p>
        </w:tc>
      </w:tr>
      <w:tr>
        <w:trPr>
          <w:cantSplit/>
        </w:trPr>
        <w:tc>
          <w:tcPr>
            <w:tcW w:type="dxa" w:w="1701"/>
            <w:shd w:val="clear" w:color="auto" w:fill="E8EDF5"/>
          </w:tcPr>
          <w:p>
            <w:pPr>
              <w:keepNext/>
            </w:pPr>
            <w:r>
              <w:rPr>
                <w:b/>
              </w:rPr>
            </w:r>
            <w:r>
              <w:rPr>
                <w:rFonts w:ascii="Arial" w:hAnsi="Arial" w:eastAsia="Arial"/>
                <w:b/>
                <w:i w:val="0"/>
                <w:sz w:val="19"/>
              </w:rPr>
              <w:t>If not met</w:t>
            </w:r>
          </w:p>
        </w:tc>
        <w:tc>
          <w:tcPr>
            <w:tcW w:type="dxa" w:w="7937"/>
          </w:tcPr>
          <w:p>
            <w:pPr>
              <w:keepNext/>
            </w:pPr>
            <w:r/>
            <w:r>
              <w:rPr>
                <w:rFonts w:ascii="Arial" w:hAnsi="Arial" w:eastAsia="Arial"/>
                <w:b w:val="0"/>
                <w:i w:val="0"/>
                <w:sz w:val="19"/>
              </w:rPr>
              <w:t>Sensors certain to be needed are already ordered in Month 4; the design is re-run with the remaining budget; where a site is not accessible, the nearest accessible ground is used.</w:t>
            </w:r>
          </w:p>
        </w:tc>
      </w:tr>
      <w:tr>
        <w:trPr>
          <w:cantSplit/>
        </w:trPr>
        <w:tc>
          <w:tcPr>
            <w:tcW w:type="dxa" w:w="1701"/>
            <w:shd w:val="clear" w:color="auto" w:fill="E8EDF5"/>
          </w:tcPr>
          <w:p>
            <w:r>
              <w:rPr>
                <w:b/>
              </w:rPr>
            </w:r>
            <w:r>
              <w:rPr>
                <w:rFonts w:ascii="Arial" w:hAnsi="Arial" w:eastAsia="Arial"/>
                <w:b/>
                <w:i w:val="0"/>
                <w:sz w:val="19"/>
              </w:rPr>
              <w:t>Unlocks</w:t>
            </w:r>
          </w:p>
        </w:tc>
        <w:tc>
          <w:tcPr>
            <w:tcW w:type="dxa" w:w="7937"/>
          </w:tcPr>
          <w:p>
            <w:r/>
            <w:r>
              <w:rPr>
                <w:rFonts w:ascii="Arial" w:hAnsi="Arial" w:eastAsia="Arial"/>
                <w:b w:val="0"/>
                <w:i w:val="0"/>
                <w:sz w:val="19"/>
              </w:rPr>
              <w:t>Procurement of the remaining equipment and installation (T4.2), so that the network streams by Month 12.</w:t>
            </w:r>
          </w:p>
        </w:tc>
      </w:tr>
    </w:tbl>
    <w:p>
      <w:pPr>
        <w:keepNext/>
        <w:spacing w:after="40" w:before="120"/>
      </w:pPr>
      <w:r>
        <w:rPr>
          <w:rFonts w:ascii="Arial" w:hAnsi="Arial" w:eastAsia="Arial"/>
          <w:b/>
          <w:i w:val="0"/>
          <w:color w:val="1F3864"/>
          <w:sz w:val="23"/>
        </w:rPr>
        <w:t>MS2  Network streaming; coastal motion known</w:t>
      </w:r>
      <w:r>
        <w:rPr>
          <w:rFonts w:ascii="Arial" w:hAnsi="Arial" w:eastAsia="Arial"/>
          <w:b w:val="0"/>
          <w:i w:val="0"/>
          <w:color w:val="52606D"/>
          <w:sz w:val="19"/>
        </w:rPr>
        <w:t xml:space="preserve">   Month 12 · WP4, WP1</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8EDF5"/>
          </w:tcPr>
          <w:p>
            <w:pPr>
              <w:keepNext/>
            </w:pPr>
            <w:r>
              <w:rPr>
                <w:b/>
              </w:rPr>
            </w:r>
            <w:r>
              <w:rPr>
                <w:rFonts w:ascii="Arial" w:hAnsi="Arial" w:eastAsia="Arial"/>
                <w:b/>
                <w:i w:val="0"/>
                <w:sz w:val="19"/>
              </w:rPr>
              <w:t>Achieved</w:t>
            </w:r>
          </w:p>
        </w:tc>
        <w:tc>
          <w:tcPr>
            <w:tcW w:type="dxa" w:w="7937"/>
          </w:tcPr>
          <w:p>
            <w:pPr>
              <w:keepNext/>
            </w:pPr>
            <w:r/>
            <w:r>
              <w:rPr>
                <w:rFonts w:ascii="Arial" w:hAnsi="Arial" w:eastAsia="Arial"/>
                <w:b w:val="0"/>
                <w:i w:val="0"/>
                <w:sz w:val="19"/>
              </w:rPr>
              <w:t>The new network streams data, and the motion of the coast is known at each asset: land motion, compaction and relative sea level R(t).</w:t>
            </w:r>
          </w:p>
        </w:tc>
      </w:tr>
      <w:tr>
        <w:trPr>
          <w:cantSplit/>
        </w:trPr>
        <w:tc>
          <w:tcPr>
            <w:tcW w:type="dxa" w:w="1701"/>
            <w:shd w:val="clear" w:color="auto" w:fill="E8EDF5"/>
          </w:tcPr>
          <w:p>
            <w:pPr>
              <w:keepNext/>
            </w:pPr>
            <w:r>
              <w:rPr>
                <w:b/>
              </w:rPr>
            </w:r>
            <w:r>
              <w:rPr>
                <w:rFonts w:ascii="Arial" w:hAnsi="Arial" w:eastAsia="Arial"/>
                <w:b/>
                <w:i w:val="0"/>
                <w:sz w:val="19"/>
              </w:rPr>
              <w:t>Pass test</w:t>
            </w:r>
          </w:p>
        </w:tc>
        <w:tc>
          <w:tcPr>
            <w:tcW w:type="dxa" w:w="7937"/>
          </w:tcPr>
          <w:p>
            <w:pPr>
              <w:keepNext/>
            </w:pPr>
            <w:r/>
            <w:r>
              <w:rPr>
                <w:rFonts w:ascii="Arial" w:hAnsi="Arial" w:eastAsia="Arial"/>
                <w:b w:val="0"/>
                <w:i w:val="0"/>
                <w:sz w:val="19"/>
              </w:rPr>
              <w:t>D4.2: at least 90% data availability over the first month. D1.1: vertical-velocity uncertainty of the order of 1–2 mm/yr at asset points, with InSAR and GNSS agreeing within their uncertainty.</w:t>
            </w:r>
          </w:p>
        </w:tc>
      </w:tr>
      <w:tr>
        <w:trPr>
          <w:cantSplit/>
        </w:trPr>
        <w:tc>
          <w:tcPr>
            <w:tcW w:type="dxa" w:w="1701"/>
            <w:shd w:val="clear" w:color="auto" w:fill="E8EDF5"/>
          </w:tcPr>
          <w:p>
            <w:pPr>
              <w:keepNext/>
            </w:pPr>
            <w:r>
              <w:rPr>
                <w:b/>
              </w:rPr>
            </w:r>
            <w:r>
              <w:rPr>
                <w:rFonts w:ascii="Arial" w:hAnsi="Arial" w:eastAsia="Arial"/>
                <w:b/>
                <w:i w:val="0"/>
                <w:sz w:val="19"/>
              </w:rPr>
              <w:t>Evidence</w:t>
            </w:r>
          </w:p>
        </w:tc>
        <w:tc>
          <w:tcPr>
            <w:tcW w:type="dxa" w:w="7937"/>
          </w:tcPr>
          <w:p>
            <w:pPr>
              <w:keepNext/>
            </w:pPr>
            <w:r/>
            <w:r>
              <w:rPr>
                <w:rFonts w:ascii="Arial" w:hAnsi="Arial" w:eastAsia="Arial"/>
                <w:b w:val="0"/>
                <w:i w:val="0"/>
                <w:sz w:val="19"/>
              </w:rPr>
              <w:t>D4.2 Network installed and streaming; D1.1 Coastal motion atlas and R(t) series</w:t>
            </w:r>
          </w:p>
        </w:tc>
      </w:tr>
      <w:tr>
        <w:trPr>
          <w:cantSplit/>
        </w:trPr>
        <w:tc>
          <w:tcPr>
            <w:tcW w:type="dxa" w:w="1701"/>
            <w:shd w:val="clear" w:color="auto" w:fill="E8EDF5"/>
          </w:tcPr>
          <w:p>
            <w:pPr>
              <w:keepNext/>
            </w:pPr>
            <w:r>
              <w:rPr>
                <w:b/>
              </w:rPr>
            </w:r>
            <w:r>
              <w:rPr>
                <w:rFonts w:ascii="Arial" w:hAnsi="Arial" w:eastAsia="Arial"/>
                <w:b/>
                <w:i w:val="0"/>
                <w:sz w:val="19"/>
              </w:rPr>
              <w:t>Decided by</w:t>
            </w:r>
          </w:p>
        </w:tc>
        <w:tc>
          <w:tcPr>
            <w:tcW w:type="dxa" w:w="7937"/>
          </w:tcPr>
          <w:p>
            <w:pPr>
              <w:keepNext/>
            </w:pPr>
            <w:r/>
            <w:r>
              <w:rPr>
                <w:rFonts w:ascii="Arial" w:hAnsi="Arial" w:eastAsia="Arial"/>
                <w:b w:val="0"/>
                <w:i w:val="0"/>
                <w:sz w:val="19"/>
              </w:rPr>
              <w:t>Steering committee (Month 12 meeting); operators confirm the data streams</w:t>
            </w:r>
          </w:p>
        </w:tc>
      </w:tr>
      <w:tr>
        <w:trPr>
          <w:cantSplit/>
        </w:trPr>
        <w:tc>
          <w:tcPr>
            <w:tcW w:type="dxa" w:w="1701"/>
            <w:shd w:val="clear" w:color="auto" w:fill="E8EDF5"/>
          </w:tcPr>
          <w:p>
            <w:pPr>
              <w:keepNext/>
            </w:pPr>
            <w:r>
              <w:rPr>
                <w:b/>
              </w:rPr>
            </w:r>
            <w:r>
              <w:rPr>
                <w:rFonts w:ascii="Arial" w:hAnsi="Arial" w:eastAsia="Arial"/>
                <w:b/>
                <w:i w:val="0"/>
                <w:sz w:val="19"/>
              </w:rPr>
              <w:t>Risks watched</w:t>
            </w:r>
          </w:p>
        </w:tc>
        <w:tc>
          <w:tcPr>
            <w:tcW w:type="dxa" w:w="7937"/>
          </w:tcPr>
          <w:p>
            <w:pPr>
              <w:keepNext/>
            </w:pPr>
            <w:r/>
            <w:r>
              <w:rPr>
                <w:rFonts w:ascii="Arial" w:hAnsi="Arial" w:eastAsia="Arial"/>
                <w:b w:val="0"/>
                <w:i w:val="0"/>
                <w:sz w:val="19"/>
              </w:rPr>
              <w:t>R4 (too few coherent points at an asset after T1.1 (Month 9)); R9 (no fibre agreement by Month 9; no significant relation with piezometers by Month 20); R10 (delivery more than 8 weeks after the order); R11 (telemetry gap or tamper alert at a station)</w:t>
            </w:r>
          </w:p>
        </w:tc>
      </w:tr>
      <w:tr>
        <w:trPr>
          <w:cantSplit/>
        </w:trPr>
        <w:tc>
          <w:tcPr>
            <w:tcW w:type="dxa" w:w="1701"/>
            <w:shd w:val="clear" w:color="auto" w:fill="E8EDF5"/>
          </w:tcPr>
          <w:p>
            <w:pPr>
              <w:keepNext/>
            </w:pPr>
            <w:r>
              <w:rPr>
                <w:b/>
              </w:rPr>
            </w:r>
            <w:r>
              <w:rPr>
                <w:rFonts w:ascii="Arial" w:hAnsi="Arial" w:eastAsia="Arial"/>
                <w:b/>
                <w:i w:val="0"/>
                <w:sz w:val="19"/>
              </w:rPr>
              <w:t>If not met</w:t>
            </w:r>
          </w:p>
        </w:tc>
        <w:tc>
          <w:tcPr>
            <w:tcW w:type="dxa" w:w="7937"/>
          </w:tcPr>
          <w:p>
            <w:pPr>
              <w:keepNext/>
            </w:pPr>
            <w:r/>
            <w:r>
              <w:rPr>
                <w:rFonts w:ascii="Arial" w:hAnsi="Arial" w:eastAsia="Arial"/>
                <w:b w:val="0"/>
                <w:i w:val="0"/>
                <w:sz w:val="19"/>
              </w:rPr>
              <w:t>Sensors installed in order of value and partner equipment borrowed for the first months; GNSS and levelling where InSAR loses coherence; calibration starts on the sensors already streaming.</w:t>
            </w:r>
          </w:p>
        </w:tc>
      </w:tr>
      <w:tr>
        <w:trPr>
          <w:cantSplit/>
        </w:trPr>
        <w:tc>
          <w:tcPr>
            <w:tcW w:type="dxa" w:w="1701"/>
            <w:shd w:val="clear" w:color="auto" w:fill="E8EDF5"/>
          </w:tcPr>
          <w:p>
            <w:r>
              <w:rPr>
                <w:b/>
              </w:rPr>
            </w:r>
            <w:r>
              <w:rPr>
                <w:rFonts w:ascii="Arial" w:hAnsi="Arial" w:eastAsia="Arial"/>
                <w:b/>
                <w:i w:val="0"/>
                <w:sz w:val="19"/>
              </w:rPr>
              <w:t>Unlocks</w:t>
            </w:r>
          </w:p>
        </w:tc>
        <w:tc>
          <w:tcPr>
            <w:tcW w:type="dxa" w:w="7937"/>
          </w:tcPr>
          <w:p>
            <w:r/>
            <w:r>
              <w:rPr>
                <w:rFonts w:ascii="Arial" w:hAnsi="Arial" w:eastAsia="Arial"/>
                <w:b w:val="0"/>
                <w:i w:val="0"/>
                <w:sz w:val="19"/>
              </w:rPr>
              <w:t>Calibration of the coupled model (T2.3); post-event protocol on standby; first progress report to SPS (D7.2).</w:t>
            </w:r>
          </w:p>
        </w:tc>
      </w:tr>
    </w:tbl>
    <w:p>
      <w:pPr>
        <w:keepNext/>
        <w:spacing w:after="40" w:before="120"/>
      </w:pPr>
      <w:r>
        <w:rPr>
          <w:rFonts w:ascii="Arial" w:hAnsi="Arial" w:eastAsia="Arial"/>
          <w:b/>
          <w:i w:val="0"/>
          <w:color w:val="92400E"/>
          <w:sz w:val="23"/>
        </w:rPr>
        <w:t>MS3  Coupled model calibrated</w:t>
      </w:r>
      <w:r>
        <w:rPr>
          <w:rFonts w:ascii="Arial" w:hAnsi="Arial" w:eastAsia="Arial"/>
          <w:b w:val="0"/>
          <w:i w:val="0"/>
          <w:color w:val="52606D"/>
          <w:sz w:val="19"/>
        </w:rPr>
        <w:t xml:space="preserve">   Month 18 · WP2 · evidence gate</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FDE7C2"/>
          </w:tcPr>
          <w:p>
            <w:pPr>
              <w:keepNext/>
            </w:pPr>
            <w:r>
              <w:rPr>
                <w:b/>
              </w:rPr>
            </w:r>
            <w:r>
              <w:rPr>
                <w:rFonts w:ascii="Arial" w:hAnsi="Arial" w:eastAsia="Arial"/>
                <w:b/>
                <w:i w:val="0"/>
                <w:sz w:val="19"/>
              </w:rPr>
              <w:t>Achieved</w:t>
            </w:r>
          </w:p>
        </w:tc>
        <w:tc>
          <w:tcPr>
            <w:tcW w:type="dxa" w:w="7937"/>
          </w:tcPr>
          <w:p>
            <w:pPr>
              <w:keepNext/>
            </w:pPr>
            <w:r/>
            <w:r>
              <w:rPr>
                <w:rFonts w:ascii="Arial" w:hAnsi="Arial" w:eastAsia="Arial"/>
                <w:b w:val="0"/>
                <w:i w:val="0"/>
                <w:sz w:val="19"/>
              </w:rPr>
              <w:t>One coupled model reproduces the water, salt, ground and sea-level data it has not seen, with honest uncertainty.</w:t>
            </w:r>
          </w:p>
        </w:tc>
      </w:tr>
      <w:tr>
        <w:trPr>
          <w:cantSplit/>
        </w:trPr>
        <w:tc>
          <w:tcPr>
            <w:tcW w:type="dxa" w:w="1701"/>
            <w:shd w:val="clear" w:color="auto" w:fill="FDE7C2"/>
          </w:tcPr>
          <w:p>
            <w:pPr>
              <w:keepNext/>
            </w:pPr>
            <w:r>
              <w:rPr>
                <w:b/>
              </w:rPr>
            </w:r>
            <w:r>
              <w:rPr>
                <w:rFonts w:ascii="Arial" w:hAnsi="Arial" w:eastAsia="Arial"/>
                <w:b/>
                <w:i w:val="0"/>
                <w:sz w:val="19"/>
              </w:rPr>
              <w:t>Pass test</w:t>
            </w:r>
          </w:p>
        </w:tc>
        <w:tc>
          <w:tcPr>
            <w:tcW w:type="dxa" w:w="7937"/>
          </w:tcPr>
          <w:p>
            <w:pPr>
              <w:keepNext/>
            </w:pPr>
            <w:r/>
            <w:r>
              <w:rPr>
                <w:rFonts w:ascii="Arial" w:hAnsi="Arial" w:eastAsia="Arial"/>
                <w:b w:val="0"/>
                <w:i w:val="0"/>
                <w:sz w:val="19"/>
              </w:rPr>
              <w:t>D2.1: held-out heads, chloride, InSAR and seismic velocity fall inside the 90% predictive intervals at close to the nominal rate (gate rule in Section 3).</w:t>
            </w:r>
          </w:p>
        </w:tc>
      </w:tr>
      <w:tr>
        <w:trPr>
          <w:cantSplit/>
        </w:trPr>
        <w:tc>
          <w:tcPr>
            <w:tcW w:type="dxa" w:w="1701"/>
            <w:shd w:val="clear" w:color="auto" w:fill="FDE7C2"/>
          </w:tcPr>
          <w:p>
            <w:pPr>
              <w:keepNext/>
            </w:pPr>
            <w:r>
              <w:rPr>
                <w:b/>
              </w:rPr>
            </w:r>
            <w:r>
              <w:rPr>
                <w:rFonts w:ascii="Arial" w:hAnsi="Arial" w:eastAsia="Arial"/>
                <w:b/>
                <w:i w:val="0"/>
                <w:sz w:val="19"/>
              </w:rPr>
              <w:t>Evidence</w:t>
            </w:r>
          </w:p>
        </w:tc>
        <w:tc>
          <w:tcPr>
            <w:tcW w:type="dxa" w:w="7937"/>
          </w:tcPr>
          <w:p>
            <w:pPr>
              <w:keepNext/>
            </w:pPr>
            <w:r/>
            <w:r>
              <w:rPr>
                <w:rFonts w:ascii="Arial" w:hAnsi="Arial" w:eastAsia="Arial"/>
                <w:b w:val="0"/>
                <w:i w:val="0"/>
                <w:sz w:val="19"/>
              </w:rPr>
              <w:t>D2.1 Calibrated coupled model</w:t>
            </w:r>
          </w:p>
        </w:tc>
      </w:tr>
      <w:tr>
        <w:trPr>
          <w:cantSplit/>
        </w:trPr>
        <w:tc>
          <w:tcPr>
            <w:tcW w:type="dxa" w:w="1701"/>
            <w:shd w:val="clear" w:color="auto" w:fill="FDE7C2"/>
          </w:tcPr>
          <w:p>
            <w:pPr>
              <w:keepNext/>
            </w:pPr>
            <w:r>
              <w:rPr>
                <w:b/>
              </w:rPr>
            </w:r>
            <w:r>
              <w:rPr>
                <w:rFonts w:ascii="Arial" w:hAnsi="Arial" w:eastAsia="Arial"/>
                <w:b/>
                <w:i w:val="0"/>
                <w:sz w:val="19"/>
              </w:rPr>
              <w:t>Decided by</w:t>
            </w:r>
          </w:p>
        </w:tc>
        <w:tc>
          <w:tcPr>
            <w:tcW w:type="dxa" w:w="7937"/>
          </w:tcPr>
          <w:p>
            <w:pPr>
              <w:keepNext/>
            </w:pPr>
            <w:r/>
            <w:r>
              <w:rPr>
                <w:rFonts w:ascii="Arial" w:hAnsi="Arial" w:eastAsia="Arial"/>
                <w:b w:val="0"/>
                <w:i w:val="0"/>
                <w:sz w:val="19"/>
              </w:rPr>
              <w:t>Steering committee at the gate meeting (Month 18, with the mid-term workshop)</w:t>
            </w:r>
          </w:p>
        </w:tc>
      </w:tr>
      <w:tr>
        <w:trPr>
          <w:cantSplit/>
        </w:trPr>
        <w:tc>
          <w:tcPr>
            <w:tcW w:type="dxa" w:w="1701"/>
            <w:shd w:val="clear" w:color="auto" w:fill="FDE7C2"/>
          </w:tcPr>
          <w:p>
            <w:pPr>
              <w:keepNext/>
            </w:pPr>
            <w:r>
              <w:rPr>
                <w:b/>
              </w:rPr>
            </w:r>
            <w:r>
              <w:rPr>
                <w:rFonts w:ascii="Arial" w:hAnsi="Arial" w:eastAsia="Arial"/>
                <w:b/>
                <w:i w:val="0"/>
                <w:sz w:val="19"/>
              </w:rPr>
              <w:t>Risks watched</w:t>
            </w:r>
          </w:p>
        </w:tc>
        <w:tc>
          <w:tcPr>
            <w:tcW w:type="dxa" w:w="7937"/>
          </w:tcPr>
          <w:p>
            <w:pPr>
              <w:keepNext/>
            </w:pPr>
            <w:r/>
            <w:r>
              <w:rPr>
                <w:rFonts w:ascii="Arial" w:hAnsi="Arial" w:eastAsia="Arial"/>
                <w:b w:val="0"/>
                <w:i w:val="0"/>
                <w:sz w:val="19"/>
              </w:rPr>
              <w:t>R3 (more than 30% of records fail quality control); R5 (coverage of the 90% intervals below 80% at Month 18 (MS3))</w:t>
            </w:r>
          </w:p>
        </w:tc>
      </w:tr>
      <w:tr>
        <w:trPr>
          <w:cantSplit/>
        </w:trPr>
        <w:tc>
          <w:tcPr>
            <w:tcW w:type="dxa" w:w="1701"/>
            <w:shd w:val="clear" w:color="auto" w:fill="FDE7C2"/>
          </w:tcPr>
          <w:p>
            <w:pPr>
              <w:keepNext/>
            </w:pPr>
            <w:r>
              <w:rPr>
                <w:b/>
              </w:rPr>
            </w:r>
            <w:r>
              <w:rPr>
                <w:rFonts w:ascii="Arial" w:hAnsi="Arial" w:eastAsia="Arial"/>
                <w:b/>
                <w:i w:val="0"/>
                <w:sz w:val="19"/>
              </w:rPr>
              <w:t>If not met</w:t>
            </w:r>
          </w:p>
        </w:tc>
        <w:tc>
          <w:tcPr>
            <w:tcW w:type="dxa" w:w="7937"/>
          </w:tcPr>
          <w:p>
            <w:pPr>
              <w:keepNext/>
            </w:pPr>
            <w:r/>
            <w:r>
              <w:rPr>
                <w:rFonts w:ascii="Arial" w:hAnsi="Arial" w:eastAsia="Arial"/>
                <w:b w:val="0"/>
                <w:i w:val="0"/>
                <w:sz w:val="19"/>
              </w:rPr>
              <w:t>Two-dimensional sections through each asset; a larger error bound Δₖ; the limitation is stated in every later result.</w:t>
            </w:r>
          </w:p>
        </w:tc>
      </w:tr>
      <w:tr>
        <w:trPr>
          <w:cantSplit/>
        </w:trPr>
        <w:tc>
          <w:tcPr>
            <w:tcW w:type="dxa" w:w="1701"/>
            <w:shd w:val="clear" w:color="auto" w:fill="FDE7C2"/>
          </w:tcPr>
          <w:p>
            <w:r>
              <w:rPr>
                <w:b/>
              </w:rPr>
            </w:r>
            <w:r>
              <w:rPr>
                <w:rFonts w:ascii="Arial" w:hAnsi="Arial" w:eastAsia="Arial"/>
                <w:b/>
                <w:i w:val="0"/>
                <w:sz w:val="19"/>
              </w:rPr>
              <w:t>Unlocks</w:t>
            </w:r>
          </w:p>
        </w:tc>
        <w:tc>
          <w:tcPr>
            <w:tcW w:type="dxa" w:w="7937"/>
          </w:tcPr>
          <w:p>
            <w:r/>
            <w:r>
              <w:rPr>
                <w:rFonts w:ascii="Arial" w:hAnsi="Arial" w:eastAsia="Arial"/>
                <w:b w:val="0"/>
                <w:i w:val="0"/>
                <w:sz w:val="19"/>
              </w:rPr>
              <w:t>Training of the certified surrogate on the calibrated parameters (T2.4).</w:t>
            </w:r>
          </w:p>
        </w:tc>
      </w:tr>
    </w:tbl>
    <w:p>
      <w:pPr>
        <w:keepNext/>
        <w:spacing w:after="40" w:before="120"/>
      </w:pPr>
      <w:r>
        <w:rPr>
          <w:rFonts w:ascii="Arial" w:hAnsi="Arial" w:eastAsia="Arial"/>
          <w:b/>
          <w:i w:val="0"/>
          <w:color w:val="92400E"/>
          <w:sz w:val="23"/>
        </w:rPr>
        <w:t>MS4  Go/no-go for live operation</w:t>
      </w:r>
      <w:r>
        <w:rPr>
          <w:rFonts w:ascii="Arial" w:hAnsi="Arial" w:eastAsia="Arial"/>
          <w:b w:val="0"/>
          <w:i w:val="0"/>
          <w:color w:val="52606D"/>
          <w:sz w:val="19"/>
        </w:rPr>
        <w:t xml:space="preserve">   Month 22 · WP2, WP3 · evidence gate</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FDE7C2"/>
          </w:tcPr>
          <w:p>
            <w:pPr>
              <w:keepNext/>
            </w:pPr>
            <w:r>
              <w:rPr>
                <w:b/>
              </w:rPr>
            </w:r>
            <w:r>
              <w:rPr>
                <w:rFonts w:ascii="Arial" w:hAnsi="Arial" w:eastAsia="Arial"/>
                <w:b/>
                <w:i w:val="0"/>
                <w:sz w:val="19"/>
              </w:rPr>
              <w:t>Achieved</w:t>
            </w:r>
          </w:p>
        </w:tc>
        <w:tc>
          <w:tcPr>
            <w:tcW w:type="dxa" w:w="7937"/>
          </w:tcPr>
          <w:p>
            <w:pPr>
              <w:keepNext/>
            </w:pPr>
            <w:r/>
            <w:r>
              <w:rPr>
                <w:rFonts w:ascii="Arial" w:hAnsi="Arial" w:eastAsia="Arial"/>
                <w:b w:val="0"/>
                <w:i w:val="0"/>
                <w:sz w:val="19"/>
              </w:rPr>
              <w:t>Go or no-go for live operation: the fast surrogate meets its error bound, and the whole chain from data to bulletin works.</w:t>
            </w:r>
          </w:p>
        </w:tc>
      </w:tr>
      <w:tr>
        <w:trPr>
          <w:cantSplit/>
        </w:trPr>
        <w:tc>
          <w:tcPr>
            <w:tcW w:type="dxa" w:w="1701"/>
            <w:shd w:val="clear" w:color="auto" w:fill="FDE7C2"/>
          </w:tcPr>
          <w:p>
            <w:pPr>
              <w:keepNext/>
            </w:pPr>
            <w:r>
              <w:rPr>
                <w:b/>
              </w:rPr>
            </w:r>
            <w:r>
              <w:rPr>
                <w:rFonts w:ascii="Arial" w:hAnsi="Arial" w:eastAsia="Arial"/>
                <w:b/>
                <w:i w:val="0"/>
                <w:sz w:val="19"/>
              </w:rPr>
              <w:t>Pass test</w:t>
            </w:r>
          </w:p>
        </w:tc>
        <w:tc>
          <w:tcPr>
            <w:tcW w:type="dxa" w:w="7937"/>
          </w:tcPr>
          <w:p>
            <w:pPr>
              <w:keepNext/>
            </w:pPr>
            <w:r>
              <w:rPr>
                <w:rFonts w:ascii="Arial" w:hAnsi="Arial" w:eastAsia="Arial"/>
                <w:b w:val="0"/>
                <w:i w:val="0"/>
                <w:sz w:val="19"/>
              </w:rPr>
              <w:t xml:space="preserve">D2.2: coverage of the error bound Δₖ at least 1 − δ on held-out full-model runs; thousands of storylines per day; the alarm prototype passes a dry run of </w:t>
            </w:r>
            <w:r>
              <w:rPr>
                <w:rFonts w:ascii="Arial" w:hAnsi="Arial" w:eastAsia="Arial"/>
                <w:b w:val="0"/>
                <w:i w:val="0"/>
                <w:sz w:val="19"/>
                <w:highlight w:val="yellow"/>
              </w:rPr>
              <w:t>[four weeks]</w:t>
            </w:r>
            <w:r>
              <w:rPr>
                <w:rFonts w:ascii="Arial" w:hAnsi="Arial" w:eastAsia="Arial"/>
                <w:b w:val="0"/>
                <w:i w:val="0"/>
                <w:sz w:val="19"/>
              </w:rPr>
              <w:t xml:space="preserve"> on live data without issuing bulletins.</w:t>
            </w:r>
          </w:p>
        </w:tc>
      </w:tr>
      <w:tr>
        <w:trPr>
          <w:cantSplit/>
        </w:trPr>
        <w:tc>
          <w:tcPr>
            <w:tcW w:type="dxa" w:w="1701"/>
            <w:shd w:val="clear" w:color="auto" w:fill="FDE7C2"/>
          </w:tcPr>
          <w:p>
            <w:pPr>
              <w:keepNext/>
            </w:pPr>
            <w:r>
              <w:rPr>
                <w:b/>
              </w:rPr>
            </w:r>
            <w:r>
              <w:rPr>
                <w:rFonts w:ascii="Arial" w:hAnsi="Arial" w:eastAsia="Arial"/>
                <w:b/>
                <w:i w:val="0"/>
                <w:sz w:val="19"/>
              </w:rPr>
              <w:t>Evidence</w:t>
            </w:r>
          </w:p>
        </w:tc>
        <w:tc>
          <w:tcPr>
            <w:tcW w:type="dxa" w:w="7937"/>
          </w:tcPr>
          <w:p>
            <w:pPr>
              <w:keepNext/>
            </w:pPr>
            <w:r/>
            <w:r>
              <w:rPr>
                <w:rFonts w:ascii="Arial" w:hAnsi="Arial" w:eastAsia="Arial"/>
                <w:b w:val="0"/>
                <w:i w:val="0"/>
                <w:sz w:val="19"/>
              </w:rPr>
              <w:t>D2.2 Certified surrogate</w:t>
            </w:r>
          </w:p>
        </w:tc>
      </w:tr>
      <w:tr>
        <w:trPr>
          <w:cantSplit/>
        </w:trPr>
        <w:tc>
          <w:tcPr>
            <w:tcW w:type="dxa" w:w="1701"/>
            <w:shd w:val="clear" w:color="auto" w:fill="FDE7C2"/>
          </w:tcPr>
          <w:p>
            <w:pPr>
              <w:keepNext/>
            </w:pPr>
            <w:r>
              <w:rPr>
                <w:b/>
              </w:rPr>
            </w:r>
            <w:r>
              <w:rPr>
                <w:rFonts w:ascii="Arial" w:hAnsi="Arial" w:eastAsia="Arial"/>
                <w:b/>
                <w:i w:val="0"/>
                <w:sz w:val="19"/>
              </w:rPr>
              <w:t>Decided by</w:t>
            </w:r>
          </w:p>
        </w:tc>
        <w:tc>
          <w:tcPr>
            <w:tcW w:type="dxa" w:w="7937"/>
          </w:tcPr>
          <w:p>
            <w:pPr>
              <w:keepNext/>
            </w:pPr>
            <w:r/>
            <w:r>
              <w:rPr>
                <w:rFonts w:ascii="Arial" w:hAnsi="Arial" w:eastAsia="Arial"/>
                <w:b w:val="0"/>
                <w:i w:val="0"/>
                <w:sz w:val="19"/>
              </w:rPr>
              <w:t>Steering committee at the gate meeting (Month 22); the operators agree to receive bulletins</w:t>
            </w:r>
          </w:p>
        </w:tc>
      </w:tr>
      <w:tr>
        <w:trPr>
          <w:cantSplit/>
        </w:trPr>
        <w:tc>
          <w:tcPr>
            <w:tcW w:type="dxa" w:w="1701"/>
            <w:shd w:val="clear" w:color="auto" w:fill="FDE7C2"/>
          </w:tcPr>
          <w:p>
            <w:pPr>
              <w:keepNext/>
            </w:pPr>
            <w:r>
              <w:rPr>
                <w:b/>
              </w:rPr>
            </w:r>
            <w:r>
              <w:rPr>
                <w:rFonts w:ascii="Arial" w:hAnsi="Arial" w:eastAsia="Arial"/>
                <w:b/>
                <w:i w:val="0"/>
                <w:sz w:val="19"/>
              </w:rPr>
              <w:t>Risks watched</w:t>
            </w:r>
          </w:p>
        </w:tc>
        <w:tc>
          <w:tcPr>
            <w:tcW w:type="dxa" w:w="7937"/>
          </w:tcPr>
          <w:p>
            <w:pPr>
              <w:keepNext/>
            </w:pPr>
            <w:r/>
            <w:r>
              <w:rPr>
                <w:rFonts w:ascii="Arial" w:hAnsi="Arial" w:eastAsia="Arial"/>
                <w:b w:val="0"/>
                <w:i w:val="0"/>
                <w:sz w:val="19"/>
              </w:rPr>
              <w:t>R6 (Δₖ larger than half the margin for more than 5% of forecasts); R17 (data latency above the cadence of a hazard; failed backup)</w:t>
            </w:r>
          </w:p>
        </w:tc>
      </w:tr>
      <w:tr>
        <w:trPr>
          <w:cantSplit/>
        </w:trPr>
        <w:tc>
          <w:tcPr>
            <w:tcW w:type="dxa" w:w="1701"/>
            <w:shd w:val="clear" w:color="auto" w:fill="FDE7C2"/>
          </w:tcPr>
          <w:p>
            <w:pPr>
              <w:keepNext/>
            </w:pPr>
            <w:r>
              <w:rPr>
                <w:b/>
              </w:rPr>
            </w:r>
            <w:r>
              <w:rPr>
                <w:rFonts w:ascii="Arial" w:hAnsi="Arial" w:eastAsia="Arial"/>
                <w:b/>
                <w:i w:val="0"/>
                <w:sz w:val="19"/>
              </w:rPr>
              <w:t>If not met</w:t>
            </w:r>
          </w:p>
        </w:tc>
        <w:tc>
          <w:tcPr>
            <w:tcW w:type="dxa" w:w="7937"/>
          </w:tcPr>
          <w:p>
            <w:pPr>
              <w:keepNext/>
            </w:pPr>
            <w:r/>
            <w:r>
              <w:rPr>
                <w:rFonts w:ascii="Arial" w:hAnsi="Arial" w:eastAsia="Arial"/>
                <w:b w:val="0"/>
                <w:i w:val="0"/>
                <w:sz w:val="19"/>
              </w:rPr>
              <w:t>A slip of up to two months is absorbed: live operation runs from Month 25 to Month 36, still twelve months. A longer slip triggers the fallbacks of R5 and R6, decided by the steering committee.</w:t>
            </w:r>
          </w:p>
        </w:tc>
      </w:tr>
      <w:tr>
        <w:trPr>
          <w:cantSplit/>
        </w:trPr>
        <w:tc>
          <w:tcPr>
            <w:tcW w:type="dxa" w:w="1701"/>
            <w:shd w:val="clear" w:color="auto" w:fill="FDE7C2"/>
          </w:tcPr>
          <w:p>
            <w:r>
              <w:rPr>
                <w:b/>
              </w:rPr>
            </w:r>
            <w:r>
              <w:rPr>
                <w:rFonts w:ascii="Arial" w:hAnsi="Arial" w:eastAsia="Arial"/>
                <w:b/>
                <w:i w:val="0"/>
                <w:sz w:val="19"/>
              </w:rPr>
              <w:t>Unlocks</w:t>
            </w:r>
          </w:p>
        </w:tc>
        <w:tc>
          <w:tcPr>
            <w:tcW w:type="dxa" w:w="7937"/>
          </w:tcPr>
          <w:p>
            <w:r/>
            <w:r>
              <w:rPr>
                <w:rFonts w:ascii="Arial" w:hAnsi="Arial" w:eastAsia="Arial"/>
                <w:b w:val="0"/>
                <w:i w:val="0"/>
                <w:sz w:val="19"/>
              </w:rPr>
              <w:t>Live bulletins to the operators and civil protection from Month 23 (T5.2).</w:t>
            </w:r>
          </w:p>
        </w:tc>
      </w:tr>
    </w:tbl>
    <w:p>
      <w:pPr>
        <w:keepNext/>
        <w:spacing w:after="40" w:before="120"/>
      </w:pPr>
      <w:r>
        <w:rPr>
          <w:rFonts w:ascii="Arial" w:hAnsi="Arial" w:eastAsia="Arial"/>
          <w:b/>
          <w:i w:val="0"/>
          <w:color w:val="92400E"/>
          <w:sz w:val="23"/>
        </w:rPr>
        <w:t>MS5  Miss-rate targets confirmed in back-testing</w:t>
      </w:r>
      <w:r>
        <w:rPr>
          <w:rFonts w:ascii="Arial" w:hAnsi="Arial" w:eastAsia="Arial"/>
          <w:b w:val="0"/>
          <w:i w:val="0"/>
          <w:color w:val="52606D"/>
          <w:sz w:val="19"/>
        </w:rPr>
        <w:t xml:space="preserve">   Month 27 · WP3 · evidence gate</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FDE7C2"/>
          </w:tcPr>
          <w:p>
            <w:pPr>
              <w:keepNext/>
            </w:pPr>
            <w:r>
              <w:rPr>
                <w:b/>
              </w:rPr>
            </w:r>
            <w:r>
              <w:rPr>
                <w:rFonts w:ascii="Arial" w:hAnsi="Arial" w:eastAsia="Arial"/>
                <w:b/>
                <w:i w:val="0"/>
                <w:sz w:val="19"/>
              </w:rPr>
              <w:t>Achieved</w:t>
            </w:r>
          </w:p>
        </w:tc>
        <w:tc>
          <w:tcPr>
            <w:tcW w:type="dxa" w:w="7937"/>
          </w:tcPr>
          <w:p>
            <w:pPr>
              <w:keepNext/>
            </w:pPr>
            <w:r/>
            <w:r>
              <w:rPr>
                <w:rFonts w:ascii="Arial" w:hAnsi="Arial" w:eastAsia="Arial"/>
                <w:b w:val="0"/>
                <w:i w:val="0"/>
                <w:sz w:val="19"/>
              </w:rPr>
              <w:t>The central promise holds on the past: over the record since 2014 and on storylines beyond it, each alarm misses no more often than its certified rate.</w:t>
            </w:r>
          </w:p>
        </w:tc>
      </w:tr>
      <w:tr>
        <w:trPr>
          <w:cantSplit/>
        </w:trPr>
        <w:tc>
          <w:tcPr>
            <w:tcW w:type="dxa" w:w="1701"/>
            <w:shd w:val="clear" w:color="auto" w:fill="FDE7C2"/>
          </w:tcPr>
          <w:p>
            <w:pPr>
              <w:keepNext/>
            </w:pPr>
            <w:r>
              <w:rPr>
                <w:b/>
              </w:rPr>
            </w:r>
            <w:r>
              <w:rPr>
                <w:rFonts w:ascii="Arial" w:hAnsi="Arial" w:eastAsia="Arial"/>
                <w:b/>
                <w:i w:val="0"/>
                <w:sz w:val="19"/>
              </w:rPr>
              <w:t>Pass test</w:t>
            </w:r>
          </w:p>
        </w:tc>
        <w:tc>
          <w:tcPr>
            <w:tcW w:type="dxa" w:w="7937"/>
          </w:tcPr>
          <w:p>
            <w:pPr>
              <w:keepNext/>
            </w:pPr>
            <w:r/>
            <w:r>
              <w:rPr>
                <w:rFonts w:ascii="Arial" w:hAnsi="Arial" w:eastAsia="Arial"/>
                <w:b w:val="0"/>
                <w:i w:val="0"/>
                <w:sz w:val="19"/>
              </w:rPr>
              <w:t>D3.2: back-tested miss rate of each alarm at or below its target αₖ, with its Clopper–Pearson interval; false-alarm rate reported against the level agreed with the operators (T3.1). Protocol published with a DOI before the results.</w:t>
            </w:r>
          </w:p>
        </w:tc>
      </w:tr>
      <w:tr>
        <w:trPr>
          <w:cantSplit/>
        </w:trPr>
        <w:tc>
          <w:tcPr>
            <w:tcW w:type="dxa" w:w="1701"/>
            <w:shd w:val="clear" w:color="auto" w:fill="FDE7C2"/>
          </w:tcPr>
          <w:p>
            <w:pPr>
              <w:keepNext/>
            </w:pPr>
            <w:r>
              <w:rPr>
                <w:b/>
              </w:rPr>
            </w:r>
            <w:r>
              <w:rPr>
                <w:rFonts w:ascii="Arial" w:hAnsi="Arial" w:eastAsia="Arial"/>
                <w:b/>
                <w:i w:val="0"/>
                <w:sz w:val="19"/>
              </w:rPr>
              <w:t>Evidence</w:t>
            </w:r>
          </w:p>
        </w:tc>
        <w:tc>
          <w:tcPr>
            <w:tcW w:type="dxa" w:w="7937"/>
          </w:tcPr>
          <w:p>
            <w:pPr>
              <w:keepNext/>
            </w:pPr>
            <w:r/>
            <w:r>
              <w:rPr>
                <w:rFonts w:ascii="Arial" w:hAnsi="Arial" w:eastAsia="Arial"/>
                <w:b w:val="0"/>
                <w:i w:val="0"/>
                <w:sz w:val="19"/>
              </w:rPr>
              <w:t>D3.2 Back-testing report</w:t>
            </w:r>
          </w:p>
        </w:tc>
      </w:tr>
      <w:tr>
        <w:trPr>
          <w:cantSplit/>
        </w:trPr>
        <w:tc>
          <w:tcPr>
            <w:tcW w:type="dxa" w:w="1701"/>
            <w:shd w:val="clear" w:color="auto" w:fill="FDE7C2"/>
          </w:tcPr>
          <w:p>
            <w:pPr>
              <w:keepNext/>
            </w:pPr>
            <w:r>
              <w:rPr>
                <w:b/>
              </w:rPr>
            </w:r>
            <w:r>
              <w:rPr>
                <w:rFonts w:ascii="Arial" w:hAnsi="Arial" w:eastAsia="Arial"/>
                <w:b/>
                <w:i w:val="0"/>
                <w:sz w:val="19"/>
              </w:rPr>
              <w:t>Decided by</w:t>
            </w:r>
          </w:p>
        </w:tc>
        <w:tc>
          <w:tcPr>
            <w:tcW w:type="dxa" w:w="7937"/>
          </w:tcPr>
          <w:p>
            <w:pPr>
              <w:keepNext/>
            </w:pPr>
            <w:r/>
            <w:r>
              <w:rPr>
                <w:rFonts w:ascii="Arial" w:hAnsi="Arial" w:eastAsia="Arial"/>
                <w:b w:val="0"/>
                <w:i w:val="0"/>
                <w:sz w:val="19"/>
              </w:rPr>
              <w:t>Steering committee at the gate meeting (Month 27); operators review the false-alarm rates</w:t>
            </w:r>
          </w:p>
        </w:tc>
      </w:tr>
      <w:tr>
        <w:trPr>
          <w:cantSplit/>
        </w:trPr>
        <w:tc>
          <w:tcPr>
            <w:tcW w:type="dxa" w:w="1701"/>
            <w:shd w:val="clear" w:color="auto" w:fill="FDE7C2"/>
          </w:tcPr>
          <w:p>
            <w:pPr>
              <w:keepNext/>
            </w:pPr>
            <w:r>
              <w:rPr>
                <w:b/>
              </w:rPr>
            </w:r>
            <w:r>
              <w:rPr>
                <w:rFonts w:ascii="Arial" w:hAnsi="Arial" w:eastAsia="Arial"/>
                <w:b/>
                <w:i w:val="0"/>
                <w:sz w:val="19"/>
              </w:rPr>
              <w:t>Risks watched</w:t>
            </w:r>
          </w:p>
        </w:tc>
        <w:tc>
          <w:tcPr>
            <w:tcW w:type="dxa" w:w="7937"/>
          </w:tcPr>
          <w:p>
            <w:pPr>
              <w:keepNext/>
            </w:pPr>
            <w:r/>
            <w:r>
              <w:rPr>
                <w:rFonts w:ascii="Arial" w:hAnsi="Arial" w:eastAsia="Arial"/>
                <w:b w:val="0"/>
                <w:i w:val="0"/>
                <w:sz w:val="19"/>
              </w:rPr>
              <w:t>R7 (back-tested false-alarm rate above the level agreed in T3.1); R8 (growing share of issue times outside the observed record)</w:t>
            </w:r>
          </w:p>
        </w:tc>
      </w:tr>
      <w:tr>
        <w:trPr>
          <w:cantSplit/>
        </w:trPr>
        <w:tc>
          <w:tcPr>
            <w:tcW w:type="dxa" w:w="1701"/>
            <w:shd w:val="clear" w:color="auto" w:fill="FDE7C2"/>
          </w:tcPr>
          <w:p>
            <w:pPr>
              <w:keepNext/>
            </w:pPr>
            <w:r>
              <w:rPr>
                <w:b/>
              </w:rPr>
            </w:r>
            <w:r>
              <w:rPr>
                <w:rFonts w:ascii="Arial" w:hAnsi="Arial" w:eastAsia="Arial"/>
                <w:b/>
                <w:i w:val="0"/>
                <w:sz w:val="19"/>
              </w:rPr>
              <w:t>If not met</w:t>
            </w:r>
          </w:p>
        </w:tc>
        <w:tc>
          <w:tcPr>
            <w:tcW w:type="dxa" w:w="7937"/>
          </w:tcPr>
          <w:p>
            <w:pPr>
              <w:keepNext/>
            </w:pPr>
            <w:r/>
            <w:r>
              <w:rPr>
                <w:rFonts w:ascii="Arial" w:hAnsi="Arial" w:eastAsia="Arial"/>
                <w:b w:val="0"/>
                <w:i w:val="0"/>
                <w:sz w:val="19"/>
              </w:rPr>
              <w:t>The margin is widened until the miss target is met: the target is kept and the extra false alarms are reported; if false alarms are too many, staged alerts (watch, then warning) and longer lead-time windows.</w:t>
            </w:r>
          </w:p>
        </w:tc>
      </w:tr>
      <w:tr>
        <w:trPr>
          <w:cantSplit/>
        </w:trPr>
        <w:tc>
          <w:tcPr>
            <w:tcW w:type="dxa" w:w="1701"/>
            <w:shd w:val="clear" w:color="auto" w:fill="FDE7C2"/>
          </w:tcPr>
          <w:p>
            <w:r>
              <w:rPr>
                <w:b/>
              </w:rPr>
            </w:r>
            <w:r>
              <w:rPr>
                <w:rFonts w:ascii="Arial" w:hAnsi="Arial" w:eastAsia="Arial"/>
                <w:b/>
                <w:i w:val="0"/>
                <w:sz w:val="19"/>
              </w:rPr>
              <w:t>Unlocks</w:t>
            </w:r>
          </w:p>
        </w:tc>
        <w:tc>
          <w:tcPr>
            <w:tcW w:type="dxa" w:w="7937"/>
          </w:tcPr>
          <w:p>
            <w:r/>
            <w:r>
              <w:rPr>
                <w:rFonts w:ascii="Arial" w:hAnsi="Arial" w:eastAsia="Arial"/>
                <w:b w:val="0"/>
                <w:i w:val="0"/>
                <w:sz w:val="19"/>
              </w:rPr>
              <w:t>The certified rates are stated in the live bulletins; the joint pumping rule is agreed with the utility (by Month 33).</w:t>
            </w:r>
          </w:p>
        </w:tc>
      </w:tr>
    </w:tbl>
    <w:p>
      <w:pPr>
        <w:keepNext/>
        <w:spacing w:after="40" w:before="120"/>
      </w:pPr>
      <w:r>
        <w:rPr>
          <w:rFonts w:ascii="Arial" w:hAnsi="Arial" w:eastAsia="Arial"/>
          <w:b/>
          <w:i w:val="0"/>
          <w:color w:val="1F3864"/>
          <w:sz w:val="23"/>
        </w:rPr>
        <w:t>MS6  Twelve months of live operation completed</w:t>
      </w:r>
      <w:r>
        <w:rPr>
          <w:rFonts w:ascii="Arial" w:hAnsi="Arial" w:eastAsia="Arial"/>
          <w:b w:val="0"/>
          <w:i w:val="0"/>
          <w:color w:val="52606D"/>
          <w:sz w:val="19"/>
        </w:rPr>
        <w:t xml:space="preserve">   Month 34 · WP5</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8EDF5"/>
          </w:tcPr>
          <w:p>
            <w:pPr>
              <w:keepNext/>
            </w:pPr>
            <w:r>
              <w:rPr>
                <w:b/>
              </w:rPr>
            </w:r>
            <w:r>
              <w:rPr>
                <w:rFonts w:ascii="Arial" w:hAnsi="Arial" w:eastAsia="Arial"/>
                <w:b/>
                <w:i w:val="0"/>
                <w:sz w:val="19"/>
              </w:rPr>
              <w:t>Achieved</w:t>
            </w:r>
          </w:p>
        </w:tc>
        <w:tc>
          <w:tcPr>
            <w:tcW w:type="dxa" w:w="7937"/>
          </w:tcPr>
          <w:p>
            <w:pPr>
              <w:keepNext/>
            </w:pPr>
            <w:r/>
            <w:r>
              <w:rPr>
                <w:rFonts w:ascii="Arial" w:hAnsi="Arial" w:eastAsia="Arial"/>
                <w:b w:val="0"/>
                <w:i w:val="0"/>
                <w:sz w:val="19"/>
              </w:rPr>
              <w:t>Twelve months of live warnings, every season included, with every bulletin logged and checked against what happened.</w:t>
            </w:r>
          </w:p>
        </w:tc>
      </w:tr>
      <w:tr>
        <w:trPr>
          <w:cantSplit/>
        </w:trPr>
        <w:tc>
          <w:tcPr>
            <w:tcW w:type="dxa" w:w="1701"/>
            <w:shd w:val="clear" w:color="auto" w:fill="E8EDF5"/>
          </w:tcPr>
          <w:p>
            <w:pPr>
              <w:keepNext/>
            </w:pPr>
            <w:r>
              <w:rPr>
                <w:b/>
              </w:rPr>
            </w:r>
            <w:r>
              <w:rPr>
                <w:rFonts w:ascii="Arial" w:hAnsi="Arial" w:eastAsia="Arial"/>
                <w:b/>
                <w:i w:val="0"/>
                <w:sz w:val="19"/>
              </w:rPr>
              <w:t>Pass test</w:t>
            </w:r>
          </w:p>
        </w:tc>
        <w:tc>
          <w:tcPr>
            <w:tcW w:type="dxa" w:w="7937"/>
          </w:tcPr>
          <w:p>
            <w:pPr>
              <w:keepNext/>
            </w:pPr>
            <w:r/>
            <w:r>
              <w:rPr>
                <w:rFonts w:ascii="Arial" w:hAnsi="Arial" w:eastAsia="Arial"/>
                <w:b w:val="0"/>
                <w:i w:val="0"/>
                <w:sz w:val="19"/>
              </w:rPr>
              <w:t>D5.1: bulletin log complete; observed miss rates within their targets, with confidence intervals; post-event protocol executed for every event above its trigger.</w:t>
            </w:r>
          </w:p>
        </w:tc>
      </w:tr>
      <w:tr>
        <w:trPr>
          <w:cantSplit/>
        </w:trPr>
        <w:tc>
          <w:tcPr>
            <w:tcW w:type="dxa" w:w="1701"/>
            <w:shd w:val="clear" w:color="auto" w:fill="E8EDF5"/>
          </w:tcPr>
          <w:p>
            <w:pPr>
              <w:keepNext/>
            </w:pPr>
            <w:r>
              <w:rPr>
                <w:b/>
              </w:rPr>
            </w:r>
            <w:r>
              <w:rPr>
                <w:rFonts w:ascii="Arial" w:hAnsi="Arial" w:eastAsia="Arial"/>
                <w:b/>
                <w:i w:val="0"/>
                <w:sz w:val="19"/>
              </w:rPr>
              <w:t>Evidence</w:t>
            </w:r>
          </w:p>
        </w:tc>
        <w:tc>
          <w:tcPr>
            <w:tcW w:type="dxa" w:w="7937"/>
          </w:tcPr>
          <w:p>
            <w:pPr>
              <w:keepNext/>
            </w:pPr>
            <w:r/>
            <w:r>
              <w:rPr>
                <w:rFonts w:ascii="Arial" w:hAnsi="Arial" w:eastAsia="Arial"/>
                <w:b w:val="0"/>
                <w:i w:val="0"/>
                <w:sz w:val="19"/>
              </w:rPr>
              <w:t>D5.1 Live demonstration report</w:t>
            </w:r>
          </w:p>
        </w:tc>
      </w:tr>
      <w:tr>
        <w:trPr>
          <w:cantSplit/>
        </w:trPr>
        <w:tc>
          <w:tcPr>
            <w:tcW w:type="dxa" w:w="1701"/>
            <w:shd w:val="clear" w:color="auto" w:fill="E8EDF5"/>
          </w:tcPr>
          <w:p>
            <w:pPr>
              <w:keepNext/>
            </w:pPr>
            <w:r>
              <w:rPr>
                <w:b/>
              </w:rPr>
            </w:r>
            <w:r>
              <w:rPr>
                <w:rFonts w:ascii="Arial" w:hAnsi="Arial" w:eastAsia="Arial"/>
                <w:b/>
                <w:i w:val="0"/>
                <w:sz w:val="19"/>
              </w:rPr>
              <w:t>Decided by</w:t>
            </w:r>
          </w:p>
        </w:tc>
        <w:tc>
          <w:tcPr>
            <w:tcW w:type="dxa" w:w="7937"/>
          </w:tcPr>
          <w:p>
            <w:pPr>
              <w:keepNext/>
            </w:pPr>
            <w:r/>
            <w:r>
              <w:rPr>
                <w:rFonts w:ascii="Arial" w:hAnsi="Arial" w:eastAsia="Arial"/>
                <w:b w:val="0"/>
                <w:i w:val="0"/>
                <w:sz w:val="19"/>
              </w:rPr>
              <w:t>Steering committee with the operators and civil protection, who co-sign the bulletin log</w:t>
            </w:r>
          </w:p>
        </w:tc>
      </w:tr>
      <w:tr>
        <w:trPr>
          <w:cantSplit/>
        </w:trPr>
        <w:tc>
          <w:tcPr>
            <w:tcW w:type="dxa" w:w="1701"/>
            <w:shd w:val="clear" w:color="auto" w:fill="E8EDF5"/>
          </w:tcPr>
          <w:p>
            <w:pPr>
              <w:keepNext/>
            </w:pPr>
            <w:r>
              <w:rPr>
                <w:b/>
              </w:rPr>
            </w:r>
            <w:r>
              <w:rPr>
                <w:rFonts w:ascii="Arial" w:hAnsi="Arial" w:eastAsia="Arial"/>
                <w:b/>
                <w:i w:val="0"/>
                <w:sz w:val="19"/>
              </w:rPr>
              <w:t>Risks watched</w:t>
            </w:r>
          </w:p>
        </w:tc>
        <w:tc>
          <w:tcPr>
            <w:tcW w:type="dxa" w:w="7937"/>
          </w:tcPr>
          <w:p>
            <w:pPr>
              <w:keepNext/>
            </w:pPr>
            <w:r/>
            <w:r>
              <w:rPr>
                <w:rFonts w:ascii="Arial" w:hAnsi="Arial" w:eastAsia="Arial"/>
                <w:b w:val="0"/>
                <w:i w:val="0"/>
                <w:sz w:val="19"/>
              </w:rPr>
              <w:t>R14 (no triggering event by Month 30); R15 (any missed exceedance during live operation); R17 (data latency above the cadence of a hazard; failed backup); R21 (event above the post-event triggers)</w:t>
            </w:r>
          </w:p>
        </w:tc>
      </w:tr>
      <w:tr>
        <w:trPr>
          <w:cantSplit/>
        </w:trPr>
        <w:tc>
          <w:tcPr>
            <w:tcW w:type="dxa" w:w="1701"/>
            <w:shd w:val="clear" w:color="auto" w:fill="E8EDF5"/>
          </w:tcPr>
          <w:p>
            <w:pPr>
              <w:keepNext/>
            </w:pPr>
            <w:r>
              <w:rPr>
                <w:b/>
              </w:rPr>
            </w:r>
            <w:r>
              <w:rPr>
                <w:rFonts w:ascii="Arial" w:hAnsi="Arial" w:eastAsia="Arial"/>
                <w:b/>
                <w:i w:val="0"/>
                <w:sz w:val="19"/>
              </w:rPr>
              <w:t>If not met</w:t>
            </w:r>
          </w:p>
        </w:tc>
        <w:tc>
          <w:tcPr>
            <w:tcW w:type="dxa" w:w="7937"/>
          </w:tcPr>
          <w:p>
            <w:pPr>
              <w:keepNext/>
            </w:pPr>
            <w:r/>
            <w:r>
              <w:rPr>
                <w:rFonts w:ascii="Arial" w:hAnsi="Arial" w:eastAsia="Arial"/>
                <w:b w:val="0"/>
                <w:i w:val="0"/>
                <w:sz w:val="19"/>
              </w:rPr>
              <w:t>If no strong event occurs, event-based verification rests on back-testing and storylines (T3.4) and the bulletin log continues after the hand-over; any missed exceedance is reviewed within one week.</w:t>
            </w:r>
          </w:p>
        </w:tc>
      </w:tr>
      <w:tr>
        <w:trPr>
          <w:cantSplit/>
        </w:trPr>
        <w:tc>
          <w:tcPr>
            <w:tcW w:type="dxa" w:w="1701"/>
            <w:shd w:val="clear" w:color="auto" w:fill="E8EDF5"/>
          </w:tcPr>
          <w:p>
            <w:r>
              <w:rPr>
                <w:b/>
              </w:rPr>
            </w:r>
            <w:r>
              <w:rPr>
                <w:rFonts w:ascii="Arial" w:hAnsi="Arial" w:eastAsia="Arial"/>
                <w:b/>
                <w:i w:val="0"/>
                <w:sz w:val="19"/>
              </w:rPr>
              <w:t>Unlocks</w:t>
            </w:r>
          </w:p>
        </w:tc>
        <w:tc>
          <w:tcPr>
            <w:tcW w:type="dxa" w:w="7937"/>
          </w:tcPr>
          <w:p>
            <w:r/>
            <w:r>
              <w:rPr>
                <w:rFonts w:ascii="Arial" w:hAnsi="Arial" w:eastAsia="Arial"/>
                <w:b w:val="0"/>
                <w:i w:val="0"/>
                <w:sz w:val="19"/>
              </w:rPr>
              <w:t>The operators issue every bulletin themselves in Months 34–36; verification statistics are published (D5.1).</w:t>
            </w:r>
          </w:p>
        </w:tc>
      </w:tr>
    </w:tbl>
    <w:p>
      <w:pPr>
        <w:keepNext/>
        <w:spacing w:after="40" w:before="120"/>
      </w:pPr>
      <w:r>
        <w:rPr>
          <w:rFonts w:ascii="Arial" w:hAnsi="Arial" w:eastAsia="Arial"/>
          <w:b/>
          <w:i w:val="0"/>
          <w:color w:val="1F3864"/>
          <w:sz w:val="23"/>
        </w:rPr>
        <w:t>MS7  Hand-over to the operators</w:t>
      </w:r>
      <w:r>
        <w:rPr>
          <w:rFonts w:ascii="Arial" w:hAnsi="Arial" w:eastAsia="Arial"/>
          <w:b w:val="0"/>
          <w:i w:val="0"/>
          <w:color w:val="52606D"/>
          <w:sz w:val="19"/>
        </w:rPr>
        <w:t xml:space="preserve">   Month 36 · WP6</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8EDF5"/>
          </w:tcPr>
          <w:p>
            <w:pPr>
              <w:keepNext/>
            </w:pPr>
            <w:r>
              <w:rPr>
                <w:b/>
              </w:rPr>
            </w:r>
            <w:r>
              <w:rPr>
                <w:rFonts w:ascii="Arial" w:hAnsi="Arial" w:eastAsia="Arial"/>
                <w:b/>
                <w:i w:val="0"/>
                <w:sz w:val="19"/>
              </w:rPr>
              <w:t>Achieved</w:t>
            </w:r>
          </w:p>
        </w:tc>
        <w:tc>
          <w:tcPr>
            <w:tcW w:type="dxa" w:w="7937"/>
          </w:tcPr>
          <w:p>
            <w:pPr>
              <w:keepNext/>
            </w:pPr>
            <w:r/>
            <w:r>
              <w:rPr>
                <w:rFonts w:ascii="Arial" w:hAnsi="Arial" w:eastAsia="Arial"/>
                <w:b w:val="0"/>
                <w:i w:val="0"/>
                <w:sz w:val="19"/>
              </w:rPr>
              <w:t>The operators own and run the system after the project, with procedures, trained staff and a maintenance agreement.</w:t>
            </w:r>
          </w:p>
        </w:tc>
      </w:tr>
      <w:tr>
        <w:trPr>
          <w:cantSplit/>
        </w:trPr>
        <w:tc>
          <w:tcPr>
            <w:tcW w:type="dxa" w:w="1701"/>
            <w:shd w:val="clear" w:color="auto" w:fill="E8EDF5"/>
          </w:tcPr>
          <w:p>
            <w:pPr>
              <w:keepNext/>
            </w:pPr>
            <w:r>
              <w:rPr>
                <w:b/>
              </w:rPr>
            </w:r>
            <w:r>
              <w:rPr>
                <w:rFonts w:ascii="Arial" w:hAnsi="Arial" w:eastAsia="Arial"/>
                <w:b/>
                <w:i w:val="0"/>
                <w:sz w:val="19"/>
              </w:rPr>
              <w:t>Pass test</w:t>
            </w:r>
          </w:p>
        </w:tc>
        <w:tc>
          <w:tcPr>
            <w:tcW w:type="dxa" w:w="7937"/>
          </w:tcPr>
          <w:p>
            <w:pPr>
              <w:keepNext/>
            </w:pPr>
            <w:r/>
            <w:r>
              <w:rPr>
                <w:rFonts w:ascii="Arial" w:hAnsi="Arial" w:eastAsia="Arial"/>
                <w:b w:val="0"/>
                <w:i w:val="0"/>
                <w:sz w:val="19"/>
              </w:rPr>
              <w:t>D6.2: at least one operating procedure adopted per asset; the operators issue every bulletin in Months 34–36 without the project team; at least two trained people per operator; maintenance agreement signed (by Month 33); policy brief delivered to the national authorities.</w:t>
            </w:r>
          </w:p>
        </w:tc>
      </w:tr>
      <w:tr>
        <w:trPr>
          <w:cantSplit/>
        </w:trPr>
        <w:tc>
          <w:tcPr>
            <w:tcW w:type="dxa" w:w="1701"/>
            <w:shd w:val="clear" w:color="auto" w:fill="E8EDF5"/>
          </w:tcPr>
          <w:p>
            <w:pPr>
              <w:keepNext/>
            </w:pPr>
            <w:r>
              <w:rPr>
                <w:b/>
              </w:rPr>
            </w:r>
            <w:r>
              <w:rPr>
                <w:rFonts w:ascii="Arial" w:hAnsi="Arial" w:eastAsia="Arial"/>
                <w:b/>
                <w:i w:val="0"/>
                <w:sz w:val="19"/>
              </w:rPr>
              <w:t>Evidence</w:t>
            </w:r>
          </w:p>
        </w:tc>
        <w:tc>
          <w:tcPr>
            <w:tcW w:type="dxa" w:w="7937"/>
          </w:tcPr>
          <w:p>
            <w:pPr>
              <w:keepNext/>
            </w:pPr>
            <w:r/>
            <w:r>
              <w:rPr>
                <w:rFonts w:ascii="Arial" w:hAnsi="Arial" w:eastAsia="Arial"/>
                <w:b w:val="0"/>
                <w:i w:val="0"/>
                <w:sz w:val="19"/>
              </w:rPr>
              <w:t>D6.2 Operating procedures and policy brief</w:t>
            </w:r>
          </w:p>
        </w:tc>
      </w:tr>
      <w:tr>
        <w:trPr>
          <w:cantSplit/>
        </w:trPr>
        <w:tc>
          <w:tcPr>
            <w:tcW w:type="dxa" w:w="1701"/>
            <w:shd w:val="clear" w:color="auto" w:fill="E8EDF5"/>
          </w:tcPr>
          <w:p>
            <w:pPr>
              <w:keepNext/>
            </w:pPr>
            <w:r>
              <w:rPr>
                <w:b/>
              </w:rPr>
            </w:r>
            <w:r>
              <w:rPr>
                <w:rFonts w:ascii="Arial" w:hAnsi="Arial" w:eastAsia="Arial"/>
                <w:b/>
                <w:i w:val="0"/>
                <w:sz w:val="19"/>
              </w:rPr>
              <w:t>Decided by</w:t>
            </w:r>
          </w:p>
        </w:tc>
        <w:tc>
          <w:tcPr>
            <w:tcW w:type="dxa" w:w="7937"/>
          </w:tcPr>
          <w:p>
            <w:pPr>
              <w:keepNext/>
            </w:pPr>
            <w:r/>
            <w:r>
              <w:rPr>
                <w:rFonts w:ascii="Arial" w:hAnsi="Arial" w:eastAsia="Arial"/>
                <w:b w:val="0"/>
                <w:i w:val="0"/>
                <w:sz w:val="19"/>
              </w:rPr>
              <w:t>The operators (acceptance of the hand-over) and the steering committee (Month 36)</w:t>
            </w:r>
          </w:p>
        </w:tc>
      </w:tr>
      <w:tr>
        <w:trPr>
          <w:cantSplit/>
        </w:trPr>
        <w:tc>
          <w:tcPr>
            <w:tcW w:type="dxa" w:w="1701"/>
            <w:shd w:val="clear" w:color="auto" w:fill="E8EDF5"/>
          </w:tcPr>
          <w:p>
            <w:pPr>
              <w:keepNext/>
            </w:pPr>
            <w:r>
              <w:rPr>
                <w:b/>
              </w:rPr>
            </w:r>
            <w:r>
              <w:rPr>
                <w:rFonts w:ascii="Arial" w:hAnsi="Arial" w:eastAsia="Arial"/>
                <w:b/>
                <w:i w:val="0"/>
                <w:sz w:val="19"/>
              </w:rPr>
              <w:t>Risks watched</w:t>
            </w:r>
          </w:p>
        </w:tc>
        <w:tc>
          <w:tcPr>
            <w:tcW w:type="dxa" w:w="7937"/>
          </w:tcPr>
          <w:p>
            <w:pPr>
              <w:keepNext/>
            </w:pPr>
            <w:r/>
            <w:r>
              <w:rPr>
                <w:rFonts w:ascii="Arial" w:hAnsi="Arial" w:eastAsia="Arial"/>
                <w:b w:val="0"/>
                <w:i w:val="0"/>
                <w:sz w:val="19"/>
              </w:rPr>
              <w:t>R16 (decisions recorded without the operator's own measurements); R18 (fewer than two trained people per operator; departure of a WP lead)</w:t>
            </w:r>
          </w:p>
        </w:tc>
      </w:tr>
      <w:tr>
        <w:trPr>
          <w:cantSplit/>
        </w:trPr>
        <w:tc>
          <w:tcPr>
            <w:tcW w:type="dxa" w:w="1701"/>
            <w:shd w:val="clear" w:color="auto" w:fill="E8EDF5"/>
          </w:tcPr>
          <w:p>
            <w:pPr>
              <w:keepNext/>
            </w:pPr>
            <w:r>
              <w:rPr>
                <w:b/>
              </w:rPr>
            </w:r>
            <w:r>
              <w:rPr>
                <w:rFonts w:ascii="Arial" w:hAnsi="Arial" w:eastAsia="Arial"/>
                <w:b/>
                <w:i w:val="0"/>
                <w:sz w:val="19"/>
              </w:rPr>
              <w:t>If not met</w:t>
            </w:r>
          </w:p>
        </w:tc>
        <w:tc>
          <w:tcPr>
            <w:tcW w:type="dxa" w:w="7937"/>
          </w:tcPr>
          <w:p>
            <w:pPr>
              <w:keepNext/>
            </w:pPr>
            <w:r/>
            <w:r>
              <w:rPr>
                <w:rFonts w:ascii="Arial" w:hAnsi="Arial" w:eastAsia="Arial"/>
                <w:b w:val="0"/>
                <w:i w:val="0"/>
                <w:sz w:val="19"/>
              </w:rPr>
              <w:t>Extra training session and tasks reassigned within the consortium; the procedures are restated jointly with the operator; the university hosts the system until the agreement is in place.</w:t>
            </w:r>
          </w:p>
        </w:tc>
      </w:tr>
      <w:tr>
        <w:trPr>
          <w:cantSplit/>
        </w:trPr>
        <w:tc>
          <w:tcPr>
            <w:tcW w:type="dxa" w:w="1701"/>
            <w:shd w:val="clear" w:color="auto" w:fill="E8EDF5"/>
          </w:tcPr>
          <w:p>
            <w:r>
              <w:rPr>
                <w:b/>
              </w:rPr>
            </w:r>
            <w:r>
              <w:rPr>
                <w:rFonts w:ascii="Arial" w:hAnsi="Arial" w:eastAsia="Arial"/>
                <w:b/>
                <w:i w:val="0"/>
                <w:sz w:val="19"/>
              </w:rPr>
              <w:t>Unlocks</w:t>
            </w:r>
          </w:p>
        </w:tc>
        <w:tc>
          <w:tcPr>
            <w:tcW w:type="dxa" w:w="7937"/>
          </w:tcPr>
          <w:p>
            <w:r/>
            <w:r>
              <w:rPr>
                <w:rFonts w:ascii="Arial" w:hAnsi="Arial" w:eastAsia="Arial"/>
                <w:b w:val="0"/>
                <w:i w:val="0"/>
                <w:sz w:val="19"/>
              </w:rPr>
              <w:t>Operation after the grant at a running cost of about €10,900 per year, shared by the operators; transfer to other coasts.</w:t>
            </w:r>
          </w:p>
        </w:tc>
      </w:tr>
    </w:tbl>
    <w:p>
      <w:pPr>
        <w:keepNext/>
        <w:spacing w:after="120" w:before="200"/>
      </w:pPr>
      <w:r>
        <w:rPr>
          <w:rFonts w:ascii="Arial" w:hAnsi="Arial" w:eastAsia="Arial"/>
          <w:b/>
          <w:i w:val="0"/>
          <w:color w:val="1F3864"/>
          <w:sz w:val="27"/>
        </w:rPr>
        <w:t>3. Rules for the evidence gates</w:t>
      </w:r>
    </w:p>
    <w:p>
      <w:pPr>
        <w:keepNext/>
        <w:spacing w:after="120" w:before="0"/>
        <w:jc w:val="both"/>
      </w:pPr>
      <w:r>
        <w:rPr>
          <w:rFonts w:ascii="Arial" w:hAnsi="Arial" w:eastAsia="Arial"/>
          <w:b w:val="0"/>
          <w:i w:val="0"/>
          <w:sz w:val="21"/>
        </w:rPr>
        <w:t xml:space="preserve">Each gate has three outcomes, fixed before the gate. A </w:t>
      </w:r>
      <w:r>
        <w:rPr>
          <w:rFonts w:ascii="Arial" w:hAnsi="Arial" w:eastAsia="Arial"/>
          <w:b/>
          <w:i w:val="0"/>
          <w:sz w:val="21"/>
        </w:rPr>
        <w:t>go</w:t>
      </w:r>
      <w:r>
        <w:rPr>
          <w:rFonts w:ascii="Arial" w:hAnsi="Arial" w:eastAsia="Arial"/>
          <w:b w:val="0"/>
          <w:i w:val="0"/>
          <w:sz w:val="21"/>
        </w:rPr>
        <w:t xml:space="preserve"> lets the next phase start as planned; a </w:t>
      </w:r>
      <w:r>
        <w:rPr>
          <w:rFonts w:ascii="Arial" w:hAnsi="Arial" w:eastAsia="Arial"/>
          <w:b/>
          <w:i w:val="0"/>
          <w:sz w:val="21"/>
        </w:rPr>
        <w:t>go with conditions</w:t>
      </w:r>
      <w:r>
        <w:rPr>
          <w:rFonts w:ascii="Arial" w:hAnsi="Arial" w:eastAsia="Arial"/>
          <w:b w:val="0"/>
          <w:i w:val="0"/>
          <w:sz w:val="21"/>
        </w:rPr>
        <w:t xml:space="preserve"> lets it start with a stated change; a </w:t>
      </w:r>
      <w:r>
        <w:rPr>
          <w:rFonts w:ascii="Arial" w:hAnsi="Arial" w:eastAsia="Arial"/>
          <w:b/>
          <w:i w:val="0"/>
          <w:sz w:val="21"/>
        </w:rPr>
        <w:t>no-go</w:t>
      </w:r>
      <w:r>
        <w:rPr>
          <w:rFonts w:ascii="Arial" w:hAnsi="Arial" w:eastAsia="Arial"/>
          <w:b w:val="0"/>
          <w:i w:val="0"/>
          <w:sz w:val="21"/>
        </w:rPr>
        <w:t xml:space="preserve"> applies a named fallback, so the project still delivers usable results. Values in brackets are proposals to be confirmed in the first data management plan.</w:t>
      </w:r>
    </w:p>
    <w:tbl>
      <w:tblPr>
        <w:tblStyle w:val="TableGrid"/>
        <w:tblW w:type="auto" w:w="0"/>
        <w:jc w:val="center"/>
        <w:tblLayout w:type="fixed"/>
        <w:tblLook w:firstColumn="1" w:firstRow="1" w:lastColumn="0" w:lastRow="0" w:noHBand="0" w:noVBand="1" w:val="04A0"/>
        <w:tblLayout w:type="fixed"/>
      </w:tblPr>
      <w:tblGrid>
        <w:gridCol w:w="1814"/>
        <w:gridCol w:w="2494"/>
        <w:gridCol w:w="2665"/>
        <w:gridCol w:w="2665"/>
      </w:tblGrid>
      <w:tr>
        <w:trPr>
          <w:cantSplit/>
          <w:tblHeader/>
        </w:trPr>
        <w:tc>
          <w:tcPr>
            <w:tcW w:type="dxa" w:w="1814"/>
            <w:shd w:val="clear" w:color="auto" w:fill="1F3864"/>
          </w:tcPr>
          <w:p>
            <w:pPr>
              <w:keepNext/>
            </w:pPr>
            <w:r/>
            <w:r>
              <w:rPr>
                <w:rFonts w:ascii="Arial" w:hAnsi="Arial" w:eastAsia="Arial"/>
                <w:b/>
                <w:i w:val="0"/>
                <w:color w:val="FFFFFF"/>
                <w:sz w:val="18"/>
              </w:rPr>
              <w:t>Gate</w:t>
            </w:r>
          </w:p>
        </w:tc>
        <w:tc>
          <w:tcPr>
            <w:tcW w:type="dxa" w:w="2494"/>
            <w:shd w:val="clear" w:color="auto" w:fill="1F3864"/>
          </w:tcPr>
          <w:p>
            <w:pPr>
              <w:keepNext/>
            </w:pPr>
            <w:r/>
            <w:r>
              <w:rPr>
                <w:rFonts w:ascii="Arial" w:hAnsi="Arial" w:eastAsia="Arial"/>
                <w:b/>
                <w:i w:val="0"/>
                <w:color w:val="FFFFFF"/>
                <w:sz w:val="18"/>
              </w:rPr>
              <w:t>Go</w:t>
            </w:r>
          </w:p>
        </w:tc>
        <w:tc>
          <w:tcPr>
            <w:tcW w:type="dxa" w:w="2665"/>
            <w:shd w:val="clear" w:color="auto" w:fill="1F3864"/>
          </w:tcPr>
          <w:p>
            <w:pPr>
              <w:keepNext/>
            </w:pPr>
            <w:r/>
            <w:r>
              <w:rPr>
                <w:rFonts w:ascii="Arial" w:hAnsi="Arial" w:eastAsia="Arial"/>
                <w:b/>
                <w:i w:val="0"/>
                <w:color w:val="FFFFFF"/>
                <w:sz w:val="18"/>
              </w:rPr>
              <w:t>Go with conditions</w:t>
            </w:r>
          </w:p>
        </w:tc>
        <w:tc>
          <w:tcPr>
            <w:tcW w:type="dxa" w:w="2665"/>
            <w:shd w:val="clear" w:color="auto" w:fill="1F3864"/>
          </w:tcPr>
          <w:p>
            <w:pPr>
              <w:keepNext/>
            </w:pPr>
            <w:r/>
            <w:r>
              <w:rPr>
                <w:rFonts w:ascii="Arial" w:hAnsi="Arial" w:eastAsia="Arial"/>
                <w:b/>
                <w:i w:val="0"/>
                <w:color w:val="FFFFFF"/>
                <w:sz w:val="18"/>
              </w:rPr>
              <w:t>No-go and fallback</w:t>
            </w:r>
          </w:p>
        </w:tc>
      </w:tr>
      <w:tr>
        <w:trPr>
          <w:cantSplit/>
        </w:trPr>
        <w:tc>
          <w:tcPr>
            <w:tcW w:type="dxa" w:w="1814"/>
            <w:shd w:val="clear" w:color="auto" w:fill="FDE7C2"/>
          </w:tcPr>
          <w:p>
            <w:pPr>
              <w:keepNext/>
            </w:pPr>
            <w:r/>
            <w:r>
              <w:rPr>
                <w:rFonts w:ascii="Arial" w:hAnsi="Arial" w:eastAsia="Arial"/>
                <w:b w:val="0"/>
                <w:i w:val="0"/>
                <w:sz w:val="18"/>
              </w:rPr>
              <w:t>MS3, Month 18</w:t>
              <w:br/>
              <w:t>Coupled model calibrated</w:t>
            </w:r>
          </w:p>
        </w:tc>
        <w:tc>
          <w:tcPr>
            <w:tcW w:type="dxa" w:w="2494"/>
            <w:shd w:val="clear" w:color="auto" w:fill="E6F4EC"/>
          </w:tcPr>
          <w:p>
            <w:pPr>
              <w:keepNext/>
            </w:pPr>
            <w:r>
              <w:rPr>
                <w:rFonts w:ascii="Arial" w:hAnsi="Arial" w:eastAsia="Arial"/>
                <w:b w:val="0"/>
                <w:i w:val="0"/>
                <w:sz w:val="19"/>
              </w:rPr>
              <w:t xml:space="preserve">Coverage of the 90% predictive intervals for held-out heads, chloride, InSAR and seismic velocity at least </w:t>
            </w:r>
            <w:r>
              <w:rPr>
                <w:rFonts w:ascii="Arial" w:hAnsi="Arial" w:eastAsia="Arial"/>
                <w:b w:val="0"/>
                <w:i w:val="0"/>
                <w:sz w:val="19"/>
                <w:highlight w:val="yellow"/>
              </w:rPr>
              <w:t>[85%]</w:t>
            </w:r>
          </w:p>
        </w:tc>
        <w:tc>
          <w:tcPr>
            <w:tcW w:type="dxa" w:w="2665"/>
            <w:shd w:val="clear" w:color="auto" w:fill="FFF6DB"/>
          </w:tcPr>
          <w:p>
            <w:pPr>
              <w:keepNext/>
            </w:pPr>
            <w:r>
              <w:rPr>
                <w:rFonts w:ascii="Arial" w:hAnsi="Arial" w:eastAsia="Arial"/>
                <w:b w:val="0"/>
                <w:i w:val="0"/>
                <w:sz w:val="19"/>
              </w:rPr>
              <w:t xml:space="preserve">Coverage between 80% and </w:t>
            </w:r>
            <w:r>
              <w:rPr>
                <w:rFonts w:ascii="Arial" w:hAnsi="Arial" w:eastAsia="Arial"/>
                <w:b w:val="0"/>
                <w:i w:val="0"/>
                <w:sz w:val="19"/>
                <w:highlight w:val="yellow"/>
              </w:rPr>
              <w:t>[85%]</w:t>
            </w:r>
            <w:r>
              <w:rPr>
                <w:rFonts w:ascii="Arial" w:hAnsi="Arial" w:eastAsia="Arial"/>
                <w:b w:val="0"/>
                <w:i w:val="0"/>
                <w:sz w:val="19"/>
              </w:rPr>
              <w:t>: continue with a larger error bound Δₖ; the limitation is reported</w:t>
            </w:r>
          </w:p>
        </w:tc>
        <w:tc>
          <w:tcPr>
            <w:tcW w:type="dxa" w:w="2665"/>
            <w:shd w:val="clear" w:color="auto" w:fill="FBE9E7"/>
          </w:tcPr>
          <w:p>
            <w:pPr>
              <w:keepNext/>
            </w:pPr>
            <w:r/>
            <w:r>
              <w:rPr>
                <w:rFonts w:ascii="Arial" w:hAnsi="Arial" w:eastAsia="Arial"/>
                <w:b w:val="0"/>
                <w:i w:val="0"/>
                <w:sz w:val="18"/>
              </w:rPr>
              <w:t>Coverage below 80% (risk trigger R5): two-dimensional sections through each asset; the surrogate is trained on them</w:t>
            </w:r>
          </w:p>
        </w:tc>
      </w:tr>
      <w:tr>
        <w:trPr>
          <w:cantSplit/>
        </w:trPr>
        <w:tc>
          <w:tcPr>
            <w:tcW w:type="dxa" w:w="1814"/>
            <w:shd w:val="clear" w:color="auto" w:fill="FDE7C2"/>
          </w:tcPr>
          <w:p>
            <w:pPr>
              <w:keepNext/>
            </w:pPr>
            <w:r/>
            <w:r>
              <w:rPr>
                <w:rFonts w:ascii="Arial" w:hAnsi="Arial" w:eastAsia="Arial"/>
                <w:b w:val="0"/>
                <w:i w:val="0"/>
                <w:sz w:val="18"/>
              </w:rPr>
              <w:t>MS4, Month 22</w:t>
              <w:br/>
              <w:t>Go/no-go for live operation</w:t>
            </w:r>
          </w:p>
        </w:tc>
        <w:tc>
          <w:tcPr>
            <w:tcW w:type="dxa" w:w="2494"/>
            <w:shd w:val="clear" w:color="auto" w:fill="E6F4EC"/>
          </w:tcPr>
          <w:p>
            <w:pPr>
              <w:keepNext/>
            </w:pPr>
            <w:r/>
            <w:r>
              <w:rPr>
                <w:rFonts w:ascii="Arial" w:hAnsi="Arial" w:eastAsia="Arial"/>
                <w:b w:val="0"/>
                <w:i w:val="0"/>
                <w:sz w:val="18"/>
              </w:rPr>
              <w:t>Error bound met (coverage at least 1 − δ); thousands of storylines per day; dry run passed</w:t>
            </w:r>
          </w:p>
        </w:tc>
        <w:tc>
          <w:tcPr>
            <w:tcW w:type="dxa" w:w="2665"/>
            <w:shd w:val="clear" w:color="auto" w:fill="FFF6DB"/>
          </w:tcPr>
          <w:p>
            <w:pPr>
              <w:keepNext/>
            </w:pPr>
            <w:r/>
            <w:r>
              <w:rPr>
                <w:rFonts w:ascii="Arial" w:hAnsi="Arial" w:eastAsia="Arial"/>
                <w:b w:val="0"/>
                <w:i w:val="0"/>
                <w:sz w:val="18"/>
              </w:rPr>
              <w:t>Bound fails in part of the domain (Δₖ above half the margin for more than 5% of forecasts, R6): go, with the full model on a reduced domain for flagged forecasts</w:t>
            </w:r>
          </w:p>
        </w:tc>
        <w:tc>
          <w:tcPr>
            <w:tcW w:type="dxa" w:w="2665"/>
            <w:shd w:val="clear" w:color="auto" w:fill="FBE9E7"/>
          </w:tcPr>
          <w:p>
            <w:pPr>
              <w:keepNext/>
            </w:pPr>
            <w:r/>
            <w:r>
              <w:rPr>
                <w:rFonts w:ascii="Arial" w:hAnsi="Arial" w:eastAsia="Arial"/>
                <w:b w:val="0"/>
                <w:i w:val="0"/>
                <w:sz w:val="18"/>
              </w:rPr>
              <w:t>Bound not met or dry run failed: fix and re-test within two months (live operation Months 25–36); longer: R5/R6 fallbacks</w:t>
            </w:r>
          </w:p>
        </w:tc>
      </w:tr>
      <w:tr>
        <w:trPr>
          <w:cantSplit/>
        </w:trPr>
        <w:tc>
          <w:tcPr>
            <w:tcW w:type="dxa" w:w="1814"/>
            <w:shd w:val="clear" w:color="auto" w:fill="FDE7C2"/>
          </w:tcPr>
          <w:p>
            <w:pPr>
              <w:keepNext/>
            </w:pPr>
            <w:r/>
            <w:r>
              <w:rPr>
                <w:rFonts w:ascii="Arial" w:hAnsi="Arial" w:eastAsia="Arial"/>
                <w:b w:val="0"/>
                <w:i w:val="0"/>
                <w:sz w:val="18"/>
              </w:rPr>
              <w:t>MS5, Month 27</w:t>
              <w:br/>
              <w:t>Miss-rate targets confirmed</w:t>
            </w:r>
          </w:p>
        </w:tc>
        <w:tc>
          <w:tcPr>
            <w:tcW w:type="dxa" w:w="2494"/>
            <w:shd w:val="clear" w:color="auto" w:fill="E6F4EC"/>
          </w:tcPr>
          <w:p>
            <w:pPr>
              <w:keepNext/>
            </w:pPr>
            <w:r/>
            <w:r>
              <w:rPr>
                <w:rFonts w:ascii="Arial" w:hAnsi="Arial" w:eastAsia="Arial"/>
                <w:b w:val="0"/>
                <w:i w:val="0"/>
                <w:sz w:val="18"/>
              </w:rPr>
              <w:t>Every back-tested miss rate at or below αₖ (Clopper–Pearson interval reported); false-alarm rate within the agreed level</w:t>
            </w:r>
          </w:p>
        </w:tc>
        <w:tc>
          <w:tcPr>
            <w:tcW w:type="dxa" w:w="2665"/>
            <w:shd w:val="clear" w:color="auto" w:fill="FFF6DB"/>
          </w:tcPr>
          <w:p>
            <w:pPr>
              <w:keepNext/>
            </w:pPr>
            <w:r/>
            <w:r>
              <w:rPr>
                <w:rFonts w:ascii="Arial" w:hAnsi="Arial" w:eastAsia="Arial"/>
                <w:b w:val="0"/>
                <w:i w:val="0"/>
                <w:sz w:val="18"/>
              </w:rPr>
              <w:t>Miss targets met, false alarms above the agreed level (R7): staged alerts and longer lead-time windows; trade-off reported to the operators</w:t>
            </w:r>
          </w:p>
        </w:tc>
        <w:tc>
          <w:tcPr>
            <w:tcW w:type="dxa" w:w="2665"/>
            <w:shd w:val="clear" w:color="auto" w:fill="FBE9E7"/>
          </w:tcPr>
          <w:p>
            <w:pPr>
              <w:keepNext/>
            </w:pPr>
            <w:r/>
            <w:r>
              <w:rPr>
                <w:rFonts w:ascii="Arial" w:hAnsi="Arial" w:eastAsia="Arial"/>
                <w:b w:val="0"/>
                <w:i w:val="0"/>
                <w:sz w:val="18"/>
              </w:rPr>
              <w:t>A miss rate above αₖ: margin widened until the target is met; the target is kept and the extra false alarms are reported</w:t>
            </w:r>
          </w:p>
        </w:tc>
      </w:tr>
    </w:tbl>
    <w:p>
      <w:pPr>
        <w:keepNext/>
        <w:spacing w:after="120" w:before="200"/>
      </w:pPr>
      <w:r>
        <w:rPr>
          <w:rFonts w:ascii="Arial" w:hAnsi="Arial" w:eastAsia="Arial"/>
          <w:b/>
          <w:i w:val="0"/>
          <w:color w:val="1F3864"/>
          <w:sz w:val="27"/>
        </w:rPr>
        <w:t>4. Monitoring and reporting</w:t>
      </w:r>
    </w:p>
    <w:p>
      <w:pPr>
        <w:spacing w:after="60" w:before="0"/>
        <w:ind w:left="283"/>
      </w:pPr>
      <w:r>
        <w:rPr>
          <w:rFonts w:ascii="Arial" w:hAnsi="Arial" w:eastAsia="Arial"/>
          <w:b/>
          <w:i w:val="0"/>
          <w:sz w:val="22"/>
        </w:rPr>
        <w:t xml:space="preserve">• </w:t>
      </w:r>
      <w:r>
        <w:rPr>
          <w:rFonts w:ascii="Arial" w:hAnsi="Arial" w:eastAsia="Arial"/>
          <w:b/>
          <w:i w:val="0"/>
          <w:sz w:val="21"/>
        </w:rPr>
        <w:t>Owner.</w:t>
      </w:r>
      <w:r>
        <w:rPr>
          <w:rFonts w:ascii="Arial" w:hAnsi="Arial" w:eastAsia="Arial"/>
          <w:b w:val="0"/>
          <w:i w:val="0"/>
          <w:sz w:val="21"/>
        </w:rPr>
        <w:t xml:space="preserve"> Each milestone has an owner, the lead of its work package, who files the evidence (the deliverables and the test results) in the project repository, with restricted access where the data plan requires it.</w:t>
      </w:r>
    </w:p>
    <w:p>
      <w:pPr>
        <w:spacing w:after="60" w:before="0"/>
        <w:ind w:left="283"/>
      </w:pPr>
      <w:r>
        <w:rPr>
          <w:rFonts w:ascii="Arial" w:hAnsi="Arial" w:eastAsia="Arial"/>
          <w:b/>
          <w:i w:val="0"/>
          <w:sz w:val="22"/>
        </w:rPr>
        <w:t xml:space="preserve">• </w:t>
      </w:r>
      <w:r>
        <w:rPr>
          <w:rFonts w:ascii="Arial" w:hAnsi="Arial" w:eastAsia="Arial"/>
          <w:b/>
          <w:i w:val="0"/>
          <w:sz w:val="21"/>
        </w:rPr>
        <w:t>Thresholds fixed in advance.</w:t>
      </w:r>
      <w:r>
        <w:rPr>
          <w:rFonts w:ascii="Arial" w:hAnsi="Arial" w:eastAsia="Arial"/>
          <w:b w:val="0"/>
          <w:i w:val="0"/>
          <w:sz w:val="21"/>
        </w:rPr>
        <w:t xml:space="preserve"> The pass tests of the three gates are written into the first data management plan (D7.1, Month 3) and, for MS5, into the back-testing protocol published with a DOI before the results are computed.</w:t>
      </w:r>
    </w:p>
    <w:p>
      <w:pPr>
        <w:spacing w:after="60" w:before="0"/>
        <w:ind w:left="283"/>
      </w:pPr>
      <w:r>
        <w:rPr>
          <w:rFonts w:ascii="Arial" w:hAnsi="Arial" w:eastAsia="Arial"/>
          <w:b/>
          <w:i w:val="0"/>
          <w:sz w:val="22"/>
        </w:rPr>
        <w:t xml:space="preserve">• </w:t>
      </w:r>
      <w:r>
        <w:rPr>
          <w:rFonts w:ascii="Arial" w:hAnsi="Arial" w:eastAsia="Arial"/>
          <w:b/>
          <w:i w:val="0"/>
          <w:sz w:val="21"/>
        </w:rPr>
        <w:t>Decision.</w:t>
      </w:r>
      <w:r>
        <w:rPr>
          <w:rFonts w:ascii="Arial" w:hAnsi="Arial" w:eastAsia="Arial"/>
          <w:b w:val="0"/>
          <w:i w:val="0"/>
          <w:sz w:val="21"/>
        </w:rPr>
        <w:t xml:space="preserve"> The steering committee decides each milestone at its regular meetings (Months 6, 12, 18, 24, 30, 36) or at a dedicated meeting for MS4, MS5 and MS6, held within </w:t>
      </w:r>
      <w:r>
        <w:rPr>
          <w:rFonts w:ascii="Arial" w:hAnsi="Arial" w:eastAsia="Arial"/>
          <w:b w:val="0"/>
          <w:i w:val="0"/>
          <w:sz w:val="21"/>
          <w:highlight w:val="yellow"/>
        </w:rPr>
        <w:t>[two weeks]</w:t>
      </w:r>
      <w:r>
        <w:rPr>
          <w:rFonts w:ascii="Arial" w:hAnsi="Arial" w:eastAsia="Arial"/>
          <w:b w:val="0"/>
          <w:i w:val="0"/>
          <w:sz w:val="21"/>
        </w:rPr>
        <w:t xml:space="preserve"> of the due month; online meetings are allowed. Decisions and the evidence used are minuted.</w:t>
      </w:r>
    </w:p>
    <w:p>
      <w:pPr>
        <w:spacing w:after="60" w:before="0"/>
        <w:ind w:left="283"/>
      </w:pPr>
      <w:r>
        <w:rPr>
          <w:rFonts w:ascii="Arial" w:hAnsi="Arial" w:eastAsia="Arial"/>
          <w:b/>
          <w:i w:val="0"/>
          <w:sz w:val="22"/>
        </w:rPr>
        <w:t xml:space="preserve">• </w:t>
      </w:r>
      <w:r>
        <w:rPr>
          <w:rFonts w:ascii="Arial" w:hAnsi="Arial" w:eastAsia="Arial"/>
          <w:b/>
          <w:i w:val="0"/>
          <w:sz w:val="21"/>
        </w:rPr>
        <w:t>Early warning on milestones.</w:t>
      </w:r>
      <w:r>
        <w:rPr>
          <w:rFonts w:ascii="Arial" w:hAnsi="Arial" w:eastAsia="Arial"/>
          <w:b w:val="0"/>
          <w:i w:val="0"/>
          <w:sz w:val="21"/>
        </w:rPr>
        <w:t xml:space="preserve"> The monthly risk review watches the risk triggers listed on each milestone card, so a milestone at risk is seen months before its date; a crossed trigger is escalated within two weeks.</w:t>
      </w:r>
    </w:p>
    <w:p>
      <w:pPr>
        <w:spacing w:after="60" w:before="0"/>
        <w:ind w:left="283"/>
      </w:pPr>
      <w:r>
        <w:rPr>
          <w:rFonts w:ascii="Arial" w:hAnsi="Arial" w:eastAsia="Arial"/>
          <w:b/>
          <w:i w:val="0"/>
          <w:sz w:val="22"/>
        </w:rPr>
        <w:t xml:space="preserve">• </w:t>
      </w:r>
      <w:r>
        <w:rPr>
          <w:rFonts w:ascii="Arial" w:hAnsi="Arial" w:eastAsia="Arial"/>
          <w:b/>
          <w:i w:val="0"/>
          <w:sz w:val="21"/>
        </w:rPr>
        <w:t>Change.</w:t>
      </w:r>
      <w:r>
        <w:rPr>
          <w:rFonts w:ascii="Arial" w:hAnsi="Arial" w:eastAsia="Arial"/>
          <w:b w:val="0"/>
          <w:i w:val="0"/>
          <w:sz w:val="21"/>
        </w:rPr>
        <w:t xml:space="preserve"> A missed milestone is not moved silently: the steering committee records the cause, applies the fallback on the card and informs the SPS Programme in the next report.</w:t>
      </w:r>
    </w:p>
    <w:p>
      <w:pPr>
        <w:keepNext/>
        <w:spacing w:after="80" w:before="80"/>
        <w:jc w:val="both"/>
      </w:pPr>
      <w:r>
        <w:rPr>
          <w:rFonts w:ascii="Arial" w:hAnsi="Arial" w:eastAsia="Arial"/>
          <w:b w:val="0"/>
          <w:i w:val="0"/>
          <w:sz w:val="21"/>
        </w:rPr>
        <w:t>The SPS report templates ask, for each milestone and deliverable, its status, plans to complete any that are late, the milestones of the next period and a revised Gantt chart; the final report asks why any milestone was not met and how this affects the results [1–3]. The milestones are reported as follows; the reporting schedule itself is fixed in the Project Plan agreed with the SPS Programme.</w:t>
      </w:r>
    </w:p>
    <w:tbl>
      <w:tblPr>
        <w:tblStyle w:val="TableGrid"/>
        <w:tblW w:type="auto" w:w="0"/>
        <w:jc w:val="center"/>
        <w:tblLayout w:type="fixed"/>
        <w:tblLook w:firstColumn="1" w:firstRow="1" w:lastColumn="0" w:lastRow="0" w:noHBand="0" w:noVBand="1" w:val="04A0"/>
        <w:tblLayout w:type="fixed"/>
      </w:tblPr>
      <w:tblGrid>
        <w:gridCol w:w="2211"/>
        <w:gridCol w:w="1077"/>
        <w:gridCol w:w="2041"/>
        <w:gridCol w:w="4309"/>
      </w:tblGrid>
      <w:tr>
        <w:trPr>
          <w:cantSplit/>
          <w:tblHeader/>
        </w:trPr>
        <w:tc>
          <w:tcPr>
            <w:tcW w:type="dxa" w:w="2211"/>
            <w:shd w:val="clear" w:color="auto" w:fill="1F3864"/>
          </w:tcPr>
          <w:p>
            <w:r/>
            <w:r>
              <w:rPr>
                <w:rFonts w:ascii="Arial" w:hAnsi="Arial" w:eastAsia="Arial"/>
                <w:b/>
                <w:i w:val="0"/>
                <w:color w:val="FFFFFF"/>
                <w:sz w:val="19"/>
              </w:rPr>
              <w:t>Report</w:t>
            </w:r>
          </w:p>
        </w:tc>
        <w:tc>
          <w:tcPr>
            <w:tcW w:type="dxa" w:w="1077"/>
            <w:shd w:val="clear" w:color="auto" w:fill="1F3864"/>
          </w:tcPr>
          <w:p>
            <w:r/>
            <w:r>
              <w:rPr>
                <w:rFonts w:ascii="Arial" w:hAnsi="Arial" w:eastAsia="Arial"/>
                <w:b/>
                <w:i w:val="0"/>
                <w:color w:val="FFFFFF"/>
                <w:sz w:val="19"/>
              </w:rPr>
              <w:t>Month</w:t>
            </w:r>
          </w:p>
        </w:tc>
        <w:tc>
          <w:tcPr>
            <w:tcW w:type="dxa" w:w="2041"/>
            <w:shd w:val="clear" w:color="auto" w:fill="1F3864"/>
          </w:tcPr>
          <w:p>
            <w:r/>
            <w:r>
              <w:rPr>
                <w:rFonts w:ascii="Arial" w:hAnsi="Arial" w:eastAsia="Arial"/>
                <w:b/>
                <w:i w:val="0"/>
                <w:color w:val="FFFFFF"/>
                <w:sz w:val="19"/>
              </w:rPr>
              <w:t>Milestones reported</w:t>
            </w:r>
          </w:p>
        </w:tc>
        <w:tc>
          <w:tcPr>
            <w:tcW w:type="dxa" w:w="4309"/>
            <w:shd w:val="clear" w:color="auto" w:fill="1F3864"/>
          </w:tcPr>
          <w:p>
            <w:r/>
            <w:r>
              <w:rPr>
                <w:rFonts w:ascii="Arial" w:hAnsi="Arial" w:eastAsia="Arial"/>
                <w:b/>
                <w:i w:val="0"/>
                <w:color w:val="FFFFFF"/>
                <w:sz w:val="19"/>
              </w:rPr>
              <w:t>Content</w:t>
            </w:r>
          </w:p>
        </w:tc>
      </w:tr>
      <w:tr>
        <w:trPr>
          <w:cantSplit/>
        </w:trPr>
        <w:tc>
          <w:tcPr>
            <w:tcW w:type="dxa" w:w="2211"/>
          </w:tcPr>
          <w:p>
            <w:r/>
            <w:r>
              <w:rPr>
                <w:rFonts w:ascii="Arial" w:hAnsi="Arial" w:eastAsia="Arial"/>
                <w:b w:val="0"/>
                <w:i w:val="0"/>
                <w:sz w:val="19"/>
              </w:rPr>
              <w:t>D7.2, first progress report</w:t>
            </w:r>
          </w:p>
        </w:tc>
        <w:tc>
          <w:tcPr>
            <w:tcW w:type="dxa" w:w="1077"/>
          </w:tcPr>
          <w:p>
            <w:r/>
            <w:r>
              <w:rPr>
                <w:rFonts w:ascii="Arial" w:hAnsi="Arial" w:eastAsia="Arial"/>
                <w:b w:val="0"/>
                <w:i w:val="0"/>
                <w:sz w:val="19"/>
              </w:rPr>
              <w:t>Month 12</w:t>
            </w:r>
          </w:p>
        </w:tc>
        <w:tc>
          <w:tcPr>
            <w:tcW w:type="dxa" w:w="2041"/>
          </w:tcPr>
          <w:p>
            <w:r/>
            <w:r>
              <w:rPr>
                <w:rFonts w:ascii="Arial" w:hAnsi="Arial" w:eastAsia="Arial"/>
                <w:b w:val="0"/>
                <w:i w:val="0"/>
                <w:sz w:val="19"/>
              </w:rPr>
              <w:t>MS1, MS2</w:t>
            </w:r>
          </w:p>
        </w:tc>
        <w:tc>
          <w:tcPr>
            <w:tcW w:type="dxa" w:w="4309"/>
          </w:tcPr>
          <w:p>
            <w:r/>
            <w:r>
              <w:rPr>
                <w:rFonts w:ascii="Arial" w:hAnsi="Arial" w:eastAsia="Arial"/>
                <w:b w:val="0"/>
                <w:i w:val="0"/>
                <w:sz w:val="19"/>
              </w:rPr>
              <w:t>Status of each milestone and deliverable; revised Gantt chart; milestones of the next period</w:t>
            </w:r>
          </w:p>
        </w:tc>
      </w:tr>
      <w:tr>
        <w:trPr>
          <w:cantSplit/>
        </w:trPr>
        <w:tc>
          <w:tcPr>
            <w:tcW w:type="dxa" w:w="2211"/>
          </w:tcPr>
          <w:p>
            <w:r/>
            <w:r>
              <w:rPr>
                <w:rFonts w:ascii="Arial" w:hAnsi="Arial" w:eastAsia="Arial"/>
                <w:b w:val="0"/>
                <w:i w:val="0"/>
                <w:sz w:val="19"/>
              </w:rPr>
              <w:t>D7.2, second progress report</w:t>
            </w:r>
          </w:p>
        </w:tc>
        <w:tc>
          <w:tcPr>
            <w:tcW w:type="dxa" w:w="1077"/>
          </w:tcPr>
          <w:p>
            <w:r/>
            <w:r>
              <w:rPr>
                <w:rFonts w:ascii="Arial" w:hAnsi="Arial" w:eastAsia="Arial"/>
                <w:b w:val="0"/>
                <w:i w:val="0"/>
                <w:sz w:val="19"/>
              </w:rPr>
              <w:t>Month 24</w:t>
            </w:r>
          </w:p>
        </w:tc>
        <w:tc>
          <w:tcPr>
            <w:tcW w:type="dxa" w:w="2041"/>
          </w:tcPr>
          <w:p>
            <w:r/>
            <w:r>
              <w:rPr>
                <w:rFonts w:ascii="Arial" w:hAnsi="Arial" w:eastAsia="Arial"/>
                <w:b w:val="0"/>
                <w:i w:val="0"/>
                <w:sz w:val="19"/>
              </w:rPr>
              <w:t>MS3, MS4</w:t>
            </w:r>
          </w:p>
        </w:tc>
        <w:tc>
          <w:tcPr>
            <w:tcW w:type="dxa" w:w="4309"/>
          </w:tcPr>
          <w:p>
            <w:r/>
            <w:r>
              <w:rPr>
                <w:rFonts w:ascii="Arial" w:hAnsi="Arial" w:eastAsia="Arial"/>
                <w:b w:val="0"/>
                <w:i w:val="0"/>
                <w:sz w:val="19"/>
              </w:rPr>
              <w:t>As above; gate decisions and any fallback applied</w:t>
            </w:r>
          </w:p>
        </w:tc>
      </w:tr>
      <w:tr>
        <w:trPr>
          <w:cantSplit/>
        </w:trPr>
        <w:tc>
          <w:tcPr>
            <w:tcW w:type="dxa" w:w="2211"/>
          </w:tcPr>
          <w:p>
            <w:r/>
            <w:r>
              <w:rPr>
                <w:rFonts w:ascii="Arial" w:hAnsi="Arial" w:eastAsia="Arial"/>
                <w:b w:val="0"/>
                <w:i w:val="0"/>
                <w:sz w:val="19"/>
              </w:rPr>
              <w:t>D7.3, final report</w:t>
            </w:r>
          </w:p>
        </w:tc>
        <w:tc>
          <w:tcPr>
            <w:tcW w:type="dxa" w:w="1077"/>
          </w:tcPr>
          <w:p>
            <w:r/>
            <w:r>
              <w:rPr>
                <w:rFonts w:ascii="Arial" w:hAnsi="Arial" w:eastAsia="Arial"/>
                <w:b w:val="0"/>
                <w:i w:val="0"/>
                <w:sz w:val="19"/>
              </w:rPr>
              <w:t>Month 36</w:t>
            </w:r>
          </w:p>
        </w:tc>
        <w:tc>
          <w:tcPr>
            <w:tcW w:type="dxa" w:w="2041"/>
          </w:tcPr>
          <w:p>
            <w:r/>
            <w:r>
              <w:rPr>
                <w:rFonts w:ascii="Arial" w:hAnsi="Arial" w:eastAsia="Arial"/>
                <w:b w:val="0"/>
                <w:i w:val="0"/>
                <w:sz w:val="19"/>
              </w:rPr>
              <w:t>MS5, MS6, MS7 (and all earlier)</w:t>
            </w:r>
          </w:p>
        </w:tc>
        <w:tc>
          <w:tcPr>
            <w:tcW w:type="dxa" w:w="4309"/>
          </w:tcPr>
          <w:p>
            <w:r/>
            <w:r>
              <w:rPr>
                <w:rFonts w:ascii="Arial" w:hAnsi="Arial" w:eastAsia="Arial"/>
                <w:b w:val="0"/>
                <w:i w:val="0"/>
                <w:sz w:val="19"/>
              </w:rPr>
              <w:t>Status of every milestone; for any not met, why and the effect on the results</w:t>
            </w:r>
          </w:p>
        </w:tc>
      </w:tr>
    </w:tbl>
    <w:p>
      <w:pPr>
        <w:keepNext/>
        <w:pageBreakBefore/>
        <w:spacing w:after="120" w:before="0"/>
      </w:pPr>
      <w:r>
        <w:rPr>
          <w:rFonts w:ascii="Arial" w:hAnsi="Arial" w:eastAsia="Arial"/>
          <w:b/>
          <w:i w:val="0"/>
          <w:color w:val="1F3864"/>
          <w:sz w:val="27"/>
        </w:rPr>
        <w:t>5. What is new in these milestones</w:t>
      </w:r>
    </w:p>
    <w:p>
      <w:pPr>
        <w:spacing w:after="60" w:before="0"/>
        <w:ind w:left="283"/>
      </w:pPr>
      <w:r>
        <w:rPr>
          <w:rFonts w:ascii="Arial" w:hAnsi="Arial" w:eastAsia="Arial"/>
          <w:b/>
          <w:i w:val="0"/>
          <w:sz w:val="22"/>
        </w:rPr>
        <w:t xml:space="preserve">• </w:t>
      </w:r>
      <w:r>
        <w:rPr>
          <w:rFonts w:ascii="Arial" w:hAnsi="Arial" w:eastAsia="Arial"/>
          <w:b/>
          <w:i w:val="0"/>
          <w:sz w:val="21"/>
        </w:rPr>
        <w:t>An evidence ladder, not a list of dates.</w:t>
      </w:r>
      <w:r>
        <w:rPr>
          <w:rFonts w:ascii="Arial" w:hAnsi="Arial" w:eastAsia="Arial"/>
          <w:b w:val="0"/>
          <w:i w:val="0"/>
          <w:sz w:val="21"/>
        </w:rPr>
        <w:t xml:space="preserve"> Each milestone raises the central claim one rung, from designed to owned by the operators, so a reviewer can read at any month how much of the promise has been proven (Figure 1).</w:t>
      </w:r>
    </w:p>
    <w:p>
      <w:pPr>
        <w:spacing w:after="60" w:before="0"/>
        <w:ind w:left="283"/>
      </w:pPr>
      <w:r>
        <w:rPr>
          <w:rFonts w:ascii="Arial" w:hAnsi="Arial" w:eastAsia="Arial"/>
          <w:b/>
          <w:i w:val="0"/>
          <w:sz w:val="22"/>
        </w:rPr>
        <w:t xml:space="preserve">• </w:t>
      </w:r>
      <w:r>
        <w:rPr>
          <w:rFonts w:ascii="Arial" w:hAnsi="Arial" w:eastAsia="Arial"/>
          <w:b/>
          <w:i w:val="0"/>
          <w:sz w:val="21"/>
        </w:rPr>
        <w:t>Three-way gates with thresholds fixed in advance.</w:t>
      </w:r>
      <w:r>
        <w:rPr>
          <w:rFonts w:ascii="Arial" w:hAnsi="Arial" w:eastAsia="Arial"/>
          <w:b w:val="0"/>
          <w:i w:val="0"/>
          <w:sz w:val="21"/>
        </w:rPr>
        <w:t xml:space="preserve"> Each gate has a go, a go-with-conditions and a no-go with a named fallback, so the project keeps delivering usable results even when a gate is not passed.</w:t>
      </w:r>
    </w:p>
    <w:p>
      <w:pPr>
        <w:spacing w:after="60" w:before="0"/>
        <w:ind w:left="283"/>
      </w:pPr>
      <w:r>
        <w:rPr>
          <w:rFonts w:ascii="Arial" w:hAnsi="Arial" w:eastAsia="Arial"/>
          <w:b/>
          <w:i w:val="0"/>
          <w:sz w:val="22"/>
        </w:rPr>
        <w:t xml:space="preserve">• </w:t>
      </w:r>
      <w:r>
        <w:rPr>
          <w:rFonts w:ascii="Arial" w:hAnsi="Arial" w:eastAsia="Arial"/>
          <w:b/>
          <w:i w:val="0"/>
          <w:sz w:val="21"/>
        </w:rPr>
        <w:t>The promise itself is a milestone.</w:t>
      </w:r>
      <w:r>
        <w:rPr>
          <w:rFonts w:ascii="Arial" w:hAnsi="Arial" w:eastAsia="Arial"/>
          <w:b w:val="0"/>
          <w:i w:val="0"/>
          <w:sz w:val="21"/>
        </w:rPr>
        <w:t xml:space="preserve"> MS5 and MS6 test the certified miss rate of each alarm, on the record and live, with confidence intervals, rather than only the delivery of a report.</w:t>
      </w:r>
    </w:p>
    <w:p>
      <w:pPr>
        <w:spacing w:after="60" w:before="0"/>
        <w:ind w:left="283"/>
      </w:pPr>
      <w:r>
        <w:rPr>
          <w:rFonts w:ascii="Arial" w:hAnsi="Arial" w:eastAsia="Arial"/>
          <w:b/>
          <w:i w:val="0"/>
          <w:sz w:val="22"/>
        </w:rPr>
        <w:t xml:space="preserve">• </w:t>
      </w:r>
      <w:r>
        <w:rPr>
          <w:rFonts w:ascii="Arial" w:hAnsi="Arial" w:eastAsia="Arial"/>
          <w:b/>
          <w:i w:val="0"/>
          <w:sz w:val="21"/>
        </w:rPr>
        <w:t>The users decide when it is ready.</w:t>
      </w:r>
      <w:r>
        <w:rPr>
          <w:rFonts w:ascii="Arial" w:hAnsi="Arial" w:eastAsia="Arial"/>
          <w:b w:val="0"/>
          <w:i w:val="0"/>
          <w:sz w:val="21"/>
        </w:rPr>
        <w:t xml:space="preserve"> The operators co-sign the milestones that change what they receive or run: the network plan (MS1), live bulletins (MS4), the bulletin log (MS6) and the hand-over (MS7).</w:t>
      </w:r>
    </w:p>
    <w:p>
      <w:pPr>
        <w:spacing w:after="60" w:before="0"/>
        <w:ind w:left="283"/>
      </w:pPr>
      <w:r>
        <w:rPr>
          <w:rFonts w:ascii="Arial" w:hAnsi="Arial" w:eastAsia="Arial"/>
          <w:b/>
          <w:i w:val="0"/>
          <w:sz w:val="22"/>
        </w:rPr>
        <w:t xml:space="preserve">• </w:t>
      </w:r>
      <w:r>
        <w:rPr>
          <w:rFonts w:ascii="Arial" w:hAnsi="Arial" w:eastAsia="Arial"/>
          <w:b/>
          <w:i w:val="0"/>
          <w:sz w:val="21"/>
        </w:rPr>
        <w:t>Milestones watched like hazards.</w:t>
      </w:r>
      <w:r>
        <w:rPr>
          <w:rFonts w:ascii="Arial" w:hAnsi="Arial" w:eastAsia="Arial"/>
          <w:b w:val="0"/>
          <w:i w:val="0"/>
          <w:sz w:val="21"/>
        </w:rPr>
        <w:t xml:space="preserve"> Each milestone carries the risk triggers that bear on it, monitored monthly, so a slip is seen before the due date, not on it.</w:t>
      </w:r>
    </w:p>
    <w:p>
      <w:pPr>
        <w:keepNext/>
        <w:spacing w:after="120" w:before="160"/>
      </w:pPr>
      <w:r>
        <w:rPr>
          <w:rFonts w:ascii="Arial" w:hAnsi="Arial" w:eastAsia="Arial"/>
          <w:b/>
          <w:i w:val="0"/>
          <w:color w:val="1F3864"/>
          <w:sz w:val="23"/>
        </w:rPr>
        <w:t>Sources</w:t>
      </w:r>
    </w:p>
    <w:p>
      <w:pPr>
        <w:spacing w:after="40" w:before="0"/>
        <w:ind w:left="283"/>
      </w:pPr>
      <w:r>
        <w:rPr>
          <w:rFonts w:ascii="Arial" w:hAnsi="Arial" w:eastAsia="Arial"/>
          <w:b w:val="0"/>
          <w:i w:val="0"/>
          <w:sz w:val="19"/>
        </w:rPr>
        <w:t xml:space="preserve">[1] SPS Programme, Multi-Year Project Progress Report template (2023). </w:t>
      </w:r>
      <w:hyperlink r:id="rId10">
        <w:r>
          <w:rPr>
            <w:rFonts w:ascii="Arial" w:hAnsi="Arial"/>
            <w:color w:val="1F5FBF"/>
            <w:u w:val="single"/>
            <w:sz w:val="17"/>
          </w:rPr>
          <w:t xml:space="preserve">https://nato.int/content/dam/nato/webready/documents/sps/grants/2023/SPS_MYP_Report_Technical_Progress.docx</w:t>
        </w:r>
      </w:hyperlink>
    </w:p>
    <w:p>
      <w:pPr>
        <w:spacing w:after="40" w:before="0"/>
        <w:ind w:left="283"/>
      </w:pPr>
      <w:r>
        <w:rPr>
          <w:rFonts w:ascii="Arial" w:hAnsi="Arial" w:eastAsia="Arial"/>
          <w:b w:val="0"/>
          <w:i w:val="0"/>
          <w:sz w:val="19"/>
        </w:rPr>
        <w:t xml:space="preserve">[2] SPS Programme, Multi-Year Project Final Report template (2023). </w:t>
      </w:r>
      <w:hyperlink r:id="rId11">
        <w:r>
          <w:rPr>
            <w:rFonts w:ascii="Arial" w:hAnsi="Arial"/>
            <w:color w:val="1F5FBF"/>
            <w:u w:val="single"/>
            <w:sz w:val="17"/>
          </w:rPr>
          <w:t xml:space="preserve">https://nato.int/content/dam/nato/webready/documents/sps/grants/2023/SPS_MYP_Report_Technical_Final.docx</w:t>
        </w:r>
      </w:hyperlink>
    </w:p>
    <w:p>
      <w:pPr>
        <w:spacing w:after="40" w:before="0"/>
        <w:ind w:left="283"/>
      </w:pPr>
      <w:r>
        <w:rPr>
          <w:rFonts w:ascii="Arial" w:hAnsi="Arial" w:eastAsia="Arial"/>
          <w:b w:val="0"/>
          <w:i w:val="0"/>
          <w:sz w:val="19"/>
        </w:rPr>
        <w:t xml:space="preserve">[3] SPS Programme, Multi-Year Project Progress Report template (2016). </w:t>
      </w:r>
      <w:hyperlink r:id="rId12">
        <w:r>
          <w:rPr>
            <w:rFonts w:ascii="Arial" w:hAnsi="Arial"/>
            <w:color w:val="1F5FBF"/>
            <w:u w:val="single"/>
            <w:sz w:val="17"/>
          </w:rPr>
          <w:t xml:space="preserve">https://nato.int/content/dam/nato/webready/documents/sps/grants/2016/SPS_MYP_Progress_Report.docx</w:t>
        </w:r>
      </w:hyperlink>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nato.int/content/dam/nato/webready/documents/sps/grants/2023/SPS_MYP_Report_Technical_Progress.docx" TargetMode="External"/><Relationship Id="rId11" Type="http://schemas.openxmlformats.org/officeDocument/2006/relationships/hyperlink" Target="https://nato.int/content/dam/nato/webready/documents/sps/grants/2023/SPS_MYP_Report_Technical_Final.docx" TargetMode="External"/><Relationship Id="rId12" Type="http://schemas.openxmlformats.org/officeDocument/2006/relationships/hyperlink" Target="https://nato.int/content/dam/nato/webready/documents/sps/grants/2016/SPS_MYP_Progress_Repor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