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5439" cy="626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OMAR_Objective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5439" cy="626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i/>
          <w:sz w:val="22"/>
        </w:rPr>
        <w:t>Figure. The five research coordination objectives (RC1–RC5) and the capacity building objectives (CB1–CB5): the part of the main challenge each addresses, the Working Group that leads it and the year its deliverable is due, the deliverable, and what is new.</w:t>
      </w:r>
    </w:p>
    <w:sectPr w:rsidR="00FC693F" w:rsidRPr="0006063C" w:rsidSect="00034616">
      <w:pgSz w:w="16838" w:h="11906" w:orient="landscape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