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Methodology</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80" w:before="0"/>
        <w:jc w:val="both"/>
      </w:pPr>
      <w:r>
        <w:rPr>
          <w:rFonts w:ascii="Arial" w:hAnsi="Arial" w:eastAsia="Arial"/>
          <w:b w:val="0"/>
          <w:i w:val="0"/>
          <w:sz w:val="22"/>
        </w:rPr>
        <w:t>CERTAIN-COAST turns three linked hazards into one warning chain whose reliability is stated in advance and checked in operation. The chain has six steps (Figure 1): observe what the warnings need (WP4), measure the moving coast (WP1), model the coast as one coupled system (WP2), copy the model fast with a certificate (WP2), certify each alarm (WP3), and operate, verify and hand over (WP5, WP6). Each step has a quantitative pass test and a fallback (Section 9). The equations are the working equations of the project; their parameters are estimated from the site data.</w:t>
      </w:r>
    </w:p>
    <w:p>
      <w:pPr>
        <w:spacing w:after="40" w:before="80"/>
        <w:jc w:val="center"/>
      </w:pPr>
      <w:r>
        <w:drawing>
          <wp:inline xmlns:a="http://schemas.openxmlformats.org/drawingml/2006/main" xmlns:pic="http://schemas.openxmlformats.org/drawingml/2006/picture">
            <wp:extent cx="6120000" cy="5708955"/>
            <wp:docPr id="1" name="Picture 1"/>
            <wp:cNvGraphicFramePr>
              <a:graphicFrameLocks noChangeAspect="1"/>
            </wp:cNvGraphicFramePr>
            <a:graphic>
              <a:graphicData uri="http://schemas.openxmlformats.org/drawingml/2006/picture">
                <pic:pic>
                  <pic:nvPicPr>
                    <pic:cNvPr id="0" name="fig_method_chain.png"/>
                    <pic:cNvPicPr/>
                  </pic:nvPicPr>
                  <pic:blipFill>
                    <a:blip r:embed="rId9"/>
                    <a:stretch>
                      <a:fillRect/>
                    </a:stretch>
                  </pic:blipFill>
                  <pic:spPr>
                    <a:xfrm>
                      <a:off x="0" y="0"/>
                      <a:ext cx="6120000" cy="5708955"/>
                    </a:xfrm>
                    <a:prstGeom prst="rect"/>
                  </pic:spPr>
                </pic:pic>
              </a:graphicData>
            </a:graphic>
          </wp:inline>
        </w:drawing>
      </w:r>
    </w:p>
    <w:p>
      <w:pPr>
        <w:keepNext w:val="0"/>
        <w:spacing w:after="120" w:before="0"/>
      </w:pPr>
      <w:r>
        <w:rPr>
          <w:rFonts w:ascii="Arial" w:hAnsi="Arial" w:eastAsia="Arial"/>
          <w:b w:val="0"/>
          <w:i/>
          <w:color w:val="52606D"/>
          <w:sz w:val="20"/>
        </w:rPr>
        <w:t>Figure 1. The CERTAIN-COAST method chain. Solid arrows: from data to bulletins. Dashed arrows: verified outcomes update the alarm margins and the model; the alarms tell the network which sensors are worth most.</w:t>
      </w:r>
    </w:p>
    <w:p>
      <w:pPr>
        <w:keepNext/>
        <w:spacing w:after="120" w:before="200"/>
      </w:pPr>
      <w:r>
        <w:rPr>
          <w:rFonts w:ascii="Arial" w:hAnsi="Arial" w:eastAsia="Arial"/>
          <w:b/>
          <w:i w:val="0"/>
          <w:color w:val="1F3864"/>
          <w:sz w:val="27"/>
        </w:rPr>
        <w:t>1. The three hazards as one system</w:t>
      </w:r>
    </w:p>
    <w:p>
      <w:pPr>
        <w:spacing w:after="80" w:before="0"/>
        <w:jc w:val="both"/>
      </w:pPr>
      <w:r>
        <w:rPr>
          <w:rFonts w:ascii="Arial" w:hAnsi="Arial" w:eastAsia="Arial"/>
          <w:b w:val="0"/>
          <w:i w:val="0"/>
          <w:sz w:val="22"/>
        </w:rPr>
        <w:t xml:space="preserve">The three assets share two physical variables: the relative sea level </w:t>
      </w:r>
      <m:oMath>
        <m:sSub>
          <m:e>
            <m:r>
              <w:rPr>
                <w:sz w:val="22"/>
                <w:szCs w:val="22"/>
              </w:rPr>
              <m:t>R</m:t>
            </m:r>
          </m:e>
          <m:sub>
            <m:r>
              <w:rPr>
                <w:sz w:val="22"/>
                <w:szCs w:val="22"/>
              </w:rPr>
              <m:t>a</m:t>
            </m:r>
          </m:sub>
        </m:sSub>
        <m:d>
          <m:dPr>
            <m:begChr m:val="("/>
            <m:sepChr m:val=""/>
            <m:endChr m:val=")"/>
            <m:grow/>
          </m:dPr>
          <m:e>
            <m:r>
              <w:rPr>
                <w:sz w:val="22"/>
                <w:szCs w:val="22"/>
              </w:rPr>
              <m:t>t</m:t>
            </m:r>
          </m:e>
        </m:d>
      </m:oMath>
      <w:r>
        <w:rPr>
          <w:rFonts w:ascii="Arial" w:hAnsi="Arial" w:eastAsia="Arial"/>
          <w:b w:val="0"/>
          <w:i w:val="0"/>
          <w:sz w:val="22"/>
        </w:rPr>
        <w:t xml:space="preserve"> at asset </w:t>
      </w:r>
      <m:oMath>
        <m:r>
          <w:rPr>
            <w:sz w:val="22"/>
            <w:szCs w:val="22"/>
          </w:rPr>
          <m:t>a</m:t>
        </m:r>
      </m:oMath>
      <w:r>
        <w:rPr>
          <w:rFonts w:ascii="Arial" w:hAnsi="Arial" w:eastAsia="Arial"/>
          <w:b w:val="0"/>
          <w:i w:val="0"/>
          <w:sz w:val="22"/>
        </w:rPr>
        <w:t xml:space="preserve"> and the water table </w:t>
      </w:r>
      <m:oMath>
        <m:sSub>
          <m:e>
            <m:r>
              <w:rPr>
                <w:sz w:val="22"/>
                <w:szCs w:val="22"/>
              </w:rPr>
              <m:t>z</m:t>
            </m:r>
          </m:e>
          <m:sub>
            <m:r>
              <w:rPr>
                <w:sz w:val="22"/>
                <w:szCs w:val="22"/>
              </w:rPr>
              <m:t>w</m:t>
            </m:r>
          </m:sub>
        </m:sSub>
        <m:d>
          <m:dPr>
            <m:begChr m:val="("/>
            <m:sepChr m:val=""/>
            <m:endChr m:val=")"/>
            <m:grow/>
          </m:dPr>
          <m:e>
            <m:r>
              <m:rPr>
                <m:sty m:val="b"/>
              </m:rPr>
              <w:rPr>
                <w:sz w:val="22"/>
                <w:szCs w:val="22"/>
              </w:rPr>
              <m:t>x</m:t>
            </m:r>
            <m:r>
              <m:rPr>
                <m:sty m:val="p"/>
              </m:rPr>
              <w:rPr>
                <w:sz w:val="22"/>
                <w:szCs w:val="22"/>
              </w:rPr>
              <m:t>,</m:t>
            </m:r>
            <m:r>
              <w:rPr>
                <w:sz w:val="22"/>
                <w:szCs w:val="22"/>
              </w:rPr>
              <m:t>t</m:t>
            </m:r>
          </m:e>
        </m:d>
      </m:oMath>
      <w:r>
        <w:rPr>
          <w:rFonts w:ascii="Arial" w:hAnsi="Arial" w:eastAsia="Arial"/>
          <w:b w:val="0"/>
          <w:i w:val="0"/>
          <w:sz w:val="22"/>
        </w:rPr>
        <w:t>. Sea level enters the aquifer at its seaward boundary and sets how far seawater advances; the water table sets the effective stress in the sands and so their resistance to liquefaction; land subsidence raises the relative sea level at every asset. Pumping lowers the water table: it increases intrusion and, below the preconsolidation head, permanent subsidence, but it raises the factor of safety against liquefaction. No hazard can be managed alone. CERTAIN-COAST defines one indicator per hazard, oriented so that larger means more dangerous (Table 1).</w:t>
      </w:r>
    </w:p>
    <w:p>
      <w:pPr>
        <w:keepNext/>
        <w:spacing w:after="120" w:before="0"/>
      </w:pPr>
      <w:r>
        <w:rPr>
          <w:rFonts w:ascii="Arial" w:hAnsi="Arial" w:eastAsia="Arial"/>
          <w:b w:val="0"/>
          <w:i/>
          <w:color w:val="52606D"/>
          <w:sz w:val="20"/>
        </w:rPr>
        <w:t>Table 1. Hazard indicators, thresholds and lead times.</w:t>
      </w:r>
    </w:p>
    <w:tbl>
      <w:tblPr>
        <w:tblStyle w:val="TableGrid"/>
        <w:tblW w:type="auto" w:w="0"/>
        <w:jc w:val="center"/>
        <w:tblLayout w:type="fixed"/>
        <w:tblLook w:firstColumn="1" w:firstRow="1" w:lastColumn="0" w:lastRow="0" w:noHBand="0" w:noVBand="1" w:val="04A0"/>
        <w:tblLayout w:type="fixed"/>
      </w:tblPr>
      <w:tblGrid>
        <w:gridCol w:w="1644"/>
        <w:gridCol w:w="2041"/>
        <w:gridCol w:w="1928"/>
        <w:gridCol w:w="1701"/>
        <w:gridCol w:w="2324"/>
      </w:tblGrid>
      <w:tr>
        <w:trPr>
          <w:cantSplit/>
        </w:trPr>
        <w:tc>
          <w:tcPr>
            <w:tcW w:type="dxa" w:w="1644"/>
            <w:shd w:val="clear" w:color="auto" w:fill="1F3864"/>
          </w:tcPr>
          <w:p>
            <w:r/>
            <w:r>
              <w:rPr>
                <w:rFonts w:ascii="Arial" w:hAnsi="Arial" w:eastAsia="Arial"/>
                <w:b/>
                <w:i w:val="0"/>
                <w:color w:val="FFFFFF"/>
                <w:sz w:val="19"/>
              </w:rPr>
              <w:t>Hazard (assets)</w:t>
            </w:r>
          </w:p>
        </w:tc>
        <w:tc>
          <w:tcPr>
            <w:tcW w:type="dxa" w:w="2041"/>
            <w:shd w:val="clear" w:color="auto" w:fill="1F3864"/>
          </w:tcPr>
          <w:p>
            <w:r/>
            <w:r>
              <w:rPr>
                <w:rFonts w:ascii="Arial" w:hAnsi="Arial" w:eastAsia="Arial"/>
                <w:b/>
                <w:i w:val="0"/>
                <w:color w:val="FFFFFF"/>
                <w:sz w:val="19"/>
              </w:rPr>
              <w:t>Indicator</w:t>
            </w:r>
          </w:p>
        </w:tc>
        <w:tc>
          <w:tcPr>
            <w:tcW w:type="dxa" w:w="1928"/>
            <w:shd w:val="clear" w:color="auto" w:fill="1F3864"/>
          </w:tcPr>
          <w:p>
            <w:r/>
            <w:r>
              <w:rPr>
                <w:rFonts w:ascii="Arial" w:hAnsi="Arial" w:eastAsia="Arial"/>
                <w:b/>
                <w:i w:val="0"/>
                <w:color w:val="FFFFFF"/>
                <w:sz w:val="19"/>
              </w:rPr>
              <w:t>Threshold τₖ</w:t>
            </w:r>
          </w:p>
        </w:tc>
        <w:tc>
          <w:tcPr>
            <w:tcW w:type="dxa" w:w="1701"/>
            <w:shd w:val="clear" w:color="auto" w:fill="1F3864"/>
          </w:tcPr>
          <w:p>
            <w:r/>
            <w:r>
              <w:rPr>
                <w:rFonts w:ascii="Arial" w:hAnsi="Arial" w:eastAsia="Arial"/>
                <w:b/>
                <w:i w:val="0"/>
                <w:color w:val="FFFFFF"/>
                <w:sz w:val="19"/>
              </w:rPr>
              <w:t>Lead time, cadence</w:t>
            </w:r>
          </w:p>
        </w:tc>
        <w:tc>
          <w:tcPr>
            <w:tcW w:type="dxa" w:w="2324"/>
            <w:shd w:val="clear" w:color="auto" w:fill="1F3864"/>
          </w:tcPr>
          <w:p>
            <w:r/>
            <w:r>
              <w:rPr>
                <w:rFonts w:ascii="Arial" w:hAnsi="Arial" w:eastAsia="Arial"/>
                <w:b/>
                <w:i w:val="0"/>
                <w:color w:val="FFFFFF"/>
                <w:sz w:val="19"/>
              </w:rPr>
              <w:t>What an alarm means</w:t>
            </w:r>
          </w:p>
        </w:tc>
      </w:tr>
      <w:tr>
        <w:trPr>
          <w:cantSplit/>
        </w:trPr>
        <w:tc>
          <w:tcPr>
            <w:tcW w:type="dxa" w:w="1644"/>
          </w:tcPr>
          <w:p>
            <w:r/>
            <w:r>
              <w:rPr>
                <w:rFonts w:ascii="Arial" w:hAnsi="Arial" w:eastAsia="Arial"/>
                <w:b w:val="0"/>
                <w:i w:val="0"/>
                <w:sz w:val="19"/>
              </w:rPr>
              <w:t>Seawater intrusion (wellfields)</w:t>
            </w:r>
          </w:p>
        </w:tc>
        <w:tc>
          <w:tcPr>
            <w:tcW w:type="dxa" w:w="2041"/>
          </w:tcPr>
          <w:p>
            <w:r/>
            <w:r>
              <w:rPr>
                <w:rFonts w:ascii="Arial" w:hAnsi="Arial" w:eastAsia="Arial"/>
                <w:b w:val="0"/>
                <w:i w:val="0"/>
                <w:sz w:val="19"/>
              </w:rPr>
              <w:t>I₁: chloride cⱼ at each production well j</w:t>
            </w:r>
          </w:p>
        </w:tc>
        <w:tc>
          <w:tcPr>
            <w:tcW w:type="dxa" w:w="1928"/>
          </w:tcPr>
          <w:p>
            <w:r/>
            <w:r>
              <w:rPr>
                <w:rFonts w:ascii="Arial" w:hAnsi="Arial" w:eastAsia="Arial"/>
                <w:b w:val="0"/>
                <w:i w:val="0"/>
                <w:sz w:val="19"/>
              </w:rPr>
              <w:t>c* agreed with the utility (for example the drinking-water value of 250 mg/L)</w:t>
            </w:r>
          </w:p>
        </w:tc>
        <w:tc>
          <w:tcPr>
            <w:tcW w:type="dxa" w:w="1701"/>
          </w:tcPr>
          <w:p>
            <w:r/>
            <w:r>
              <w:rPr>
                <w:rFonts w:ascii="Arial" w:hAnsi="Arial" w:eastAsia="Arial"/>
                <w:b w:val="0"/>
                <w:i w:val="0"/>
                <w:sz w:val="19"/>
              </w:rPr>
              <w:t>Weeks to months; updated weekly</w:t>
            </w:r>
          </w:p>
        </w:tc>
        <w:tc>
          <w:tcPr>
            <w:tcW w:type="dxa" w:w="2324"/>
          </w:tcPr>
          <w:p>
            <w:r/>
            <w:r>
              <w:rPr>
                <w:rFonts w:ascii="Arial" w:hAnsi="Arial" w:eastAsia="Arial"/>
                <w:b w:val="0"/>
                <w:i w:val="0"/>
                <w:sz w:val="19"/>
              </w:rPr>
              <w:t>Chloride will exceed c* within the lead time unless pumping changes</w:t>
            </w:r>
          </w:p>
        </w:tc>
      </w:tr>
      <w:tr>
        <w:trPr>
          <w:cantSplit/>
        </w:trPr>
        <w:tc>
          <w:tcPr>
            <w:tcW w:type="dxa" w:w="1644"/>
          </w:tcPr>
          <w:p>
            <w:r/>
            <w:r>
              <w:rPr>
                <w:rFonts w:ascii="Arial" w:hAnsi="Arial" w:eastAsia="Arial"/>
                <w:b w:val="0"/>
                <w:i w:val="0"/>
                <w:sz w:val="19"/>
              </w:rPr>
              <w:t>Liquefaction (port, energy landfall)</w:t>
            </w:r>
          </w:p>
        </w:tc>
        <w:tc>
          <w:tcPr>
            <w:tcW w:type="dxa" w:w="2041"/>
          </w:tcPr>
          <w:p>
            <w:r/>
            <w:r>
              <w:rPr>
                <w:rFonts w:ascii="Arial" w:hAnsi="Arial" w:eastAsia="Arial"/>
                <w:b w:val="0"/>
                <w:i w:val="0"/>
                <w:sz w:val="19"/>
              </w:rPr>
              <w:t>I₂: liquefaction potential index (LPI) under the design shaking at the current water table</w:t>
            </w:r>
          </w:p>
        </w:tc>
        <w:tc>
          <w:tcPr>
            <w:tcW w:type="dxa" w:w="1928"/>
          </w:tcPr>
          <w:p>
            <w:r/>
            <w:r>
              <w:rPr>
                <w:rFonts w:ascii="Arial" w:hAnsi="Arial" w:eastAsia="Arial"/>
                <w:b w:val="0"/>
                <w:i w:val="0"/>
                <w:sz w:val="19"/>
              </w:rPr>
              <w:t>Class boundary agreed with the operators</w:t>
            </w:r>
          </w:p>
        </w:tc>
        <w:tc>
          <w:tcPr>
            <w:tcW w:type="dxa" w:w="1701"/>
          </w:tcPr>
          <w:p>
            <w:r/>
            <w:r>
              <w:rPr>
                <w:rFonts w:ascii="Arial" w:hAnsi="Arial" w:eastAsia="Arial"/>
                <w:b w:val="0"/>
                <w:i w:val="0"/>
                <w:sz w:val="19"/>
              </w:rPr>
              <w:t>State updated daily; recomputed at once after an earthquake</w:t>
            </w:r>
          </w:p>
        </w:tc>
        <w:tc>
          <w:tcPr>
            <w:tcW w:type="dxa" w:w="2324"/>
          </w:tcPr>
          <w:p>
            <w:r/>
            <w:r>
              <w:rPr>
                <w:rFonts w:ascii="Arial" w:hAnsi="Arial" w:eastAsia="Arial"/>
                <w:b w:val="0"/>
                <w:i w:val="0"/>
                <w:sz w:val="19"/>
              </w:rPr>
              <w:t>If the design earthquake struck now, liquefaction would exceed the agreed level</w:t>
            </w:r>
          </w:p>
        </w:tc>
      </w:tr>
      <w:tr>
        <w:trPr>
          <w:cantSplit/>
        </w:trPr>
        <w:tc>
          <w:tcPr>
            <w:tcW w:type="dxa" w:w="1644"/>
          </w:tcPr>
          <w:p>
            <w:r/>
            <w:r>
              <w:rPr>
                <w:rFonts w:ascii="Arial" w:hAnsi="Arial" w:eastAsia="Arial"/>
                <w:b w:val="0"/>
                <w:i w:val="0"/>
                <w:sz w:val="19"/>
              </w:rPr>
              <w:t>Extreme water level (all three)</w:t>
            </w:r>
          </w:p>
        </w:tc>
        <w:tc>
          <w:tcPr>
            <w:tcW w:type="dxa" w:w="2041"/>
          </w:tcPr>
          <w:p>
            <w:r/>
            <w:r>
              <w:rPr>
                <w:rFonts w:ascii="Arial" w:hAnsi="Arial" w:eastAsia="Arial"/>
                <w:b w:val="0"/>
                <w:i w:val="0"/>
                <w:sz w:val="19"/>
              </w:rPr>
              <w:t>I₃: total water level TWLₐ at asset a</w:t>
            </w:r>
          </w:p>
        </w:tc>
        <w:tc>
          <w:tcPr>
            <w:tcW w:type="dxa" w:w="1928"/>
          </w:tcPr>
          <w:p>
            <w:r/>
            <w:r>
              <w:rPr>
                <w:rFonts w:ascii="Arial" w:hAnsi="Arial" w:eastAsia="Arial"/>
                <w:b w:val="0"/>
                <w:i w:val="0"/>
                <w:sz w:val="19"/>
              </w:rPr>
              <w:t>Design or operational level of each asset</w:t>
            </w:r>
          </w:p>
        </w:tc>
        <w:tc>
          <w:tcPr>
            <w:tcW w:type="dxa" w:w="1701"/>
          </w:tcPr>
          <w:p>
            <w:r/>
            <w:r>
              <w:rPr>
                <w:rFonts w:ascii="Arial" w:hAnsi="Arial" w:eastAsia="Arial"/>
                <w:b w:val="0"/>
                <w:i w:val="0"/>
                <w:sz w:val="19"/>
              </w:rPr>
              <w:t>Hours to days for storms; return levels yearly</w:t>
            </w:r>
          </w:p>
        </w:tc>
        <w:tc>
          <w:tcPr>
            <w:tcW w:type="dxa" w:w="2324"/>
          </w:tcPr>
          <w:p>
            <w:r/>
            <w:r>
              <w:rPr>
                <w:rFonts w:ascii="Arial" w:hAnsi="Arial" w:eastAsia="Arial"/>
                <w:b w:val="0"/>
                <w:i w:val="0"/>
                <w:sz w:val="19"/>
              </w:rPr>
              <w:t>The water level will exceed the level the asset was built for</w:t>
            </w:r>
          </w:p>
        </w:tc>
      </w:tr>
    </w:tbl>
    <w:p>
      <w:pPr>
        <w:spacing w:after="80" w:before="0"/>
      </w:pPr>
    </w:p>
    <w:p>
      <w:pPr>
        <w:spacing w:after="80" w:before="0"/>
        <w:jc w:val="both"/>
      </w:pPr>
      <w:r>
        <w:rPr>
          <w:rFonts w:ascii="Arial" w:hAnsi="Arial" w:eastAsia="Arial"/>
          <w:b w:val="0"/>
          <w:i w:val="0"/>
          <w:sz w:val="22"/>
        </w:rPr>
        <w:t xml:space="preserve">An alarm for hazard </w:t>
      </w:r>
      <m:oMath>
        <m:r>
          <w:rPr>
            <w:sz w:val="22"/>
            <w:szCs w:val="22"/>
          </w:rPr>
          <m:t>k</m:t>
        </m:r>
      </m:oMath>
      <w:r>
        <w:rPr>
          <w:rFonts w:ascii="Arial" w:hAnsi="Arial" w:eastAsia="Arial"/>
          <w:b w:val="0"/>
          <w:i w:val="0"/>
          <w:sz w:val="22"/>
        </w:rPr>
        <w:t xml:space="preserve"> is missed when </w:t>
      </w:r>
      <m:oMath>
        <m:sSub>
          <m:e>
            <m:r>
              <w:rPr>
                <w:sz w:val="22"/>
                <w:szCs w:val="22"/>
              </w:rPr>
              <m:t>I</m:t>
            </m:r>
          </m:e>
          <m:sub>
            <m:r>
              <w:rPr>
                <w:sz w:val="22"/>
                <w:szCs w:val="22"/>
              </w:rPr>
              <m:t>k</m:t>
            </m:r>
          </m:sub>
        </m:sSub>
      </m:oMath>
      <w:r>
        <w:rPr>
          <w:rFonts w:ascii="Arial" w:hAnsi="Arial" w:eastAsia="Arial"/>
          <w:b w:val="0"/>
          <w:i w:val="0"/>
          <w:sz w:val="22"/>
        </w:rPr>
        <w:t xml:space="preserve"> exceeds </w:t>
      </w:r>
      <m:oMath>
        <m:sSub>
          <m:e>
            <m:r>
              <w:rPr>
                <w:sz w:val="22"/>
                <w:szCs w:val="22"/>
              </w:rPr>
              <m:t>τ</m:t>
            </m:r>
          </m:e>
          <m:sub>
            <m:r>
              <w:rPr>
                <w:sz w:val="22"/>
                <w:szCs w:val="22"/>
              </w:rPr>
              <m:t>k</m:t>
            </m:r>
          </m:sub>
        </m:sSub>
      </m:oMath>
      <w:r>
        <w:rPr>
          <w:rFonts w:ascii="Arial" w:hAnsi="Arial" w:eastAsia="Arial"/>
          <w:b w:val="0"/>
          <w:i w:val="0"/>
          <w:sz w:val="22"/>
        </w:rPr>
        <w:t xml:space="preserve"> within the lead time and no alarm was issued. The </w:t>
      </w:r>
      <w:r>
        <w:rPr>
          <w:rFonts w:ascii="Arial" w:hAnsi="Arial" w:eastAsia="Arial"/>
          <w:b/>
          <w:i w:val="0"/>
          <w:sz w:val="22"/>
        </w:rPr>
        <w:t>miss rate</w:t>
      </w:r>
      <w:r>
        <w:rPr>
          <w:rFonts w:ascii="Arial" w:hAnsi="Arial" w:eastAsia="Arial"/>
          <w:b w:val="0"/>
          <w:i w:val="0"/>
          <w:sz w:val="22"/>
        </w:rPr>
        <w:t xml:space="preserve"> is the long-run fraction of issue times with a missed exceedance; it is the quantity certified in Section 5, and the miss rate per event is reported alongside it. Earthquakes are not forecast: the liquefaction alarm describes the current state, how the ground would respond if the design earthquake struck now, and that state changes with the water table.</w:t>
      </w:r>
    </w:p>
    <w:p>
      <w:pPr>
        <w:keepNext/>
        <w:spacing w:after="120" w:before="200"/>
      </w:pPr>
      <w:r>
        <w:rPr>
          <w:rFonts w:ascii="Arial" w:hAnsi="Arial" w:eastAsia="Arial"/>
          <w:b/>
          <w:i w:val="0"/>
          <w:color w:val="1F3864"/>
          <w:sz w:val="27"/>
        </w:rPr>
        <w:t>2. Measuring the moving coast (WP1; T1.1–T1.4)</w:t>
      </w:r>
    </w:p>
    <w:p>
      <w:pPr>
        <w:spacing w:after="80" w:before="0"/>
        <w:jc w:val="both"/>
      </w:pPr>
      <w:r>
        <w:rPr>
          <w:rFonts w:ascii="Arial" w:hAnsi="Arial" w:eastAsia="Arial"/>
          <w:b/>
          <w:i w:val="0"/>
          <w:sz w:val="22"/>
        </w:rPr>
        <w:t>InSAR.</w:t>
      </w:r>
      <w:r>
        <w:rPr>
          <w:rFonts w:ascii="Arial" w:hAnsi="Arial" w:eastAsia="Arial"/>
          <w:b w:val="0"/>
          <w:i w:val="0"/>
          <w:sz w:val="22"/>
        </w:rPr>
        <w:t xml:space="preserve"> Sentinel-1 ascending and descending time series from 2014 onwards are processed with persistent-scatterer and small-baseline methods over the three asset areas. Combining the two viewing geometries gives the vertical and east components of motion at each point (the radar is nearly blind to north–south motion):</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Sup>
                  <m:e>
                    <m:r>
                      <m:t>d</m:t>
                    </m:r>
                  </m:e>
                  <m:sub>
                    <m:r>
                      <m:rPr>
                        <m:nor/>
                      </m:rPr>
                      <m:t>LOS</m:t>
                    </m:r>
                  </m:sub>
                  <m:sup>
                    <m:r>
                      <m:rPr>
                        <m:nor/>
                      </m:rPr>
                      <m:t>asc</m:t>
                    </m:r>
                  </m:sup>
                </m:sSubSup>
                <m:r>
                  <m:rPr>
                    <m:sty m:val="p"/>
                  </m:rPr>
                  <m:t>=</m:t>
                </m:r>
                <m:sSubSup>
                  <m:e>
                    <m:r>
                      <m:t>n</m:t>
                    </m:r>
                  </m:e>
                  <m:sub>
                    <m:r>
                      <m:t>E</m:t>
                    </m:r>
                  </m:sub>
                  <m:sup>
                    <m:r>
                      <m:rPr>
                        <m:nor/>
                      </m:rPr>
                      <m:t>asc</m:t>
                    </m:r>
                  </m:sup>
                </m:sSubSup>
                <m:r>
                  <m:t> </m:t>
                </m:r>
                <m:sSub>
                  <m:e>
                    <m:r>
                      <m:t>u</m:t>
                    </m:r>
                  </m:e>
                  <m:sub>
                    <m:r>
                      <m:t>E</m:t>
                    </m:r>
                  </m:sub>
                </m:sSub>
                <m:r>
                  <m:rPr>
                    <m:sty m:val="p"/>
                  </m:rPr>
                  <m:t>+</m:t>
                </m:r>
                <m:sSubSup>
                  <m:e>
                    <m:r>
                      <m:t>n</m:t>
                    </m:r>
                  </m:e>
                  <m:sub>
                    <m:r>
                      <m:t>U</m:t>
                    </m:r>
                  </m:sub>
                  <m:sup>
                    <m:r>
                      <m:rPr>
                        <m:nor/>
                      </m:rPr>
                      <m:t>asc</m:t>
                    </m:r>
                  </m:sup>
                </m:sSubSup>
                <m:r>
                  <m:t> </m:t>
                </m:r>
                <m:sSub>
                  <m:e>
                    <m:r>
                      <m:t>u</m:t>
                    </m:r>
                  </m:e>
                  <m:sub>
                    <m:r>
                      <m:t>z</m:t>
                    </m:r>
                  </m:sub>
                </m:sSub>
                <m:r>
                  <m:t> </m:t>
                </m:r>
                <m:r>
                  <m:rPr>
                    <m:nor/>
                  </m:rPr>
                  <m:t> and </m:t>
                </m:r>
                <m:r>
                  <m:t> </m:t>
                </m:r>
                <m:sSubSup>
                  <m:e>
                    <m:r>
                      <m:t>d</m:t>
                    </m:r>
                  </m:e>
                  <m:sub>
                    <m:r>
                      <m:rPr>
                        <m:nor/>
                      </m:rPr>
                      <m:t>LOS</m:t>
                    </m:r>
                  </m:sub>
                  <m:sup>
                    <m:r>
                      <m:rPr>
                        <m:nor/>
                      </m:rPr>
                      <m:t>dsc</m:t>
                    </m:r>
                  </m:sup>
                </m:sSubSup>
                <m:r>
                  <m:rPr>
                    <m:sty m:val="p"/>
                  </m:rPr>
                  <m:t>=</m:t>
                </m:r>
                <m:sSubSup>
                  <m:e>
                    <m:r>
                      <m:t>n</m:t>
                    </m:r>
                  </m:e>
                  <m:sub>
                    <m:r>
                      <m:t>E</m:t>
                    </m:r>
                  </m:sub>
                  <m:sup>
                    <m:r>
                      <m:rPr>
                        <m:nor/>
                      </m:rPr>
                      <m:t>dsc</m:t>
                    </m:r>
                  </m:sup>
                </m:sSubSup>
                <m:r>
                  <m:t> </m:t>
                </m:r>
                <m:sSub>
                  <m:e>
                    <m:r>
                      <m:t>u</m:t>
                    </m:r>
                  </m:e>
                  <m:sub>
                    <m:r>
                      <m:t>E</m:t>
                    </m:r>
                  </m:sub>
                </m:sSub>
                <m:r>
                  <m:rPr>
                    <m:sty m:val="p"/>
                  </m:rPr>
                  <m:t>+</m:t>
                </m:r>
                <m:sSubSup>
                  <m:e>
                    <m:r>
                      <m:t>n</m:t>
                    </m:r>
                  </m:e>
                  <m:sub>
                    <m:r>
                      <m:t>U</m:t>
                    </m:r>
                  </m:sub>
                  <m:sup>
                    <m:r>
                      <m:rPr>
                        <m:nor/>
                      </m:rPr>
                      <m:t>dsc</m:t>
                    </m:r>
                  </m:sup>
                </m:sSubSup>
                <m:r>
                  <m:t> </m:t>
                </m:r>
                <m:sSub>
                  <m:e>
                    <m:r>
                      <m:t>u</m:t>
                    </m:r>
                  </m:e>
                  <m:sub>
                    <m:r>
                      <m:t>z</m:t>
                    </m:r>
                  </m:sub>
                </m:sSub>
              </m:oMath>
            </m:oMathPara>
          </w:p>
        </w:tc>
        <w:tc>
          <w:tcPr>
            <w:tcW w:type="dxa" w:w="794"/>
            <w:vAlign w:val="center"/>
          </w:tcPr>
          <w:p>
            <w:pPr>
              <w:jc w:val="right"/>
            </w:pPr>
            <w:r>
              <w:rPr>
                <w:rFonts w:ascii="Arial" w:hAnsi="Arial" w:eastAsia="Arial"/>
                <w:b w:val="0"/>
                <w:i w:val="0"/>
                <w:sz w:val="22"/>
              </w:rPr>
              <w:t>(1)</w:t>
            </w:r>
          </w:p>
        </w:tc>
      </w:tr>
    </w:tbl>
    <w:p>
      <w:pPr>
        <w:spacing w:after="80" w:before="0"/>
        <w:jc w:val="both"/>
      </w:pPr>
      <w:r>
        <w:rPr>
          <w:rFonts w:ascii="Arial" w:hAnsi="Arial" w:eastAsia="Arial"/>
          <w:b/>
          <w:i w:val="0"/>
          <w:sz w:val="22"/>
        </w:rPr>
        <w:t>Trajectory model.</w:t>
      </w:r>
      <w:r>
        <w:rPr>
          <w:rFonts w:ascii="Arial" w:hAnsi="Arial" w:eastAsia="Arial"/>
          <w:b w:val="0"/>
          <w:i w:val="0"/>
          <w:sz w:val="22"/>
        </w:rPr>
        <w:t xml:space="preserve"> At every point and GNSS station the vertical motion is fitted with a trend, a seasonal term, the 2019 coseismic step and a postseismic transient, with </w:t>
      </w:r>
      <m:oMath>
        <m:r>
          <w:rPr>
            <w:sz w:val="22"/>
            <w:szCs w:val="22"/>
          </w:rPr>
          <m:t>H</m:t>
        </m:r>
      </m:oMath>
      <w:r>
        <w:rPr>
          <w:rFonts w:ascii="Arial" w:hAnsi="Arial" w:eastAsia="Arial"/>
          <w:b w:val="0"/>
          <w:i w:val="0"/>
          <w:sz w:val="22"/>
        </w:rPr>
        <w:t xml:space="preserve"> the step function and </w:t>
      </w:r>
      <m:oMath>
        <m:sSub>
          <m:e>
            <m:r>
              <w:rPr>
                <w:sz w:val="22"/>
                <w:szCs w:val="22"/>
              </w:rPr>
              <m:t>t</m:t>
            </m:r>
          </m:e>
          <m:sub>
            <m:r>
              <m:rPr>
                <m:nor/>
              </m:rPr>
              <w:rPr>
                <w:sz w:val="22"/>
                <w:szCs w:val="22"/>
              </w:rPr>
              <m:t>eq</m:t>
            </m:r>
          </m:sub>
        </m:sSub>
      </m:oMath>
      <w:r>
        <w:rPr>
          <w:rFonts w:ascii="Arial" w:hAnsi="Arial" w:eastAsia="Arial"/>
          <w:b w:val="0"/>
          <w:i w:val="0"/>
          <w:sz w:val="22"/>
        </w:rPr>
        <w:t xml:space="preserve"> the date of the 26 November 2019 earthquake:</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u</m:t>
                    </m:r>
                  </m:e>
                  <m:sub>
                    <m:r>
                      <m:t>z</m:t>
                    </m:r>
                  </m:sub>
                </m:sSub>
                <m:d>
                  <m:dPr>
                    <m:begChr m:val="("/>
                    <m:sepChr m:val=""/>
                    <m:endChr m:val=")"/>
                    <m:grow/>
                  </m:dPr>
                  <m:e>
                    <m:r>
                      <m:t>t</m:t>
                    </m:r>
                  </m:e>
                </m:d>
                <m:r>
                  <m:rPr>
                    <m:sty m:val="p"/>
                  </m:rPr>
                  <m:t>=</m:t>
                </m:r>
                <m:sSub>
                  <m:e>
                    <m:r>
                      <m:t>u</m:t>
                    </m:r>
                  </m:e>
                  <m:sub>
                    <m:r>
                      <m:t>0</m:t>
                    </m:r>
                  </m:sub>
                </m:sSub>
                <m:r>
                  <m:rPr>
                    <m:sty m:val="p"/>
                  </m:rPr>
                  <m:t>+</m:t>
                </m:r>
                <m:r>
                  <m:t>v</m:t>
                </m:r>
                <m:r>
                  <m:t> </m:t>
                </m:r>
                <m:r>
                  <m:t>t</m:t>
                </m:r>
                <m:r>
                  <m:rPr>
                    <m:sty m:val="p"/>
                  </m:rPr>
                  <m:t>+</m:t>
                </m:r>
                <m:r>
                  <m:t>A</m:t>
                </m:r>
                <m:r>
                  <m:rPr>
                    <m:sty m:val="p"/>
                  </m:rPr>
                  <m:t>sin</m:t>
                </m:r>
                <m:d>
                  <m:dPr>
                    <m:begChr m:val="("/>
                    <m:sepChr m:val=""/>
                    <m:endChr m:val=")"/>
                    <m:grow/>
                  </m:dPr>
                  <m:e>
                    <m:f>
                      <m:fPr>
                        <m:type m:val="bar"/>
                      </m:fPr>
                      <m:num>
                        <m:r>
                          <m:t>2</m:t>
                        </m:r>
                        <m:r>
                          <m:t>π</m:t>
                        </m:r>
                        <m:r>
                          <m:t>t</m:t>
                        </m:r>
                      </m:num>
                      <m:den>
                        <m:sSub>
                          <m:e>
                            <m:r>
                              <m:t>T</m:t>
                            </m:r>
                          </m:e>
                          <m:sub>
                            <m:r>
                              <m:rPr>
                                <m:nor/>
                              </m:rPr>
                              <m:t>yr</m:t>
                            </m:r>
                          </m:sub>
                        </m:sSub>
                      </m:den>
                    </m:f>
                    <m:r>
                      <m:rPr>
                        <m:sty m:val="p"/>
                      </m:rPr>
                      <m:t>+</m:t>
                    </m:r>
                    <m:r>
                      <m:t>ϕ</m:t>
                    </m:r>
                  </m:e>
                </m:d>
                <m:r>
                  <m:rPr>
                    <m:sty m:val="p"/>
                  </m:rPr>
                  <m:t>+</m:t>
                </m:r>
                <m:d>
                  <m:dPr>
                    <m:begChr m:val="["/>
                    <m:sepChr m:val=""/>
                    <m:endChr m:val="]"/>
                    <m:grow/>
                  </m:dPr>
                  <m:e>
                    <m:sSub>
                      <m:e>
                        <m:r>
                          <m:t>Δ</m:t>
                        </m:r>
                      </m:e>
                      <m:sub>
                        <m:r>
                          <m:rPr>
                            <m:nor/>
                          </m:rPr>
                          <m:t>eq</m:t>
                        </m:r>
                      </m:sub>
                    </m:sSub>
                    <m:r>
                      <m:rPr>
                        <m:sty m:val="p"/>
                      </m:rPr>
                      <m:t>+</m:t>
                    </m:r>
                    <m:r>
                      <m:t>P</m:t>
                    </m:r>
                    <m:r>
                      <m:rPr>
                        <m:sty m:val="p"/>
                      </m:rPr>
                      <m:t>ln</m:t>
                    </m:r>
                    <m:d>
                      <m:dPr>
                        <m:begChr m:val="("/>
                        <m:sepChr m:val=""/>
                        <m:endChr m:val=")"/>
                        <m:grow/>
                      </m:dPr>
                      <m:e>
                        <m:r>
                          <m:t>1</m:t>
                        </m:r>
                        <m:r>
                          <m:rPr>
                            <m:sty m:val="p"/>
                          </m:rPr>
                          <m:t>+</m:t>
                        </m:r>
                        <m:f>
                          <m:fPr>
                            <m:type m:val="bar"/>
                          </m:fPr>
                          <m:num>
                            <m:r>
                              <m:t>t</m:t>
                            </m:r>
                            <m:r>
                              <m:rPr>
                                <m:sty m:val="p"/>
                              </m:rPr>
                              <m:t>−</m:t>
                            </m:r>
                            <m:sSub>
                              <m:e>
                                <m:r>
                                  <m:t>t</m:t>
                                </m:r>
                              </m:e>
                              <m:sub>
                                <m:r>
                                  <m:rPr>
                                    <m:nor/>
                                  </m:rPr>
                                  <m:t>eq</m:t>
                                </m:r>
                              </m:sub>
                            </m:sSub>
                          </m:num>
                          <m:den>
                            <m:sSub>
                              <m:e>
                                <m:r>
                                  <m:t>τ</m:t>
                                </m:r>
                              </m:e>
                              <m:sub>
                                <m:r>
                                  <m:t>p</m:t>
                                </m:r>
                              </m:sub>
                            </m:sSub>
                          </m:den>
                        </m:f>
                      </m:e>
                    </m:d>
                  </m:e>
                </m:d>
                <m:r>
                  <m:t>H</m:t>
                </m:r>
                <m:d>
                  <m:dPr>
                    <m:begChr m:val="("/>
                    <m:sepChr m:val=""/>
                    <m:endChr m:val=")"/>
                    <m:grow/>
                  </m:dPr>
                  <m:e>
                    <m:r>
                      <m:t>t</m:t>
                    </m:r>
                    <m:r>
                      <m:rPr>
                        <m:sty m:val="p"/>
                      </m:rPr>
                      <m:t>−</m:t>
                    </m:r>
                    <m:sSub>
                      <m:e>
                        <m:r>
                          <m:t>t</m:t>
                        </m:r>
                      </m:e>
                      <m:sub>
                        <m:r>
                          <m:rPr>
                            <m:nor/>
                          </m:rPr>
                          <m:t>eq</m:t>
                        </m:r>
                      </m:sub>
                    </m:sSub>
                  </m:e>
                </m:d>
              </m:oMath>
            </m:oMathPara>
          </w:p>
        </w:tc>
        <w:tc>
          <w:tcPr>
            <w:tcW w:type="dxa" w:w="794"/>
            <w:vAlign w:val="center"/>
          </w:tcPr>
          <w:p>
            <w:pPr>
              <w:jc w:val="right"/>
            </w:pPr>
            <w:r>
              <w:rPr>
                <w:rFonts w:ascii="Arial" w:hAnsi="Arial" w:eastAsia="Arial"/>
                <w:b w:val="0"/>
                <w:i w:val="0"/>
                <w:sz w:val="22"/>
              </w:rPr>
              <w:t>(2)</w:t>
            </w:r>
          </w:p>
        </w:tc>
      </w:tr>
    </w:tbl>
    <w:p>
      <w:pPr>
        <w:spacing w:after="80" w:before="0"/>
        <w:jc w:val="both"/>
      </w:pPr>
      <w:r>
        <w:rPr>
          <w:rFonts w:ascii="Arial" w:hAnsi="Arial" w:eastAsia="Arial"/>
          <w:b w:val="0"/>
          <w:i w:val="0"/>
          <w:sz w:val="22"/>
        </w:rPr>
        <w:t>Corner reflectors at the assets (T1.2) give stable radar targets on soft ground, and GNSS ties the InSAR solution to a global frame.</w:t>
      </w:r>
    </w:p>
    <w:p>
      <w:pPr>
        <w:spacing w:after="80" w:before="0"/>
        <w:jc w:val="both"/>
      </w:pPr>
      <w:r>
        <w:rPr>
          <w:rFonts w:ascii="Arial" w:hAnsi="Arial" w:eastAsia="Arial"/>
          <w:b/>
          <w:i w:val="0"/>
          <w:sz w:val="22"/>
        </w:rPr>
        <w:t>Relative sea level at each asset.</w:t>
      </w:r>
      <w:r>
        <w:rPr>
          <w:rFonts w:ascii="Arial" w:hAnsi="Arial" w:eastAsia="Arial"/>
          <w:b w:val="0"/>
          <w:i w:val="0"/>
          <w:sz w:val="22"/>
        </w:rPr>
        <w:t xml:space="preserve"> The tide gauge records sea level </w:t>
      </w:r>
      <m:oMath>
        <m:sSub>
          <m:e>
            <m:r>
              <w:rPr>
                <w:sz w:val="22"/>
                <w:szCs w:val="22"/>
              </w:rPr>
              <m:t>η</m:t>
            </m:r>
          </m:e>
          <m:sub>
            <m:r>
              <m:rPr>
                <m:nor/>
              </m:rPr>
              <w:rPr>
                <w:sz w:val="22"/>
                <w:szCs w:val="22"/>
              </w:rPr>
              <m:t>TG</m:t>
            </m:r>
          </m:sub>
        </m:sSub>
        <m:d>
          <m:dPr>
            <m:begChr m:val="("/>
            <m:sepChr m:val=""/>
            <m:endChr m:val=")"/>
            <m:grow/>
          </m:dPr>
          <m:e>
            <m:r>
              <w:rPr>
                <w:sz w:val="22"/>
                <w:szCs w:val="22"/>
              </w:rPr>
              <m:t>t</m:t>
            </m:r>
          </m:e>
        </m:d>
      </m:oMath>
      <w:r>
        <w:rPr>
          <w:rFonts w:ascii="Arial" w:hAnsi="Arial" w:eastAsia="Arial"/>
          <w:b w:val="0"/>
          <w:i w:val="0"/>
          <w:sz w:val="22"/>
        </w:rPr>
        <w:t xml:space="preserve"> relative to its own benchmark, which also moves. The relative sea level at asset </w:t>
      </w:r>
      <m:oMath>
        <m:r>
          <w:rPr>
            <w:sz w:val="22"/>
            <w:szCs w:val="22"/>
          </w:rPr>
          <m:t>a</m:t>
        </m:r>
      </m:oMath>
      <w:r>
        <w:rPr>
          <w:rFonts w:ascii="Arial" w:hAnsi="Arial" w:eastAsia="Arial"/>
          <w:b w:val="0"/>
          <w:i w:val="0"/>
          <w:sz w:val="22"/>
        </w:rPr>
        <w:t xml:space="preserve"> adds the differential land motion between the gauge and the asset: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R</m:t>
                    </m:r>
                  </m:e>
                  <m:sub>
                    <m:r>
                      <m:t>a</m:t>
                    </m:r>
                  </m:sub>
                </m:sSub>
                <m:d>
                  <m:dPr>
                    <m:begChr m:val="("/>
                    <m:sepChr m:val=""/>
                    <m:endChr m:val=")"/>
                    <m:grow/>
                  </m:dPr>
                  <m:e>
                    <m:r>
                      <m:t>t</m:t>
                    </m:r>
                  </m:e>
                </m:d>
                <m:r>
                  <m:rPr>
                    <m:sty m:val="p"/>
                  </m:rPr>
                  <m:t>=</m:t>
                </m:r>
                <m:sSub>
                  <m:e>
                    <m:r>
                      <m:t>η</m:t>
                    </m:r>
                  </m:e>
                  <m:sub>
                    <m:r>
                      <m:rPr>
                        <m:nor/>
                      </m:rPr>
                      <m:t>TG</m:t>
                    </m:r>
                  </m:sub>
                </m:sSub>
                <m:d>
                  <m:dPr>
                    <m:begChr m:val="("/>
                    <m:sepChr m:val=""/>
                    <m:endChr m:val=")"/>
                    <m:grow/>
                  </m:dPr>
                  <m:e>
                    <m:r>
                      <m:t>t</m:t>
                    </m:r>
                  </m:e>
                </m:d>
                <m:r>
                  <m:rPr>
                    <m:sty m:val="p"/>
                  </m:rPr>
                  <m:t>+</m:t>
                </m:r>
                <m:sSubSup>
                  <m:e>
                    <m:r>
                      <m:t>u</m:t>
                    </m:r>
                  </m:e>
                  <m:sub>
                    <m:r>
                      <m:t>z</m:t>
                    </m:r>
                  </m:sub>
                  <m:sup>
                    <m:r>
                      <m:rPr>
                        <m:nor/>
                      </m:rPr>
                      <m:t>TG</m:t>
                    </m:r>
                  </m:sup>
                </m:sSubSup>
                <m:d>
                  <m:dPr>
                    <m:begChr m:val="("/>
                    <m:sepChr m:val=""/>
                    <m:endChr m:val=")"/>
                    <m:grow/>
                  </m:dPr>
                  <m:e>
                    <m:r>
                      <m:t>t</m:t>
                    </m:r>
                  </m:e>
                </m:d>
                <m:r>
                  <m:rPr>
                    <m:sty m:val="p"/>
                  </m:rPr>
                  <m:t>−</m:t>
                </m:r>
                <m:sSubSup>
                  <m:e>
                    <m:r>
                      <m:t>u</m:t>
                    </m:r>
                  </m:e>
                  <m:sub>
                    <m:r>
                      <m:t>z</m:t>
                    </m:r>
                  </m:sub>
                  <m:sup>
                    <m:r>
                      <m:t>a</m:t>
                    </m:r>
                  </m:sup>
                </m:sSubSup>
                <m:d>
                  <m:dPr>
                    <m:begChr m:val="("/>
                    <m:sepChr m:val=""/>
                    <m:endChr m:val=")"/>
                    <m:grow/>
                  </m:dPr>
                  <m:e>
                    <m:r>
                      <m:t>t</m:t>
                    </m:r>
                  </m:e>
                </m:d>
              </m:oMath>
            </m:oMathPara>
          </w:p>
        </w:tc>
        <w:tc>
          <w:tcPr>
            <w:tcW w:type="dxa" w:w="794"/>
            <w:vAlign w:val="center"/>
          </w:tcPr>
          <w:p>
            <w:pPr>
              <w:jc w:val="right"/>
            </w:pPr>
            <w:r>
              <w:rPr>
                <w:rFonts w:ascii="Arial" w:hAnsi="Arial" w:eastAsia="Arial"/>
                <w:b w:val="0"/>
                <w:i w:val="0"/>
                <w:sz w:val="22"/>
              </w:rPr>
              <w:t>(3)</w:t>
            </w:r>
          </w:p>
        </w:tc>
      </w:tr>
    </w:tbl>
    <w:p>
      <w:pPr>
        <w:spacing w:after="80" w:before="0"/>
        <w:jc w:val="both"/>
      </w:pPr>
      <w:r>
        <w:rPr>
          <w:rFonts w:ascii="Arial" w:hAnsi="Arial" w:eastAsia="Arial"/>
          <w:b w:val="0"/>
          <w:i w:val="0"/>
          <w:sz w:val="22"/>
        </w:rPr>
        <w:t>It is propagated with its full covariance; the target is a vertical-velocity uncertainty of the order of 1–2 mm/yr at asset points.</w:t>
      </w:r>
    </w:p>
    <w:p>
      <w:pPr>
        <w:spacing w:after="80" w:before="0"/>
        <w:jc w:val="both"/>
      </w:pPr>
      <w:r>
        <w:rPr>
          <w:rFonts w:ascii="Arial" w:hAnsi="Arial" w:eastAsia="Arial"/>
          <w:b/>
          <w:i w:val="0"/>
          <w:sz w:val="22"/>
        </w:rPr>
        <w:t>Elastic and inelastic compaction.</w:t>
      </w:r>
      <w:r>
        <w:rPr>
          <w:rFonts w:ascii="Arial" w:hAnsi="Arial" w:eastAsia="Arial"/>
          <w:b w:val="0"/>
          <w:i w:val="0"/>
          <w:sz w:val="22"/>
        </w:rPr>
        <w:t xml:space="preserve"> The aquifer system compacts reversibly while the head stays above the preconsolidation head </w:t>
      </w:r>
      <m:oMath>
        <m:sSub>
          <m:e>
            <m:r>
              <w:rPr>
                <w:sz w:val="22"/>
                <w:szCs w:val="22"/>
              </w:rPr>
              <m:t>h</m:t>
            </m:r>
          </m:e>
          <m:sub>
            <m:r>
              <m:rPr>
                <m:nor/>
              </m:rPr>
              <w:rPr>
                <w:sz w:val="22"/>
                <w:szCs w:val="22"/>
              </w:rPr>
              <m:t>pc</m:t>
            </m:r>
          </m:sub>
        </m:sSub>
      </m:oMath>
      <w:r>
        <w:rPr>
          <w:rFonts w:ascii="Arial" w:hAnsi="Arial" w:eastAsia="Arial"/>
          <w:b w:val="0"/>
          <w:i w:val="0"/>
          <w:sz w:val="22"/>
        </w:rPr>
        <w:t xml:space="preserve">, the lowest head it has experienced, and permanently below it, with </w:t>
      </w:r>
      <m:oMath>
        <m:sSub>
          <m:e>
            <m:r>
              <w:rPr>
                <w:sz w:val="22"/>
                <w:szCs w:val="22"/>
              </w:rPr>
              <m:t>S</m:t>
            </m:r>
          </m:e>
          <m:sub>
            <m:r>
              <m:rPr>
                <m:nor/>
              </m:rPr>
              <w:rPr>
                <w:sz w:val="22"/>
                <w:szCs w:val="22"/>
              </w:rPr>
              <m:t>kv</m:t>
            </m:r>
          </m:sub>
        </m:sSub>
        <m:r>
          <m:rPr>
            <m:sty m:val="p"/>
          </m:rPr>
          <w:rPr>
            <w:sz w:val="22"/>
            <w:szCs w:val="22"/>
          </w:rPr>
          <m:t>≫</m:t>
        </m:r>
        <m:sSub>
          <m:e>
            <m:r>
              <w:rPr>
                <w:sz w:val="22"/>
                <w:szCs w:val="22"/>
              </w:rPr>
              <m:t>S</m:t>
            </m:r>
          </m:e>
          <m:sub>
            <m:r>
              <m:rPr>
                <m:nor/>
              </m:rPr>
              <w:rPr>
                <w:sz w:val="22"/>
                <w:szCs w:val="22"/>
              </w:rPr>
              <m:t>ke</m:t>
            </m:r>
          </m:sub>
        </m:sSub>
      </m:oMath>
      <w:r>
        <w:rPr>
          <w:rFonts w:ascii="Arial" w:hAnsi="Arial" w:eastAsia="Arial"/>
          <w:b w:val="0"/>
          <w:i w:val="0"/>
          <w:sz w:val="22"/>
        </w:rPr>
        <w:t xml:space="preserve"> and </w:t>
      </w:r>
      <m:oMath>
        <m:sSub>
          <m:e>
            <m:r>
              <w:rPr>
                <w:sz w:val="22"/>
                <w:szCs w:val="22"/>
              </w:rPr>
              <m:t>u</m:t>
            </m:r>
          </m:e>
          <m:sub>
            <m:r>
              <w:rPr>
                <w:sz w:val="22"/>
                <w:szCs w:val="22"/>
              </w:rPr>
              <m:t>z</m:t>
            </m:r>
          </m:sub>
        </m:sSub>
        <m:r>
          <m:rPr>
            <m:sty m:val="p"/>
          </m:rPr>
          <w:rPr>
            <w:sz w:val="22"/>
            <w:szCs w:val="22"/>
          </w:rPr>
          <m:t>=</m:t>
        </m:r>
        <m:r>
          <m:rPr>
            <m:sty m:val="p"/>
          </m:rPr>
          <w:rPr>
            <w:sz w:val="22"/>
            <w:szCs w:val="22"/>
          </w:rPr>
          <m:t>−</m:t>
        </m:r>
        <m:r>
          <w:rPr>
            <w:sz w:val="22"/>
            <w:szCs w:val="22"/>
          </w:rPr>
          <m:t>Δ</m:t>
        </m:r>
        <m:r>
          <w:rPr>
            <w:sz w:val="22"/>
            <w:szCs w:val="22"/>
          </w:rPr>
          <m:t>b</m:t>
        </m:r>
      </m:oMath>
      <w:r>
        <w:rPr>
          <w:rFonts w:ascii="Arial" w:hAnsi="Arial" w:eastAsia="Arial"/>
          <w:b w:val="0"/>
          <w:i w:val="0"/>
          <w:sz w:val="22"/>
        </w:rPr>
        <w: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r>
                  <m:t>Δ</m:t>
                </m:r>
                <m:r>
                  <m:t>b</m:t>
                </m:r>
                <m:d>
                  <m:dPr>
                    <m:begChr m:val="("/>
                    <m:sepChr m:val=""/>
                    <m:endChr m:val=")"/>
                    <m:grow/>
                  </m:dPr>
                  <m:e>
                    <m:r>
                      <m:t>t</m:t>
                    </m:r>
                  </m:e>
                </m:d>
                <m:r>
                  <m:rPr>
                    <m:sty m:val="p"/>
                  </m:rPr>
                  <m:t>=</m:t>
                </m:r>
                <m:d>
                  <m:dPr>
                    <m:begChr m:val="{"/>
                    <m:sepChr m:val=""/>
                    <m:endChr m:val=""/>
                    <m:grow/>
                  </m:dPr>
                  <m:e>
                    <m:m>
                      <m:mPr>
                        <m:baseJc m:val="center"/>
                        <m:plcHide m:val="on"/>
                        <m:mcs>
                          <m:mc>
                            <m:mcPr>
                              <m:count m:val="1"/>
                              <m:mcJc m:val="left"/>
                            </m:mcPr>
                          </m:mc>
                          <m:mc>
                            <m:mcPr>
                              <m:count m:val="1"/>
                              <m:mcJc m:val="left"/>
                            </m:mcPr>
                          </m:mc>
                        </m:mcs>
                      </m:mPr>
                      <m:mr>
                        <m:e>
                          <m:sSub>
                            <m:e>
                              <m:r>
                                <m:t>S</m:t>
                              </m:r>
                            </m:e>
                            <m:sub>
                              <m:r>
                                <m:rPr>
                                  <m:nor/>
                                </m:rPr>
                                <m:t>ke</m:t>
                              </m:r>
                            </m:sub>
                          </m:sSub>
                          <m:r>
                            <m:t> </m:t>
                          </m:r>
                          <m:d>
                            <m:dPr>
                              <m:begChr m:val="["/>
                              <m:sepChr m:val=""/>
                              <m:endChr m:val="]"/>
                              <m:grow/>
                            </m:dPr>
                            <m:e>
                              <m:sSub>
                                <m:e>
                                  <m:r>
                                    <m:t>h</m:t>
                                  </m:r>
                                </m:e>
                                <m:sub>
                                  <m:r>
                                    <m:t>0</m:t>
                                  </m:r>
                                </m:sub>
                              </m:sSub>
                              <m:r>
                                <m:rPr>
                                  <m:sty m:val="p"/>
                                </m:rPr>
                                <m:t>−</m:t>
                              </m:r>
                              <m:r>
                                <m:t>h</m:t>
                              </m:r>
                              <m:d>
                                <m:dPr>
                                  <m:begChr m:val="("/>
                                  <m:sepChr m:val=""/>
                                  <m:endChr m:val=")"/>
                                  <m:grow/>
                                </m:dPr>
                                <m:e>
                                  <m:r>
                                    <m:t>t</m:t>
                                  </m:r>
                                </m:e>
                              </m:d>
                            </m:e>
                          </m:d>
                          <m:r>
                            <m:rPr>
                              <m:sty m:val="p"/>
                            </m:rPr>
                            <m:t>,</m:t>
                          </m:r>
                        </m:e>
                        <m:e>
                          <m:r>
                            <m:t>h</m:t>
                          </m:r>
                          <m:d>
                            <m:dPr>
                              <m:begChr m:val="("/>
                              <m:sepChr m:val=""/>
                              <m:endChr m:val=")"/>
                              <m:grow/>
                            </m:dPr>
                            <m:e>
                              <m:r>
                                <m:t>t</m:t>
                              </m:r>
                            </m:e>
                          </m:d>
                          <m:r>
                            <m:rPr>
                              <m:sty m:val="p"/>
                            </m:rPr>
                            <m:t>≥</m:t>
                          </m:r>
                          <m:sSub>
                            <m:e>
                              <m:r>
                                <m:t>h</m:t>
                              </m:r>
                            </m:e>
                            <m:sub>
                              <m:r>
                                <m:rPr>
                                  <m:nor/>
                                </m:rPr>
                                <m:t>pc</m:t>
                              </m:r>
                            </m:sub>
                          </m:sSub>
                          <m:d>
                            <m:dPr>
                              <m:begChr m:val="("/>
                              <m:sepChr m:val=""/>
                              <m:endChr m:val=")"/>
                              <m:grow/>
                            </m:dPr>
                            <m:e>
                              <m:r>
                                <m:t>t</m:t>
                              </m:r>
                            </m:e>
                          </m:d>
                        </m:e>
                      </m:mr>
                      <m:mr>
                        <m:e>
                          <m:sSub>
                            <m:e>
                              <m:r>
                                <m:t>S</m:t>
                              </m:r>
                            </m:e>
                            <m:sub>
                              <m:r>
                                <m:rPr>
                                  <m:nor/>
                                </m:rPr>
                                <m:t>ke</m:t>
                              </m:r>
                            </m:sub>
                          </m:sSub>
                          <m:r>
                            <m:t> </m:t>
                          </m:r>
                          <m:d>
                            <m:dPr>
                              <m:begChr m:val="["/>
                              <m:sepChr m:val=""/>
                              <m:endChr m:val="]"/>
                              <m:grow/>
                            </m:dPr>
                            <m:e>
                              <m:sSub>
                                <m:e>
                                  <m:r>
                                    <m:t>h</m:t>
                                  </m:r>
                                </m:e>
                                <m:sub>
                                  <m:r>
                                    <m:t>0</m:t>
                                  </m:r>
                                </m:sub>
                              </m:sSub>
                              <m:r>
                                <m:rPr>
                                  <m:sty m:val="p"/>
                                </m:rPr>
                                <m:t>−</m:t>
                              </m:r>
                              <m:sSub>
                                <m:e>
                                  <m:r>
                                    <m:t>h</m:t>
                                  </m:r>
                                </m:e>
                                <m:sub>
                                  <m:r>
                                    <m:rPr>
                                      <m:nor/>
                                    </m:rPr>
                                    <m:t>pc</m:t>
                                  </m:r>
                                </m:sub>
                              </m:sSub>
                              <m:d>
                                <m:dPr>
                                  <m:begChr m:val="("/>
                                  <m:sepChr m:val=""/>
                                  <m:endChr m:val=")"/>
                                  <m:grow/>
                                </m:dPr>
                                <m:e>
                                  <m:r>
                                    <m:t>t</m:t>
                                  </m:r>
                                </m:e>
                              </m:d>
                            </m:e>
                          </m:d>
                          <m:r>
                            <m:rPr>
                              <m:sty m:val="p"/>
                            </m:rPr>
                            <m:t>+</m:t>
                          </m:r>
                          <m:sSub>
                            <m:e>
                              <m:r>
                                <m:t>S</m:t>
                              </m:r>
                            </m:e>
                            <m:sub>
                              <m:r>
                                <m:rPr>
                                  <m:nor/>
                                </m:rPr>
                                <m:t>kv</m:t>
                              </m:r>
                            </m:sub>
                          </m:sSub>
                          <m:r>
                            <m:t> </m:t>
                          </m:r>
                          <m:d>
                            <m:dPr>
                              <m:begChr m:val="["/>
                              <m:sepChr m:val=""/>
                              <m:endChr m:val="]"/>
                              <m:grow/>
                            </m:dPr>
                            <m:e>
                              <m:sSub>
                                <m:e>
                                  <m:r>
                                    <m:t>h</m:t>
                                  </m:r>
                                </m:e>
                                <m:sub>
                                  <m:r>
                                    <m:rPr>
                                      <m:nor/>
                                    </m:rPr>
                                    <m:t>pc</m:t>
                                  </m:r>
                                </m:sub>
                              </m:sSub>
                              <m:d>
                                <m:dPr>
                                  <m:begChr m:val="("/>
                                  <m:sepChr m:val=""/>
                                  <m:endChr m:val=")"/>
                                  <m:grow/>
                                </m:dPr>
                                <m:e>
                                  <m:r>
                                    <m:t>t</m:t>
                                  </m:r>
                                </m:e>
                              </m:d>
                              <m:r>
                                <m:rPr>
                                  <m:sty m:val="p"/>
                                </m:rPr>
                                <m:t>−</m:t>
                              </m:r>
                              <m:r>
                                <m:t>h</m:t>
                              </m:r>
                              <m:d>
                                <m:dPr>
                                  <m:begChr m:val="("/>
                                  <m:sepChr m:val=""/>
                                  <m:endChr m:val=")"/>
                                  <m:grow/>
                                </m:dPr>
                                <m:e>
                                  <m:r>
                                    <m:t>t</m:t>
                                  </m:r>
                                </m:e>
                              </m:d>
                            </m:e>
                          </m:d>
                          <m:r>
                            <m:rPr>
                              <m:sty m:val="p"/>
                            </m:rPr>
                            <m:t>,</m:t>
                          </m:r>
                        </m:e>
                        <m:e>
                          <m:r>
                            <m:t>h</m:t>
                          </m:r>
                          <m:d>
                            <m:dPr>
                              <m:begChr m:val="("/>
                              <m:sepChr m:val=""/>
                              <m:endChr m:val=")"/>
                              <m:grow/>
                            </m:dPr>
                            <m:e>
                              <m:r>
                                <m:t>t</m:t>
                              </m:r>
                            </m:e>
                          </m:d>
                          <m:r>
                            <m:rPr>
                              <m:sty m:val="p"/>
                            </m:rPr>
                            <m:t>&lt;</m:t>
                          </m:r>
                          <m:sSub>
                            <m:e>
                              <m:r>
                                <m:t>h</m:t>
                              </m:r>
                            </m:e>
                            <m:sub>
                              <m:r>
                                <m:rPr>
                                  <m:nor/>
                                </m:rPr>
                                <m:t>pc</m:t>
                              </m:r>
                            </m:sub>
                          </m:sSub>
                          <m:d>
                            <m:dPr>
                              <m:begChr m:val="("/>
                              <m:sepChr m:val=""/>
                              <m:endChr m:val=")"/>
                              <m:grow/>
                            </m:dPr>
                            <m:e>
                              <m:r>
                                <m:t>t</m:t>
                              </m:r>
                            </m:e>
                          </m:d>
                        </m:e>
                      </m:mr>
                    </m:m>
                  </m:e>
                </m:d>
              </m:oMath>
            </m:oMathPara>
          </w:p>
        </w:tc>
        <w:tc>
          <w:tcPr>
            <w:tcW w:type="dxa" w:w="794"/>
            <w:vAlign w:val="center"/>
          </w:tcPr>
          <w:p>
            <w:pPr>
              <w:jc w:val="right"/>
            </w:pPr>
            <w:r>
              <w:rPr>
                <w:rFonts w:ascii="Arial" w:hAnsi="Arial" w:eastAsia="Arial"/>
                <w:b w:val="0"/>
                <w:i w:val="0"/>
                <w:sz w:val="22"/>
              </w:rPr>
              <w:t>(4)</w:t>
            </w:r>
          </w:p>
        </w:tc>
      </w:tr>
    </w:tbl>
    <w:p>
      <w:pPr>
        <w:spacing w:after="80" w:before="0"/>
        <w:jc w:val="both"/>
      </w:pPr>
      <m:oMath>
        <m:sSub>
          <m:e>
            <m:r>
              <w:rPr>
                <w:sz w:val="22"/>
                <w:szCs w:val="22"/>
              </w:rPr>
              <m:t>S</m:t>
            </m:r>
          </m:e>
          <m:sub>
            <m:r>
              <m:rPr>
                <m:nor/>
              </m:rPr>
              <w:rPr>
                <w:sz w:val="22"/>
                <w:szCs w:val="22"/>
              </w:rPr>
              <m:t>ke</m:t>
            </m:r>
          </m:sub>
        </m:sSub>
      </m:oMath>
      <w:r>
        <w:rPr>
          <w:rFonts w:ascii="Arial" w:hAnsi="Arial" w:eastAsia="Arial"/>
          <w:b w:val="0"/>
          <w:i w:val="0"/>
          <w:sz w:val="22"/>
        </w:rPr>
        <w:t xml:space="preserve"> is estimated from the ratio of seasonal vertical motion to seasonal head change, and </w:t>
      </w:r>
      <m:oMath>
        <m:sSub>
          <m:e>
            <m:r>
              <w:rPr>
                <w:sz w:val="22"/>
                <w:szCs w:val="22"/>
              </w:rPr>
              <m:t>S</m:t>
            </m:r>
          </m:e>
          <m:sub>
            <m:r>
              <m:rPr>
                <m:nor/>
              </m:rPr>
              <w:rPr>
                <w:sz w:val="22"/>
                <w:szCs w:val="22"/>
              </w:rPr>
              <m:t>kv</m:t>
            </m:r>
          </m:sub>
        </m:sSub>
      </m:oMath>
      <w:r>
        <w:rPr>
          <w:rFonts w:ascii="Arial" w:hAnsi="Arial" w:eastAsia="Arial"/>
          <w:b w:val="0"/>
          <w:i w:val="0"/>
          <w:sz w:val="22"/>
        </w:rPr>
        <w:t xml:space="preserve"> and </w:t>
      </w:r>
      <m:oMath>
        <m:sSub>
          <m:e>
            <m:r>
              <w:rPr>
                <w:sz w:val="22"/>
                <w:szCs w:val="22"/>
              </w:rPr>
              <m:t>h</m:t>
            </m:r>
          </m:e>
          <m:sub>
            <m:r>
              <m:rPr>
                <m:nor/>
              </m:rPr>
              <w:rPr>
                <w:sz w:val="22"/>
                <w:szCs w:val="22"/>
              </w:rPr>
              <m:t>pc</m:t>
            </m:r>
          </m:sub>
        </m:sSub>
      </m:oMath>
      <w:r>
        <w:rPr>
          <w:rFonts w:ascii="Arial" w:hAnsi="Arial" w:eastAsia="Arial"/>
          <w:b w:val="0"/>
          <w:i w:val="0"/>
          <w:sz w:val="22"/>
        </w:rPr>
        <w:t xml:space="preserve"> from the long-term trend and the head history. Thick clay interbeds of thickness </w:t>
      </w:r>
      <m:oMath>
        <m:sSub>
          <m:e>
            <m:r>
              <w:rPr>
                <w:sz w:val="22"/>
                <w:szCs w:val="22"/>
              </w:rPr>
              <m:t>b</m:t>
            </m:r>
          </m:e>
          <m:sub>
            <m:r>
              <w:rPr>
                <w:sz w:val="22"/>
                <w:szCs w:val="22"/>
              </w:rPr>
              <m:t>0</m:t>
            </m:r>
          </m:sub>
        </m:sSub>
      </m:oMath>
      <w:r>
        <w:rPr>
          <w:rFonts w:ascii="Arial" w:hAnsi="Arial" w:eastAsia="Arial"/>
          <w:b w:val="0"/>
          <w:i w:val="0"/>
          <w:sz w:val="22"/>
        </w:rPr>
        <w:t xml:space="preserve"> drain slowly, with time constant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r>
                  <m:t>τ</m:t>
                </m:r>
                <m:r>
                  <m:rPr>
                    <m:sty m:val="p"/>
                  </m:rPr>
                  <m:t>=</m:t>
                </m:r>
                <m:f>
                  <m:fPr>
                    <m:type m:val="bar"/>
                  </m:fPr>
                  <m:num>
                    <m:sSub>
                      <m:e>
                        <m:r>
                          <m:t>S</m:t>
                        </m:r>
                      </m:e>
                      <m:sub>
                        <m:r>
                          <m:rPr>
                            <m:nor/>
                          </m:rPr>
                          <m:t>skv</m:t>
                        </m:r>
                      </m:sub>
                    </m:sSub>
                    <m:r>
                      <m:t> </m:t>
                    </m:r>
                    <m:sSup>
                      <m:e>
                        <m:d>
                          <m:dPr>
                            <m:begChr m:val="("/>
                            <m:sepChr m:val=""/>
                            <m:endChr m:val=")"/>
                            <m:grow/>
                          </m:dPr>
                          <m:e>
                            <m:sSub>
                              <m:e>
                                <m:r>
                                  <m:t>b</m:t>
                                </m:r>
                              </m:e>
                              <m:sub>
                                <m:r>
                                  <m:t>0</m:t>
                                </m:r>
                              </m:sub>
                            </m:sSub>
                            <m:r>
                              <m:rPr>
                                <m:sty m:val="p"/>
                              </m:rPr>
                              <m:t>/</m:t>
                            </m:r>
                            <m:r>
                              <m:t>2</m:t>
                            </m:r>
                          </m:e>
                        </m:d>
                      </m:e>
                      <m:sup>
                        <m:r>
                          <m:t>2</m:t>
                        </m:r>
                      </m:sup>
                    </m:sSup>
                  </m:num>
                  <m:den>
                    <m:sSub>
                      <m:e>
                        <m:r>
                          <m:t>K</m:t>
                        </m:r>
                      </m:e>
                      <m:sub>
                        <m:r>
                          <m:t>v</m:t>
                        </m:r>
                      </m:sub>
                    </m:sSub>
                  </m:den>
                </m:f>
              </m:oMath>
            </m:oMathPara>
          </w:p>
        </w:tc>
        <w:tc>
          <w:tcPr>
            <w:tcW w:type="dxa" w:w="794"/>
            <w:vAlign w:val="center"/>
          </w:tcPr>
          <w:p>
            <w:pPr>
              <w:jc w:val="right"/>
            </w:pPr>
            <w:r>
              <w:rPr>
                <w:rFonts w:ascii="Arial" w:hAnsi="Arial" w:eastAsia="Arial"/>
                <w:b w:val="0"/>
                <w:i w:val="0"/>
                <w:sz w:val="22"/>
              </w:rPr>
              <w:t>(5)</w:t>
            </w:r>
          </w:p>
        </w:tc>
      </w:tr>
    </w:tbl>
    <w:p>
      <w:pPr>
        <w:spacing w:after="80" w:before="0"/>
        <w:jc w:val="both"/>
      </w:pPr>
      <w:r>
        <w:rPr>
          <w:rFonts w:ascii="Arial" w:hAnsi="Arial" w:eastAsia="Arial"/>
          <w:b w:val="0"/>
          <w:i w:val="0"/>
          <w:sz w:val="22"/>
        </w:rPr>
        <w:t xml:space="preserve">so subsidence continues after heads recover; the lag is fitted from the InSAR record. The output is the head limit </w:t>
      </w:r>
      <m:oMath>
        <m:sSub>
          <m:e>
            <m:r>
              <w:rPr>
                <w:sz w:val="22"/>
                <w:szCs w:val="22"/>
              </w:rPr>
              <m:t>h</m:t>
            </m:r>
          </m:e>
          <m:sub>
            <m:r>
              <m:rPr>
                <m:nor/>
              </m:rPr>
              <w:rPr>
                <w:sz w:val="22"/>
                <w:szCs w:val="22"/>
              </w:rPr>
              <m:t>pc</m:t>
            </m:r>
          </m:sub>
        </m:sSub>
        <m:d>
          <m:dPr>
            <m:begChr m:val="("/>
            <m:sepChr m:val=""/>
            <m:endChr m:val=")"/>
            <m:grow/>
          </m:dPr>
          <m:e>
            <m:r>
              <m:rPr>
                <m:sty m:val="b"/>
              </m:rPr>
              <w:rPr>
                <w:sz w:val="22"/>
                <w:szCs w:val="22"/>
              </w:rPr>
              <m:t>x</m:t>
            </m:r>
          </m:e>
        </m:d>
      </m:oMath>
      <w:r>
        <w:rPr>
          <w:rFonts w:ascii="Arial" w:hAnsi="Arial" w:eastAsia="Arial"/>
          <w:b w:val="0"/>
          <w:i w:val="0"/>
          <w:sz w:val="22"/>
        </w:rPr>
        <w:t xml:space="preserve"> above which pumping causes no new permanent subsidence, a hard constraint of the pumping rule (Section 7).</w:t>
      </w:r>
    </w:p>
    <w:p>
      <w:pPr>
        <w:keepNext/>
        <w:spacing w:after="120" w:before="200"/>
      </w:pPr>
      <w:r>
        <w:rPr>
          <w:rFonts w:ascii="Arial" w:hAnsi="Arial" w:eastAsia="Arial"/>
          <w:b/>
          <w:i w:val="0"/>
          <w:color w:val="1F3864"/>
          <w:sz w:val="27"/>
        </w:rPr>
        <w:t>3. One coupled model of the coast (WP2; T2.1–T2.3)</w:t>
      </w:r>
    </w:p>
    <w:p>
      <w:pPr>
        <w:spacing w:after="80" w:before="0"/>
        <w:jc w:val="both"/>
      </w:pPr>
      <w:r>
        <w:rPr>
          <w:rFonts w:ascii="Arial" w:hAnsi="Arial" w:eastAsia="Arial"/>
          <w:b/>
          <w:i w:val="0"/>
          <w:sz w:val="22"/>
        </w:rPr>
        <w:t>Variable-density flow.</w:t>
      </w:r>
      <w:r>
        <w:rPr>
          <w:rFonts w:ascii="Arial" w:hAnsi="Arial" w:eastAsia="Arial"/>
          <w:b w:val="0"/>
          <w:i w:val="0"/>
          <w:sz w:val="22"/>
        </w:rPr>
        <w:t xml:space="preserve"> Flow is written in equivalent freshwater head </w:t>
      </w:r>
      <m:oMath>
        <m:sSub>
          <m:e>
            <m:r>
              <w:rPr>
                <w:sz w:val="22"/>
                <w:szCs w:val="22"/>
              </w:rPr>
              <m:t>h</m:t>
            </m:r>
          </m:e>
          <m:sub>
            <m:r>
              <w:rPr>
                <w:sz w:val="22"/>
                <w:szCs w:val="22"/>
              </w:rPr>
              <m:t>f</m:t>
            </m:r>
          </m:sub>
        </m:sSub>
      </m:oMath>
      <w:r>
        <w:rPr>
          <w:rFonts w:ascii="Arial" w:hAnsi="Arial" w:eastAsia="Arial"/>
          <w:b w:val="0"/>
          <w:i w:val="0"/>
          <w:sz w:val="22"/>
        </w:rPr>
        <w:t xml:space="preserve">, with density rising linearly with the seawater fraction </w:t>
      </w:r>
      <m:oMath>
        <m:r>
          <w:rPr>
            <w:sz w:val="22"/>
            <w:szCs w:val="22"/>
          </w:rPr>
          <m:t>c</m:t>
        </m:r>
      </m:oMath>
      <w:r>
        <w:rPr>
          <w:rFonts w:ascii="Arial" w:hAnsi="Arial" w:eastAsia="Arial"/>
          <w:b w:val="0"/>
          <w:i w:val="0"/>
          <w:sz w:val="22"/>
        </w:rPr>
        <w:t xml:space="preserve"> and the production wells as sinks: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r>
                  <m:rPr>
                    <m:sty m:val="b"/>
                  </m:rPr>
                  <m:t>q</m:t>
                </m:r>
                <m:r>
                  <m:rPr>
                    <m:sty m:val="p"/>
                  </m:rPr>
                  <m:t>=</m:t>
                </m:r>
                <m:r>
                  <m:rPr>
                    <m:sty m:val="p"/>
                  </m:rPr>
                  <m:t>−</m:t>
                </m:r>
                <m:sSub>
                  <m:e>
                    <m:r>
                      <m:rPr>
                        <m:sty m:val="b"/>
                      </m:rPr>
                      <m:t>K</m:t>
                    </m:r>
                  </m:e>
                  <m:sub>
                    <m:r>
                      <m:t>f</m:t>
                    </m:r>
                  </m:sub>
                </m:sSub>
                <m:d>
                  <m:dPr>
                    <m:begChr m:val="("/>
                    <m:sepChr m:val=""/>
                    <m:endChr m:val=")"/>
                    <m:grow/>
                  </m:dPr>
                  <m:e>
                    <m:r>
                      <m:rPr>
                        <m:sty m:val="p"/>
                      </m:rPr>
                      <m:t>∇</m:t>
                    </m:r>
                    <m:sSub>
                      <m:e>
                        <m:r>
                          <m:t>h</m:t>
                        </m:r>
                      </m:e>
                      <m:sub>
                        <m:r>
                          <m:t>f</m:t>
                        </m:r>
                      </m:sub>
                    </m:sSub>
                    <m:r>
                      <m:rPr>
                        <m:sty m:val="p"/>
                      </m:rPr>
                      <m:t>+</m:t>
                    </m:r>
                    <m:f>
                      <m:fPr>
                        <m:type m:val="bar"/>
                      </m:fPr>
                      <m:num>
                        <m:r>
                          <m:t>ρ</m:t>
                        </m:r>
                        <m:r>
                          <m:rPr>
                            <m:sty m:val="p"/>
                          </m:rPr>
                          <m:t>−</m:t>
                        </m:r>
                        <m:sSub>
                          <m:e>
                            <m:r>
                              <m:t>ρ</m:t>
                            </m:r>
                          </m:e>
                          <m:sub>
                            <m:r>
                              <m:t>f</m:t>
                            </m:r>
                          </m:sub>
                        </m:sSub>
                      </m:num>
                      <m:den>
                        <m:sSub>
                          <m:e>
                            <m:r>
                              <m:t>ρ</m:t>
                            </m:r>
                          </m:e>
                          <m:sub>
                            <m:r>
                              <m:t>f</m:t>
                            </m:r>
                          </m:sub>
                        </m:sSub>
                      </m:den>
                    </m:f>
                    <m:r>
                      <m:t> </m:t>
                    </m:r>
                    <m:r>
                      <m:rPr>
                        <m:sty m:val="p"/>
                      </m:rPr>
                      <m:t>∇</m:t>
                    </m:r>
                    <m:r>
                      <m:t>z</m:t>
                    </m:r>
                  </m:e>
                </m:d>
                <m:r>
                  <m:t> </m:t>
                </m:r>
                <m:r>
                  <m:rPr>
                    <m:nor/>
                  </m:rPr>
                  <m:t> and </m:t>
                </m:r>
                <m:r>
                  <m:t> </m:t>
                </m:r>
                <m:r>
                  <m:t>ρ</m:t>
                </m:r>
                <m:r>
                  <m:rPr>
                    <m:sty m:val="p"/>
                  </m:rPr>
                  <m:t>=</m:t>
                </m:r>
                <m:sSub>
                  <m:e>
                    <m:r>
                      <m:t>ρ</m:t>
                    </m:r>
                  </m:e>
                  <m:sub>
                    <m:r>
                      <m:t>f</m:t>
                    </m:r>
                  </m:sub>
                </m:sSub>
                <m:r>
                  <m:rPr>
                    <m:sty m:val="p"/>
                  </m:rPr>
                  <m:t>+</m:t>
                </m:r>
                <m:d>
                  <m:dPr>
                    <m:begChr m:val="("/>
                    <m:sepChr m:val=""/>
                    <m:endChr m:val=")"/>
                    <m:grow/>
                  </m:dPr>
                  <m:e>
                    <m:sSub>
                      <m:e>
                        <m:r>
                          <m:t>ρ</m:t>
                        </m:r>
                      </m:e>
                      <m:sub>
                        <m:r>
                          <m:t>s</m:t>
                        </m:r>
                      </m:sub>
                    </m:sSub>
                    <m:r>
                      <m:rPr>
                        <m:sty m:val="p"/>
                      </m:rPr>
                      <m:t>−</m:t>
                    </m:r>
                    <m:sSub>
                      <m:e>
                        <m:r>
                          <m:t>ρ</m:t>
                        </m:r>
                      </m:e>
                      <m:sub>
                        <m:r>
                          <m:t>f</m:t>
                        </m:r>
                      </m:sub>
                    </m:sSub>
                  </m:e>
                </m:d>
                <m:r>
                  <m:t> </m:t>
                </m:r>
                <m:r>
                  <m:t>c</m:t>
                </m:r>
              </m:oMath>
            </m:oMathPara>
          </w:p>
        </w:tc>
        <w:tc>
          <w:tcPr>
            <w:tcW w:type="dxa" w:w="794"/>
            <w:vAlign w:val="center"/>
          </w:tcPr>
          <w:p>
            <w:pPr>
              <w:jc w:val="right"/>
            </w:pPr>
            <w:r>
              <w:rPr>
                <w:rFonts w:ascii="Arial" w:hAnsi="Arial" w:eastAsia="Arial"/>
                <w:b w:val="0"/>
                <w:i w:val="0"/>
                <w:sz w:val="22"/>
              </w:rPr>
              <w:t>(6)</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S</m:t>
                    </m:r>
                  </m:e>
                  <m:sub>
                    <m:r>
                      <m:t>s</m:t>
                    </m:r>
                  </m:sub>
                </m:sSub>
                <m:r>
                  <m:t> </m:t>
                </m:r>
                <m:f>
                  <m:fPr>
                    <m:type m:val="bar"/>
                  </m:fPr>
                  <m:num>
                    <m:r>
                      <m:rPr>
                        <m:sty m:val="p"/>
                      </m:rPr>
                      <m:t>∂</m:t>
                    </m:r>
                    <m:sSub>
                      <m:e>
                        <m:r>
                          <m:t>h</m:t>
                        </m:r>
                      </m:e>
                      <m:sub>
                        <m:r>
                          <m:t>f</m:t>
                        </m:r>
                      </m:sub>
                    </m:sSub>
                  </m:num>
                  <m:den>
                    <m:r>
                      <m:rPr>
                        <m:sty m:val="p"/>
                      </m:rPr>
                      <m:t>∂</m:t>
                    </m:r>
                    <m:r>
                      <m:t>t</m:t>
                    </m:r>
                  </m:den>
                </m:f>
                <m:r>
                  <m:rPr>
                    <m:sty m:val="p"/>
                  </m:rPr>
                  <m:t>+</m:t>
                </m:r>
                <m:r>
                  <m:rPr>
                    <m:sty m:val="p"/>
                  </m:rPr>
                  <m:t>∇</m:t>
                </m:r>
                <m:r>
                  <m:rPr>
                    <m:sty m:val="p"/>
                  </m:rPr>
                  <m:t>⋅</m:t>
                </m:r>
                <m:r>
                  <m:rPr>
                    <m:sty m:val="b"/>
                  </m:rPr>
                  <m:t>q</m:t>
                </m:r>
                <m:r>
                  <m:rPr>
                    <m:sty m:val="p"/>
                  </m:rPr>
                  <m:t>=</m:t>
                </m:r>
                <m:r>
                  <m:rPr>
                    <m:sty m:val="p"/>
                  </m:rPr>
                  <m:t>−</m:t>
                </m:r>
                <m:nary>
                  <m:naryPr>
                    <m:chr m:val="∑"/>
                    <m:limLoc m:val="undOvr"/>
                    <m:subHide m:val="off"/>
                    <m:supHide m:val="on"/>
                  </m:naryPr>
                  <m:sub>
                    <m:r>
                      <m:t>j</m:t>
                    </m:r>
                  </m:sub>
                  <m:sup>
                    <m:r>
                      <m:t>​</m:t>
                    </m:r>
                  </m:sup>
                  <m:e>
                    <m:sSub>
                      <m:e>
                        <m:r>
                          <m:t>Q</m:t>
                        </m:r>
                      </m:e>
                      <m:sub>
                        <m:r>
                          <m:t>j</m:t>
                        </m:r>
                      </m:sub>
                    </m:sSub>
                  </m:e>
                </m:nary>
                <m:r>
                  <m:t> </m:t>
                </m:r>
                <m:r>
                  <m:t>δ</m:t>
                </m:r>
                <m:d>
                  <m:dPr>
                    <m:begChr m:val="("/>
                    <m:sepChr m:val=""/>
                    <m:endChr m:val=")"/>
                    <m:grow/>
                  </m:dPr>
                  <m:e>
                    <m:r>
                      <m:rPr>
                        <m:sty m:val="b"/>
                      </m:rPr>
                      <m:t>x</m:t>
                    </m:r>
                    <m:r>
                      <m:rPr>
                        <m:sty m:val="p"/>
                      </m:rPr>
                      <m:t>−</m:t>
                    </m:r>
                    <m:sSub>
                      <m:e>
                        <m:r>
                          <m:rPr>
                            <m:sty m:val="b"/>
                          </m:rPr>
                          <m:t>x</m:t>
                        </m:r>
                      </m:e>
                      <m:sub>
                        <m:r>
                          <m:t>j</m:t>
                        </m:r>
                      </m:sub>
                    </m:sSub>
                  </m:e>
                </m:d>
              </m:oMath>
            </m:oMathPara>
          </w:p>
        </w:tc>
        <w:tc>
          <w:tcPr>
            <w:tcW w:type="dxa" w:w="794"/>
            <w:vAlign w:val="center"/>
          </w:tcPr>
          <w:p>
            <w:pPr>
              <w:jc w:val="right"/>
            </w:pPr>
            <w:r>
              <w:rPr>
                <w:rFonts w:ascii="Arial" w:hAnsi="Arial" w:eastAsia="Arial"/>
                <w:b w:val="0"/>
                <w:i w:val="0"/>
                <w:sz w:val="22"/>
              </w:rPr>
              <w:t>(7)</w:t>
            </w:r>
          </w:p>
        </w:tc>
      </w:tr>
    </w:tbl>
    <w:p>
      <w:pPr>
        <w:spacing w:after="80" w:before="0"/>
        <w:jc w:val="both"/>
      </w:pPr>
      <m:oMath>
        <m:sSub>
          <m:e>
            <m:r>
              <w:rPr>
                <w:sz w:val="22"/>
                <w:szCs w:val="22"/>
              </w:rPr>
              <m:t>S</m:t>
            </m:r>
          </m:e>
          <m:sub>
            <m:r>
              <w:rPr>
                <w:sz w:val="22"/>
                <w:szCs w:val="22"/>
              </w:rPr>
              <m:t>s</m:t>
            </m:r>
          </m:sub>
        </m:sSub>
      </m:oMath>
      <w:r>
        <w:rPr>
          <w:rFonts w:ascii="Arial" w:hAnsi="Arial" w:eastAsia="Arial"/>
          <w:b w:val="0"/>
          <w:i w:val="0"/>
          <w:sz w:val="22"/>
        </w:rPr>
        <w:t xml:space="preserve"> contains the skeletal storage of Section 2, which couples flow and compaction.</w:t>
      </w:r>
    </w:p>
    <w:p>
      <w:pPr>
        <w:spacing w:after="80" w:before="0"/>
        <w:jc w:val="both"/>
      </w:pPr>
      <w:r>
        <w:rPr>
          <w:rFonts w:ascii="Arial" w:hAnsi="Arial" w:eastAsia="Arial"/>
          <w:b/>
          <w:i w:val="0"/>
          <w:sz w:val="22"/>
        </w:rPr>
        <w:t>Salt with memory.</w:t>
      </w:r>
      <w:r>
        <w:rPr>
          <w:rFonts w:ascii="Arial" w:hAnsi="Arial" w:eastAsia="Arial"/>
          <w:b w:val="0"/>
          <w:i w:val="0"/>
          <w:sz w:val="22"/>
        </w:rPr>
        <w:t xml:space="preserve"> Clays and lenses store salt and release it long after the front has moved. Transport uses a mobile and an immobile domain exchanging salt at rate </w:t>
      </w:r>
      <m:oMath>
        <m:r>
          <w:rPr>
            <w:sz w:val="22"/>
            <w:szCs w:val="22"/>
          </w:rPr>
          <m:t>ω</m:t>
        </m:r>
      </m:oMath>
      <w:r>
        <w:rPr>
          <w:rFonts w:ascii="Arial" w:hAnsi="Arial" w:eastAsia="Arial"/>
          <w:b w:val="0"/>
          <w:i w:val="0"/>
          <w:sz w:val="22"/>
        </w:rPr>
        <w: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θ</m:t>
                    </m:r>
                  </m:e>
                  <m:sub>
                    <m:r>
                      <m:t>m</m:t>
                    </m:r>
                  </m:sub>
                </m:sSub>
                <m:f>
                  <m:fPr>
                    <m:type m:val="bar"/>
                  </m:fPr>
                  <m:num>
                    <m:r>
                      <m:rPr>
                        <m:sty m:val="p"/>
                      </m:rPr>
                      <m:t>∂</m:t>
                    </m:r>
                    <m:sSub>
                      <m:e>
                        <m:r>
                          <m:t>c</m:t>
                        </m:r>
                      </m:e>
                      <m:sub>
                        <m:r>
                          <m:t>m</m:t>
                        </m:r>
                      </m:sub>
                    </m:sSub>
                  </m:num>
                  <m:den>
                    <m:r>
                      <m:rPr>
                        <m:sty m:val="p"/>
                      </m:rPr>
                      <m:t>∂</m:t>
                    </m:r>
                    <m:r>
                      <m:t>t</m:t>
                    </m:r>
                  </m:den>
                </m:f>
                <m:r>
                  <m:rPr>
                    <m:sty m:val="p"/>
                  </m:rPr>
                  <m:t>+</m:t>
                </m:r>
                <m:sSub>
                  <m:e>
                    <m:r>
                      <m:t>θ</m:t>
                    </m:r>
                  </m:e>
                  <m:sub>
                    <m:r>
                      <m:rPr>
                        <m:nor/>
                      </m:rPr>
                      <m:t>im</m:t>
                    </m:r>
                  </m:sub>
                </m:sSub>
                <m:f>
                  <m:fPr>
                    <m:type m:val="bar"/>
                  </m:fPr>
                  <m:num>
                    <m:r>
                      <m:rPr>
                        <m:sty m:val="p"/>
                      </m:rPr>
                      <m:t>∂</m:t>
                    </m:r>
                    <m:sSub>
                      <m:e>
                        <m:r>
                          <m:t>c</m:t>
                        </m:r>
                      </m:e>
                      <m:sub>
                        <m:r>
                          <m:rPr>
                            <m:nor/>
                          </m:rPr>
                          <m:t>im</m:t>
                        </m:r>
                      </m:sub>
                    </m:sSub>
                  </m:num>
                  <m:den>
                    <m:r>
                      <m:rPr>
                        <m:sty m:val="p"/>
                      </m:rPr>
                      <m:t>∂</m:t>
                    </m:r>
                    <m:r>
                      <m:t>t</m:t>
                    </m:r>
                  </m:den>
                </m:f>
                <m:r>
                  <m:rPr>
                    <m:sty m:val="p"/>
                  </m:rPr>
                  <m:t>=</m:t>
                </m:r>
                <m:r>
                  <m:rPr>
                    <m:sty m:val="p"/>
                  </m:rPr>
                  <m:t>∇</m:t>
                </m:r>
                <m:r>
                  <m:rPr>
                    <m:sty m:val="p"/>
                  </m:rPr>
                  <m:t>⋅</m:t>
                </m:r>
                <m:d>
                  <m:dPr>
                    <m:begChr m:val="("/>
                    <m:sepChr m:val=""/>
                    <m:endChr m:val=")"/>
                    <m:grow/>
                  </m:dPr>
                  <m:e>
                    <m:sSub>
                      <m:e>
                        <m:r>
                          <m:t>θ</m:t>
                        </m:r>
                      </m:e>
                      <m:sub>
                        <m:r>
                          <m:t>m</m:t>
                        </m:r>
                      </m:sub>
                    </m:sSub>
                    <m:r>
                      <m:rPr>
                        <m:sty m:val="b"/>
                      </m:rPr>
                      <m:t>D</m:t>
                    </m:r>
                    <m:r>
                      <m:t> </m:t>
                    </m:r>
                    <m:r>
                      <m:rPr>
                        <m:sty m:val="p"/>
                      </m:rPr>
                      <m:t>∇</m:t>
                    </m:r>
                    <m:sSub>
                      <m:e>
                        <m:r>
                          <m:t>c</m:t>
                        </m:r>
                      </m:e>
                      <m:sub>
                        <m:r>
                          <m:t>m</m:t>
                        </m:r>
                      </m:sub>
                    </m:sSub>
                  </m:e>
                </m:d>
                <m:r>
                  <m:rPr>
                    <m:sty m:val="p"/>
                  </m:rPr>
                  <m:t>−</m:t>
                </m:r>
                <m:r>
                  <m:rPr>
                    <m:sty m:val="b"/>
                  </m:rPr>
                  <m:t>q</m:t>
                </m:r>
                <m:r>
                  <m:rPr>
                    <m:sty m:val="p"/>
                  </m:rPr>
                  <m:t>⋅</m:t>
                </m:r>
                <m:r>
                  <m:rPr>
                    <m:sty m:val="p"/>
                  </m:rPr>
                  <m:t>∇</m:t>
                </m:r>
                <m:sSub>
                  <m:e>
                    <m:r>
                      <m:t>c</m:t>
                    </m:r>
                  </m:e>
                  <m:sub>
                    <m:r>
                      <m:t>m</m:t>
                    </m:r>
                  </m:sub>
                </m:sSub>
                <m:r>
                  <m:t> </m:t>
                </m:r>
                <m:r>
                  <m:rPr>
                    <m:nor/>
                  </m:rPr>
                  <m:t> and </m:t>
                </m:r>
                <m:r>
                  <m:t> </m:t>
                </m:r>
                <m:sSub>
                  <m:e>
                    <m:r>
                      <m:t>θ</m:t>
                    </m:r>
                  </m:e>
                  <m:sub>
                    <m:r>
                      <m:rPr>
                        <m:nor/>
                      </m:rPr>
                      <m:t>im</m:t>
                    </m:r>
                  </m:sub>
                </m:sSub>
                <m:f>
                  <m:fPr>
                    <m:type m:val="bar"/>
                  </m:fPr>
                  <m:num>
                    <m:r>
                      <m:rPr>
                        <m:sty m:val="p"/>
                      </m:rPr>
                      <m:t>∂</m:t>
                    </m:r>
                    <m:sSub>
                      <m:e>
                        <m:r>
                          <m:t>c</m:t>
                        </m:r>
                      </m:e>
                      <m:sub>
                        <m:r>
                          <m:rPr>
                            <m:nor/>
                          </m:rPr>
                          <m:t>im</m:t>
                        </m:r>
                      </m:sub>
                    </m:sSub>
                  </m:num>
                  <m:den>
                    <m:r>
                      <m:rPr>
                        <m:sty m:val="p"/>
                      </m:rPr>
                      <m:t>∂</m:t>
                    </m:r>
                    <m:r>
                      <m:t>t</m:t>
                    </m:r>
                  </m:den>
                </m:f>
                <m:r>
                  <m:rPr>
                    <m:sty m:val="p"/>
                  </m:rPr>
                  <m:t>=</m:t>
                </m:r>
                <m:r>
                  <m:t>ω</m:t>
                </m:r>
                <m:r>
                  <m:t> </m:t>
                </m:r>
                <m:d>
                  <m:dPr>
                    <m:begChr m:val="("/>
                    <m:sepChr m:val=""/>
                    <m:endChr m:val=")"/>
                    <m:grow/>
                  </m:dPr>
                  <m:e>
                    <m:sSub>
                      <m:e>
                        <m:r>
                          <m:t>c</m:t>
                        </m:r>
                      </m:e>
                      <m:sub>
                        <m:r>
                          <m:t>m</m:t>
                        </m:r>
                      </m:sub>
                    </m:sSub>
                    <m:r>
                      <m:rPr>
                        <m:sty m:val="p"/>
                      </m:rPr>
                      <m:t>−</m:t>
                    </m:r>
                    <m:sSub>
                      <m:e>
                        <m:r>
                          <m:t>c</m:t>
                        </m:r>
                      </m:e>
                      <m:sub>
                        <m:r>
                          <m:rPr>
                            <m:nor/>
                          </m:rPr>
                          <m:t>im</m:t>
                        </m:r>
                      </m:sub>
                    </m:sSub>
                  </m:e>
                </m:d>
              </m:oMath>
            </m:oMathPara>
          </w:p>
        </w:tc>
        <w:tc>
          <w:tcPr>
            <w:tcW w:type="dxa" w:w="794"/>
            <w:vAlign w:val="center"/>
          </w:tcPr>
          <w:p>
            <w:pPr>
              <w:jc w:val="right"/>
            </w:pPr>
            <w:r>
              <w:rPr>
                <w:rFonts w:ascii="Arial" w:hAnsi="Arial" w:eastAsia="Arial"/>
                <w:b w:val="0"/>
                <w:i w:val="0"/>
                <w:sz w:val="22"/>
              </w:rPr>
              <w:t>(8)</w:t>
            </w:r>
          </w:p>
        </w:tc>
      </w:tr>
    </w:tbl>
    <w:p>
      <w:pPr>
        <w:spacing w:after="80" w:before="0"/>
        <w:jc w:val="both"/>
      </w:pPr>
      <w:r>
        <w:rPr>
          <w:rFonts w:ascii="Arial" w:hAnsi="Arial" w:eastAsia="Arial"/>
          <w:b w:val="0"/>
          <w:i w:val="0"/>
          <w:sz w:val="22"/>
        </w:rPr>
        <w:t>The immobile domain explains why wells can stay saline for years after pumping is reduced.</w:t>
      </w:r>
    </w:p>
    <w:p>
      <w:pPr>
        <w:spacing w:after="80" w:before="0"/>
        <w:jc w:val="both"/>
      </w:pPr>
      <w:r>
        <w:rPr>
          <w:rFonts w:ascii="Arial" w:hAnsi="Arial" w:eastAsia="Arial"/>
          <w:b/>
          <w:i w:val="0"/>
          <w:sz w:val="22"/>
        </w:rPr>
        <w:t>The sea as a moving boundary.</w:t>
      </w:r>
      <w:r>
        <w:rPr>
          <w:rFonts w:ascii="Arial" w:hAnsi="Arial" w:eastAsia="Arial"/>
          <w:b w:val="0"/>
          <w:i w:val="0"/>
          <w:sz w:val="22"/>
        </w:rPr>
        <w:t xml:space="preserve"> At the seaward boundary the equivalent freshwater head at elevation </w:t>
      </w:r>
      <m:oMath>
        <m:r>
          <w:rPr>
            <w:sz w:val="22"/>
            <w:szCs w:val="22"/>
          </w:rPr>
          <m:t>z</m:t>
        </m:r>
      </m:oMath>
      <w:r>
        <w:rPr>
          <w:rFonts w:ascii="Arial" w:hAnsi="Arial" w:eastAsia="Arial"/>
          <w:b w:val="0"/>
          <w:i w:val="0"/>
          <w:sz w:val="22"/>
        </w:rPr>
        <w:t xml:space="preserve"> follows the relative sea level, tide and surge. This is where subsidence and sea-level rise enter the intrusion model:</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h</m:t>
                    </m:r>
                  </m:e>
                  <m:sub>
                    <m:r>
                      <m:t>f</m:t>
                    </m:r>
                  </m:sub>
                </m:sSub>
                <m:d>
                  <m:dPr>
                    <m:begChr m:val="("/>
                    <m:sepChr m:val=""/>
                    <m:endChr m:val=")"/>
                    <m:grow/>
                  </m:dPr>
                  <m:e>
                    <m:sSub>
                      <m:e>
                        <m:r>
                          <m:rPr>
                            <m:sty m:val="b"/>
                          </m:rPr>
                          <m:t>x</m:t>
                        </m:r>
                      </m:e>
                      <m:sub>
                        <m:r>
                          <m:rPr>
                            <m:nor/>
                          </m:rPr>
                          <m:t>sea</m:t>
                        </m:r>
                      </m:sub>
                    </m:sSub>
                    <m:r>
                      <m:rPr>
                        <m:sty m:val="p"/>
                      </m:rPr>
                      <m:t>,</m:t>
                    </m:r>
                    <m:r>
                      <m:t>t</m:t>
                    </m:r>
                  </m:e>
                </m:d>
                <m:r>
                  <m:rPr>
                    <m:sty m:val="p"/>
                  </m:rPr>
                  <m:t>=</m:t>
                </m:r>
                <m:f>
                  <m:fPr>
                    <m:type m:val="bar"/>
                  </m:fPr>
                  <m:num>
                    <m:sSub>
                      <m:e>
                        <m:r>
                          <m:t>ρ</m:t>
                        </m:r>
                      </m:e>
                      <m:sub>
                        <m:r>
                          <m:t>s</m:t>
                        </m:r>
                      </m:sub>
                    </m:sSub>
                  </m:num>
                  <m:den>
                    <m:sSub>
                      <m:e>
                        <m:r>
                          <m:t>ρ</m:t>
                        </m:r>
                      </m:e>
                      <m:sub>
                        <m:r>
                          <m:t>f</m:t>
                        </m:r>
                      </m:sub>
                    </m:sSub>
                  </m:den>
                </m:f>
                <m:d>
                  <m:dPr>
                    <m:begChr m:val="["/>
                    <m:sepChr m:val=""/>
                    <m:endChr m:val="]"/>
                    <m:grow/>
                  </m:dPr>
                  <m:e>
                    <m:r>
                      <m:t>R</m:t>
                    </m:r>
                    <m:d>
                      <m:dPr>
                        <m:begChr m:val="("/>
                        <m:sepChr m:val=""/>
                        <m:endChr m:val=")"/>
                        <m:grow/>
                      </m:dPr>
                      <m:e>
                        <m:r>
                          <m:t>t</m:t>
                        </m:r>
                      </m:e>
                    </m:d>
                    <m:r>
                      <m:rPr>
                        <m:sty m:val="p"/>
                      </m:rPr>
                      <m:t>+</m:t>
                    </m:r>
                    <m:sSub>
                      <m:e>
                        <m:r>
                          <m:t>η</m:t>
                        </m:r>
                      </m:e>
                      <m:sub>
                        <m:r>
                          <m:rPr>
                            <m:nor/>
                          </m:rPr>
                          <m:t>tide</m:t>
                        </m:r>
                      </m:sub>
                    </m:sSub>
                    <m:d>
                      <m:dPr>
                        <m:begChr m:val="("/>
                        <m:sepChr m:val=""/>
                        <m:endChr m:val=")"/>
                        <m:grow/>
                      </m:dPr>
                      <m:e>
                        <m:r>
                          <m:t>t</m:t>
                        </m:r>
                      </m:e>
                    </m:d>
                    <m:r>
                      <m:rPr>
                        <m:sty m:val="p"/>
                      </m:rPr>
                      <m:t>+</m:t>
                    </m:r>
                    <m:sSub>
                      <m:e>
                        <m:r>
                          <m:t>η</m:t>
                        </m:r>
                      </m:e>
                      <m:sub>
                        <m:r>
                          <m:rPr>
                            <m:nor/>
                          </m:rPr>
                          <m:t>surge</m:t>
                        </m:r>
                      </m:sub>
                    </m:sSub>
                    <m:d>
                      <m:dPr>
                        <m:begChr m:val="("/>
                        <m:sepChr m:val=""/>
                        <m:endChr m:val=")"/>
                        <m:grow/>
                      </m:dPr>
                      <m:e>
                        <m:r>
                          <m:t>t</m:t>
                        </m:r>
                      </m:e>
                    </m:d>
                  </m:e>
                </m:d>
                <m:r>
                  <m:rPr>
                    <m:sty m:val="p"/>
                  </m:rPr>
                  <m:t>−</m:t>
                </m:r>
                <m:f>
                  <m:fPr>
                    <m:type m:val="bar"/>
                  </m:fPr>
                  <m:num>
                    <m:sSub>
                      <m:e>
                        <m:r>
                          <m:t>ρ</m:t>
                        </m:r>
                      </m:e>
                      <m:sub>
                        <m:r>
                          <m:t>s</m:t>
                        </m:r>
                      </m:sub>
                    </m:sSub>
                    <m:r>
                      <m:rPr>
                        <m:sty m:val="p"/>
                      </m:rPr>
                      <m:t>−</m:t>
                    </m:r>
                    <m:sSub>
                      <m:e>
                        <m:r>
                          <m:t>ρ</m:t>
                        </m:r>
                      </m:e>
                      <m:sub>
                        <m:r>
                          <m:t>f</m:t>
                        </m:r>
                      </m:sub>
                    </m:sSub>
                  </m:num>
                  <m:den>
                    <m:sSub>
                      <m:e>
                        <m:r>
                          <m:t>ρ</m:t>
                        </m:r>
                      </m:e>
                      <m:sub>
                        <m:r>
                          <m:t>f</m:t>
                        </m:r>
                      </m:sub>
                    </m:sSub>
                  </m:den>
                </m:f>
                <m:r>
                  <m:t> </m:t>
                </m:r>
                <m:r>
                  <m:t>z</m:t>
                </m:r>
              </m:oMath>
            </m:oMathPara>
          </w:p>
        </w:tc>
        <w:tc>
          <w:tcPr>
            <w:tcW w:type="dxa" w:w="794"/>
            <w:vAlign w:val="center"/>
          </w:tcPr>
          <w:p>
            <w:pPr>
              <w:jc w:val="right"/>
            </w:pPr>
            <w:r>
              <w:rPr>
                <w:rFonts w:ascii="Arial" w:hAnsi="Arial" w:eastAsia="Arial"/>
                <w:b w:val="0"/>
                <w:i w:val="0"/>
                <w:sz w:val="22"/>
              </w:rPr>
              <w:t>(9)</w:t>
            </w:r>
          </w:p>
        </w:tc>
      </w:tr>
    </w:tbl>
    <w:p>
      <w:pPr>
        <w:spacing w:after="80" w:before="0"/>
        <w:jc w:val="both"/>
      </w:pPr>
      <w:r>
        <w:rPr>
          <w:rFonts w:ascii="Arial" w:hAnsi="Arial" w:eastAsia="Arial"/>
          <w:b/>
          <w:i w:val="0"/>
          <w:sz w:val="22"/>
        </w:rPr>
        <w:t>Extreme water level at each asset</w:t>
      </w:r>
      <w:r>
        <w:rPr>
          <w:rFonts w:ascii="Arial" w:hAnsi="Arial" w:eastAsia="Arial"/>
          <w:b w:val="0"/>
          <w:i w:val="0"/>
          <w:sz w:val="22"/>
        </w:rPr>
        <w:t xml:space="preserve">, with the wave setup </w:t>
      </w:r>
      <m:oMath>
        <m:sSub>
          <m:e>
            <m:r>
              <w:rPr>
                <w:sz w:val="22"/>
                <w:szCs w:val="22"/>
              </w:rPr>
              <m:t>η</m:t>
            </m:r>
          </m:e>
          <m:sub>
            <m:r>
              <m:rPr>
                <m:nor/>
              </m:rPr>
              <w:rPr>
                <w:sz w:val="22"/>
                <w:szCs w:val="22"/>
              </w:rPr>
              <m:t>wave</m:t>
            </m:r>
          </m:sub>
        </m:sSub>
      </m:oMath>
      <w:r>
        <w:rPr>
          <w:rFonts w:ascii="Arial" w:hAnsi="Arial" w:eastAsia="Arial"/>
          <w:b w:val="0"/>
          <w:i w:val="0"/>
          <w:sz w:val="22"/>
        </w:rPr>
        <w:t xml:space="preserve"> from offshore wave height, period and beach slope; its extremes are modelled in Section 5:</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rPr>
                        <m:nor/>
                      </m:rPr>
                      <m:t>TWL</m:t>
                    </m:r>
                  </m:e>
                  <m:sub>
                    <m:r>
                      <m:t>a</m:t>
                    </m:r>
                  </m:sub>
                </m:sSub>
                <m:d>
                  <m:dPr>
                    <m:begChr m:val="("/>
                    <m:sepChr m:val=""/>
                    <m:endChr m:val=")"/>
                    <m:grow/>
                  </m:dPr>
                  <m:e>
                    <m:r>
                      <m:t>t</m:t>
                    </m:r>
                  </m:e>
                </m:d>
                <m:r>
                  <m:rPr>
                    <m:sty m:val="p"/>
                  </m:rPr>
                  <m:t>=</m:t>
                </m:r>
                <m:sSub>
                  <m:e>
                    <m:r>
                      <m:t>R</m:t>
                    </m:r>
                  </m:e>
                  <m:sub>
                    <m:r>
                      <m:t>a</m:t>
                    </m:r>
                  </m:sub>
                </m:sSub>
                <m:d>
                  <m:dPr>
                    <m:begChr m:val="("/>
                    <m:sepChr m:val=""/>
                    <m:endChr m:val=")"/>
                    <m:grow/>
                  </m:dPr>
                  <m:e>
                    <m:r>
                      <m:t>t</m:t>
                    </m:r>
                  </m:e>
                </m:d>
                <m:r>
                  <m:rPr>
                    <m:sty m:val="p"/>
                  </m:rPr>
                  <m:t>+</m:t>
                </m:r>
                <m:sSub>
                  <m:e>
                    <m:r>
                      <m:t>η</m:t>
                    </m:r>
                  </m:e>
                  <m:sub>
                    <m:r>
                      <m:rPr>
                        <m:nor/>
                      </m:rPr>
                      <m:t>tide</m:t>
                    </m:r>
                  </m:sub>
                </m:sSub>
                <m:d>
                  <m:dPr>
                    <m:begChr m:val="("/>
                    <m:sepChr m:val=""/>
                    <m:endChr m:val=")"/>
                    <m:grow/>
                  </m:dPr>
                  <m:e>
                    <m:r>
                      <m:t>t</m:t>
                    </m:r>
                  </m:e>
                </m:d>
                <m:r>
                  <m:rPr>
                    <m:sty m:val="p"/>
                  </m:rPr>
                  <m:t>+</m:t>
                </m:r>
                <m:sSub>
                  <m:e>
                    <m:r>
                      <m:t>η</m:t>
                    </m:r>
                  </m:e>
                  <m:sub>
                    <m:r>
                      <m:rPr>
                        <m:nor/>
                      </m:rPr>
                      <m:t>surge</m:t>
                    </m:r>
                  </m:sub>
                </m:sSub>
                <m:d>
                  <m:dPr>
                    <m:begChr m:val="("/>
                    <m:sepChr m:val=""/>
                    <m:endChr m:val=")"/>
                    <m:grow/>
                  </m:dPr>
                  <m:e>
                    <m:r>
                      <m:t>t</m:t>
                    </m:r>
                  </m:e>
                </m:d>
                <m:r>
                  <m:rPr>
                    <m:sty m:val="p"/>
                  </m:rPr>
                  <m:t>+</m:t>
                </m:r>
                <m:sSub>
                  <m:e>
                    <m:r>
                      <m:t>η</m:t>
                    </m:r>
                  </m:e>
                  <m:sub>
                    <m:r>
                      <m:rPr>
                        <m:nor/>
                      </m:rPr>
                      <m:t>wave</m:t>
                    </m:r>
                  </m:sub>
                </m:sSub>
                <m:d>
                  <m:dPr>
                    <m:begChr m:val="("/>
                    <m:sepChr m:val=""/>
                    <m:endChr m:val=")"/>
                    <m:grow/>
                  </m:dPr>
                  <m:e>
                    <m:r>
                      <m:t>t</m:t>
                    </m:r>
                  </m:e>
                </m:d>
              </m:oMath>
            </m:oMathPara>
          </w:p>
        </w:tc>
        <w:tc>
          <w:tcPr>
            <w:tcW w:type="dxa" w:w="794"/>
            <w:vAlign w:val="center"/>
          </w:tcPr>
          <w:p>
            <w:pPr>
              <w:jc w:val="right"/>
            </w:pPr>
            <w:r>
              <w:rPr>
                <w:rFonts w:ascii="Arial" w:hAnsi="Arial" w:eastAsia="Arial"/>
                <w:b w:val="0"/>
                <w:i w:val="0"/>
                <w:sz w:val="22"/>
              </w:rPr>
              <w:t>(10)</w:t>
            </w:r>
          </w:p>
        </w:tc>
      </w:tr>
    </w:tbl>
    <w:p>
      <w:pPr>
        <w:spacing w:after="80" w:before="0"/>
        <w:jc w:val="both"/>
      </w:pPr>
      <w:r>
        <w:rPr>
          <w:rFonts w:ascii="Arial" w:hAnsi="Arial" w:eastAsia="Arial"/>
          <w:b/>
          <w:i w:val="0"/>
          <w:sz w:val="22"/>
        </w:rPr>
        <w:t>Liquefaction with a moving water table.</w:t>
      </w:r>
      <w:r>
        <w:rPr>
          <w:rFonts w:ascii="Arial" w:hAnsi="Arial" w:eastAsia="Arial"/>
          <w:b w:val="0"/>
          <w:i w:val="0"/>
          <w:sz w:val="22"/>
        </w:rPr>
        <w:t xml:space="preserve"> The cyclic stress ratio and the factor of safety follow the simplified procedure (Seed and Idriss, 1971) in its CPT-based form (Boulanger and Idriss, 2014), with the water table taken from the flow model at every time step:</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r>
                  <m:rPr>
                    <m:nor/>
                  </m:rPr>
                  <m:t>CSR</m:t>
                </m:r>
                <m:d>
                  <m:dPr>
                    <m:begChr m:val="("/>
                    <m:sepChr m:val=""/>
                    <m:endChr m:val=")"/>
                    <m:grow/>
                  </m:dPr>
                  <m:e>
                    <m:r>
                      <m:t>z</m:t>
                    </m:r>
                    <m:r>
                      <m:rPr>
                        <m:sty m:val="p"/>
                      </m:rPr>
                      <m:t>,</m:t>
                    </m:r>
                    <m:r>
                      <m:t>t</m:t>
                    </m:r>
                  </m:e>
                </m:d>
                <m:r>
                  <m:rPr>
                    <m:sty m:val="p"/>
                  </m:rPr>
                  <m:t>=</m:t>
                </m:r>
                <m:r>
                  <m:t>0.65</m:t>
                </m:r>
                <m:r>
                  <m:t> </m:t>
                </m:r>
                <m:f>
                  <m:fPr>
                    <m:type m:val="bar"/>
                  </m:fPr>
                  <m:num>
                    <m:sSub>
                      <m:e>
                        <m:r>
                          <m:t>a</m:t>
                        </m:r>
                      </m:e>
                      <m:sub>
                        <m:r>
                          <m:rPr>
                            <m:nor/>
                          </m:rPr>
                          <m:t>max</m:t>
                        </m:r>
                      </m:sub>
                    </m:sSub>
                  </m:num>
                  <m:den>
                    <m:r>
                      <m:t>g</m:t>
                    </m:r>
                  </m:den>
                </m:f>
                <m:r>
                  <m:t> </m:t>
                </m:r>
                <m:f>
                  <m:fPr>
                    <m:type m:val="bar"/>
                  </m:fPr>
                  <m:num>
                    <m:sSub>
                      <m:e>
                        <m:r>
                          <m:t>σ</m:t>
                        </m:r>
                      </m:e>
                      <m:sub>
                        <m:r>
                          <m:t>v</m:t>
                        </m:r>
                      </m:sub>
                    </m:sSub>
                    <m:d>
                      <m:dPr>
                        <m:begChr m:val="("/>
                        <m:sepChr m:val=""/>
                        <m:endChr m:val=")"/>
                        <m:grow/>
                      </m:dPr>
                      <m:e>
                        <m:r>
                          <m:t>z</m:t>
                        </m:r>
                        <m:r>
                          <m:rPr>
                            <m:sty m:val="p"/>
                          </m:rPr>
                          <m:t>,</m:t>
                        </m:r>
                        <m:r>
                          <m:t>t</m:t>
                        </m:r>
                      </m:e>
                    </m:d>
                  </m:num>
                  <m:den>
                    <m:r>
                      <m:t>σ</m:t>
                    </m:r>
                    <m:sSub>
                      <m:e>
                        <m:r>
                          <m:rPr>
                            <m:sty m:val="p"/>
                          </m:rPr>
                          <m:t>′</m:t>
                        </m:r>
                      </m:e>
                      <m:sub>
                        <m:r>
                          <m:t>v</m:t>
                        </m:r>
                      </m:sub>
                    </m:sSub>
                    <m:d>
                      <m:dPr>
                        <m:begChr m:val="("/>
                        <m:sepChr m:val=""/>
                        <m:endChr m:val=")"/>
                        <m:grow/>
                      </m:dPr>
                      <m:e>
                        <m:r>
                          <m:t>z</m:t>
                        </m:r>
                        <m:r>
                          <m:rPr>
                            <m:sty m:val="p"/>
                          </m:rPr>
                          <m:t>,</m:t>
                        </m:r>
                        <m:r>
                          <m:t>t</m:t>
                        </m:r>
                      </m:e>
                    </m:d>
                  </m:den>
                </m:f>
                <m:r>
                  <m:t> </m:t>
                </m:r>
                <m:sSub>
                  <m:e>
                    <m:r>
                      <m:t>r</m:t>
                    </m:r>
                  </m:e>
                  <m:sub>
                    <m:r>
                      <m:t>d</m:t>
                    </m:r>
                  </m:sub>
                </m:sSub>
                <m:d>
                  <m:dPr>
                    <m:begChr m:val="("/>
                    <m:sepChr m:val=""/>
                    <m:endChr m:val=")"/>
                    <m:grow/>
                  </m:dPr>
                  <m:e>
                    <m:r>
                      <m:t>z</m:t>
                    </m:r>
                  </m:e>
                </m:d>
                <m:r>
                  <m:t> </m:t>
                </m:r>
                <m:r>
                  <m:rPr>
                    <m:nor/>
                  </m:rPr>
                  <m:t> and </m:t>
                </m:r>
                <m:r>
                  <m:t> </m:t>
                </m:r>
                <m:r>
                  <m:t>σ</m:t>
                </m:r>
                <m:sSub>
                  <m:e>
                    <m:r>
                      <m:rPr>
                        <m:sty m:val="p"/>
                      </m:rPr>
                      <m:t>′</m:t>
                    </m:r>
                  </m:e>
                  <m:sub>
                    <m:r>
                      <m:t>v</m:t>
                    </m:r>
                  </m:sub>
                </m:sSub>
                <m:r>
                  <m:rPr>
                    <m:sty m:val="p"/>
                  </m:rPr>
                  <m:t>=</m:t>
                </m:r>
                <m:sSub>
                  <m:e>
                    <m:r>
                      <m:t>σ</m:t>
                    </m:r>
                  </m:e>
                  <m:sub>
                    <m:r>
                      <m:t>v</m:t>
                    </m:r>
                  </m:sub>
                </m:sSub>
                <m:r>
                  <m:rPr>
                    <m:sty m:val="p"/>
                  </m:rPr>
                  <m:t>−</m:t>
                </m:r>
                <m:sSub>
                  <m:e>
                    <m:r>
                      <m:t>γ</m:t>
                    </m:r>
                  </m:e>
                  <m:sub>
                    <m:r>
                      <m:t>w</m:t>
                    </m:r>
                  </m:sub>
                </m:sSub>
                <m:r>
                  <m:t> </m:t>
                </m:r>
                <m:sSup>
                  <m:e>
                    <m:d>
                      <m:dPr>
                        <m:begChr m:val="["/>
                        <m:sepChr m:val=""/>
                        <m:endChr m:val="]"/>
                        <m:grow/>
                      </m:dPr>
                      <m:e>
                        <m:r>
                          <m:t>z</m:t>
                        </m:r>
                        <m:r>
                          <m:rPr>
                            <m:sty m:val="p"/>
                          </m:rPr>
                          <m:t>−</m:t>
                        </m:r>
                        <m:sSub>
                          <m:e>
                            <m:r>
                              <m:t>z</m:t>
                            </m:r>
                          </m:e>
                          <m:sub>
                            <m:r>
                              <m:t>w</m:t>
                            </m:r>
                          </m:sub>
                        </m:sSub>
                        <m:d>
                          <m:dPr>
                            <m:begChr m:val="("/>
                            <m:sepChr m:val=""/>
                            <m:endChr m:val=")"/>
                            <m:grow/>
                          </m:dPr>
                          <m:e>
                            <m:r>
                              <m:rPr>
                                <m:sty m:val="b"/>
                              </m:rPr>
                              <m:t>x</m:t>
                            </m:r>
                            <m:r>
                              <m:rPr>
                                <m:sty m:val="p"/>
                              </m:rPr>
                              <m:t>,</m:t>
                            </m:r>
                            <m:r>
                              <m:t>t</m:t>
                            </m:r>
                          </m:e>
                        </m:d>
                      </m:e>
                    </m:d>
                  </m:e>
                  <m:sup>
                    <m:r>
                      <m:rPr>
                        <m:nor/>
                      </m:rPr>
                      <m:t>+</m:t>
                    </m:r>
                  </m:sup>
                </m:sSup>
              </m:oMath>
            </m:oMathPara>
          </w:p>
        </w:tc>
        <w:tc>
          <w:tcPr>
            <w:tcW w:type="dxa" w:w="794"/>
            <w:vAlign w:val="center"/>
          </w:tcPr>
          <w:p>
            <w:pPr>
              <w:jc w:val="right"/>
            </w:pPr>
            <w:r>
              <w:rPr>
                <w:rFonts w:ascii="Arial" w:hAnsi="Arial" w:eastAsia="Arial"/>
                <w:b w:val="0"/>
                <w:i w:val="0"/>
                <w:sz w:val="22"/>
              </w:rPr>
              <w:t>(11)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r>
                  <m:rPr>
                    <m:nor/>
                  </m:rPr>
                  <m:t>FS</m:t>
                </m:r>
                <m:d>
                  <m:dPr>
                    <m:begChr m:val="("/>
                    <m:sepChr m:val=""/>
                    <m:endChr m:val=")"/>
                    <m:grow/>
                  </m:dPr>
                  <m:e>
                    <m:r>
                      <m:t>z</m:t>
                    </m:r>
                    <m:r>
                      <m:rPr>
                        <m:sty m:val="p"/>
                      </m:rPr>
                      <m:t>,</m:t>
                    </m:r>
                    <m:r>
                      <m:t>t</m:t>
                    </m:r>
                  </m:e>
                </m:d>
                <m:r>
                  <m:rPr>
                    <m:sty m:val="p"/>
                  </m:rPr>
                  <m:t>=</m:t>
                </m:r>
                <m:f>
                  <m:fPr>
                    <m:type m:val="bar"/>
                  </m:fPr>
                  <m:num>
                    <m:sSub>
                      <m:e>
                        <m:r>
                          <m:rPr>
                            <m:nor/>
                          </m:rPr>
                          <m:t>CRR</m:t>
                        </m:r>
                      </m:e>
                      <m:sub>
                        <m:r>
                          <m:t>7.5</m:t>
                        </m:r>
                      </m:sub>
                    </m:sSub>
                    <m:d>
                      <m:dPr>
                        <m:begChr m:val="("/>
                        <m:sepChr m:val=""/>
                        <m:endChr m:val=")"/>
                        <m:grow/>
                      </m:dPr>
                      <m:e>
                        <m:sSub>
                          <m:e>
                            <m:r>
                              <m:t>q</m:t>
                            </m:r>
                          </m:e>
                          <m:sub>
                            <m:r>
                              <m:rPr>
                                <m:nor/>
                              </m:rPr>
                              <m:t>c1Ncs</m:t>
                            </m:r>
                          </m:sub>
                        </m:sSub>
                      </m:e>
                    </m:d>
                    <m:r>
                      <m:t> </m:t>
                    </m:r>
                    <m:r>
                      <m:rPr>
                        <m:nor/>
                      </m:rPr>
                      <m:t>MSF</m:t>
                    </m:r>
                    <m:r>
                      <m:t> </m:t>
                    </m:r>
                    <m:sSub>
                      <m:e>
                        <m:r>
                          <m:t>K</m:t>
                        </m:r>
                      </m:e>
                      <m:sub>
                        <m:r>
                          <m:t>σ</m:t>
                        </m:r>
                      </m:sub>
                    </m:sSub>
                  </m:num>
                  <m:den>
                    <m:r>
                      <m:rPr>
                        <m:nor/>
                      </m:rPr>
                      <m:t>CSR</m:t>
                    </m:r>
                    <m:d>
                      <m:dPr>
                        <m:begChr m:val="("/>
                        <m:sepChr m:val=""/>
                        <m:endChr m:val=")"/>
                        <m:grow/>
                      </m:dPr>
                      <m:e>
                        <m:r>
                          <m:t>z</m:t>
                        </m:r>
                        <m:r>
                          <m:rPr>
                            <m:sty m:val="p"/>
                          </m:rPr>
                          <m:t>,</m:t>
                        </m:r>
                        <m:r>
                          <m:t>t</m:t>
                        </m:r>
                      </m:e>
                    </m:d>
                  </m:den>
                </m:f>
                <m:r>
                  <m:t> </m:t>
                </m:r>
                <m:r>
                  <m:rPr>
                    <m:nor/>
                  </m:rPr>
                  <m:t> and </m:t>
                </m:r>
                <m:r>
                  <m:t> </m:t>
                </m:r>
                <m:r>
                  <m:rPr>
                    <m:nor/>
                  </m:rPr>
                  <m:t>LPI</m:t>
                </m:r>
                <m:d>
                  <m:dPr>
                    <m:begChr m:val="("/>
                    <m:sepChr m:val=""/>
                    <m:endChr m:val=")"/>
                    <m:grow/>
                  </m:dPr>
                  <m:e>
                    <m:r>
                      <m:rPr>
                        <m:sty m:val="b"/>
                      </m:rPr>
                      <m:t>x</m:t>
                    </m:r>
                    <m:r>
                      <m:rPr>
                        <m:sty m:val="p"/>
                      </m:rPr>
                      <m:t>,</m:t>
                    </m:r>
                    <m:r>
                      <m:t>t</m:t>
                    </m:r>
                  </m:e>
                </m:d>
                <m:r>
                  <m:rPr>
                    <m:sty m:val="p"/>
                  </m:rPr>
                  <m:t>=</m:t>
                </m:r>
                <m:nary>
                  <m:naryPr>
                    <m:chr m:val="∫"/>
                    <m:limLoc m:val="subSup"/>
                    <m:subHide m:val="off"/>
                    <m:supHide m:val="off"/>
                  </m:naryPr>
                  <m:sub>
                    <m:r>
                      <m:t>0</m:t>
                    </m:r>
                  </m:sub>
                  <m:sup>
                    <m:r>
                      <m:t>20</m:t>
                    </m:r>
                  </m:sup>
                  <m:e>
                    <m:sSup>
                      <m:e>
                        <m:d>
                          <m:dPr>
                            <m:begChr m:val="["/>
                            <m:sepChr m:val=""/>
                            <m:endChr m:val="]"/>
                            <m:grow/>
                          </m:dPr>
                          <m:e>
                            <m:r>
                              <m:t>1</m:t>
                            </m:r>
                            <m:r>
                              <m:rPr>
                                <m:sty m:val="p"/>
                              </m:rPr>
                              <m:t>−</m:t>
                            </m:r>
                            <m:r>
                              <m:rPr>
                                <m:nor/>
                              </m:rPr>
                              <m:t>FS</m:t>
                            </m:r>
                            <m:d>
                              <m:dPr>
                                <m:begChr m:val="("/>
                                <m:sepChr m:val=""/>
                                <m:endChr m:val=")"/>
                                <m:grow/>
                              </m:dPr>
                              <m:e>
                                <m:r>
                                  <m:t>z</m:t>
                                </m:r>
                                <m:r>
                                  <m:rPr>
                                    <m:sty m:val="p"/>
                                  </m:rPr>
                                  <m:t>,</m:t>
                                </m:r>
                                <m:r>
                                  <m:t>t</m:t>
                                </m:r>
                              </m:e>
                            </m:d>
                          </m:e>
                        </m:d>
                      </m:e>
                      <m:sup>
                        <m:r>
                          <m:rPr>
                            <m:nor/>
                          </m:rPr>
                          <m:t>+</m:t>
                        </m:r>
                      </m:sup>
                    </m:sSup>
                  </m:e>
                </m:nary>
                <m:d>
                  <m:dPr>
                    <m:begChr m:val="("/>
                    <m:sepChr m:val=""/>
                    <m:endChr m:val=")"/>
                    <m:grow/>
                  </m:dPr>
                  <m:e>
                    <m:r>
                      <m:t>10</m:t>
                    </m:r>
                    <m:r>
                      <m:rPr>
                        <m:sty m:val="p"/>
                      </m:rPr>
                      <m:t>−</m:t>
                    </m:r>
                    <m:r>
                      <m:t>0.5</m:t>
                    </m:r>
                    <m:r>
                      <m:t> </m:t>
                    </m:r>
                    <m:r>
                      <m:t>z</m:t>
                    </m:r>
                  </m:e>
                </m:d>
                <m:r>
                  <m:t> </m:t>
                </m:r>
                <m:r>
                  <m:t>d</m:t>
                </m:r>
                <m:r>
                  <m:t>z</m:t>
                </m:r>
              </m:oMath>
            </m:oMathPara>
          </w:p>
        </w:tc>
        <w:tc>
          <w:tcPr>
            <w:tcW w:type="dxa" w:w="794"/>
            <w:vAlign w:val="center"/>
          </w:tcPr>
          <w:p>
            <w:pPr>
              <w:jc w:val="right"/>
            </w:pPr>
            <w:r>
              <w:rPr>
                <w:rFonts w:ascii="Arial" w:hAnsi="Arial" w:eastAsia="Arial"/>
                <w:b w:val="0"/>
                <w:i w:val="0"/>
                <w:sz w:val="22"/>
              </w:rPr>
              <w:t>(12)</w:t>
            </w:r>
          </w:p>
        </w:tc>
      </w:tr>
    </w:tbl>
    <w:p>
      <w:pPr>
        <w:spacing w:after="80" w:before="0"/>
        <w:jc w:val="both"/>
      </w:pPr>
      <w:r>
        <w:rPr>
          <w:rFonts w:ascii="Arial" w:hAnsi="Arial" w:eastAsia="Arial"/>
          <w:b w:val="0"/>
          <w:i w:val="0"/>
          <w:sz w:val="22"/>
        </w:rPr>
        <w:t xml:space="preserve">Here </w:t>
      </w:r>
      <m:oMath>
        <m:sSub>
          <m:e>
            <m:r>
              <w:rPr>
                <w:sz w:val="22"/>
                <w:szCs w:val="22"/>
              </w:rPr>
              <m:t>σ</m:t>
            </m:r>
          </m:e>
          <m:sub>
            <m:r>
              <w:rPr>
                <w:sz w:val="22"/>
                <w:szCs w:val="22"/>
              </w:rPr>
              <m:t>v</m:t>
            </m:r>
          </m:sub>
        </m:sSub>
        <m:r>
          <m:rPr>
            <m:sty m:val="p"/>
          </m:rPr>
          <w:rPr>
            <w:sz w:val="22"/>
            <w:szCs w:val="22"/>
          </w:rPr>
          <m:t>=</m:t>
        </m:r>
        <m:sSub>
          <m:e>
            <m:r>
              <w:rPr>
                <w:sz w:val="22"/>
                <w:szCs w:val="22"/>
              </w:rPr>
              <m:t>γ</m:t>
            </m:r>
          </m:e>
          <m:sub>
            <m:r>
              <w:rPr>
                <w:sz w:val="22"/>
                <w:szCs w:val="22"/>
              </w:rPr>
              <m:t>m</m:t>
            </m:r>
          </m:sub>
        </m:sSub>
        <m:r>
          <m:rPr>
            <m:sty m:val="p"/>
          </m:rPr>
          <w:rPr>
            <w:sz w:val="22"/>
            <w:szCs w:val="22"/>
          </w:rPr>
          <m:t>min</m:t>
        </m:r>
        <m:d>
          <m:dPr>
            <m:begChr m:val="("/>
            <m:sepChr m:val=""/>
            <m:endChr m:val=")"/>
            <m:grow/>
          </m:dPr>
          <m:e>
            <m:r>
              <w:rPr>
                <w:sz w:val="22"/>
                <w:szCs w:val="22"/>
              </w:rPr>
              <m:t>z</m:t>
            </m:r>
            <m:r>
              <m:rPr>
                <m:sty m:val="p"/>
              </m:rPr>
              <w:rPr>
                <w:sz w:val="22"/>
                <w:szCs w:val="22"/>
              </w:rPr>
              <m:t>,</m:t>
            </m:r>
            <m:sSub>
              <m:e>
                <m:r>
                  <w:rPr>
                    <w:sz w:val="22"/>
                    <w:szCs w:val="22"/>
                  </w:rPr>
                  <m:t>z</m:t>
                </m:r>
              </m:e>
              <m:sub>
                <m:r>
                  <w:rPr>
                    <w:sz w:val="22"/>
                    <w:szCs w:val="22"/>
                  </w:rPr>
                  <m:t>w</m:t>
                </m:r>
              </m:sub>
            </m:sSub>
          </m:e>
        </m:d>
        <m:r>
          <m:rPr>
            <m:sty m:val="p"/>
          </m:rPr>
          <w:rPr>
            <w:sz w:val="22"/>
            <w:szCs w:val="22"/>
          </w:rPr>
          <m:t>+</m:t>
        </m:r>
        <m:sSub>
          <m:e>
            <m:r>
              <w:rPr>
                <w:sz w:val="22"/>
                <w:szCs w:val="22"/>
              </w:rPr>
              <m:t>γ</m:t>
            </m:r>
          </m:e>
          <m:sub>
            <m:r>
              <m:rPr>
                <m:nor/>
              </m:rPr>
              <w:rPr>
                <w:sz w:val="22"/>
                <w:szCs w:val="22"/>
              </w:rPr>
              <m:t>sat</m:t>
            </m:r>
          </m:sub>
        </m:sSub>
        <m:sSup>
          <m:e>
            <m:d>
              <m:dPr>
                <m:begChr m:val="("/>
                <m:sepChr m:val=""/>
                <m:endChr m:val=")"/>
                <m:grow/>
              </m:dPr>
              <m:e>
                <m:r>
                  <w:rPr>
                    <w:sz w:val="22"/>
                    <w:szCs w:val="22"/>
                  </w:rPr>
                  <m:t>z</m:t>
                </m:r>
                <m:r>
                  <m:rPr>
                    <m:sty m:val="p"/>
                  </m:rPr>
                  <w:rPr>
                    <w:sz w:val="22"/>
                    <w:szCs w:val="22"/>
                  </w:rPr>
                  <m:t>−</m:t>
                </m:r>
                <m:sSub>
                  <m:e>
                    <m:r>
                      <w:rPr>
                        <w:sz w:val="22"/>
                        <w:szCs w:val="22"/>
                      </w:rPr>
                      <m:t>z</m:t>
                    </m:r>
                  </m:e>
                  <m:sub>
                    <m:r>
                      <w:rPr>
                        <w:sz w:val="22"/>
                        <w:szCs w:val="22"/>
                      </w:rPr>
                      <m:t>w</m:t>
                    </m:r>
                  </m:sub>
                </m:sSub>
              </m:e>
            </m:d>
          </m:e>
          <m:sup>
            <m:r>
              <m:rPr>
                <m:nor/>
              </m:rPr>
              <w:rPr>
                <w:sz w:val="22"/>
                <w:szCs w:val="22"/>
              </w:rPr>
              <m:t>+</m:t>
            </m:r>
          </m:sup>
        </m:sSup>
      </m:oMath>
      <w:r>
        <w:rPr>
          <w:rFonts w:ascii="Arial" w:hAnsi="Arial" w:eastAsia="Arial"/>
          <w:b w:val="0"/>
          <w:i w:val="0"/>
          <w:sz w:val="22"/>
        </w:rPr>
        <w:t xml:space="preserve">, MSF is the magnitude scaling factor, </w:t>
      </w:r>
      <m:oMath>
        <m:sSub>
          <m:e>
            <m:r>
              <w:rPr>
                <w:sz w:val="22"/>
                <w:szCs w:val="22"/>
              </w:rPr>
              <m:t>K</m:t>
            </m:r>
          </m:e>
          <m:sub>
            <m:r>
              <w:rPr>
                <w:sz w:val="22"/>
                <w:szCs w:val="22"/>
              </w:rPr>
              <m:t>σ</m:t>
            </m:r>
          </m:sub>
        </m:sSub>
      </m:oMath>
      <w:r>
        <w:rPr>
          <w:rFonts w:ascii="Arial" w:hAnsi="Arial" w:eastAsia="Arial"/>
          <w:b w:val="0"/>
          <w:i w:val="0"/>
          <w:sz w:val="22"/>
        </w:rPr>
        <w:t xml:space="preserve"> the overburden correction, and LPI the liquefaction potential index (Iwasaki et al., 1978), used as the asset-level indicator </w:t>
      </w:r>
      <m:oMath>
        <m:sSub>
          <m:e>
            <m:r>
              <w:rPr>
                <w:sz w:val="22"/>
                <w:szCs w:val="22"/>
              </w:rPr>
              <m:t>I</m:t>
            </m:r>
          </m:e>
          <m:sub>
            <m:r>
              <w:rPr>
                <w:sz w:val="22"/>
                <w:szCs w:val="22"/>
              </w:rPr>
              <m:t>2</m:t>
            </m:r>
          </m:sub>
        </m:sSub>
      </m:oMath>
      <w:r>
        <w:rPr>
          <w:rFonts w:ascii="Arial" w:hAnsi="Arial" w:eastAsia="Arial"/>
          <w:b w:val="0"/>
          <w:i w:val="0"/>
          <w:sz w:val="22"/>
        </w:rPr>
        <w:t xml:space="preserve">. Because </w:t>
      </w:r>
      <m:oMath>
        <m:r>
          <w:rPr>
            <w:sz w:val="22"/>
            <w:szCs w:val="22"/>
          </w:rPr>
          <m:t>σ</m:t>
        </m:r>
        <m:sSub>
          <m:e>
            <m:r>
              <m:rPr>
                <m:sty m:val="p"/>
              </m:rPr>
              <w:rPr>
                <w:sz w:val="22"/>
                <w:szCs w:val="22"/>
              </w:rPr>
              <m:t>′</m:t>
            </m:r>
          </m:e>
          <m:sub>
            <m:r>
              <w:rPr>
                <w:sz w:val="22"/>
                <w:szCs w:val="22"/>
              </w:rPr>
              <m:t>v</m:t>
            </m:r>
          </m:sub>
        </m:sSub>
      </m:oMath>
      <w:r>
        <w:rPr>
          <w:rFonts w:ascii="Arial" w:hAnsi="Arial" w:eastAsia="Arial"/>
          <w:b w:val="0"/>
          <w:i w:val="0"/>
          <w:sz w:val="22"/>
        </w:rPr>
        <w:t xml:space="preserve"> grows as the water table falls, </w:t>
      </w:r>
      <m:oMath>
        <m:r>
          <m:rPr>
            <m:sty m:val="p"/>
          </m:rPr>
          <w:rPr>
            <w:sz w:val="22"/>
            <w:szCs w:val="22"/>
          </w:rPr>
          <m:t>∂</m:t>
        </m:r>
        <m:r>
          <m:rPr>
            <m:nor/>
          </m:rPr>
          <w:rPr>
            <w:sz w:val="22"/>
            <w:szCs w:val="22"/>
          </w:rPr>
          <m:t>FS</m:t>
        </m:r>
        <m:r>
          <m:rPr>
            <m:sty m:val="p"/>
          </m:rPr>
          <w:rPr>
            <w:sz w:val="22"/>
            <w:szCs w:val="22"/>
          </w:rPr>
          <m:t>/</m:t>
        </m:r>
        <m:r>
          <m:rPr>
            <m:sty m:val="p"/>
          </m:rPr>
          <w:rPr>
            <w:sz w:val="22"/>
            <w:szCs w:val="22"/>
          </w:rPr>
          <m:t>∂</m:t>
        </m:r>
        <m:sSub>
          <m:e>
            <m:r>
              <w:rPr>
                <w:sz w:val="22"/>
                <w:szCs w:val="22"/>
              </w:rPr>
              <m:t>z</m:t>
            </m:r>
          </m:e>
          <m:sub>
            <m:r>
              <w:rPr>
                <w:sz w:val="22"/>
                <w:szCs w:val="22"/>
              </w:rPr>
              <m:t>w</m:t>
            </m:r>
          </m:sub>
        </m:sSub>
        <m:r>
          <m:rPr>
            <m:sty m:val="p"/>
          </m:rPr>
          <w:rPr>
            <w:sz w:val="22"/>
            <w:szCs w:val="22"/>
          </w:rPr>
          <m:t>&gt;</m:t>
        </m:r>
        <m:r>
          <w:rPr>
            <w:sz w:val="22"/>
            <w:szCs w:val="22"/>
          </w:rPr>
          <m:t>0</m:t>
        </m:r>
      </m:oMath>
      <w:r>
        <w:rPr>
          <w:rFonts w:ascii="Arial" w:hAnsi="Arial" w:eastAsia="Arial"/>
          <w:b w:val="0"/>
          <w:i w:val="0"/>
          <w:sz w:val="22"/>
        </w:rPr>
        <w:t xml:space="preserve">: the pumping that drives intrusion protects against liquefaction. The design shaking </w:t>
      </w:r>
      <m:oMath>
        <m:sSub>
          <m:e>
            <m:r>
              <w:rPr>
                <w:sz w:val="22"/>
                <w:szCs w:val="22"/>
              </w:rPr>
              <m:t>a</m:t>
            </m:r>
          </m:e>
          <m:sub>
            <m:r>
              <m:rPr>
                <m:nor/>
              </m:rPr>
              <w:rPr>
                <w:sz w:val="22"/>
                <w:szCs w:val="22"/>
              </w:rPr>
              <m:t>max</m:t>
            </m:r>
          </m:sub>
        </m:sSub>
      </m:oMath>
      <w:r>
        <w:rPr>
          <w:rFonts w:ascii="Arial" w:hAnsi="Arial" w:eastAsia="Arial"/>
          <w:b w:val="0"/>
          <w:i w:val="0"/>
          <w:sz w:val="22"/>
        </w:rPr>
        <w:t xml:space="preserve"> comes from the national seismic hazard model with one-dimensional site response at the port and the landfall, and includes a 2019-type scenario.</w:t>
      </w:r>
    </w:p>
    <w:p>
      <w:pPr>
        <w:spacing w:after="80" w:before="0"/>
        <w:jc w:val="both"/>
      </w:pPr>
      <w:r>
        <w:rPr>
          <w:rFonts w:ascii="Arial" w:hAnsi="Arial" w:eastAsia="Arial"/>
          <w:b/>
          <w:i w:val="0"/>
          <w:sz w:val="22"/>
        </w:rPr>
        <w:t>Calibration (T2.3).</w:t>
      </w:r>
      <w:r>
        <w:rPr>
          <w:rFonts w:ascii="Arial" w:hAnsi="Arial" w:eastAsia="Arial"/>
          <w:b w:val="0"/>
          <w:i w:val="0"/>
          <w:sz w:val="22"/>
        </w:rPr>
        <w:t xml:space="preserve"> The parameters </w:t>
      </w:r>
      <m:oMath>
        <m:r>
          <m:rPr>
            <m:sty m:val="b"/>
          </m:rPr>
          <w:rPr>
            <w:sz w:val="22"/>
            <w:szCs w:val="22"/>
          </w:rPr>
          <m:t>θ</m:t>
        </m:r>
      </m:oMath>
      <w:r>
        <w:rPr>
          <w:rFonts w:ascii="Arial" w:hAnsi="Arial" w:eastAsia="Arial"/>
          <w:b w:val="0"/>
          <w:i w:val="0"/>
          <w:sz w:val="22"/>
        </w:rPr>
        <w:t xml:space="preserve"> (conductivity field, </w:t>
      </w:r>
      <m:oMath>
        <m:sSub>
          <m:e>
            <m:r>
              <w:rPr>
                <w:sz w:val="22"/>
                <w:szCs w:val="22"/>
              </w:rPr>
              <m:t>S</m:t>
            </m:r>
          </m:e>
          <m:sub>
            <m:r>
              <m:rPr>
                <m:nor/>
              </m:rPr>
              <w:rPr>
                <w:sz w:val="22"/>
                <w:szCs w:val="22"/>
              </w:rPr>
              <m:t>ke</m:t>
            </m:r>
          </m:sub>
        </m:sSub>
      </m:oMath>
      <w:r>
        <w:rPr>
          <w:rFonts w:ascii="Arial" w:hAnsi="Arial" w:eastAsia="Arial"/>
          <w:b w:val="0"/>
          <w:i w:val="0"/>
          <w:sz w:val="22"/>
        </w:rPr>
        <w:t xml:space="preserve">, </w:t>
      </w:r>
      <m:oMath>
        <m:sSub>
          <m:e>
            <m:r>
              <w:rPr>
                <w:sz w:val="22"/>
                <w:szCs w:val="22"/>
              </w:rPr>
              <m:t>S</m:t>
            </m:r>
          </m:e>
          <m:sub>
            <m:r>
              <m:rPr>
                <m:nor/>
              </m:rPr>
              <w:rPr>
                <w:sz w:val="22"/>
                <w:szCs w:val="22"/>
              </w:rPr>
              <m:t>kv</m:t>
            </m:r>
          </m:sub>
        </m:sSub>
      </m:oMath>
      <w:r>
        <w:rPr>
          <w:rFonts w:ascii="Arial" w:hAnsi="Arial" w:eastAsia="Arial"/>
          <w:b w:val="0"/>
          <w:i w:val="0"/>
          <w:sz w:val="22"/>
        </w:rPr>
        <w:t xml:space="preserve">, immobile porosity and </w:t>
      </w:r>
      <m:oMath>
        <m:r>
          <w:rPr>
            <w:sz w:val="22"/>
            <w:szCs w:val="22"/>
          </w:rPr>
          <m:t>ω</m:t>
        </m:r>
      </m:oMath>
      <w:r>
        <w:rPr>
          <w:rFonts w:ascii="Arial" w:hAnsi="Arial" w:eastAsia="Arial"/>
          <w:b w:val="0"/>
          <w:i w:val="0"/>
          <w:sz w:val="22"/>
        </w:rPr>
        <w:t xml:space="preserve">, dispersivities, boundary fluxes and the stress exponent of Section 6) are estimated jointly from heads, conductivity, chloride, InSAR and seismic velocity by an ensemble smoother with multiple data assimilation (Emerick and Reynolds, 2013), with inflation factors </w:t>
      </w:r>
      <m:oMath>
        <m:sSub>
          <m:e>
            <m:r>
              <w:rPr>
                <w:sz w:val="22"/>
                <w:szCs w:val="22"/>
              </w:rPr>
              <m:t>β</m:t>
            </m:r>
          </m:e>
          <m:sub>
            <m:r>
              <w:rPr>
                <w:sz w:val="22"/>
                <w:szCs w:val="22"/>
              </w:rPr>
              <m:t>i</m:t>
            </m:r>
          </m:sub>
        </m:sSub>
      </m:oMath>
      <w:r>
        <w:rPr>
          <w:rFonts w:ascii="Arial" w:hAnsi="Arial" w:eastAsia="Arial"/>
          <w:b w:val="0"/>
          <w:i w:val="0"/>
          <w:sz w:val="22"/>
        </w:rPr>
        <w:t xml:space="preserve"> and ensemble members </w:t>
      </w:r>
      <m:oMath>
        <m:r>
          <w:rPr>
            <w:sz w:val="22"/>
            <w:szCs w:val="22"/>
          </w:rPr>
          <m:t>j</m:t>
        </m:r>
      </m:oMath>
      <w:r>
        <w:rPr>
          <w:rFonts w:ascii="Arial" w:hAnsi="Arial" w:eastAsia="Arial"/>
          <w:b w:val="0"/>
          <w:i w:val="0"/>
          <w:sz w:val="22"/>
        </w:rPr>
        <w: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Sup>
                  <m:e>
                    <m:r>
                      <m:rPr>
                        <m:sty m:val="b"/>
                      </m:rPr>
                      <m:t>θ</m:t>
                    </m:r>
                  </m:e>
                  <m:sub>
                    <m:r>
                      <m:t>j</m:t>
                    </m:r>
                  </m:sub>
                  <m:sup>
                    <m:r>
                      <m:t>a</m:t>
                    </m:r>
                  </m:sup>
                </m:sSubSup>
                <m:r>
                  <m:rPr>
                    <m:sty m:val="p"/>
                  </m:rPr>
                  <m:t>=</m:t>
                </m:r>
                <m:sSubSup>
                  <m:e>
                    <m:r>
                      <m:rPr>
                        <m:sty m:val="b"/>
                      </m:rPr>
                      <m:t>θ</m:t>
                    </m:r>
                  </m:e>
                  <m:sub>
                    <m:r>
                      <m:t>j</m:t>
                    </m:r>
                  </m:sub>
                  <m:sup>
                    <m:r>
                      <m:t>f</m:t>
                    </m:r>
                  </m:sup>
                </m:sSubSup>
                <m:r>
                  <m:rPr>
                    <m:sty m:val="p"/>
                  </m:rPr>
                  <m:t>+</m:t>
                </m:r>
                <m:sSub>
                  <m:e>
                    <m:r>
                      <m:rPr>
                        <m:sty m:val="b"/>
                      </m:rPr>
                      <m:t>C</m:t>
                    </m:r>
                  </m:e>
                  <m:sub>
                    <m:r>
                      <m:t>θ</m:t>
                    </m:r>
                    <m:r>
                      <m:t>d</m:t>
                    </m:r>
                  </m:sub>
                </m:sSub>
                <m:sSup>
                  <m:e>
                    <m:d>
                      <m:dPr>
                        <m:begChr m:val="("/>
                        <m:sepChr m:val=""/>
                        <m:endChr m:val=")"/>
                        <m:grow/>
                      </m:dPr>
                      <m:e>
                        <m:sSub>
                          <m:e>
                            <m:r>
                              <m:rPr>
                                <m:sty m:val="b"/>
                              </m:rPr>
                              <m:t>C</m:t>
                            </m:r>
                          </m:e>
                          <m:sub>
                            <m:r>
                              <m:t>d</m:t>
                            </m:r>
                            <m:r>
                              <m:t>d</m:t>
                            </m:r>
                          </m:sub>
                        </m:sSub>
                        <m:r>
                          <m:rPr>
                            <m:sty m:val="p"/>
                          </m:rPr>
                          <m:t>+</m:t>
                        </m:r>
                        <m:sSub>
                          <m:e>
                            <m:r>
                              <m:t>β</m:t>
                            </m:r>
                          </m:e>
                          <m:sub>
                            <m:r>
                              <m:t>i</m:t>
                            </m:r>
                          </m:sub>
                        </m:sSub>
                        <m:sSub>
                          <m:e>
                            <m:r>
                              <m:rPr>
                                <m:sty m:val="b"/>
                              </m:rPr>
                              <m:t>C</m:t>
                            </m:r>
                          </m:e>
                          <m:sub>
                            <m:r>
                              <m:t>D</m:t>
                            </m:r>
                          </m:sub>
                        </m:sSub>
                      </m:e>
                    </m:d>
                  </m:e>
                  <m:sup>
                    <m:r>
                      <m:rPr>
                        <m:sty m:val="p"/>
                      </m:rPr>
                      <m:t>−</m:t>
                    </m:r>
                    <m:r>
                      <m:t>1</m:t>
                    </m:r>
                  </m:sup>
                </m:sSup>
                <m:d>
                  <m:dPr>
                    <m:begChr m:val="("/>
                    <m:sepChr m:val=""/>
                    <m:endChr m:val=")"/>
                    <m:grow/>
                  </m:dPr>
                  <m:e>
                    <m:sSub>
                      <m:e>
                        <m:r>
                          <m:rPr>
                            <m:sty m:val="b"/>
                          </m:rPr>
                          <m:t>d</m:t>
                        </m:r>
                      </m:e>
                      <m:sub>
                        <m:r>
                          <m:rPr>
                            <m:nor/>
                          </m:rPr>
                          <m:t>obs</m:t>
                        </m:r>
                      </m:sub>
                    </m:sSub>
                    <m:r>
                      <m:rPr>
                        <m:sty m:val="p"/>
                      </m:rPr>
                      <m:t>+</m:t>
                    </m:r>
                    <m:rad>
                      <m:radPr>
                        <m:degHide m:val="on"/>
                      </m:radPr>
                      <m:deg/>
                      <m:e>
                        <m:sSub>
                          <m:e>
                            <m:r>
                              <m:t>β</m:t>
                            </m:r>
                          </m:e>
                          <m:sub>
                            <m:r>
                              <m:t>i</m:t>
                            </m:r>
                          </m:sub>
                        </m:sSub>
                      </m:e>
                    </m:rad>
                    <m:r>
                      <m:t> </m:t>
                    </m:r>
                    <m:sSubSup>
                      <m:e>
                        <m:r>
                          <m:rPr>
                            <m:sty m:val="b"/>
                          </m:rPr>
                          <m:t>C</m:t>
                        </m:r>
                      </m:e>
                      <m:sub>
                        <m:r>
                          <m:t>D</m:t>
                        </m:r>
                      </m:sub>
                      <m:sup>
                        <m:r>
                          <m:t>1</m:t>
                        </m:r>
                        <m:r>
                          <m:rPr>
                            <m:sty m:val="p"/>
                          </m:rPr>
                          <m:t>/</m:t>
                        </m:r>
                        <m:r>
                          <m:t>2</m:t>
                        </m:r>
                      </m:sup>
                    </m:sSubSup>
                    <m:sSub>
                      <m:e>
                        <m:r>
                          <m:rPr>
                            <m:sty m:val="b"/>
                          </m:rPr>
                          <m:t>z</m:t>
                        </m:r>
                      </m:e>
                      <m:sub>
                        <m:r>
                          <m:t>j</m:t>
                        </m:r>
                      </m:sub>
                    </m:sSub>
                    <m:r>
                      <m:rPr>
                        <m:sty m:val="p"/>
                      </m:rPr>
                      <m:t>−</m:t>
                    </m:r>
                    <m:r>
                      <m:rPr>
                        <m:sty m:val="b"/>
                      </m:rPr>
                      <m:t>g</m:t>
                    </m:r>
                    <m:d>
                      <m:dPr>
                        <m:begChr m:val="("/>
                        <m:sepChr m:val=""/>
                        <m:endChr m:val=")"/>
                        <m:grow/>
                      </m:dPr>
                      <m:e>
                        <m:sSubSup>
                          <m:e>
                            <m:r>
                              <m:rPr>
                                <m:sty m:val="b"/>
                              </m:rPr>
                              <m:t>θ</m:t>
                            </m:r>
                          </m:e>
                          <m:sub>
                            <m:r>
                              <m:t>j</m:t>
                            </m:r>
                          </m:sub>
                          <m:sup>
                            <m:r>
                              <m:t>f</m:t>
                            </m:r>
                          </m:sup>
                        </m:sSubSup>
                      </m:e>
                    </m:d>
                  </m:e>
                </m:d>
                <m:r>
                  <m:t> </m:t>
                </m:r>
                <m:r>
                  <m:rPr>
                    <m:nor/>
                  </m:rPr>
                  <m:t> and </m:t>
                </m:r>
                <m:r>
                  <m:t> </m:t>
                </m:r>
                <m:nary>
                  <m:naryPr>
                    <m:chr m:val="∑"/>
                    <m:limLoc m:val="undOvr"/>
                    <m:subHide m:val="off"/>
                    <m:supHide m:val="on"/>
                  </m:naryPr>
                  <m:sub>
                    <m:r>
                      <m:t>i</m:t>
                    </m:r>
                  </m:sub>
                  <m:sup>
                    <m:r>
                      <m:t>​</m:t>
                    </m:r>
                  </m:sup>
                  <m:e>
                    <m:sSubSup>
                      <m:e>
                        <m:r>
                          <m:t>β</m:t>
                        </m:r>
                      </m:e>
                      <m:sub>
                        <m:r>
                          <m:t>i</m:t>
                        </m:r>
                      </m:sub>
                      <m:sup>
                        <m:r>
                          <m:rPr>
                            <m:sty m:val="p"/>
                          </m:rPr>
                          <m:t>−</m:t>
                        </m:r>
                        <m:r>
                          <m:t>1</m:t>
                        </m:r>
                      </m:sup>
                    </m:sSubSup>
                  </m:e>
                </m:nary>
                <m:r>
                  <m:rPr>
                    <m:sty m:val="p"/>
                  </m:rPr>
                  <m:t>=</m:t>
                </m:r>
                <m:r>
                  <m:t>1</m:t>
                </m:r>
              </m:oMath>
            </m:oMathPara>
          </w:p>
        </w:tc>
        <w:tc>
          <w:tcPr>
            <w:tcW w:type="dxa" w:w="794"/>
            <w:vAlign w:val="center"/>
          </w:tcPr>
          <w:p>
            <w:pPr>
              <w:jc w:val="right"/>
            </w:pPr>
            <w:r>
              <w:rPr>
                <w:rFonts w:ascii="Arial" w:hAnsi="Arial" w:eastAsia="Arial"/>
                <w:b w:val="0"/>
                <w:i w:val="0"/>
                <w:sz w:val="22"/>
              </w:rPr>
              <w:t>(13)</w:t>
            </w:r>
          </w:p>
        </w:tc>
      </w:tr>
    </w:tbl>
    <w:p>
      <w:pPr>
        <w:spacing w:after="80" w:before="0"/>
        <w:jc w:val="both"/>
      </w:pPr>
      <w:r>
        <w:rPr>
          <w:rFonts w:ascii="Arial" w:hAnsi="Arial" w:eastAsia="Arial"/>
          <w:b w:val="0"/>
          <w:i w:val="0"/>
          <w:sz w:val="22"/>
        </w:rPr>
        <w:t>The model passes when observations held out from calibration fall inside its 90% predictive intervals at close to the nominal rate.</w:t>
      </w:r>
    </w:p>
    <w:p>
      <w:pPr>
        <w:keepNext/>
        <w:spacing w:after="120" w:before="200"/>
      </w:pPr>
      <w:r>
        <w:rPr>
          <w:rFonts w:ascii="Arial" w:hAnsi="Arial" w:eastAsia="Arial"/>
          <w:b/>
          <w:i w:val="0"/>
          <w:color w:val="1F3864"/>
          <w:sz w:val="27"/>
        </w:rPr>
        <w:t>4. A fast copy of the model, with a certificate (T2.4)</w:t>
      </w:r>
    </w:p>
    <w:p>
      <w:pPr>
        <w:spacing w:after="80" w:before="0"/>
        <w:jc w:val="both"/>
      </w:pPr>
      <w:r>
        <w:rPr>
          <w:rFonts w:ascii="Arial" w:hAnsi="Arial" w:eastAsia="Arial"/>
          <w:b w:val="0"/>
          <w:i w:val="0"/>
          <w:sz w:val="22"/>
        </w:rPr>
        <w:t xml:space="preserve">Warnings need thousands of model runs per day for storylines, pumping options and ensemble members. A neural or kernel operator </w:t>
      </w:r>
      <m:oMath>
        <m:sSub>
          <m:e>
            <m:acc>
              <m:accPr>
                <m:chr m:val="̂"/>
              </m:accPr>
              <m:e>
                <m:r>
                  <w:rPr>
                    <w:sz w:val="22"/>
                    <w:szCs w:val="22"/>
                  </w:rPr>
                  <m:t>I</m:t>
                </m:r>
              </m:e>
            </m:acc>
          </m:e>
          <m:sub>
            <m:r>
              <w:rPr>
                <w:sz w:val="22"/>
                <w:szCs w:val="22"/>
              </w:rPr>
              <m:t>k</m:t>
            </m:r>
          </m:sub>
        </m:sSub>
        <m:d>
          <m:dPr>
            <m:begChr m:val="("/>
            <m:sepChr m:val=""/>
            <m:endChr m:val=")"/>
            <m:grow/>
          </m:dPr>
          <m:e>
            <m:r>
              <w:rPr>
                <w:sz w:val="22"/>
                <w:szCs w:val="22"/>
              </w:rPr>
              <m:t>ξ</m:t>
            </m:r>
          </m:e>
        </m:d>
      </m:oMath>
      <w:r>
        <w:rPr>
          <w:rFonts w:ascii="Arial" w:hAnsi="Arial" w:eastAsia="Arial"/>
          <w:b w:val="0"/>
          <w:i w:val="0"/>
          <w:sz w:val="22"/>
        </w:rPr>
        <w:t xml:space="preserve"> is trained on runs of the coupled model, where </w:t>
      </w:r>
      <m:oMath>
        <m:r>
          <w:rPr>
            <w:sz w:val="22"/>
            <w:szCs w:val="22"/>
          </w:rPr>
          <m:t>ξ</m:t>
        </m:r>
      </m:oMath>
      <w:r>
        <w:rPr>
          <w:rFonts w:ascii="Arial" w:hAnsi="Arial" w:eastAsia="Arial"/>
          <w:b w:val="0"/>
          <w:i w:val="0"/>
          <w:sz w:val="22"/>
        </w:rPr>
        <w:t xml:space="preserve"> collects the forcing history, the pumping schedule and the parameters. Each forecast carries an error bound built from two parts: a dual-weighted residual indicator </w:t>
      </w:r>
      <m:oMath>
        <m:sSub>
          <m:e>
            <m:r>
              <w:rPr>
                <w:sz w:val="22"/>
                <w:szCs w:val="22"/>
              </w:rPr>
              <m:t>η</m:t>
            </m:r>
          </m:e>
          <m:sub>
            <m:r>
              <w:rPr>
                <w:sz w:val="22"/>
                <w:szCs w:val="22"/>
              </w:rPr>
              <m:t>k</m:t>
            </m:r>
          </m:sub>
        </m:sSub>
        <m:d>
          <m:dPr>
            <m:begChr m:val="("/>
            <m:sepChr m:val=""/>
            <m:endChr m:val=")"/>
            <m:grow/>
          </m:dPr>
          <m:e>
            <m:r>
              <w:rPr>
                <w:sz w:val="22"/>
                <w:szCs w:val="22"/>
              </w:rPr>
              <m:t>ξ</m:t>
            </m:r>
          </m:e>
        </m:d>
      </m:oMath>
      <w:r>
        <w:rPr>
          <w:rFonts w:ascii="Arial" w:hAnsi="Arial" w:eastAsia="Arial"/>
          <w:b w:val="0"/>
          <w:i w:val="0"/>
          <w:sz w:val="22"/>
        </w:rPr>
        <w:t xml:space="preserve">, the residual of the full model equations at the surrogate solution weighted by the adjoint solution for </w:t>
      </w:r>
      <m:oMath>
        <m:sSub>
          <m:e>
            <m:r>
              <w:rPr>
                <w:sz w:val="22"/>
                <w:szCs w:val="22"/>
              </w:rPr>
              <m:t>I</m:t>
            </m:r>
          </m:e>
          <m:sub>
            <m:r>
              <w:rPr>
                <w:sz w:val="22"/>
                <w:szCs w:val="22"/>
              </w:rPr>
              <m:t>k</m:t>
            </m:r>
          </m:sub>
        </m:sSub>
      </m:oMath>
      <w:r>
        <w:rPr>
          <w:rFonts w:ascii="Arial" w:hAnsi="Arial" w:eastAsia="Arial"/>
          <w:b w:val="0"/>
          <w:i w:val="0"/>
          <w:sz w:val="22"/>
        </w:rPr>
        <w:t xml:space="preserve"> (Becker and Rannacher, 2001), which is large where the surrogate is wrong for the quantity that matters; and the conformal quantile </w:t>
      </w:r>
      <m:oMath>
        <m:sSub>
          <m:e>
            <m:acc>
              <m:accPr>
                <m:chr m:val="̂"/>
              </m:accPr>
              <m:e>
                <m:r>
                  <w:rPr>
                    <w:sz w:val="22"/>
                    <w:szCs w:val="22"/>
                  </w:rPr>
                  <m:t>q</m:t>
                </m:r>
              </m:e>
            </m:acc>
          </m:e>
          <m:sub>
            <m:r>
              <w:rPr>
                <w:sz w:val="22"/>
                <w:szCs w:val="22"/>
              </w:rPr>
              <m:t>1</m:t>
            </m:r>
            <m:r>
              <m:rPr>
                <m:sty m:val="p"/>
              </m:rPr>
              <w:rPr>
                <w:sz w:val="22"/>
                <w:szCs w:val="22"/>
              </w:rPr>
              <m:t>−</m:t>
            </m:r>
            <m:r>
              <w:rPr>
                <w:sz w:val="22"/>
                <w:szCs w:val="22"/>
              </w:rPr>
              <m:t>δ</m:t>
            </m:r>
          </m:sub>
        </m:sSub>
      </m:oMath>
      <w:r>
        <w:rPr>
          <w:rFonts w:ascii="Arial" w:hAnsi="Arial" w:eastAsia="Arial"/>
          <w:b w:val="0"/>
          <w:i w:val="0"/>
          <w:sz w:val="22"/>
        </w:rPr>
        <w:t xml:space="preserve"> of the normalised errors </w:t>
      </w:r>
      <m:oMath>
        <m:d>
          <m:dPr>
            <m:begChr m:val="|"/>
            <m:sepChr m:val=""/>
            <m:endChr m:val="|"/>
            <m:grow/>
          </m:dPr>
          <m:e>
            <m:sSub>
              <m:e>
                <m:r>
                  <w:rPr>
                    <w:sz w:val="22"/>
                    <w:szCs w:val="22"/>
                  </w:rPr>
                  <m:t>I</m:t>
                </m:r>
              </m:e>
              <m:sub>
                <m:r>
                  <w:rPr>
                    <w:sz w:val="22"/>
                    <w:szCs w:val="22"/>
                  </w:rPr>
                  <m:t>k</m:t>
                </m:r>
              </m:sub>
            </m:sSub>
            <m:r>
              <m:rPr>
                <m:sty m:val="p"/>
              </m:rPr>
              <w:rPr>
                <w:sz w:val="22"/>
                <w:szCs w:val="22"/>
              </w:rPr>
              <m:t>−</m:t>
            </m:r>
            <m:sSub>
              <m:e>
                <m:acc>
                  <m:accPr>
                    <m:chr m:val="̂"/>
                  </m:accPr>
                  <m:e>
                    <m:r>
                      <w:rPr>
                        <w:sz w:val="22"/>
                        <w:szCs w:val="22"/>
                      </w:rPr>
                      <m:t>I</m:t>
                    </m:r>
                  </m:e>
                </m:acc>
              </m:e>
              <m:sub>
                <m:r>
                  <w:rPr>
                    <w:sz w:val="22"/>
                    <w:szCs w:val="22"/>
                  </w:rPr>
                  <m:t>k</m:t>
                </m:r>
              </m:sub>
            </m:sSub>
          </m:e>
        </m:d>
        <m:r>
          <m:rPr>
            <m:sty m:val="p"/>
          </m:rPr>
          <w:rPr>
            <w:sz w:val="22"/>
            <w:szCs w:val="22"/>
          </w:rPr>
          <m:t>/</m:t>
        </m:r>
        <m:sSub>
          <m:e>
            <m:r>
              <w:rPr>
                <w:sz w:val="22"/>
                <w:szCs w:val="22"/>
              </w:rPr>
              <m:t>η</m:t>
            </m:r>
          </m:e>
          <m:sub>
            <m:r>
              <w:rPr>
                <w:sz w:val="22"/>
                <w:szCs w:val="22"/>
              </w:rPr>
              <m:t>k</m:t>
            </m:r>
          </m:sub>
        </m:sSub>
      </m:oMath>
      <w:r>
        <w:rPr>
          <w:rFonts w:ascii="Arial" w:hAnsi="Arial" w:eastAsia="Arial"/>
          <w:b w:val="0"/>
          <w:i w:val="0"/>
          <w:sz w:val="22"/>
        </w:rPr>
        <w:t xml:space="preserve"> on </w:t>
      </w:r>
      <m:oMath>
        <m:r>
          <w:rPr>
            <w:sz w:val="22"/>
            <w:szCs w:val="22"/>
          </w:rPr>
          <m:t>n</m:t>
        </m:r>
      </m:oMath>
      <w:r>
        <w:rPr>
          <w:rFonts w:ascii="Arial" w:hAnsi="Arial" w:eastAsia="Arial"/>
          <w:b w:val="0"/>
          <w:i w:val="0"/>
          <w:sz w:val="22"/>
        </w:rPr>
        <w:t xml:space="preserve"> held-out runs of the full model:</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Δ</m:t>
                    </m:r>
                  </m:e>
                  <m:sub>
                    <m:r>
                      <m:t>k</m:t>
                    </m:r>
                  </m:sub>
                </m:sSub>
                <m:d>
                  <m:dPr>
                    <m:begChr m:val="("/>
                    <m:sepChr m:val=""/>
                    <m:endChr m:val=")"/>
                    <m:grow/>
                  </m:dPr>
                  <m:e>
                    <m:r>
                      <m:t>ξ</m:t>
                    </m:r>
                  </m:e>
                </m:d>
                <m:r>
                  <m:rPr>
                    <m:sty m:val="p"/>
                  </m:rPr>
                  <m:t>=</m:t>
                </m:r>
                <m:sSub>
                  <m:e>
                    <m:acc>
                      <m:accPr>
                        <m:chr m:val="̂"/>
                      </m:accPr>
                      <m:e>
                        <m:r>
                          <m:t>q</m:t>
                        </m:r>
                      </m:e>
                    </m:acc>
                  </m:e>
                  <m:sub>
                    <m:r>
                      <m:t>1</m:t>
                    </m:r>
                    <m:r>
                      <m:rPr>
                        <m:sty m:val="p"/>
                      </m:rPr>
                      <m:t>−</m:t>
                    </m:r>
                    <m:r>
                      <m:t>δ</m:t>
                    </m:r>
                  </m:sub>
                </m:sSub>
                <m:r>
                  <m:t> </m:t>
                </m:r>
                <m:sSub>
                  <m:e>
                    <m:r>
                      <m:t>η</m:t>
                    </m:r>
                  </m:e>
                  <m:sub>
                    <m:r>
                      <m:t>k</m:t>
                    </m:r>
                  </m:sub>
                </m:sSub>
                <m:d>
                  <m:dPr>
                    <m:begChr m:val="("/>
                    <m:sepChr m:val=""/>
                    <m:endChr m:val=")"/>
                    <m:grow/>
                  </m:dPr>
                  <m:e>
                    <m:r>
                      <m:t>ξ</m:t>
                    </m:r>
                  </m:e>
                </m:d>
                <m:r>
                  <m:t> </m:t>
                </m:r>
                <m:r>
                  <m:rPr>
                    <m:nor/>
                  </m:rPr>
                  <m:t> and </m:t>
                </m:r>
                <m:r>
                  <m:t> </m:t>
                </m:r>
                <m:r>
                  <m:rPr>
                    <m:sty m:val="p"/>
                  </m:rPr>
                  <m:t>Pr</m:t>
                </m:r>
                <m:d>
                  <m:dPr>
                    <m:begChr m:val="["/>
                    <m:sepChr m:val=""/>
                    <m:endChr m:val="]"/>
                    <m:grow/>
                  </m:dPr>
                  <m:e>
                    <m:r>
                      <m:t> </m:t>
                    </m:r>
                    <m:d>
                      <m:dPr>
                        <m:begChr m:val="|"/>
                        <m:sepChr m:val=""/>
                        <m:endChr m:val="|"/>
                        <m:grow/>
                      </m:dPr>
                      <m:e>
                        <m:sSub>
                          <m:e>
                            <m:r>
                              <m:t>I</m:t>
                            </m:r>
                          </m:e>
                          <m:sub>
                            <m:r>
                              <m:t>k</m:t>
                            </m:r>
                          </m:sub>
                        </m:sSub>
                        <m:d>
                          <m:dPr>
                            <m:begChr m:val="("/>
                            <m:sepChr m:val=""/>
                            <m:endChr m:val=")"/>
                            <m:grow/>
                          </m:dPr>
                          <m:e>
                            <m:r>
                              <m:t>ξ</m:t>
                            </m:r>
                          </m:e>
                        </m:d>
                        <m:r>
                          <m:rPr>
                            <m:sty m:val="p"/>
                          </m:rPr>
                          <m:t>−</m:t>
                        </m:r>
                        <m:sSub>
                          <m:e>
                            <m:acc>
                              <m:accPr>
                                <m:chr m:val="̂"/>
                              </m:accPr>
                              <m:e>
                                <m:r>
                                  <m:t>I</m:t>
                                </m:r>
                              </m:e>
                            </m:acc>
                          </m:e>
                          <m:sub>
                            <m:r>
                              <m:t>k</m:t>
                            </m:r>
                          </m:sub>
                        </m:sSub>
                        <m:d>
                          <m:dPr>
                            <m:begChr m:val="("/>
                            <m:sepChr m:val=""/>
                            <m:endChr m:val=")"/>
                            <m:grow/>
                          </m:dPr>
                          <m:e>
                            <m:r>
                              <m:t>ξ</m:t>
                            </m:r>
                          </m:e>
                        </m:d>
                      </m:e>
                    </m:d>
                    <m:r>
                      <m:rPr>
                        <m:sty m:val="p"/>
                      </m:rPr>
                      <m:t>≤</m:t>
                    </m:r>
                    <m:sSub>
                      <m:e>
                        <m:r>
                          <m:t>Δ</m:t>
                        </m:r>
                      </m:e>
                      <m:sub>
                        <m:r>
                          <m:t>k</m:t>
                        </m:r>
                      </m:sub>
                    </m:sSub>
                    <m:d>
                      <m:dPr>
                        <m:begChr m:val="("/>
                        <m:sepChr m:val=""/>
                        <m:endChr m:val=")"/>
                        <m:grow/>
                      </m:dPr>
                      <m:e>
                        <m:r>
                          <m:t>ξ</m:t>
                        </m:r>
                      </m:e>
                    </m:d>
                    <m:r>
                      <m:t> </m:t>
                    </m:r>
                  </m:e>
                </m:d>
                <m:r>
                  <m:rPr>
                    <m:sty m:val="p"/>
                  </m:rPr>
                  <m:t>≥</m:t>
                </m:r>
                <m:r>
                  <m:t>1</m:t>
                </m:r>
                <m:r>
                  <m:rPr>
                    <m:sty m:val="p"/>
                  </m:rPr>
                  <m:t>−</m:t>
                </m:r>
                <m:r>
                  <m:t>δ</m:t>
                </m:r>
              </m:oMath>
            </m:oMathPara>
          </w:p>
        </w:tc>
        <w:tc>
          <w:tcPr>
            <w:tcW w:type="dxa" w:w="794"/>
            <w:vAlign w:val="center"/>
          </w:tcPr>
          <w:p>
            <w:pPr>
              <w:jc w:val="right"/>
            </w:pPr>
            <w:r>
              <w:rPr>
                <w:rFonts w:ascii="Arial" w:hAnsi="Arial" w:eastAsia="Arial"/>
                <w:b w:val="0"/>
                <w:i w:val="0"/>
                <w:sz w:val="22"/>
              </w:rPr>
              <w:t>(14)</w:t>
            </w:r>
          </w:p>
        </w:tc>
      </w:tr>
    </w:tbl>
    <w:p>
      <w:pPr>
        <w:spacing w:after="80" w:before="0"/>
        <w:jc w:val="both"/>
      </w:pPr>
      <w:r>
        <w:rPr>
          <w:rFonts w:ascii="Arial" w:hAnsi="Arial" w:eastAsia="Arial"/>
          <w:b w:val="0"/>
          <w:i w:val="0"/>
          <w:sz w:val="22"/>
        </w:rPr>
        <w:t xml:space="preserve">The guarantee holds for any surrogate and requires only that new inputs are exchangeable with the held-out runs; inputs outside that range are covered by the extreme-aware term of Section 5. Forecasts whose </w:t>
      </w:r>
      <m:oMath>
        <m:sSub>
          <m:e>
            <m:r>
              <w:rPr>
                <w:sz w:val="22"/>
                <w:szCs w:val="22"/>
              </w:rPr>
              <m:t>Δ</m:t>
            </m:r>
          </m:e>
          <m:sub>
            <m:r>
              <w:rPr>
                <w:sz w:val="22"/>
                <w:szCs w:val="22"/>
              </w:rPr>
              <m:t>k</m:t>
            </m:r>
          </m:sub>
        </m:sSub>
      </m:oMath>
      <w:r>
        <w:rPr>
          <w:rFonts w:ascii="Arial" w:hAnsi="Arial" w:eastAsia="Arial"/>
          <w:b w:val="0"/>
          <w:i w:val="0"/>
          <w:sz w:val="22"/>
        </w:rPr>
        <w:t xml:space="preserve"> is too large are recomputed with the full model on a reduced domain.</w:t>
      </w:r>
    </w:p>
    <w:p>
      <w:pPr>
        <w:keepNext/>
        <w:spacing w:after="120" w:before="200"/>
      </w:pPr>
      <w:r>
        <w:rPr>
          <w:rFonts w:ascii="Arial" w:hAnsi="Arial" w:eastAsia="Arial"/>
          <w:b/>
          <w:i w:val="0"/>
          <w:color w:val="1F3864"/>
          <w:sz w:val="27"/>
        </w:rPr>
        <w:t>5. Certified alarms (WP3; T3.1–T3.5)</w:t>
      </w:r>
    </w:p>
    <w:p>
      <w:pPr>
        <w:keepNext/>
        <w:spacing w:after="120" w:before="120"/>
      </w:pPr>
      <w:r>
        <w:rPr>
          <w:rFonts w:ascii="Arial" w:hAnsi="Arial" w:eastAsia="Arial"/>
          <w:b/>
          <w:i w:val="0"/>
          <w:color w:val="2E6DB4"/>
          <w:sz w:val="24"/>
        </w:rPr>
        <w:t>5.1 The alarm rule</w:t>
      </w:r>
    </w:p>
    <w:p>
      <w:pPr>
        <w:spacing w:after="80" w:before="0"/>
        <w:jc w:val="both"/>
      </w:pPr>
      <w:r>
        <w:rPr>
          <w:rFonts w:ascii="Arial" w:hAnsi="Arial" w:eastAsia="Arial"/>
          <w:b w:val="0"/>
          <w:i w:val="0"/>
          <w:sz w:val="22"/>
        </w:rPr>
        <w:t xml:space="preserve">Hazard </w:t>
      </w:r>
      <m:oMath>
        <m:r>
          <w:rPr>
            <w:sz w:val="22"/>
            <w:szCs w:val="22"/>
          </w:rPr>
          <m:t>k</m:t>
        </m:r>
      </m:oMath>
      <w:r>
        <w:rPr>
          <w:rFonts w:ascii="Arial" w:hAnsi="Arial" w:eastAsia="Arial"/>
          <w:b w:val="0"/>
          <w:i w:val="0"/>
          <w:sz w:val="22"/>
        </w:rPr>
        <w:t xml:space="preserve"> is forecast at lead time </w:t>
      </w:r>
      <m:oMath>
        <m:sSub>
          <m:e>
            <m:r>
              <w:rPr>
                <w:sz w:val="22"/>
                <w:szCs w:val="22"/>
              </w:rPr>
              <m:t>L</m:t>
            </m:r>
          </m:e>
          <m:sub>
            <m:r>
              <w:rPr>
                <w:sz w:val="22"/>
                <w:szCs w:val="22"/>
              </w:rPr>
              <m:t>k</m:t>
            </m:r>
          </m:sub>
        </m:sSub>
      </m:oMath>
      <w:r>
        <w:rPr>
          <w:rFonts w:ascii="Arial" w:hAnsi="Arial" w:eastAsia="Arial"/>
          <w:b w:val="0"/>
          <w:i w:val="0"/>
          <w:sz w:val="22"/>
        </w:rPr>
        <w:t>. The alarm fires when the forecast comes within a margin of the threshold, and the margin has three parts, each covering a different source of error:</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A</m:t>
                    </m:r>
                  </m:e>
                  <m:sub>
                    <m:r>
                      <m:t>k</m:t>
                    </m:r>
                  </m:sub>
                </m:sSub>
                <m:d>
                  <m:dPr>
                    <m:begChr m:val="("/>
                    <m:sepChr m:val=""/>
                    <m:endChr m:val=")"/>
                    <m:grow/>
                  </m:dPr>
                  <m:e>
                    <m:r>
                      <m:t>t</m:t>
                    </m:r>
                  </m:e>
                </m:d>
                <m:r>
                  <m:rPr>
                    <m:sty m:val="p"/>
                  </m:rPr>
                  <m:t>=</m:t>
                </m:r>
                <m:r>
                  <m:rPr>
                    <m:sty m:val="b"/>
                  </m:rPr>
                  <m:t>1</m:t>
                </m:r>
                <m:d>
                  <m:dPr>
                    <m:begChr m:val="{"/>
                    <m:sepChr m:val=""/>
                    <m:endChr m:val="}"/>
                    <m:grow/>
                  </m:dPr>
                  <m:e>
                    <m:sSub>
                      <m:e>
                        <m:acc>
                          <m:accPr>
                            <m:chr m:val="̂"/>
                          </m:accPr>
                          <m:e>
                            <m:r>
                              <m:t>I</m:t>
                            </m:r>
                          </m:e>
                        </m:acc>
                      </m:e>
                      <m:sub>
                        <m:r>
                          <m:t>k</m:t>
                        </m:r>
                      </m:sub>
                    </m:sSub>
                    <m:d>
                      <m:dPr>
                        <m:begChr m:val="("/>
                        <m:sepChr m:val=""/>
                        <m:endChr m:val=")"/>
                        <m:grow/>
                      </m:dPr>
                      <m:e>
                        <m:r>
                          <m:t>t</m:t>
                        </m:r>
                        <m:r>
                          <m:rPr>
                            <m:sty m:val="p"/>
                          </m:rPr>
                          <m:t>+</m:t>
                        </m:r>
                        <m:sSub>
                          <m:e>
                            <m:r>
                              <m:t>L</m:t>
                            </m:r>
                          </m:e>
                          <m:sub>
                            <m:r>
                              <m:t>k</m:t>
                            </m:r>
                          </m:sub>
                        </m:sSub>
                      </m:e>
                    </m:d>
                    <m:r>
                      <m:rPr>
                        <m:sty m:val="p"/>
                      </m:rPr>
                      <m:t>≥</m:t>
                    </m:r>
                    <m:sSub>
                      <m:e>
                        <m:r>
                          <m:t>τ</m:t>
                        </m:r>
                      </m:e>
                      <m:sub>
                        <m:r>
                          <m:t>k</m:t>
                        </m:r>
                      </m:sub>
                    </m:sSub>
                    <m:r>
                      <m:rPr>
                        <m:sty m:val="p"/>
                      </m:rPr>
                      <m:t>−</m:t>
                    </m:r>
                    <m:sSub>
                      <m:e>
                        <m:r>
                          <m:t>m</m:t>
                        </m:r>
                      </m:e>
                      <m:sub>
                        <m:r>
                          <m:t>k</m:t>
                        </m:r>
                      </m:sub>
                    </m:sSub>
                    <m:d>
                      <m:dPr>
                        <m:begChr m:val="("/>
                        <m:sepChr m:val=""/>
                        <m:endChr m:val=")"/>
                        <m:grow/>
                      </m:dPr>
                      <m:e>
                        <m:r>
                          <m:t>t</m:t>
                        </m:r>
                      </m:e>
                    </m:d>
                  </m:e>
                </m:d>
                <m:r>
                  <m:t> </m:t>
                </m:r>
                <m:r>
                  <m:rPr>
                    <m:nor/>
                  </m:rPr>
                  <m:t> and </m:t>
                </m:r>
                <m:r>
                  <m:t> </m:t>
                </m:r>
                <m:sSub>
                  <m:e>
                    <m:r>
                      <m:t>m</m:t>
                    </m:r>
                  </m:e>
                  <m:sub>
                    <m:r>
                      <m:t>k</m:t>
                    </m:r>
                  </m:sub>
                </m:sSub>
                <m:d>
                  <m:dPr>
                    <m:begChr m:val="("/>
                    <m:sepChr m:val=""/>
                    <m:endChr m:val=")"/>
                    <m:grow/>
                  </m:dPr>
                  <m:e>
                    <m:r>
                      <m:t>t</m:t>
                    </m:r>
                  </m:e>
                </m:d>
                <m:r>
                  <m:rPr>
                    <m:sty m:val="p"/>
                  </m:rPr>
                  <m:t>=</m:t>
                </m:r>
                <m:sSub>
                  <m:e>
                    <m:r>
                      <m:t>Δ</m:t>
                    </m:r>
                  </m:e>
                  <m:sub>
                    <m:r>
                      <m:t>k</m:t>
                    </m:r>
                  </m:sub>
                </m:sSub>
                <m:d>
                  <m:dPr>
                    <m:begChr m:val="("/>
                    <m:sepChr m:val=""/>
                    <m:endChr m:val=")"/>
                    <m:grow/>
                  </m:dPr>
                  <m:e>
                    <m:r>
                      <m:t>t</m:t>
                    </m:r>
                  </m:e>
                </m:d>
                <m:r>
                  <m:rPr>
                    <m:sty m:val="p"/>
                  </m:rPr>
                  <m:t>+</m:t>
                </m:r>
                <m:sSub>
                  <m:e>
                    <m:r>
                      <m:t>γ</m:t>
                    </m:r>
                  </m:e>
                  <m:sub>
                    <m:r>
                      <m:t>k</m:t>
                    </m:r>
                  </m:sub>
                </m:sSub>
                <m:d>
                  <m:dPr>
                    <m:begChr m:val="("/>
                    <m:sepChr m:val=""/>
                    <m:endChr m:val=")"/>
                    <m:grow/>
                  </m:dPr>
                  <m:e>
                    <m:r>
                      <m:t>t</m:t>
                    </m:r>
                  </m:e>
                </m:d>
                <m:r>
                  <m:rPr>
                    <m:sty m:val="p"/>
                  </m:rPr>
                  <m:t>+</m:t>
                </m:r>
                <m:sSub>
                  <m:e>
                    <m:r>
                      <m:t>e</m:t>
                    </m:r>
                  </m:e>
                  <m:sub>
                    <m:r>
                      <m:t>k</m:t>
                    </m:r>
                  </m:sub>
                </m:sSub>
                <m:d>
                  <m:dPr>
                    <m:begChr m:val="("/>
                    <m:sepChr m:val=""/>
                    <m:endChr m:val=")"/>
                    <m:grow/>
                  </m:dPr>
                  <m:e>
                    <m:r>
                      <m:t>t</m:t>
                    </m:r>
                  </m:e>
                </m:d>
              </m:oMath>
            </m:oMathPara>
          </w:p>
        </w:tc>
        <w:tc>
          <w:tcPr>
            <w:tcW w:type="dxa" w:w="794"/>
            <w:vAlign w:val="center"/>
          </w:tcPr>
          <w:p>
            <w:pPr>
              <w:jc w:val="right"/>
            </w:pPr>
            <w:r>
              <w:rPr>
                <w:rFonts w:ascii="Arial" w:hAnsi="Arial" w:eastAsia="Arial"/>
                <w:b w:val="0"/>
                <w:i w:val="0"/>
                <w:sz w:val="22"/>
              </w:rPr>
              <w:t>(15)</w:t>
            </w:r>
          </w:p>
        </w:tc>
      </w:tr>
    </w:tbl>
    <w:p>
      <w:pPr>
        <w:keepNext/>
        <w:spacing w:after="120" w:before="120"/>
      </w:pPr>
      <w:r>
        <w:rPr>
          <w:rFonts w:ascii="Arial" w:hAnsi="Arial" w:eastAsia="Arial"/>
          <w:b/>
          <w:i w:val="0"/>
          <w:color w:val="2E6DB4"/>
          <w:sz w:val="24"/>
        </w:rPr>
        <w:t>5.2 Online conformal risk control</w:t>
      </w:r>
    </w:p>
    <w:p>
      <w:pPr>
        <w:spacing w:after="80" w:before="0"/>
        <w:jc w:val="both"/>
      </w:pPr>
      <w:r>
        <w:rPr>
          <w:rFonts w:ascii="Arial" w:hAnsi="Arial" w:eastAsia="Arial"/>
          <w:b w:val="0"/>
          <w:i w:val="0"/>
          <w:sz w:val="22"/>
        </w:rPr>
        <w:t>After each outcome is observed, the margin rises if the alarm missed and falls slightly otherwise. The long-run miss rate then converges to its target for any sequence of data, without assuming stationarity (Gibbs and Candès, 2021; Angelopoulos et al., 2023), which is why the guarantee survives trends in sea level, pumping and climate:</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γ</m:t>
                    </m:r>
                  </m:e>
                  <m:sub>
                    <m:r>
                      <m:t>k</m:t>
                    </m:r>
                  </m:sub>
                </m:sSub>
                <m:d>
                  <m:dPr>
                    <m:begChr m:val="("/>
                    <m:sepChr m:val=""/>
                    <m:endChr m:val=")"/>
                    <m:grow/>
                  </m:dPr>
                  <m:e>
                    <m:r>
                      <m:t>t</m:t>
                    </m:r>
                    <m:r>
                      <m:rPr>
                        <m:sty m:val="p"/>
                      </m:rPr>
                      <m:t>+</m:t>
                    </m:r>
                    <m:r>
                      <m:t>1</m:t>
                    </m:r>
                  </m:e>
                </m:d>
                <m:r>
                  <m:rPr>
                    <m:sty m:val="p"/>
                  </m:rPr>
                  <m:t>=</m:t>
                </m:r>
                <m:sSub>
                  <m:e>
                    <m:r>
                      <m:t>γ</m:t>
                    </m:r>
                  </m:e>
                  <m:sub>
                    <m:r>
                      <m:t>k</m:t>
                    </m:r>
                  </m:sub>
                </m:sSub>
                <m:d>
                  <m:dPr>
                    <m:begChr m:val="("/>
                    <m:sepChr m:val=""/>
                    <m:endChr m:val=")"/>
                    <m:grow/>
                  </m:dPr>
                  <m:e>
                    <m:r>
                      <m:t>t</m:t>
                    </m:r>
                  </m:e>
                </m:d>
                <m:r>
                  <m:rPr>
                    <m:sty m:val="p"/>
                  </m:rPr>
                  <m:t>+</m:t>
                </m:r>
                <m:r>
                  <m:t>λ</m:t>
                </m:r>
                <m:r>
                  <m:t> </m:t>
                </m:r>
                <m:d>
                  <m:dPr>
                    <m:begChr m:val="["/>
                    <m:sepChr m:val=""/>
                    <m:endChr m:val="]"/>
                    <m:grow/>
                  </m:dPr>
                  <m:e>
                    <m:r>
                      <m:t> </m:t>
                    </m:r>
                    <m:sSub>
                      <m:e>
                        <m:r>
                          <m:rPr>
                            <m:nor/>
                          </m:rPr>
                          <m:t>miss</m:t>
                        </m:r>
                      </m:e>
                      <m:sub>
                        <m:r>
                          <m:t>k</m:t>
                        </m:r>
                      </m:sub>
                    </m:sSub>
                    <m:d>
                      <m:dPr>
                        <m:begChr m:val="("/>
                        <m:sepChr m:val=""/>
                        <m:endChr m:val=")"/>
                        <m:grow/>
                      </m:dPr>
                      <m:e>
                        <m:r>
                          <m:t>t</m:t>
                        </m:r>
                      </m:e>
                    </m:d>
                    <m:r>
                      <m:rPr>
                        <m:sty m:val="p"/>
                      </m:rPr>
                      <m:t>−</m:t>
                    </m:r>
                    <m:sSub>
                      <m:e>
                        <m:r>
                          <m:t>α</m:t>
                        </m:r>
                      </m:e>
                      <m:sub>
                        <m:r>
                          <m:t>k</m:t>
                        </m:r>
                      </m:sub>
                    </m:sSub>
                    <m:r>
                      <m:t> </m:t>
                    </m:r>
                  </m:e>
                </m:d>
                <m:r>
                  <m:t> </m:t>
                </m:r>
                <m:r>
                  <m:rPr>
                    <m:nor/>
                  </m:rPr>
                  <m:t> and </m:t>
                </m:r>
                <m:r>
                  <m:t> </m:t>
                </m:r>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
                          <m:e>
                            <m:r>
                              <m:rPr>
                                <m:nor/>
                              </m:rPr>
                              <m:t>miss</m:t>
                            </m:r>
                          </m:e>
                          <m:sub>
                            <m:r>
                              <m:t>k</m:t>
                            </m:r>
                          </m:sub>
                        </m:sSub>
                      </m:e>
                    </m:nary>
                    <m:d>
                      <m:dPr>
                        <m:begChr m:val="("/>
                        <m:sepChr m:val=""/>
                        <m:endChr m:val=")"/>
                        <m:grow/>
                      </m:dPr>
                      <m:e>
                        <m:r>
                          <m:t>t</m:t>
                        </m:r>
                      </m:e>
                    </m:d>
                    <m:r>
                      <m:rPr>
                        <m:sty m:val="p"/>
                      </m:rPr>
                      <m:t>−</m:t>
                    </m:r>
                    <m:sSub>
                      <m:e>
                        <m:r>
                          <m:t>α</m:t>
                        </m:r>
                      </m:e>
                      <m:sub>
                        <m:r>
                          <m:t>k</m:t>
                        </m:r>
                      </m:sub>
                    </m:sSub>
                  </m:e>
                </m:d>
                <m:r>
                  <m:rPr>
                    <m:sty m:val="p"/>
                  </m:rPr>
                  <m:t>≤</m:t>
                </m:r>
                <m:f>
                  <m:fPr>
                    <m:type m:val="bar"/>
                  </m:fPr>
                  <m:num>
                    <m:sSub>
                      <m:e>
                        <m:r>
                          <m:t>C</m:t>
                        </m:r>
                      </m:e>
                      <m:sub>
                        <m:r>
                          <m:t>k</m:t>
                        </m:r>
                      </m:sub>
                    </m:sSub>
                  </m:num>
                  <m:den>
                    <m:r>
                      <m:t>λ</m:t>
                    </m:r>
                    <m:r>
                      <m:t> </m:t>
                    </m:r>
                    <m:r>
                      <m:t>T</m:t>
                    </m:r>
                  </m:den>
                </m:f>
              </m:oMath>
            </m:oMathPara>
          </w:p>
        </w:tc>
        <w:tc>
          <w:tcPr>
            <w:tcW w:type="dxa" w:w="794"/>
            <w:vAlign w:val="center"/>
          </w:tcPr>
          <w:p>
            <w:pPr>
              <w:jc w:val="right"/>
            </w:pPr>
            <w:r>
              <w:rPr>
                <w:rFonts w:ascii="Arial" w:hAnsi="Arial" w:eastAsia="Arial"/>
                <w:b w:val="0"/>
                <w:i w:val="0"/>
                <w:sz w:val="22"/>
              </w:rPr>
              <w:t>(16)</w:t>
            </w:r>
          </w:p>
        </w:tc>
      </w:tr>
    </w:tbl>
    <w:p>
      <w:pPr>
        <w:spacing w:after="80" w:before="0"/>
        <w:jc w:val="both"/>
      </w:pPr>
      <w:r>
        <w:rPr>
          <w:rFonts w:ascii="Arial" w:hAnsi="Arial" w:eastAsia="Arial"/>
          <w:b w:val="0"/>
          <w:i w:val="0"/>
          <w:sz w:val="22"/>
        </w:rPr>
        <w:t xml:space="preserve">Outcomes arrive after the lead time; the update is applied with that delay, which changes only the constant </w:t>
      </w:r>
      <m:oMath>
        <m:sSub>
          <m:e>
            <m:r>
              <w:rPr>
                <w:sz w:val="22"/>
                <w:szCs w:val="22"/>
              </w:rPr>
              <m:t>C</m:t>
            </m:r>
          </m:e>
          <m:sub>
            <m:r>
              <w:rPr>
                <w:sz w:val="22"/>
                <w:szCs w:val="22"/>
              </w:rPr>
              <m:t>k</m:t>
            </m:r>
          </m:sub>
        </m:sSub>
      </m:oMath>
      <w:r>
        <w:rPr>
          <w:rFonts w:ascii="Arial" w:hAnsi="Arial" w:eastAsia="Arial"/>
          <w:b w:val="0"/>
          <w:i w:val="0"/>
          <w:sz w:val="22"/>
        </w:rPr>
        <w:t>.</w:t>
      </w:r>
    </w:p>
    <w:p>
      <w:pPr>
        <w:keepNext/>
        <w:spacing w:after="120" w:before="120"/>
      </w:pPr>
      <w:r>
        <w:rPr>
          <w:rFonts w:ascii="Arial" w:hAnsi="Arial" w:eastAsia="Arial"/>
          <w:b/>
          <w:i w:val="0"/>
          <w:color w:val="2E6DB4"/>
          <w:sz w:val="24"/>
        </w:rPr>
        <w:t>5.3 Extreme-aware term</w:t>
      </w:r>
    </w:p>
    <w:p>
      <w:pPr>
        <w:spacing w:after="80" w:before="0"/>
        <w:jc w:val="both"/>
      </w:pPr>
      <w:r>
        <w:rPr>
          <w:rFonts w:ascii="Arial" w:hAnsi="Arial" w:eastAsia="Arial"/>
          <w:b w:val="0"/>
          <w:i w:val="0"/>
          <w:sz w:val="22"/>
        </w:rPr>
        <w:t xml:space="preserve">Conformal calibration learns from conditions already seen. When the forcing leaves the observed record, in a drought deeper than any recorded or a surge on a lower coast, the margin widens in proportion to how far it has left. Here </w:t>
      </w:r>
      <m:oMath>
        <m:r>
          <w:rPr>
            <w:sz w:val="22"/>
            <w:szCs w:val="22"/>
          </w:rPr>
          <m:t>d</m:t>
        </m:r>
      </m:oMath>
      <w:r>
        <w:rPr>
          <w:rFonts w:ascii="Arial" w:hAnsi="Arial" w:eastAsia="Arial"/>
          <w:b w:val="0"/>
          <w:i w:val="0"/>
          <w:sz w:val="22"/>
        </w:rPr>
        <w:t xml:space="preserve"> is the distance of the current forcing from the observed record </w:t>
      </w:r>
      <m:oMath>
        <m:sSub>
          <m:e>
            <m:r>
              <w:rPr>
                <w:sz w:val="22"/>
                <w:szCs w:val="22"/>
              </w:rPr>
              <m:t>Ξ</m:t>
            </m:r>
          </m:e>
          <m:sub>
            <m:r>
              <m:rPr>
                <m:nor/>
              </m:rPr>
              <w:rPr>
                <w:sz w:val="22"/>
                <w:szCs w:val="22"/>
              </w:rPr>
              <m:t>obs</m:t>
            </m:r>
          </m:sub>
        </m:sSub>
      </m:oMath>
      <w:r>
        <w:rPr>
          <w:rFonts w:ascii="Arial" w:hAnsi="Arial" w:eastAsia="Arial"/>
          <w:b w:val="0"/>
          <w:i w:val="0"/>
          <w:sz w:val="22"/>
        </w:rPr>
        <w:t xml:space="preserve">, and </w:t>
      </w:r>
      <m:oMath>
        <m:sSub>
          <m:e>
            <m:acc>
              <m:accPr>
                <m:chr m:val="̂"/>
              </m:accPr>
              <m:e>
                <m:r>
                  <w:rPr>
                    <w:sz w:val="22"/>
                    <w:szCs w:val="22"/>
                  </w:rPr>
                  <m:t>L</m:t>
                </m:r>
              </m:e>
            </m:acc>
          </m:e>
          <m:sub>
            <m:r>
              <w:rPr>
                <w:sz w:val="22"/>
                <w:szCs w:val="22"/>
              </w:rPr>
              <m:t>k</m:t>
            </m:r>
          </m:sub>
        </m:sSub>
      </m:oMath>
      <w:r>
        <w:rPr>
          <w:rFonts w:ascii="Arial" w:hAnsi="Arial" w:eastAsia="Arial"/>
          <w:b w:val="0"/>
          <w:i w:val="0"/>
          <w:sz w:val="22"/>
        </w:rPr>
        <w:t xml:space="preserve"> the sensitivity of the indicator to the forcing, estimated from the coupled model over a set of storylines </w:t>
      </w:r>
      <m:oMath>
        <m:r>
          <m:rPr>
            <m:scr m:val="script"/>
            <m:sty m:val="p"/>
          </m:rPr>
          <w:rPr>
            <w:sz w:val="22"/>
            <w:szCs w:val="22"/>
          </w:rPr>
          <m:t>S</m:t>
        </m:r>
      </m:oMath>
      <w:r>
        <w:rPr>
          <w:rFonts w:ascii="Arial" w:hAnsi="Arial" w:eastAsia="Arial"/>
          <w:b w:val="0"/>
          <w:i w:val="0"/>
          <w:sz w:val="22"/>
        </w:rPr>
        <w:t xml:space="preserve"> with a safety factor; inside the record </w:t>
      </w:r>
      <m:oMath>
        <m:sSub>
          <m:e>
            <m:r>
              <w:rPr>
                <w:sz w:val="22"/>
                <w:szCs w:val="22"/>
              </w:rPr>
              <m:t>e</m:t>
            </m:r>
          </m:e>
          <m:sub>
            <m:r>
              <w:rPr>
                <w:sz w:val="22"/>
                <w:szCs w:val="22"/>
              </w:rPr>
              <m:t>k</m:t>
            </m:r>
          </m:sub>
        </m:sSub>
        <m:r>
          <m:rPr>
            <m:sty m:val="p"/>
          </m:rPr>
          <w:rPr>
            <w:sz w:val="22"/>
            <w:szCs w:val="22"/>
          </w:rPr>
          <m:t>=</m:t>
        </m:r>
        <m:r>
          <w:rPr>
            <w:sz w:val="22"/>
            <w:szCs w:val="22"/>
          </w:rPr>
          <m:t>0</m:t>
        </m:r>
      </m:oMath>
      <w:r>
        <w:rPr>
          <w:rFonts w:ascii="Arial" w:hAnsi="Arial" w:eastAsia="Arial"/>
          <w:b w:val="0"/>
          <w:i w:val="0"/>
          <w:sz w:val="22"/>
        </w:rPr>
        <w: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e</m:t>
                    </m:r>
                  </m:e>
                  <m:sub>
                    <m:r>
                      <m:t>k</m:t>
                    </m:r>
                  </m:sub>
                </m:sSub>
                <m:d>
                  <m:dPr>
                    <m:begChr m:val="("/>
                    <m:sepChr m:val=""/>
                    <m:endChr m:val=")"/>
                    <m:grow/>
                  </m:dPr>
                  <m:e>
                    <m:r>
                      <m:t>t</m:t>
                    </m:r>
                  </m:e>
                </m:d>
                <m:r>
                  <m:rPr>
                    <m:sty m:val="p"/>
                  </m:rPr>
                  <m:t>=</m:t>
                </m:r>
                <m:sSub>
                  <m:e>
                    <m:acc>
                      <m:accPr>
                        <m:chr m:val="̂"/>
                      </m:accPr>
                      <m:e>
                        <m:r>
                          <m:t>L</m:t>
                        </m:r>
                      </m:e>
                    </m:acc>
                  </m:e>
                  <m:sub>
                    <m:r>
                      <m:t>k</m:t>
                    </m:r>
                  </m:sub>
                </m:sSub>
                <m:r>
                  <m:t> </m:t>
                </m:r>
                <m:r>
                  <m:t>d</m:t>
                </m:r>
                <m:d>
                  <m:dPr>
                    <m:begChr m:val="("/>
                    <m:sepChr m:val=""/>
                    <m:endChr m:val=")"/>
                    <m:grow/>
                  </m:dPr>
                  <m:e>
                    <m:r>
                      <m:t>ξ</m:t>
                    </m:r>
                    <m:d>
                      <m:dPr>
                        <m:begChr m:val="("/>
                        <m:sepChr m:val=""/>
                        <m:endChr m:val=")"/>
                        <m:grow/>
                      </m:dPr>
                      <m:e>
                        <m:r>
                          <m:t>t</m:t>
                        </m:r>
                      </m:e>
                    </m:d>
                    <m:r>
                      <m:rPr>
                        <m:sty m:val="p"/>
                      </m:rPr>
                      <m:t>,</m:t>
                    </m:r>
                    <m:sSub>
                      <m:e>
                        <m:r>
                          <m:t>Ξ</m:t>
                        </m:r>
                      </m:e>
                      <m:sub>
                        <m:r>
                          <m:rPr>
                            <m:nor/>
                          </m:rPr>
                          <m:t>obs</m:t>
                        </m:r>
                      </m:sub>
                    </m:sSub>
                  </m:e>
                </m:d>
                <m:r>
                  <m:t> </m:t>
                </m:r>
                <m:r>
                  <m:rPr>
                    <m:nor/>
                  </m:rPr>
                  <m:t> and </m:t>
                </m:r>
                <m:r>
                  <m:t> </m:t>
                </m:r>
                <m:sSub>
                  <m:e>
                    <m:acc>
                      <m:accPr>
                        <m:chr m:val="̂"/>
                      </m:accPr>
                      <m:e>
                        <m:r>
                          <m:t>L</m:t>
                        </m:r>
                      </m:e>
                    </m:acc>
                  </m:e>
                  <m:sub>
                    <m:r>
                      <m:t>k</m:t>
                    </m:r>
                  </m:sub>
                </m:sSub>
                <m:r>
                  <m:rPr>
                    <m:sty m:val="p"/>
                  </m:rPr>
                  <m:t>=</m:t>
                </m:r>
                <m:limLow>
                  <m:e>
                    <m:r>
                      <m:rPr>
                        <m:sty m:val="p"/>
                      </m:rPr>
                      <m:t>max</m:t>
                    </m:r>
                  </m:e>
                  <m:lim>
                    <m:r>
                      <m:t>ξ</m:t>
                    </m:r>
                    <m:r>
                      <m:rPr>
                        <m:sty m:val="p"/>
                      </m:rPr>
                      <m:t>,</m:t>
                    </m:r>
                    <m:r>
                      <m:t>ξ</m:t>
                    </m:r>
                    <m:r>
                      <m:rPr>
                        <m:sty m:val="p"/>
                      </m:rPr>
                      <m:t>′</m:t>
                    </m:r>
                    <m:r>
                      <m:rPr>
                        <m:sty m:val="p"/>
                      </m:rPr>
                      <m:t>∈</m:t>
                    </m:r>
                    <m:r>
                      <m:rPr>
                        <m:scr m:val="script"/>
                        <m:sty m:val="p"/>
                      </m:rPr>
                      <m:t>S</m:t>
                    </m:r>
                  </m:lim>
                </m:limLow>
                <m:f>
                  <m:fPr>
                    <m:type m:val="bar"/>
                  </m:fPr>
                  <m:num>
                    <m:d>
                      <m:dPr>
                        <m:begChr m:val="|"/>
                        <m:sepChr m:val=""/>
                        <m:endChr m:val="|"/>
                        <m:grow/>
                      </m:dPr>
                      <m:e>
                        <m:sSub>
                          <m:e>
                            <m:r>
                              <m:t>I</m:t>
                            </m:r>
                          </m:e>
                          <m:sub>
                            <m:r>
                              <m:t>k</m:t>
                            </m:r>
                          </m:sub>
                        </m:sSub>
                        <m:d>
                          <m:dPr>
                            <m:begChr m:val="("/>
                            <m:sepChr m:val=""/>
                            <m:endChr m:val=")"/>
                            <m:grow/>
                          </m:dPr>
                          <m:e>
                            <m:r>
                              <m:t>ξ</m:t>
                            </m:r>
                          </m:e>
                        </m:d>
                        <m:r>
                          <m:rPr>
                            <m:sty m:val="p"/>
                          </m:rPr>
                          <m:t>−</m:t>
                        </m:r>
                        <m:sSub>
                          <m:e>
                            <m:r>
                              <m:t>I</m:t>
                            </m:r>
                          </m:e>
                          <m:sub>
                            <m:r>
                              <m:t>k</m:t>
                            </m:r>
                          </m:sub>
                        </m:sSub>
                        <m:d>
                          <m:dPr>
                            <m:begChr m:val="("/>
                            <m:sepChr m:val=""/>
                            <m:endChr m:val=")"/>
                            <m:grow/>
                          </m:dPr>
                          <m:e>
                            <m:r>
                              <m:t>ξ</m:t>
                            </m:r>
                            <m:r>
                              <m:rPr>
                                <m:sty m:val="p"/>
                              </m:rPr>
                              <m:t>′</m:t>
                            </m:r>
                          </m:e>
                        </m:d>
                      </m:e>
                    </m:d>
                  </m:num>
                  <m:den>
                    <m:r>
                      <m:rPr>
                        <m:sty m:val="p"/>
                      </m:rPr>
                      <m:t>∥</m:t>
                    </m:r>
                    <m:r>
                      <m:t>ξ</m:t>
                    </m:r>
                    <m:r>
                      <m:rPr>
                        <m:sty m:val="p"/>
                      </m:rPr>
                      <m:t>−</m:t>
                    </m:r>
                    <m:r>
                      <m:t>ξ</m:t>
                    </m:r>
                    <m:r>
                      <m:rPr>
                        <m:sty m:val="p"/>
                      </m:rPr>
                      <m:t>′</m:t>
                    </m:r>
                    <m:r>
                      <m:rPr>
                        <m:sty m:val="p"/>
                      </m:rPr>
                      <m:t>∥</m:t>
                    </m:r>
                  </m:den>
                </m:f>
              </m:oMath>
            </m:oMathPara>
          </w:p>
        </w:tc>
        <w:tc>
          <w:tcPr>
            <w:tcW w:type="dxa" w:w="794"/>
            <w:vAlign w:val="center"/>
          </w:tcPr>
          <w:p>
            <w:pPr>
              <w:jc w:val="right"/>
            </w:pPr>
            <w:r>
              <w:rPr>
                <w:rFonts w:ascii="Arial" w:hAnsi="Arial" w:eastAsia="Arial"/>
                <w:b w:val="0"/>
                <w:i w:val="0"/>
                <w:sz w:val="22"/>
              </w:rPr>
              <w:t>(17)</w:t>
            </w:r>
          </w:p>
        </w:tc>
      </w:tr>
    </w:tbl>
    <w:p>
      <w:pPr>
        <w:keepNext/>
        <w:spacing w:after="120" w:before="120"/>
      </w:pPr>
      <w:r>
        <w:rPr>
          <w:rFonts w:ascii="Arial" w:hAnsi="Arial" w:eastAsia="Arial"/>
          <w:b/>
          <w:i w:val="0"/>
          <w:color w:val="2E6DB4"/>
          <w:sz w:val="24"/>
        </w:rPr>
        <w:t>5.4 Joint guarantee and allocation of tolerances</w:t>
      </w:r>
    </w:p>
    <w:p>
      <w:pPr>
        <w:spacing w:after="80" w:before="0"/>
        <w:jc w:val="both"/>
      </w:pPr>
      <w:r>
        <w:rPr>
          <w:rFonts w:ascii="Arial" w:hAnsi="Arial" w:eastAsia="Arial"/>
          <w:b w:val="0"/>
          <w:i w:val="0"/>
          <w:sz w:val="22"/>
        </w:rPr>
        <w:t xml:space="preserve">The three alarms share inputs, so their misses are dependent. The probability that any of them is missed is bounded by the sum of the tolerances, and the tolerances are allocated where tightening them costs least in false alarms (FAR), weighted by consequence </w:t>
      </w:r>
      <m:oMath>
        <m:sSub>
          <m:e>
            <m:r>
              <w:rPr>
                <w:sz w:val="22"/>
                <w:szCs w:val="22"/>
              </w:rPr>
              <m:t>c</m:t>
            </m:r>
          </m:e>
          <m:sub>
            <m:r>
              <w:rPr>
                <w:sz w:val="22"/>
                <w:szCs w:val="22"/>
              </w:rPr>
              <m:t>k</m:t>
            </m:r>
          </m:sub>
        </m:sSub>
      </m:oMath>
      <w:r>
        <w:rPr>
          <w:rFonts w:ascii="Arial" w:hAnsi="Arial" w:eastAsia="Arial"/>
          <w:b w:val="0"/>
          <w:i w:val="0"/>
          <w:sz w:val="22"/>
        </w:rPr>
        <w:t xml:space="preserve">, within caps </w:t>
      </w:r>
      <m:oMath>
        <m:sSubSup>
          <m:e>
            <m:r>
              <w:rPr>
                <w:sz w:val="22"/>
                <w:szCs w:val="22"/>
              </w:rPr>
              <m:t>α</m:t>
            </m:r>
          </m:e>
          <m:sub>
            <m:r>
              <w:rPr>
                <w:sz w:val="22"/>
                <w:szCs w:val="22"/>
              </w:rPr>
              <m:t>k</m:t>
            </m:r>
          </m:sub>
          <m:sup>
            <m:r>
              <m:rPr>
                <m:nor/>
              </m:rPr>
              <w:rPr>
                <w:sz w:val="22"/>
                <w:szCs w:val="22"/>
              </w:rPr>
              <m:t>max</m:t>
            </m:r>
          </m:sup>
        </m:sSubSup>
      </m:oMath>
      <w:r>
        <w:rPr>
          <w:rFonts w:ascii="Arial" w:hAnsi="Arial" w:eastAsia="Arial"/>
          <w:b w:val="0"/>
          <w:i w:val="0"/>
          <w:sz w:val="22"/>
        </w:rPr>
        <w:t xml:space="preserve"> agreed with the operators: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r>
                  <m:rPr>
                    <m:sty m:val="p"/>
                  </m:rPr>
                  <m:t>Pr</m:t>
                </m:r>
                <m:d>
                  <m:dPr>
                    <m:begChr m:val="("/>
                    <m:sepChr m:val=""/>
                    <m:endChr m:val=")"/>
                    <m:grow/>
                  </m:dPr>
                  <m:e>
                    <m:limLow>
                      <m:e>
                        <m:r>
                          <m:rPr>
                            <m:sty m:val="p"/>
                          </m:rPr>
                          <m:t>⋃</m:t>
                        </m:r>
                      </m:e>
                      <m:lim>
                        <m:r>
                          <m:t>k</m:t>
                        </m:r>
                      </m:lim>
                    </m:limLow>
                    <m:sSub>
                      <m:e>
                        <m:r>
                          <m:rPr>
                            <m:nor/>
                          </m:rPr>
                          <m:t>miss</m:t>
                        </m:r>
                      </m:e>
                      <m:sub>
                        <m:r>
                          <m:t>k</m:t>
                        </m:r>
                      </m:sub>
                    </m:sSub>
                  </m:e>
                </m:d>
                <m:r>
                  <m:rPr>
                    <m:sty m:val="p"/>
                  </m:rPr>
                  <m:t>≤</m:t>
                </m:r>
                <m:nary>
                  <m:naryPr>
                    <m:chr m:val="∑"/>
                    <m:limLoc m:val="undOvr"/>
                    <m:subHide m:val="off"/>
                    <m:supHide m:val="on"/>
                  </m:naryPr>
                  <m:sub>
                    <m:r>
                      <m:t>k</m:t>
                    </m:r>
                  </m:sub>
                  <m:sup>
                    <m:r>
                      <m:t>​</m:t>
                    </m:r>
                  </m:sup>
                  <m:e>
                    <m:sSub>
                      <m:e>
                        <m:r>
                          <m:t>α</m:t>
                        </m:r>
                      </m:e>
                      <m:sub>
                        <m:r>
                          <m:t>k</m:t>
                        </m:r>
                      </m:sub>
                    </m:sSub>
                  </m:e>
                </m:nary>
                <m:r>
                  <m:rPr>
                    <m:sty m:val="p"/>
                  </m:rPr>
                  <m:t>≤</m:t>
                </m:r>
                <m:acc>
                  <m:accPr>
                    <m:chr m:val="‾"/>
                  </m:accPr>
                  <m:e>
                    <m:r>
                      <m:t>α</m:t>
                    </m:r>
                  </m:e>
                </m:acc>
              </m:oMath>
            </m:oMathPara>
          </w:p>
        </w:tc>
        <w:tc>
          <w:tcPr>
            <w:tcW w:type="dxa" w:w="794"/>
            <w:vAlign w:val="center"/>
          </w:tcPr>
          <w:p>
            <w:pPr>
              <w:jc w:val="right"/>
            </w:pPr>
            <w:r>
              <w:rPr>
                <w:rFonts w:ascii="Arial" w:hAnsi="Arial" w:eastAsia="Arial"/>
                <w:b w:val="0"/>
                <w:i w:val="0"/>
                <w:sz w:val="22"/>
              </w:rPr>
              <w:t>(18)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limLow>
                  <m:e>
                    <m:r>
                      <m:rPr>
                        <m:sty m:val="p"/>
                      </m:rPr>
                      <m:t>min</m:t>
                    </m:r>
                  </m:e>
                  <m:lim>
                    <m:sSub>
                      <m:e>
                        <m:r>
                          <m:t>α</m:t>
                        </m:r>
                      </m:e>
                      <m:sub>
                        <m:r>
                          <m:t>1</m:t>
                        </m:r>
                      </m:sub>
                    </m:sSub>
                    <m:r>
                      <m:rPr>
                        <m:sty m:val="p"/>
                      </m:rPr>
                      <m:t>,</m:t>
                    </m:r>
                    <m:r>
                      <m:rPr>
                        <m:sty m:val="p"/>
                      </m:rPr>
                      <m:t>…</m:t>
                    </m:r>
                    <m:r>
                      <m:rPr>
                        <m:sty m:val="p"/>
                      </m:rPr>
                      <m:t>,</m:t>
                    </m:r>
                    <m:sSub>
                      <m:e>
                        <m:r>
                          <m:t>α</m:t>
                        </m:r>
                      </m:e>
                      <m:sub>
                        <m:r>
                          <m:t>K</m:t>
                        </m:r>
                      </m:sub>
                    </m:sSub>
                  </m:lim>
                </m:limLow>
                <m:nary>
                  <m:naryPr>
                    <m:chr m:val="∑"/>
                    <m:limLoc m:val="undOvr"/>
                    <m:subHide m:val="off"/>
                    <m:supHide m:val="on"/>
                  </m:naryPr>
                  <m:sub>
                    <m:r>
                      <m:t>k</m:t>
                    </m:r>
                  </m:sub>
                  <m:sup>
                    <m:r>
                      <m:t>​</m:t>
                    </m:r>
                  </m:sup>
                  <m:e>
                    <m:sSub>
                      <m:e>
                        <m:r>
                          <m:t>c</m:t>
                        </m:r>
                      </m:e>
                      <m:sub>
                        <m:r>
                          <m:t>k</m:t>
                        </m:r>
                      </m:sub>
                    </m:sSub>
                  </m:e>
                </m:nary>
                <m:r>
                  <m:t> </m:t>
                </m:r>
                <m:sSub>
                  <m:e>
                    <m:r>
                      <m:rPr>
                        <m:nor/>
                      </m:rPr>
                      <m:t>FAR</m:t>
                    </m:r>
                  </m:e>
                  <m:sub>
                    <m:r>
                      <m:t>k</m:t>
                    </m:r>
                  </m:sub>
                </m:sSub>
                <m:d>
                  <m:dPr>
                    <m:begChr m:val="("/>
                    <m:sepChr m:val=""/>
                    <m:endChr m:val=")"/>
                    <m:grow/>
                  </m:dPr>
                  <m:e>
                    <m:sSub>
                      <m:e>
                        <m:r>
                          <m:t>α</m:t>
                        </m:r>
                      </m:e>
                      <m:sub>
                        <m:r>
                          <m:t>k</m:t>
                        </m:r>
                      </m:sub>
                    </m:sSub>
                  </m:e>
                </m:d>
                <m:r>
                  <m:t> </m:t>
                </m:r>
                <m:r>
                  <m:rPr>
                    <m:nor/>
                  </m:rPr>
                  <m:t> subject to </m:t>
                </m:r>
                <m:r>
                  <m:t> </m:t>
                </m:r>
                <m:nary>
                  <m:naryPr>
                    <m:chr m:val="∑"/>
                    <m:limLoc m:val="undOvr"/>
                    <m:subHide m:val="off"/>
                    <m:supHide m:val="on"/>
                  </m:naryPr>
                  <m:sub>
                    <m:r>
                      <m:t>k</m:t>
                    </m:r>
                  </m:sub>
                  <m:sup>
                    <m:r>
                      <m:t>​</m:t>
                    </m:r>
                  </m:sup>
                  <m:e>
                    <m:sSub>
                      <m:e>
                        <m:r>
                          <m:t>α</m:t>
                        </m:r>
                      </m:e>
                      <m:sub>
                        <m:r>
                          <m:t>k</m:t>
                        </m:r>
                      </m:sub>
                    </m:sSub>
                  </m:e>
                </m:nary>
                <m:r>
                  <m:rPr>
                    <m:sty m:val="p"/>
                  </m:rPr>
                  <m:t>≤</m:t>
                </m:r>
                <m:acc>
                  <m:accPr>
                    <m:chr m:val="‾"/>
                  </m:accPr>
                  <m:e>
                    <m:r>
                      <m:t>α</m:t>
                    </m:r>
                  </m:e>
                </m:acc>
                <m:r>
                  <m:rPr>
                    <m:sty m:val="p"/>
                  </m:rPr>
                  <m:t>,</m:t>
                </m:r>
                <m:r>
                  <m:t> </m:t>
                </m:r>
                <m:r>
                  <m:t> </m:t>
                </m:r>
                <m:sSub>
                  <m:e>
                    <m:r>
                      <m:t>α</m:t>
                    </m:r>
                  </m:e>
                  <m:sub>
                    <m:r>
                      <m:t>k</m:t>
                    </m:r>
                  </m:sub>
                </m:sSub>
                <m:r>
                  <m:rPr>
                    <m:sty m:val="p"/>
                  </m:rPr>
                  <m:t>≤</m:t>
                </m:r>
                <m:sSubSup>
                  <m:e>
                    <m:r>
                      <m:t>α</m:t>
                    </m:r>
                  </m:e>
                  <m:sub>
                    <m:r>
                      <m:t>k</m:t>
                    </m:r>
                  </m:sub>
                  <m:sup>
                    <m:r>
                      <m:rPr>
                        <m:nor/>
                      </m:rPr>
                      <m:t>max</m:t>
                    </m:r>
                  </m:sup>
                </m:sSubSup>
                <m:r>
                  <m:t> </m:t>
                </m:r>
                <m:r>
                  <m:rPr>
                    <m:sty m:val="p"/>
                  </m:rPr>
                  <m:t>⇒</m:t>
                </m:r>
                <m:r>
                  <m:t> </m:t>
                </m:r>
                <m:sSub>
                  <m:e>
                    <m:r>
                      <m:t>c</m:t>
                    </m:r>
                  </m:e>
                  <m:sub>
                    <m:r>
                      <m:t>k</m:t>
                    </m:r>
                  </m:sub>
                </m:sSub>
                <m:r>
                  <m:t> </m:t>
                </m:r>
                <m:r>
                  <m:rPr>
                    <m:nor/>
                  </m:rPr>
                  <m:t>FAR</m:t>
                </m:r>
                <m:sSub>
                  <m:e>
                    <m:r>
                      <m:rPr>
                        <m:sty m:val="p"/>
                      </m:rPr>
                      <m:t>′</m:t>
                    </m:r>
                  </m:e>
                  <m:sub>
                    <m:r>
                      <m:t>k</m:t>
                    </m:r>
                  </m:sub>
                </m:sSub>
                <m:d>
                  <m:dPr>
                    <m:begChr m:val="("/>
                    <m:sepChr m:val=""/>
                    <m:endChr m:val=")"/>
                    <m:grow/>
                  </m:dPr>
                  <m:e>
                    <m:sSubSup>
                      <m:e>
                        <m:r>
                          <m:t>α</m:t>
                        </m:r>
                      </m:e>
                      <m:sub>
                        <m:r>
                          <m:t>k</m:t>
                        </m:r>
                      </m:sub>
                      <m:sup>
                        <m:r>
                          <m:rPr>
                            <m:sty m:val="p"/>
                          </m:rPr>
                          <m:t>⋆</m:t>
                        </m:r>
                      </m:sup>
                    </m:sSubSup>
                  </m:e>
                </m:d>
                <m:r>
                  <m:rPr>
                    <m:sty m:val="p"/>
                  </m:rPr>
                  <m:t>=</m:t>
                </m:r>
                <m:r>
                  <m:rPr>
                    <m:sty m:val="p"/>
                  </m:rPr>
                  <m:t>−</m:t>
                </m:r>
                <m:r>
                  <m:t>μ</m:t>
                </m:r>
              </m:oMath>
            </m:oMathPara>
          </w:p>
        </w:tc>
        <w:tc>
          <w:tcPr>
            <w:tcW w:type="dxa" w:w="794"/>
            <w:vAlign w:val="center"/>
          </w:tcPr>
          <w:p>
            <w:pPr>
              <w:jc w:val="right"/>
            </w:pPr>
            <w:r>
              <w:rPr>
                <w:rFonts w:ascii="Arial" w:hAnsi="Arial" w:eastAsia="Arial"/>
                <w:b w:val="0"/>
                <w:i w:val="0"/>
                <w:sz w:val="22"/>
              </w:rPr>
              <w:t>(19)</w:t>
            </w:r>
          </w:p>
        </w:tc>
      </w:tr>
    </w:tbl>
    <w:p>
      <w:pPr>
        <w:spacing w:after="80" w:before="0"/>
        <w:jc w:val="both"/>
      </w:pPr>
      <w:r>
        <w:rPr>
          <w:rFonts w:ascii="Arial" w:hAnsi="Arial" w:eastAsia="Arial"/>
          <w:b w:val="0"/>
          <w:i w:val="0"/>
          <w:sz w:val="22"/>
        </w:rPr>
        <w:t>At the optimum the consequence-weighted marginal false-alarm cost is equal across hazards (</w:t>
      </w:r>
      <m:oMath>
        <m:r>
          <w:rPr>
            <w:sz w:val="22"/>
            <w:szCs w:val="22"/>
          </w:rPr>
          <m:t>μ</m:t>
        </m:r>
      </m:oMath>
      <w:r>
        <w:rPr>
          <w:rFonts w:ascii="Arial" w:hAnsi="Arial" w:eastAsia="Arial"/>
          <w:b w:val="0"/>
          <w:i w:val="0"/>
          <w:sz w:val="22"/>
        </w:rPr>
        <w:t xml:space="preserve"> is the multiplier of the budget). The joint miss rate is also tracked directly with Eq. (16) applied to the event "any alarm missed", which tightens the union bound when the dependence is strong.</w:t>
      </w:r>
    </w:p>
    <w:p>
      <w:pPr>
        <w:keepNext/>
        <w:spacing w:after="120" w:before="120"/>
      </w:pPr>
      <w:r>
        <w:rPr>
          <w:rFonts w:ascii="Arial" w:hAnsi="Arial" w:eastAsia="Arial"/>
          <w:b/>
          <w:i w:val="0"/>
          <w:color w:val="2E6DB4"/>
          <w:sz w:val="24"/>
        </w:rPr>
        <w:t>5.5 Extremes on a sinking coast</w:t>
      </w:r>
    </w:p>
    <w:p>
      <w:pPr>
        <w:spacing w:after="80" w:before="0"/>
        <w:jc w:val="both"/>
      </w:pPr>
      <w:r>
        <w:rPr>
          <w:rFonts w:ascii="Arial" w:hAnsi="Arial" w:eastAsia="Arial"/>
          <w:b w:val="0"/>
          <w:i w:val="0"/>
          <w:sz w:val="22"/>
        </w:rPr>
        <w:t xml:space="preserve">Exceedances of the still water level over a threshold follow a generalised Pareto distribution (Coles, 2001) whose threshold moves with the relative sea level of Section 2, so that land motion from InSAR enters the return levels with its uncertainty; </w:t>
      </w:r>
      <m:oMath>
        <m:sSub>
          <m:e>
            <m:r>
              <w:rPr>
                <w:sz w:val="22"/>
                <w:szCs w:val="22"/>
              </w:rPr>
              <m:t>λ</m:t>
            </m:r>
          </m:e>
          <m:sub>
            <m:r>
              <w:rPr>
                <w:sz w:val="22"/>
                <w:szCs w:val="22"/>
              </w:rPr>
              <m:t>u</m:t>
            </m:r>
          </m:sub>
        </m:sSub>
      </m:oMath>
      <w:r>
        <w:rPr>
          <w:rFonts w:ascii="Arial" w:hAnsi="Arial" w:eastAsia="Arial"/>
          <w:b w:val="0"/>
          <w:i w:val="0"/>
          <w:sz w:val="22"/>
        </w:rPr>
        <w:t xml:space="preserve"> is the yearly rate of exceedances and </w:t>
      </w:r>
      <m:oMath>
        <m:sSub>
          <m:e>
            <m:r>
              <w:rPr>
                <w:sz w:val="22"/>
                <w:szCs w:val="22"/>
              </w:rPr>
              <m:t>z</m:t>
            </m:r>
          </m:e>
          <m:sub>
            <m:r>
              <w:rPr>
                <w:sz w:val="22"/>
                <w:szCs w:val="22"/>
              </w:rPr>
              <m:t>N</m:t>
            </m:r>
          </m:sub>
        </m:sSub>
      </m:oMath>
      <w:r>
        <w:rPr>
          <w:rFonts w:ascii="Arial" w:hAnsi="Arial" w:eastAsia="Arial"/>
          <w:b w:val="0"/>
          <w:i w:val="0"/>
          <w:sz w:val="22"/>
        </w:rPr>
        <w:t xml:space="preserve"> the </w:t>
      </w:r>
      <m:oMath>
        <m:r>
          <w:rPr>
            <w:sz w:val="22"/>
            <w:szCs w:val="22"/>
          </w:rPr>
          <m:t>N</m:t>
        </m:r>
      </m:oMath>
      <w:r>
        <w:rPr>
          <w:rFonts w:ascii="Arial" w:hAnsi="Arial" w:eastAsia="Arial"/>
          <w:b w:val="0"/>
          <w:i w:val="0"/>
          <w:sz w:val="22"/>
        </w:rPr>
        <w:t>-year level:</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r>
                  <m:rPr>
                    <m:sty m:val="p"/>
                  </m:rPr>
                  <m:t>Pr</m:t>
                </m:r>
                <m:d>
                  <m:dPr>
                    <m:begChr m:val="("/>
                    <m:sepChr m:val=""/>
                    <m:endChr m:val=")"/>
                    <m:grow/>
                  </m:dPr>
                  <m:e>
                    <m:r>
                      <m:t>Y</m:t>
                    </m:r>
                    <m:r>
                      <m:rPr>
                        <m:sty m:val="p"/>
                      </m:rPr>
                      <m:t>&gt;</m:t>
                    </m:r>
                    <m:r>
                      <m:t>y</m:t>
                    </m:r>
                    <m:r>
                      <m:rPr>
                        <m:sty m:val="p"/>
                      </m:rPr>
                      <m:t>∣</m:t>
                    </m:r>
                    <m:r>
                      <m:t>Y</m:t>
                    </m:r>
                    <m:r>
                      <m:rPr>
                        <m:sty m:val="p"/>
                      </m:rPr>
                      <m:t>&gt;</m:t>
                    </m:r>
                    <m:r>
                      <m:t>u</m:t>
                    </m:r>
                    <m:d>
                      <m:dPr>
                        <m:begChr m:val="("/>
                        <m:sepChr m:val=""/>
                        <m:endChr m:val=")"/>
                        <m:grow/>
                      </m:dPr>
                      <m:e>
                        <m:r>
                          <m:t>t</m:t>
                        </m:r>
                      </m:e>
                    </m:d>
                  </m:e>
                </m:d>
                <m:r>
                  <m:rPr>
                    <m:sty m:val="p"/>
                  </m:rPr>
                  <m:t>=</m:t>
                </m:r>
                <m:sSup>
                  <m:e>
                    <m:d>
                      <m:dPr>
                        <m:begChr m:val="["/>
                        <m:sepChr m:val=""/>
                        <m:endChr m:val="]"/>
                        <m:grow/>
                      </m:dPr>
                      <m:e>
                        <m:r>
                          <m:t>1</m:t>
                        </m:r>
                        <m:r>
                          <m:rPr>
                            <m:sty m:val="p"/>
                          </m:rPr>
                          <m:t>+</m:t>
                        </m:r>
                        <m:sSub>
                          <m:e>
                            <m:r>
                              <m:t>ξ</m:t>
                            </m:r>
                          </m:e>
                          <m:sub>
                            <m:r>
                              <m:t>g</m:t>
                            </m:r>
                          </m:sub>
                        </m:sSub>
                        <m:r>
                          <m:t> </m:t>
                        </m:r>
                        <m:f>
                          <m:fPr>
                            <m:type m:val="bar"/>
                          </m:fPr>
                          <m:num>
                            <m:r>
                              <m:t>y</m:t>
                            </m:r>
                            <m:r>
                              <m:rPr>
                                <m:sty m:val="p"/>
                              </m:rPr>
                              <m:t>−</m:t>
                            </m:r>
                            <m:r>
                              <m:t>u</m:t>
                            </m:r>
                            <m:d>
                              <m:dPr>
                                <m:begChr m:val="("/>
                                <m:sepChr m:val=""/>
                                <m:endChr m:val=")"/>
                                <m:grow/>
                              </m:dPr>
                              <m:e>
                                <m:r>
                                  <m:t>t</m:t>
                                </m:r>
                              </m:e>
                            </m:d>
                          </m:num>
                          <m:den>
                            <m:sSub>
                              <m:e>
                                <m:r>
                                  <m:t>σ</m:t>
                                </m:r>
                              </m:e>
                              <m:sub>
                                <m:r>
                                  <m:t>g</m:t>
                                </m:r>
                              </m:sub>
                            </m:sSub>
                            <m:d>
                              <m:dPr>
                                <m:begChr m:val="("/>
                                <m:sepChr m:val=""/>
                                <m:endChr m:val=")"/>
                                <m:grow/>
                              </m:dPr>
                              <m:e>
                                <m:r>
                                  <m:t>t</m:t>
                                </m:r>
                              </m:e>
                            </m:d>
                          </m:den>
                        </m:f>
                      </m:e>
                    </m:d>
                  </m:e>
                  <m:sup>
                    <m:r>
                      <m:rPr>
                        <m:sty m:val="p"/>
                      </m:rPr>
                      <m:t>−</m:t>
                    </m:r>
                    <m:r>
                      <m:t>1</m:t>
                    </m:r>
                    <m:r>
                      <m:rPr>
                        <m:sty m:val="p"/>
                      </m:rPr>
                      <m:t>/</m:t>
                    </m:r>
                    <m:sSub>
                      <m:e>
                        <m:r>
                          <m:t>ξ</m:t>
                        </m:r>
                      </m:e>
                      <m:sub>
                        <m:r>
                          <m:t>g</m:t>
                        </m:r>
                      </m:sub>
                    </m:sSub>
                  </m:sup>
                </m:sSup>
                <m:r>
                  <m:t> </m:t>
                </m:r>
                <m:r>
                  <m:rPr>
                    <m:nor/>
                  </m:rPr>
                  <m:t> and </m:t>
                </m:r>
                <m:r>
                  <m:t> </m:t>
                </m:r>
                <m:r>
                  <m:t>u</m:t>
                </m:r>
                <m:d>
                  <m:dPr>
                    <m:begChr m:val="("/>
                    <m:sepChr m:val=""/>
                    <m:endChr m:val=")"/>
                    <m:grow/>
                  </m:dPr>
                  <m:e>
                    <m:r>
                      <m:t>t</m:t>
                    </m:r>
                  </m:e>
                </m:d>
                <m:r>
                  <m:rPr>
                    <m:sty m:val="p"/>
                  </m:rPr>
                  <m:t>=</m:t>
                </m:r>
                <m:sSub>
                  <m:e>
                    <m:r>
                      <m:t>u</m:t>
                    </m:r>
                  </m:e>
                  <m:sub>
                    <m:r>
                      <m:t>0</m:t>
                    </m:r>
                  </m:sub>
                </m:sSub>
                <m:r>
                  <m:rPr>
                    <m:sty m:val="p"/>
                  </m:rPr>
                  <m:t>+</m:t>
                </m:r>
                <m:sSub>
                  <m:e>
                    <m:r>
                      <m:t>R</m:t>
                    </m:r>
                  </m:e>
                  <m:sub>
                    <m:r>
                      <m:t>a</m:t>
                    </m:r>
                  </m:sub>
                </m:sSub>
                <m:d>
                  <m:dPr>
                    <m:begChr m:val="("/>
                    <m:sepChr m:val=""/>
                    <m:endChr m:val=")"/>
                    <m:grow/>
                  </m:dPr>
                  <m:e>
                    <m:r>
                      <m:t>t</m:t>
                    </m:r>
                  </m:e>
                </m:d>
                <m:r>
                  <m:rPr>
                    <m:sty m:val="p"/>
                  </m:rPr>
                  <m:t>−</m:t>
                </m:r>
                <m:sSub>
                  <m:e>
                    <m:r>
                      <m:t>R</m:t>
                    </m:r>
                  </m:e>
                  <m:sub>
                    <m:r>
                      <m:t>a</m:t>
                    </m:r>
                  </m:sub>
                </m:sSub>
                <m:d>
                  <m:dPr>
                    <m:begChr m:val="("/>
                    <m:sepChr m:val=""/>
                    <m:endChr m:val=")"/>
                    <m:grow/>
                  </m:dPr>
                  <m:e>
                    <m:sSub>
                      <m:e>
                        <m:r>
                          <m:t>t</m:t>
                        </m:r>
                      </m:e>
                      <m:sub>
                        <m:r>
                          <m:t>0</m:t>
                        </m:r>
                      </m:sub>
                    </m:sSub>
                  </m:e>
                </m:d>
              </m:oMath>
            </m:oMathPara>
          </w:p>
        </w:tc>
        <w:tc>
          <w:tcPr>
            <w:tcW w:type="dxa" w:w="794"/>
            <w:vAlign w:val="center"/>
          </w:tcPr>
          <w:p>
            <w:pPr>
              <w:jc w:val="right"/>
            </w:pPr>
            <w:r>
              <w:rPr>
                <w:rFonts w:ascii="Arial" w:hAnsi="Arial" w:eastAsia="Arial"/>
                <w:b w:val="0"/>
                <w:i w:val="0"/>
                <w:sz w:val="22"/>
              </w:rPr>
              <w:t>(20)</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
                  <m:e>
                    <m:r>
                      <m:t>z</m:t>
                    </m:r>
                  </m:e>
                  <m:sub>
                    <m:r>
                      <m:t>N</m:t>
                    </m:r>
                  </m:sub>
                </m:sSub>
                <m:d>
                  <m:dPr>
                    <m:begChr m:val="("/>
                    <m:sepChr m:val=""/>
                    <m:endChr m:val=")"/>
                    <m:grow/>
                  </m:dPr>
                  <m:e>
                    <m:r>
                      <m:t>t</m:t>
                    </m:r>
                  </m:e>
                </m:d>
                <m:r>
                  <m:rPr>
                    <m:sty m:val="p"/>
                  </m:rPr>
                  <m:t>=</m:t>
                </m:r>
                <m:r>
                  <m:t>u</m:t>
                </m:r>
                <m:d>
                  <m:dPr>
                    <m:begChr m:val="("/>
                    <m:sepChr m:val=""/>
                    <m:endChr m:val=")"/>
                    <m:grow/>
                  </m:dPr>
                  <m:e>
                    <m:r>
                      <m:t>t</m:t>
                    </m:r>
                  </m:e>
                </m:d>
                <m:r>
                  <m:rPr>
                    <m:sty m:val="p"/>
                  </m:rPr>
                  <m:t>+</m:t>
                </m:r>
                <m:f>
                  <m:fPr>
                    <m:type m:val="bar"/>
                  </m:fPr>
                  <m:num>
                    <m:sSub>
                      <m:e>
                        <m:r>
                          <m:t>σ</m:t>
                        </m:r>
                      </m:e>
                      <m:sub>
                        <m:r>
                          <m:t>g</m:t>
                        </m:r>
                      </m:sub>
                    </m:sSub>
                    <m:d>
                      <m:dPr>
                        <m:begChr m:val="("/>
                        <m:sepChr m:val=""/>
                        <m:endChr m:val=")"/>
                        <m:grow/>
                      </m:dPr>
                      <m:e>
                        <m:r>
                          <m:t>t</m:t>
                        </m:r>
                      </m:e>
                    </m:d>
                  </m:num>
                  <m:den>
                    <m:sSub>
                      <m:e>
                        <m:r>
                          <m:t>ξ</m:t>
                        </m:r>
                      </m:e>
                      <m:sub>
                        <m:r>
                          <m:t>g</m:t>
                        </m:r>
                      </m:sub>
                    </m:sSub>
                  </m:den>
                </m:f>
                <m:d>
                  <m:dPr>
                    <m:begChr m:val="["/>
                    <m:sepChr m:val=""/>
                    <m:endChr m:val="]"/>
                    <m:grow/>
                  </m:dPr>
                  <m:e>
                    <m:sSup>
                      <m:e>
                        <m:d>
                          <m:dPr>
                            <m:begChr m:val="("/>
                            <m:sepChr m:val=""/>
                            <m:endChr m:val=")"/>
                            <m:grow/>
                          </m:dPr>
                          <m:e>
                            <m:r>
                              <m:t>N</m:t>
                            </m:r>
                            <m:sSub>
                              <m:e>
                                <m:r>
                                  <m:t>λ</m:t>
                                </m:r>
                              </m:e>
                              <m:sub>
                                <m:r>
                                  <m:t>u</m:t>
                                </m:r>
                              </m:sub>
                            </m:sSub>
                          </m:e>
                        </m:d>
                      </m:e>
                      <m:sup>
                        <m:sSub>
                          <m:e>
                            <m:r>
                              <m:t>ξ</m:t>
                            </m:r>
                          </m:e>
                          <m:sub>
                            <m:r>
                              <m:t>g</m:t>
                            </m:r>
                          </m:sub>
                        </m:sSub>
                      </m:sup>
                    </m:sSup>
                    <m:r>
                      <m:rPr>
                        <m:sty m:val="p"/>
                      </m:rPr>
                      <m:t>−</m:t>
                    </m:r>
                    <m:r>
                      <m:t>1</m:t>
                    </m:r>
                  </m:e>
                </m:d>
              </m:oMath>
            </m:oMathPara>
          </w:p>
        </w:tc>
        <w:tc>
          <w:tcPr>
            <w:tcW w:type="dxa" w:w="794"/>
            <w:vAlign w:val="center"/>
          </w:tcPr>
          <w:p>
            <w:pPr>
              <w:jc w:val="right"/>
            </w:pPr>
            <w:r>
              <w:rPr>
                <w:rFonts w:ascii="Arial" w:hAnsi="Arial" w:eastAsia="Arial"/>
                <w:b w:val="0"/>
                <w:i w:val="0"/>
                <w:sz w:val="22"/>
              </w:rPr>
              <w:t>(21)</w:t>
            </w:r>
          </w:p>
        </w:tc>
      </w:tr>
    </w:tbl>
    <w:p>
      <w:pPr>
        <w:spacing w:after="80" w:before="0"/>
        <w:jc w:val="both"/>
      </w:pPr>
      <w:r>
        <w:rPr>
          <w:rFonts w:ascii="Arial" w:hAnsi="Arial" w:eastAsia="Arial"/>
          <w:b w:val="0"/>
          <w:i w:val="0"/>
          <w:sz w:val="22"/>
        </w:rPr>
        <w:t xml:space="preserve">These distributions generate the storm storylines used for </w:t>
      </w:r>
      <m:oMath>
        <m:sSub>
          <m:e>
            <m:acc>
              <m:accPr>
                <m:chr m:val="̂"/>
              </m:accPr>
              <m:e>
                <m:r>
                  <w:rPr>
                    <w:sz w:val="22"/>
                    <w:szCs w:val="22"/>
                  </w:rPr>
                  <m:t>L</m:t>
                </m:r>
              </m:e>
            </m:acc>
          </m:e>
          <m:sub>
            <m:r>
              <w:rPr>
                <w:sz w:val="22"/>
                <w:szCs w:val="22"/>
              </w:rPr>
              <m:t>k</m:t>
            </m:r>
          </m:sub>
        </m:sSub>
      </m:oMath>
      <w:r>
        <w:rPr>
          <w:rFonts w:ascii="Arial" w:hAnsi="Arial" w:eastAsia="Arial"/>
          <w:b w:val="0"/>
          <w:i w:val="0"/>
          <w:sz w:val="22"/>
        </w:rPr>
        <w:t xml:space="preserve"> and for back-testing.</w:t>
      </w:r>
    </w:p>
    <w:p>
      <w:pPr>
        <w:keepNext/>
        <w:spacing w:after="120" w:before="120"/>
      </w:pPr>
      <w:r>
        <w:rPr>
          <w:rFonts w:ascii="Arial" w:hAnsi="Arial" w:eastAsia="Arial"/>
          <w:b/>
          <w:i w:val="0"/>
          <w:color w:val="2E6DB4"/>
          <w:sz w:val="24"/>
        </w:rPr>
        <w:t>5.6 Back-testing (T3.4)</w:t>
      </w:r>
    </w:p>
    <w:p>
      <w:pPr>
        <w:spacing w:after="80" w:before="0"/>
        <w:jc w:val="both"/>
      </w:pPr>
      <w:r>
        <w:rPr>
          <w:rFonts w:ascii="Arial" w:hAnsi="Arial" w:eastAsia="Arial"/>
          <w:b w:val="0"/>
          <w:i w:val="0"/>
          <w:sz w:val="22"/>
        </w:rPr>
        <w:t>The full chain is replayed over the InSAR era with the system frozen at each issue time, so no later data are used, and on storylines beyond the record: droughts, compound storm and high tide, a 2019-type earthquake at a high water table, and increased pumping. Miss and false-alarm rates are reported with Clopper–Pearson intervals, using block resampling for serial dependence. In preparatory synthetic tests on a coupled variable-density model, an extreme-aware margin kept the share of seasons above the chloride limit at 4–9% across drought, human-feedback and compound storylines, where a static alarm allowed 13–21%.</w:t>
      </w:r>
    </w:p>
    <w:p>
      <w:pPr>
        <w:keepNext/>
        <w:spacing w:after="120" w:before="200"/>
      </w:pPr>
      <w:r>
        <w:rPr>
          <w:rFonts w:ascii="Arial" w:hAnsi="Arial" w:eastAsia="Arial"/>
          <w:b/>
          <w:i w:val="0"/>
          <w:color w:val="1F3864"/>
          <w:sz w:val="27"/>
        </w:rPr>
        <w:t>6. A monitoring network designed for the warnings (WP4; T4.1, T4.4)</w:t>
      </w:r>
    </w:p>
    <w:p>
      <w:pPr>
        <w:spacing w:after="80" w:before="0"/>
        <w:jc w:val="both"/>
      </w:pPr>
      <w:r>
        <w:rPr>
          <w:rFonts w:ascii="Arial" w:hAnsi="Arial" w:eastAsia="Arial"/>
          <w:b/>
          <w:i w:val="0"/>
          <w:sz w:val="22"/>
        </w:rPr>
        <w:t>Goal-oriented design.</w:t>
      </w:r>
      <w:r>
        <w:rPr>
          <w:rFonts w:ascii="Arial" w:hAnsi="Arial" w:eastAsia="Arial"/>
          <w:b w:val="0"/>
          <w:i w:val="0"/>
          <w:sz w:val="22"/>
        </w:rPr>
        <w:t xml:space="preserve"> Candidate sensors </w:t>
      </w:r>
      <m:oMath>
        <m:r>
          <m:rPr>
            <m:scr m:val="script"/>
            <m:sty m:val="p"/>
          </m:rPr>
          <w:rPr>
            <w:sz w:val="22"/>
            <w:szCs w:val="22"/>
          </w:rPr>
          <m:t>C</m:t>
        </m:r>
      </m:oMath>
      <w:r>
        <w:rPr>
          <w:rFonts w:ascii="Arial" w:hAnsi="Arial" w:eastAsia="Arial"/>
          <w:b w:val="0"/>
          <w:i w:val="0"/>
          <w:sz w:val="22"/>
        </w:rPr>
        <w:t xml:space="preserve"> (piezometers with conductivity loggers, chloride sampling points, GNSS, corner reflectors, seismic stations and nodes, fibre-optic sensing) are ranked by how much they narrow the forecast of each indicator. A narrower forecast needs a smaller margin for the same miss rate, and so gives fewer false alarms. With a linearised model, the forecast spread of indicator </w:t>
      </w:r>
      <m:oMath>
        <m:r>
          <w:rPr>
            <w:sz w:val="22"/>
            <w:szCs w:val="22"/>
          </w:rPr>
          <m:t>k</m:t>
        </m:r>
      </m:oMath>
      <w:r>
        <w:rPr>
          <w:rFonts w:ascii="Arial" w:hAnsi="Arial" w:eastAsia="Arial"/>
          <w:b w:val="0"/>
          <w:i w:val="0"/>
          <w:sz w:val="22"/>
        </w:rPr>
        <w:t xml:space="preserve"> after observing set </w:t>
      </w:r>
      <m:oMath>
        <m:r>
          <w:rPr>
            <w:sz w:val="22"/>
            <w:szCs w:val="22"/>
          </w:rPr>
          <m:t>S</m:t>
        </m:r>
      </m:oMath>
      <w:r>
        <w:rPr>
          <w:rFonts w:ascii="Arial" w:hAnsi="Arial" w:eastAsia="Arial"/>
          <w:b w:val="0"/>
          <w:i w:val="0"/>
          <w:sz w:val="22"/>
        </w:rPr>
        <w:t xml:space="preserve"> uses the adjoint gradient </w:t>
      </w:r>
      <m:oMath>
        <m:sSub>
          <m:e>
            <m:r>
              <m:rPr>
                <m:sty m:val="b"/>
              </m:rPr>
              <w:rPr>
                <w:sz w:val="22"/>
                <w:szCs w:val="22"/>
              </w:rPr>
              <m:t>g</m:t>
            </m:r>
          </m:e>
          <m:sub>
            <m:r>
              <w:rPr>
                <w:sz w:val="22"/>
                <w:szCs w:val="22"/>
              </w:rPr>
              <m:t>k</m:t>
            </m:r>
          </m:sub>
        </m:sSub>
        <m:r>
          <m:rPr>
            <m:sty m:val="p"/>
          </m:rPr>
          <w:rPr>
            <w:sz w:val="22"/>
            <w:szCs w:val="22"/>
          </w:rPr>
          <m:t>=</m:t>
        </m:r>
        <m:r>
          <m:rPr>
            <m:sty m:val="p"/>
          </m:rPr>
          <w:rPr>
            <w:sz w:val="22"/>
            <w:szCs w:val="22"/>
          </w:rPr>
          <m:t>∂</m:t>
        </m:r>
        <m:sSub>
          <m:e>
            <m:r>
              <w:rPr>
                <w:sz w:val="22"/>
                <w:szCs w:val="22"/>
              </w:rPr>
              <m:t>I</m:t>
            </m:r>
          </m:e>
          <m:sub>
            <m:r>
              <w:rPr>
                <w:sz w:val="22"/>
                <w:szCs w:val="22"/>
              </w:rPr>
              <m:t>k</m:t>
            </m:r>
          </m:sub>
        </m:sSub>
        <m:r>
          <m:rPr>
            <m:sty m:val="p"/>
          </m:rPr>
          <w:rPr>
            <w:sz w:val="22"/>
            <w:szCs w:val="22"/>
          </w:rPr>
          <m:t>/</m:t>
        </m:r>
        <m:r>
          <m:rPr>
            <m:sty m:val="p"/>
          </m:rPr>
          <w:rPr>
            <w:sz w:val="22"/>
            <w:szCs w:val="22"/>
          </w:rPr>
          <m:t>∂</m:t>
        </m:r>
        <m:r>
          <m:rPr>
            <m:sty m:val="b"/>
          </m:rPr>
          <w:rPr>
            <w:sz w:val="22"/>
            <w:szCs w:val="22"/>
          </w:rPr>
          <m:t>θ</m:t>
        </m:r>
      </m:oMath>
      <w:r>
        <w:rPr>
          <w:rFonts w:ascii="Arial" w:hAnsi="Arial" w:eastAsia="Arial"/>
          <w:b w:val="0"/>
          <w:i w:val="0"/>
          <w:sz w:val="22"/>
        </w:rPr>
        <w:t xml:space="preserve">, the prior covariance </w:t>
      </w:r>
      <m:oMath>
        <m:sSub>
          <m:e>
            <m:r>
              <m:rPr>
                <m:sty m:val="b"/>
              </m:rPr>
              <w:rPr>
                <w:sz w:val="22"/>
                <w:szCs w:val="22"/>
              </w:rPr>
              <m:t>Γ</m:t>
            </m:r>
          </m:e>
          <m:sub>
            <m:r>
              <m:rPr>
                <m:nor/>
              </m:rPr>
              <w:rPr>
                <w:sz w:val="22"/>
                <w:szCs w:val="22"/>
              </w:rPr>
              <m:t>pr</m:t>
            </m:r>
          </m:sub>
        </m:sSub>
      </m:oMath>
      <w:r>
        <w:rPr>
          <w:rFonts w:ascii="Arial" w:hAnsi="Arial" w:eastAsia="Arial"/>
          <w:b w:val="0"/>
          <w:i w:val="0"/>
          <w:sz w:val="22"/>
        </w:rPr>
        <w:t xml:space="preserve">, the sensor Jacobian </w:t>
      </w:r>
      <m:oMath>
        <m:sSub>
          <m:e>
            <m:r>
              <m:rPr>
                <m:sty m:val="b"/>
              </m:rPr>
              <w:rPr>
                <w:sz w:val="22"/>
                <w:szCs w:val="22"/>
              </w:rPr>
              <m:t>J</m:t>
            </m:r>
          </m:e>
          <m:sub>
            <m:r>
              <w:rPr>
                <w:sz w:val="22"/>
                <w:szCs w:val="22"/>
              </w:rPr>
              <m:t>S</m:t>
            </m:r>
          </m:sub>
        </m:sSub>
      </m:oMath>
      <w:r>
        <w:rPr>
          <w:rFonts w:ascii="Arial" w:hAnsi="Arial" w:eastAsia="Arial"/>
          <w:b w:val="0"/>
          <w:i w:val="0"/>
          <w:sz w:val="22"/>
        </w:rPr>
        <w:t xml:space="preserve"> and noise covariance </w:t>
      </w:r>
      <m:oMath>
        <m:sSub>
          <m:e>
            <m:r>
              <m:rPr>
                <m:sty m:val="b"/>
              </m:rPr>
              <w:rPr>
                <w:sz w:val="22"/>
                <w:szCs w:val="22"/>
              </w:rPr>
              <m:t>Γ</m:t>
            </m:r>
          </m:e>
          <m:sub>
            <m:r>
              <w:rPr>
                <w:sz w:val="22"/>
                <w:szCs w:val="22"/>
              </w:rPr>
              <m:t>S</m:t>
            </m:r>
          </m:sub>
        </m:sSub>
      </m:oMath>
      <w:r>
        <w:rPr>
          <w:rFonts w:ascii="Arial" w:hAnsi="Arial" w:eastAsia="Arial"/>
          <w:b w:val="0"/>
          <w:i w:val="0"/>
          <w:sz w:val="22"/>
        </w:rPr>
        <w:t xml:space="preserve">; the network maximises the consequence-weighted reduction of margins within the budget </w:t>
      </w:r>
      <m:oMath>
        <m:r>
          <w:rPr>
            <w:sz w:val="22"/>
            <w:szCs w:val="22"/>
          </w:rPr>
          <m:t>B</m:t>
        </m:r>
      </m:oMath>
      <w:r>
        <w:rPr>
          <w:rFonts w:ascii="Arial" w:hAnsi="Arial" w:eastAsia="Arial"/>
          <w:b w:val="0"/>
          <w:i w:val="0"/>
          <w:sz w:val="22"/>
        </w:rPr>
        <w: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sSubSup>
                  <m:e>
                    <m:r>
                      <m:t>σ</m:t>
                    </m:r>
                  </m:e>
                  <m:sub>
                    <m:r>
                      <m:t>k</m:t>
                    </m:r>
                  </m:sub>
                  <m:sup>
                    <m:r>
                      <m:t>2</m:t>
                    </m:r>
                  </m:sup>
                </m:sSubSup>
                <m:d>
                  <m:dPr>
                    <m:begChr m:val="("/>
                    <m:sepChr m:val=""/>
                    <m:endChr m:val=")"/>
                    <m:grow/>
                  </m:dPr>
                  <m:e>
                    <m:r>
                      <m:t>S</m:t>
                    </m:r>
                  </m:e>
                </m:d>
                <m:r>
                  <m:rPr>
                    <m:sty m:val="p"/>
                  </m:rPr>
                  <m:t>=</m:t>
                </m:r>
                <m:sSubSup>
                  <m:e>
                    <m:r>
                      <m:rPr>
                        <m:sty m:val="b"/>
                      </m:rPr>
                      <m:t>g</m:t>
                    </m:r>
                  </m:e>
                  <m:sub>
                    <m:r>
                      <m:t>k</m:t>
                    </m:r>
                  </m:sub>
                  <m:sup>
                    <m:r>
                      <m:rPr>
                        <m:sty m:val="p"/>
                      </m:rPr>
                      <m:t>⊤</m:t>
                    </m:r>
                  </m:sup>
                </m:sSubSup>
                <m:sSup>
                  <m:e>
                    <m:d>
                      <m:dPr>
                        <m:begChr m:val="("/>
                        <m:sepChr m:val=""/>
                        <m:endChr m:val=")"/>
                        <m:grow/>
                      </m:dPr>
                      <m:e>
                        <m:sSubSup>
                          <m:e>
                            <m:r>
                              <m:rPr>
                                <m:sty m:val="b"/>
                              </m:rPr>
                              <m:t>Γ</m:t>
                            </m:r>
                          </m:e>
                          <m:sub>
                            <m:r>
                              <m:rPr>
                                <m:nor/>
                              </m:rPr>
                              <m:t>pr</m:t>
                            </m:r>
                          </m:sub>
                          <m:sup>
                            <m:r>
                              <m:rPr>
                                <m:sty m:val="p"/>
                              </m:rPr>
                              <m:t>−</m:t>
                            </m:r>
                            <m:r>
                              <m:t>1</m:t>
                            </m:r>
                          </m:sup>
                        </m:sSubSup>
                        <m:r>
                          <m:rPr>
                            <m:sty m:val="p"/>
                          </m:rPr>
                          <m:t>+</m:t>
                        </m:r>
                        <m:sSubSup>
                          <m:e>
                            <m:r>
                              <m:rPr>
                                <m:sty m:val="b"/>
                              </m:rPr>
                              <m:t>J</m:t>
                            </m:r>
                          </m:e>
                          <m:sub>
                            <m:r>
                              <m:t>S</m:t>
                            </m:r>
                          </m:sub>
                          <m:sup>
                            <m:r>
                              <m:rPr>
                                <m:sty m:val="p"/>
                              </m:rPr>
                              <m:t>⊤</m:t>
                            </m:r>
                          </m:sup>
                        </m:sSubSup>
                        <m:sSubSup>
                          <m:e>
                            <m:r>
                              <m:rPr>
                                <m:sty m:val="b"/>
                              </m:rPr>
                              <m:t>Γ</m:t>
                            </m:r>
                          </m:e>
                          <m:sub>
                            <m:r>
                              <m:t>S</m:t>
                            </m:r>
                          </m:sub>
                          <m:sup>
                            <m:r>
                              <m:rPr>
                                <m:sty m:val="p"/>
                              </m:rPr>
                              <m:t>−</m:t>
                            </m:r>
                            <m:r>
                              <m:t>1</m:t>
                            </m:r>
                          </m:sup>
                        </m:sSubSup>
                        <m:sSub>
                          <m:e>
                            <m:r>
                              <m:rPr>
                                <m:sty m:val="b"/>
                              </m:rPr>
                              <m:t>J</m:t>
                            </m:r>
                          </m:e>
                          <m:sub>
                            <m:r>
                              <m:t>S</m:t>
                            </m:r>
                          </m:sub>
                        </m:sSub>
                      </m:e>
                    </m:d>
                  </m:e>
                  <m:sup>
                    <m:r>
                      <m:rPr>
                        <m:sty m:val="p"/>
                      </m:rPr>
                      <m:t>−</m:t>
                    </m:r>
                    <m:r>
                      <m:t>1</m:t>
                    </m:r>
                  </m:sup>
                </m:sSup>
                <m:sSub>
                  <m:e>
                    <m:r>
                      <m:rPr>
                        <m:sty m:val="b"/>
                      </m:rPr>
                      <m:t>g</m:t>
                    </m:r>
                  </m:e>
                  <m:sub>
                    <m:r>
                      <m:t>k</m:t>
                    </m:r>
                  </m:sub>
                </m:sSub>
              </m:oMath>
            </m:oMathPara>
          </w:p>
        </w:tc>
        <w:tc>
          <w:tcPr>
            <w:tcW w:type="dxa" w:w="794"/>
            <w:vAlign w:val="center"/>
          </w:tcPr>
          <w:p>
            <w:pPr>
              <w:jc w:val="right"/>
            </w:pPr>
            <w:r>
              <w:rPr>
                <w:rFonts w:ascii="Arial" w:hAnsi="Arial" w:eastAsia="Arial"/>
                <w:b w:val="0"/>
                <w:i w:val="0"/>
                <w:sz w:val="22"/>
              </w:rPr>
              <w:t>(22)</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limLow>
                  <m:e>
                    <m:r>
                      <m:rPr>
                        <m:sty m:val="p"/>
                      </m:rPr>
                      <m:t>max</m:t>
                    </m:r>
                  </m:e>
                  <m:lim>
                    <m:r>
                      <m:t>S</m:t>
                    </m:r>
                    <m:r>
                      <m:rPr>
                        <m:sty m:val="p"/>
                      </m:rPr>
                      <m:t>⊆</m:t>
                    </m:r>
                    <m:r>
                      <m:rPr>
                        <m:scr m:val="script"/>
                        <m:sty m:val="p"/>
                      </m:rPr>
                      <m:t>C</m:t>
                    </m:r>
                  </m:lim>
                </m:limLow>
                <m:nary>
                  <m:naryPr>
                    <m:chr m:val="∑"/>
                    <m:limLoc m:val="undOvr"/>
                    <m:subHide m:val="off"/>
                    <m:supHide m:val="on"/>
                  </m:naryPr>
                  <m:sub>
                    <m:r>
                      <m:t>k</m:t>
                    </m:r>
                  </m:sub>
                  <m:sup>
                    <m:r>
                      <m:t>​</m:t>
                    </m:r>
                  </m:sup>
                  <m:e>
                    <m:sSub>
                      <m:e>
                        <m:r>
                          <m:t>w</m:t>
                        </m:r>
                      </m:e>
                      <m:sub>
                        <m:r>
                          <m:t>k</m:t>
                        </m:r>
                      </m:sub>
                    </m:sSub>
                  </m:e>
                </m:nary>
                <m:r>
                  <m:t> </m:t>
                </m:r>
                <m:sSub>
                  <m:e>
                    <m:r>
                      <m:t>z</m:t>
                    </m:r>
                  </m:e>
                  <m:sub>
                    <m:r>
                      <m:t>1</m:t>
                    </m:r>
                    <m:r>
                      <m:rPr>
                        <m:sty m:val="p"/>
                      </m:rPr>
                      <m:t>−</m:t>
                    </m:r>
                    <m:sSub>
                      <m:e>
                        <m:r>
                          <m:t>α</m:t>
                        </m:r>
                      </m:e>
                      <m:sub>
                        <m:r>
                          <m:t>k</m:t>
                        </m:r>
                      </m:sub>
                    </m:sSub>
                  </m:sub>
                </m:sSub>
                <m:d>
                  <m:dPr>
                    <m:begChr m:val="["/>
                    <m:sepChr m:val=""/>
                    <m:endChr m:val="]"/>
                    <m:grow/>
                  </m:dPr>
                  <m:e>
                    <m:sSub>
                      <m:e>
                        <m:r>
                          <m:t>σ</m:t>
                        </m:r>
                      </m:e>
                      <m:sub>
                        <m:r>
                          <m:t>k</m:t>
                        </m:r>
                      </m:sub>
                    </m:sSub>
                    <m:d>
                      <m:dPr>
                        <m:begChr m:val="("/>
                        <m:sepChr m:val=""/>
                        <m:endChr m:val=")"/>
                        <m:grow/>
                      </m:dPr>
                      <m:e>
                        <m:r>
                          <m:rPr>
                            <m:sty m:val="p"/>
                          </m:rPr>
                          <m:t>∅</m:t>
                        </m:r>
                      </m:e>
                    </m:d>
                    <m:r>
                      <m:rPr>
                        <m:sty m:val="p"/>
                      </m:rPr>
                      <m:t>−</m:t>
                    </m:r>
                    <m:sSub>
                      <m:e>
                        <m:r>
                          <m:t>σ</m:t>
                        </m:r>
                      </m:e>
                      <m:sub>
                        <m:r>
                          <m:t>k</m:t>
                        </m:r>
                      </m:sub>
                    </m:sSub>
                    <m:d>
                      <m:dPr>
                        <m:begChr m:val="("/>
                        <m:sepChr m:val=""/>
                        <m:endChr m:val=")"/>
                        <m:grow/>
                      </m:dPr>
                      <m:e>
                        <m:r>
                          <m:t>S</m:t>
                        </m:r>
                      </m:e>
                    </m:d>
                  </m:e>
                </m:d>
                <m:r>
                  <m:t> </m:t>
                </m:r>
                <m:r>
                  <m:rPr>
                    <m:nor/>
                  </m:rPr>
                  <m:t> subject to </m:t>
                </m:r>
                <m:r>
                  <m:t> </m:t>
                </m:r>
                <m:nary>
                  <m:naryPr>
                    <m:chr m:val="∑"/>
                    <m:limLoc m:val="undOvr"/>
                    <m:subHide m:val="off"/>
                    <m:supHide m:val="on"/>
                  </m:naryPr>
                  <m:sub>
                    <m:r>
                      <m:t>s</m:t>
                    </m:r>
                    <m:r>
                      <m:rPr>
                        <m:sty m:val="p"/>
                      </m:rPr>
                      <m:t>∈</m:t>
                    </m:r>
                    <m:r>
                      <m:t>S</m:t>
                    </m:r>
                  </m:sub>
                  <m:sup>
                    <m:r>
                      <m:t>​</m:t>
                    </m:r>
                  </m:sup>
                  <m:e>
                    <m:sSub>
                      <m:e>
                        <m:r>
                          <m:rPr>
                            <m:nor/>
                          </m:rPr>
                          <m:t>cost</m:t>
                        </m:r>
                      </m:e>
                      <m:sub>
                        <m:r>
                          <m:t>s</m:t>
                        </m:r>
                      </m:sub>
                    </m:sSub>
                  </m:e>
                </m:nary>
                <m:r>
                  <m:rPr>
                    <m:sty m:val="p"/>
                  </m:rPr>
                  <m:t>≤</m:t>
                </m:r>
                <m:r>
                  <m:t>B</m:t>
                </m:r>
              </m:oMath>
            </m:oMathPara>
          </w:p>
        </w:tc>
        <w:tc>
          <w:tcPr>
            <w:tcW w:type="dxa" w:w="794"/>
            <w:vAlign w:val="center"/>
          </w:tcPr>
          <w:p>
            <w:pPr>
              <w:jc w:val="right"/>
            </w:pPr>
            <w:r>
              <w:rPr>
                <w:rFonts w:ascii="Arial" w:hAnsi="Arial" w:eastAsia="Arial"/>
                <w:b w:val="0"/>
                <w:i w:val="0"/>
                <w:sz w:val="22"/>
              </w:rPr>
              <w:t>(23)</w:t>
            </w:r>
          </w:p>
        </w:tc>
      </w:tr>
    </w:tbl>
    <w:p>
      <w:pPr>
        <w:spacing w:after="80" w:before="0"/>
        <w:jc w:val="both"/>
      </w:pPr>
      <w:r>
        <w:rPr>
          <w:rFonts w:ascii="Arial" w:hAnsi="Arial" w:eastAsia="Arial"/>
          <w:b w:val="0"/>
          <w:i w:val="0"/>
          <w:sz w:val="22"/>
        </w:rPr>
        <w:t>The selection is greedy by benefit per cost, checked against exhaustive search on small candidate sets, and repeated in Year 2 with the calibrated model and the value of each sensor reported by WP3.</w:t>
      </w:r>
    </w:p>
    <w:p>
      <w:pPr>
        <w:spacing w:after="80" w:before="0"/>
        <w:jc w:val="both"/>
      </w:pPr>
      <w:r>
        <w:rPr>
          <w:rFonts w:ascii="Arial" w:hAnsi="Arial" w:eastAsia="Arial"/>
          <w:b/>
          <w:i w:val="0"/>
          <w:sz w:val="22"/>
        </w:rPr>
        <w:t>Seismic velocity as a water-table gauge (T4.4).</w:t>
      </w:r>
      <w:r>
        <w:rPr>
          <w:rFonts w:ascii="Arial" w:hAnsi="Arial" w:eastAsia="Arial"/>
          <w:b w:val="0"/>
          <w:i w:val="0"/>
          <w:sz w:val="22"/>
        </w:rPr>
        <w:t xml:space="preserve"> Ambient seismic noise recorded by stations, nodes or fibre is cross-correlated between sensors; a uniform relative change in seismic velocity stretches the correlation in time (Sens-Schönfelder and Wegler, 2006). Lowering the water table raises the effective stress, and grain-contact (Hertz–Mindlin) theory predicts velocity rising as the 1/6 power of effective stress, which gives a physical prior </w:t>
      </w:r>
      <m:oMath>
        <m:r>
          <w:rPr>
            <w:sz w:val="22"/>
            <w:szCs w:val="22"/>
          </w:rPr>
          <m:t>n</m:t>
        </m:r>
        <m:r>
          <m:rPr>
            <m:sty m:val="p"/>
          </m:rPr>
          <w:rPr>
            <w:sz w:val="22"/>
            <w:szCs w:val="22"/>
          </w:rPr>
          <m:t>≈</m:t>
        </m:r>
        <m:r>
          <w:rPr>
            <w:sz w:val="22"/>
            <w:szCs w:val="22"/>
          </w:rPr>
          <m:t>1</m:t>
        </m:r>
        <m:r>
          <m:rPr>
            <m:sty m:val="p"/>
          </m:rPr>
          <w:rPr>
            <w:sz w:val="22"/>
            <w:szCs w:val="22"/>
          </w:rPr>
          <m:t>/</m:t>
        </m:r>
        <m:r>
          <w:rPr>
            <w:sz w:val="22"/>
            <w:szCs w:val="22"/>
          </w:rPr>
          <m:t>6</m:t>
        </m:r>
      </m:oMath>
      <w:r>
        <w:rPr>
          <w:rFonts w:ascii="Arial" w:hAnsi="Arial" w:eastAsia="Arial"/>
          <w:b w:val="0"/>
          <w:i w:val="0"/>
          <w:sz w:val="22"/>
        </w:rPr>
        <w:t xml:space="preserve"> for the calibration against piezometers (</w:t>
      </w:r>
      <m:oMath>
        <m:r>
          <w:rPr>
            <w:sz w:val="22"/>
            <w:szCs w:val="22"/>
          </w:rPr>
          <m:t>Δ</m:t>
        </m:r>
        <m:r>
          <w:rPr>
            <w:sz w:val="22"/>
            <w:szCs w:val="22"/>
          </w:rPr>
          <m:t>T</m:t>
        </m:r>
      </m:oMath>
      <w:r>
        <w:rPr>
          <w:rFonts w:ascii="Arial" w:hAnsi="Arial" w:eastAsia="Arial"/>
          <w:b w:val="0"/>
          <w:i w:val="0"/>
          <w:sz w:val="22"/>
        </w:rPr>
        <w:t xml:space="preserve"> is temperature, </w:t>
      </w:r>
      <m:oMath>
        <m:r>
          <w:rPr>
            <w:sz w:val="22"/>
            <w:szCs w:val="22"/>
          </w:rPr>
          <m:t>ε</m:t>
        </m:r>
      </m:oMath>
      <w:r>
        <w:rPr>
          <w:rFonts w:ascii="Arial" w:hAnsi="Arial" w:eastAsia="Arial"/>
          <w:b w:val="0"/>
          <w:i w:val="0"/>
          <w:sz w:val="22"/>
        </w:rPr>
        <w:t xml:space="preserve"> noise):</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f>
                  <m:fPr>
                    <m:type m:val="bar"/>
                  </m:fPr>
                  <m:num>
                    <m:r>
                      <m:t>δ</m:t>
                    </m:r>
                    <m:r>
                      <m:t>v</m:t>
                    </m:r>
                  </m:num>
                  <m:den>
                    <m:r>
                      <m:t>v</m:t>
                    </m:r>
                  </m:den>
                </m:f>
                <m:r>
                  <m:rPr>
                    <m:sty m:val="p"/>
                  </m:rPr>
                  <m:t>=</m:t>
                </m:r>
                <m:r>
                  <m:rPr>
                    <m:sty m:val="p"/>
                  </m:rPr>
                  <m:t>−</m:t>
                </m:r>
                <m:f>
                  <m:fPr>
                    <m:type m:val="bar"/>
                  </m:fPr>
                  <m:num>
                    <m:r>
                      <m:t>δ</m:t>
                    </m:r>
                    <m:r>
                      <m:t>t</m:t>
                    </m:r>
                  </m:num>
                  <m:den>
                    <m:r>
                      <m:t>t</m:t>
                    </m:r>
                  </m:den>
                </m:f>
                <m:r>
                  <m:t> </m:t>
                </m:r>
                <m:r>
                  <m:rPr>
                    <m:nor/>
                  </m:rPr>
                  <m:t> and </m:t>
                </m:r>
                <m:r>
                  <m:t> </m:t>
                </m:r>
                <m:f>
                  <m:fPr>
                    <m:type m:val="bar"/>
                  </m:fPr>
                  <m:num>
                    <m:r>
                      <m:t>δ</m:t>
                    </m:r>
                    <m:r>
                      <m:t>v</m:t>
                    </m:r>
                  </m:num>
                  <m:den>
                    <m:r>
                      <m:t>v</m:t>
                    </m:r>
                  </m:den>
                </m:f>
                <m:d>
                  <m:dPr>
                    <m:begChr m:val="("/>
                    <m:sepChr m:val=""/>
                    <m:endChr m:val=")"/>
                    <m:grow/>
                  </m:dPr>
                  <m:e>
                    <m:r>
                      <m:t>t</m:t>
                    </m:r>
                  </m:e>
                </m:d>
                <m:r>
                  <m:rPr>
                    <m:sty m:val="p"/>
                  </m:rPr>
                  <m:t>≈</m:t>
                </m:r>
                <m:r>
                  <m:t>n</m:t>
                </m:r>
                <m:r>
                  <m:t> </m:t>
                </m:r>
                <m:f>
                  <m:fPr>
                    <m:type m:val="bar"/>
                  </m:fPr>
                  <m:num>
                    <m:r>
                      <m:t>Δ</m:t>
                    </m:r>
                    <m:r>
                      <m:t>σ</m:t>
                    </m:r>
                    <m:sSub>
                      <m:e>
                        <m:r>
                          <m:rPr>
                            <m:sty m:val="p"/>
                          </m:rPr>
                          <m:t>′</m:t>
                        </m:r>
                      </m:e>
                      <m:sub>
                        <m:r>
                          <m:t>v</m:t>
                        </m:r>
                      </m:sub>
                    </m:sSub>
                    <m:d>
                      <m:dPr>
                        <m:begChr m:val="("/>
                        <m:sepChr m:val=""/>
                        <m:endChr m:val=")"/>
                        <m:grow/>
                      </m:dPr>
                      <m:e>
                        <m:r>
                          <m:t>t</m:t>
                        </m:r>
                      </m:e>
                    </m:d>
                  </m:num>
                  <m:den>
                    <m:acc>
                      <m:accPr>
                        <m:chr m:val="‾"/>
                      </m:accPr>
                      <m:e>
                        <m:r>
                          <m:t>σ</m:t>
                        </m:r>
                      </m:e>
                    </m:acc>
                    <m:sSub>
                      <m:e>
                        <m:r>
                          <m:rPr>
                            <m:sty m:val="p"/>
                          </m:rPr>
                          <m:t>′</m:t>
                        </m:r>
                      </m:e>
                      <m:sub>
                        <m:r>
                          <m:t>v</m:t>
                        </m:r>
                      </m:sub>
                    </m:sSub>
                  </m:den>
                </m:f>
                <m:r>
                  <m:rPr>
                    <m:sty m:val="p"/>
                  </m:rPr>
                  <m:t>+</m:t>
                </m:r>
                <m:r>
                  <m:t>b</m:t>
                </m:r>
                <m:r>
                  <m:t> </m:t>
                </m:r>
                <m:r>
                  <m:t>Δ</m:t>
                </m:r>
                <m:r>
                  <m:t>T</m:t>
                </m:r>
                <m:d>
                  <m:dPr>
                    <m:begChr m:val="("/>
                    <m:sepChr m:val=""/>
                    <m:endChr m:val=")"/>
                    <m:grow/>
                  </m:dPr>
                  <m:e>
                    <m:r>
                      <m:t>t</m:t>
                    </m:r>
                  </m:e>
                </m:d>
                <m:r>
                  <m:rPr>
                    <m:sty m:val="p"/>
                  </m:rPr>
                  <m:t>+</m:t>
                </m:r>
                <m:r>
                  <m:t>ε</m:t>
                </m:r>
                <m:d>
                  <m:dPr>
                    <m:begChr m:val="("/>
                    <m:sepChr m:val=""/>
                    <m:endChr m:val=")"/>
                    <m:grow/>
                  </m:dPr>
                  <m:e>
                    <m:r>
                      <m:t>t</m:t>
                    </m:r>
                  </m:e>
                </m:d>
                <m:r>
                  <m:t> </m:t>
                </m:r>
                <m:r>
                  <m:rPr>
                    <m:nor/>
                  </m:rPr>
                  <m:t> and </m:t>
                </m:r>
                <m:r>
                  <m:t> </m:t>
                </m:r>
                <m:r>
                  <m:t>Δ</m:t>
                </m:r>
                <m:r>
                  <m:t>σ</m:t>
                </m:r>
                <m:sSub>
                  <m:e>
                    <m:r>
                      <m:rPr>
                        <m:sty m:val="p"/>
                      </m:rPr>
                      <m:t>′</m:t>
                    </m:r>
                  </m:e>
                  <m:sub>
                    <m:r>
                      <m:t>v</m:t>
                    </m:r>
                  </m:sub>
                </m:sSub>
                <m:r>
                  <m:rPr>
                    <m:sty m:val="p"/>
                  </m:rPr>
                  <m:t>≈</m:t>
                </m:r>
                <m:d>
                  <m:dPr>
                    <m:begChr m:val="("/>
                    <m:sepChr m:val=""/>
                    <m:endChr m:val=")"/>
                    <m:grow/>
                  </m:dPr>
                  <m:e>
                    <m:sSub>
                      <m:e>
                        <m:r>
                          <m:t>γ</m:t>
                        </m:r>
                      </m:e>
                      <m:sub>
                        <m:r>
                          <m:t>w</m:t>
                        </m:r>
                      </m:sub>
                    </m:sSub>
                    <m:r>
                      <m:rPr>
                        <m:sty m:val="p"/>
                      </m:rPr>
                      <m:t>−</m:t>
                    </m:r>
                    <m:sSub>
                      <m:e>
                        <m:r>
                          <m:t>γ</m:t>
                        </m:r>
                      </m:e>
                      <m:sub>
                        <m:r>
                          <m:rPr>
                            <m:nor/>
                          </m:rPr>
                          <m:t>sat</m:t>
                        </m:r>
                      </m:sub>
                    </m:sSub>
                    <m:r>
                      <m:rPr>
                        <m:sty m:val="p"/>
                      </m:rPr>
                      <m:t>+</m:t>
                    </m:r>
                    <m:sSub>
                      <m:e>
                        <m:r>
                          <m:t>γ</m:t>
                        </m:r>
                      </m:e>
                      <m:sub>
                        <m:r>
                          <m:t>m</m:t>
                        </m:r>
                      </m:sub>
                    </m:sSub>
                  </m:e>
                </m:d>
                <m:r>
                  <m:t> </m:t>
                </m:r>
                <m:r>
                  <m:t>Δ</m:t>
                </m:r>
                <m:sSub>
                  <m:e>
                    <m:r>
                      <m:t>z</m:t>
                    </m:r>
                  </m:e>
                  <m:sub>
                    <m:r>
                      <m:t>w</m:t>
                    </m:r>
                  </m:sub>
                </m:sSub>
              </m:oMath>
            </m:oMathPara>
          </w:p>
        </w:tc>
        <w:tc>
          <w:tcPr>
            <w:tcW w:type="dxa" w:w="794"/>
            <w:vAlign w:val="center"/>
          </w:tcPr>
          <w:p>
            <w:pPr>
              <w:jc w:val="right"/>
            </w:pPr>
            <w:r>
              <w:rPr>
                <w:rFonts w:ascii="Arial" w:hAnsi="Arial" w:eastAsia="Arial"/>
                <w:b w:val="0"/>
                <w:i w:val="0"/>
                <w:sz w:val="22"/>
              </w:rPr>
              <w:t>(24)</w:t>
            </w:r>
          </w:p>
        </w:tc>
      </w:tr>
    </w:tbl>
    <w:p>
      <w:pPr>
        <w:spacing w:after="80" w:before="0"/>
        <w:jc w:val="both"/>
      </w:pPr>
      <w:r>
        <w:rPr>
          <w:rFonts w:ascii="Arial" w:hAnsi="Arial" w:eastAsia="Arial"/>
          <w:b w:val="0"/>
          <w:i w:val="0"/>
          <w:sz w:val="22"/>
        </w:rPr>
        <w:t>Once calibrated, velocity changes measure the water table between wells, at the port and landfall where liquefaction depends on it, and a drop in velocity after an earthquake measures the softening of the ground.</w:t>
      </w:r>
    </w:p>
    <w:p>
      <w:pPr>
        <w:keepNext/>
        <w:spacing w:after="120" w:before="200"/>
      </w:pPr>
      <w:r>
        <w:rPr>
          <w:rFonts w:ascii="Arial" w:hAnsi="Arial" w:eastAsia="Arial"/>
          <w:b/>
          <w:i w:val="0"/>
          <w:color w:val="1F3864"/>
          <w:sz w:val="27"/>
        </w:rPr>
        <w:t>7. Live operation, joint pumping rule and post-event protocol (WP5)</w:t>
      </w:r>
    </w:p>
    <w:p>
      <w:pPr>
        <w:spacing w:after="80" w:before="0"/>
        <w:jc w:val="both"/>
      </w:pPr>
      <w:r>
        <w:rPr>
          <w:rFonts w:ascii="Arial" w:hAnsi="Arial" w:eastAsia="Arial"/>
          <w:b/>
          <w:i w:val="0"/>
          <w:sz w:val="22"/>
        </w:rPr>
        <w:t>Operational cycle (T5.1, T5.2).</w:t>
      </w:r>
      <w:r>
        <w:rPr>
          <w:rFonts w:ascii="Arial" w:hAnsi="Arial" w:eastAsia="Arial"/>
          <w:b w:val="0"/>
          <w:i w:val="0"/>
          <w:sz w:val="22"/>
        </w:rPr>
        <w:t xml:space="preserve"> Data are assimilated, indicators forecast and margins applied at the cadence of each hazard (Table 1). Each bulletin states, per asset, the forecast, the margin, the alarm state and the certified miss rate, and is logged with its inputs and code version so that it can be reproduced and audited. Outcomes are recorded when known and feed the margin update of Eq. (16).</w:t>
      </w:r>
    </w:p>
    <w:p>
      <w:pPr>
        <w:spacing w:after="80" w:before="0"/>
        <w:jc w:val="both"/>
      </w:pPr>
      <w:r>
        <w:rPr>
          <w:rFonts w:ascii="Arial" w:hAnsi="Arial" w:eastAsia="Arial"/>
          <w:b/>
          <w:i w:val="0"/>
          <w:sz w:val="22"/>
        </w:rPr>
        <w:t>A pumping rule safe for all three hazards (T5.3).</w:t>
      </w:r>
      <w:r>
        <w:rPr>
          <w:rFonts w:ascii="Arial" w:hAnsi="Arial" w:eastAsia="Arial"/>
          <w:b w:val="0"/>
          <w:i w:val="0"/>
          <w:sz w:val="22"/>
        </w:rPr>
        <w:t xml:space="preserve"> With the utility, the wellfield schedule </w:t>
      </w:r>
      <m:oMath>
        <m:r>
          <m:rPr>
            <m:sty m:val="b"/>
          </m:rPr>
          <w:rPr>
            <w:sz w:val="22"/>
            <w:szCs w:val="22"/>
          </w:rPr>
          <m:t>Q</m:t>
        </m:r>
        <m:d>
          <m:dPr>
            <m:begChr m:val="("/>
            <m:sepChr m:val=""/>
            <m:endChr m:val=")"/>
            <m:grow/>
          </m:dPr>
          <m:e>
            <m:r>
              <w:rPr>
                <w:sz w:val="22"/>
                <w:szCs w:val="22"/>
              </w:rPr>
              <m:t>t</m:t>
            </m:r>
          </m:e>
        </m:d>
      </m:oMath>
      <w:r>
        <w:rPr>
          <w:rFonts w:ascii="Arial" w:hAnsi="Arial" w:eastAsia="Arial"/>
          <w:b w:val="0"/>
          <w:i w:val="0"/>
          <w:sz w:val="22"/>
        </w:rPr>
        <w:t xml:space="preserve"> is chosen to supply as much water as possible while every certified alarm stays off and no new permanent subsidence occurs:</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845"/>
        <w:gridCol w:w="793"/>
      </w:tblGrid>
      <w:tr>
        <w:trPr>
          <w:cantSplit/>
        </w:trPr>
        <w:tc>
          <w:tcPr>
            <w:tcW w:type="dxa" w:w="8844"/>
            <w:vAlign w:val="center"/>
          </w:tcPr>
          <w:p>
            <w:pPr>
              <w:spacing w:before="60" w:after="60"/>
              <w:jc w:val="center"/>
            </w:pPr>
            <m:oMathPara>
              <m:oMathParaPr>
                <m:jc m:val="center"/>
              </m:oMathParaPr>
              <m:oMath>
                <m:limLow>
                  <m:e>
                    <m:r>
                      <m:rPr>
                        <m:sty m:val="p"/>
                      </m:rPr>
                      <m:t>max</m:t>
                    </m:r>
                  </m:e>
                  <m:lim>
                    <m:r>
                      <m:rPr>
                        <m:sty m:val="b"/>
                      </m:rPr>
                      <m:t>Q</m:t>
                    </m:r>
                    <m:d>
                      <m:dPr>
                        <m:begChr m:val="("/>
                        <m:sepChr m:val=""/>
                        <m:endChr m:val=")"/>
                        <m:grow/>
                      </m:dPr>
                      <m:e>
                        <m:r>
                          <m:rPr>
                            <m:sty m:val="p"/>
                          </m:rPr>
                          <m:t>⋅</m:t>
                        </m:r>
                      </m:e>
                    </m:d>
                  </m:lim>
                </m:limLow>
                <m:nary>
                  <m:naryPr>
                    <m:chr m:val="∑"/>
                    <m:limLoc m:val="undOvr"/>
                    <m:subHide m:val="off"/>
                    <m:supHide m:val="on"/>
                  </m:naryPr>
                  <m:sub>
                    <m:r>
                      <m:t>j</m:t>
                    </m:r>
                  </m:sub>
                  <m:sup>
                    <m:r>
                      <m:t>​</m:t>
                    </m:r>
                  </m:sup>
                  <m:e>
                    <m:nary>
                      <m:naryPr>
                        <m:chr m:val="∫"/>
                        <m:limLoc m:val="subSup"/>
                        <m:subHide m:val="off"/>
                        <m:supHide m:val="off"/>
                      </m:naryPr>
                      <m:sub>
                        <m:r>
                          <m:t>0</m:t>
                        </m:r>
                      </m:sub>
                      <m:sup>
                        <m:r>
                          <m:t>T</m:t>
                        </m:r>
                      </m:sup>
                      <m:e>
                        <m:sSub>
                          <m:e>
                            <m:r>
                              <m:t>Q</m:t>
                            </m:r>
                          </m:e>
                          <m:sub>
                            <m:r>
                              <m:t>j</m:t>
                            </m:r>
                          </m:sub>
                        </m:sSub>
                      </m:e>
                    </m:nary>
                  </m:e>
                </m:nary>
                <m:d>
                  <m:dPr>
                    <m:begChr m:val="("/>
                    <m:sepChr m:val=""/>
                    <m:endChr m:val=")"/>
                    <m:grow/>
                  </m:dPr>
                  <m:e>
                    <m:r>
                      <m:t>t</m:t>
                    </m:r>
                  </m:e>
                </m:d>
                <m:r>
                  <m:t> </m:t>
                </m:r>
                <m:r>
                  <m:t>d</m:t>
                </m:r>
                <m:r>
                  <m:t>t</m:t>
                </m:r>
                <m:r>
                  <m:t> </m:t>
                </m:r>
                <m:r>
                  <m:rPr>
                    <m:nor/>
                  </m:rPr>
                  <m:t> subject to </m:t>
                </m:r>
                <m:r>
                  <m:t> </m:t>
                </m:r>
                <m:sSub>
                  <m:e>
                    <m:acc>
                      <m:accPr>
                        <m:chr m:val="̂"/>
                      </m:accPr>
                      <m:e>
                        <m:r>
                          <m:t>I</m:t>
                        </m:r>
                      </m:e>
                    </m:acc>
                  </m:e>
                  <m:sub>
                    <m:r>
                      <m:t>k</m:t>
                    </m:r>
                  </m:sub>
                </m:sSub>
                <m:d>
                  <m:dPr>
                    <m:begChr m:val="("/>
                    <m:sepChr m:val=""/>
                    <m:endChr m:val=")"/>
                    <m:grow/>
                  </m:dPr>
                  <m:e>
                    <m:r>
                      <m:t>t</m:t>
                    </m:r>
                    <m:r>
                      <m:rPr>
                        <m:sty m:val="p"/>
                      </m:rPr>
                      <m:t>;</m:t>
                    </m:r>
                    <m:r>
                      <m:rPr>
                        <m:sty m:val="b"/>
                      </m:rPr>
                      <m:t>Q</m:t>
                    </m:r>
                  </m:e>
                </m:d>
                <m:r>
                  <m:rPr>
                    <m:sty m:val="p"/>
                  </m:rPr>
                  <m:t>+</m:t>
                </m:r>
                <m:sSub>
                  <m:e>
                    <m:r>
                      <m:t>m</m:t>
                    </m:r>
                  </m:e>
                  <m:sub>
                    <m:r>
                      <m:t>k</m:t>
                    </m:r>
                  </m:sub>
                </m:sSub>
                <m:d>
                  <m:dPr>
                    <m:begChr m:val="("/>
                    <m:sepChr m:val=""/>
                    <m:endChr m:val=")"/>
                    <m:grow/>
                  </m:dPr>
                  <m:e>
                    <m:r>
                      <m:t>t</m:t>
                    </m:r>
                  </m:e>
                </m:d>
                <m:r>
                  <m:rPr>
                    <m:sty m:val="p"/>
                  </m:rPr>
                  <m:t>&lt;</m:t>
                </m:r>
                <m:sSub>
                  <m:e>
                    <m:r>
                      <m:t>τ</m:t>
                    </m:r>
                  </m:e>
                  <m:sub>
                    <m:r>
                      <m:t>k</m:t>
                    </m:r>
                  </m:sub>
                </m:sSub>
                <m:r>
                  <m:t> </m:t>
                </m:r>
                <m:r>
                  <m:t> </m:t>
                </m:r>
                <m:r>
                  <m:rPr>
                    <m:sty m:val="p"/>
                  </m:rPr>
                  <m:t>∀</m:t>
                </m:r>
                <m:r>
                  <m:t>k</m:t>
                </m:r>
                <m:r>
                  <m:rPr>
                    <m:sty m:val="p"/>
                  </m:rPr>
                  <m:t>,</m:t>
                </m:r>
                <m:r>
                  <m:t>t</m:t>
                </m:r>
                <m:r>
                  <m:t> </m:t>
                </m:r>
                <m:r>
                  <m:rPr>
                    <m:nor/>
                  </m:rPr>
                  <m:t> and </m:t>
                </m:r>
                <m:r>
                  <m:t> </m:t>
                </m:r>
                <m:r>
                  <m:t>h</m:t>
                </m:r>
                <m:d>
                  <m:dPr>
                    <m:begChr m:val="("/>
                    <m:sepChr m:val=""/>
                    <m:endChr m:val=")"/>
                    <m:grow/>
                  </m:dPr>
                  <m:e>
                    <m:r>
                      <m:rPr>
                        <m:sty m:val="b"/>
                      </m:rPr>
                      <m:t>x</m:t>
                    </m:r>
                    <m:r>
                      <m:rPr>
                        <m:sty m:val="p"/>
                      </m:rPr>
                      <m:t>,</m:t>
                    </m:r>
                    <m:r>
                      <m:t>t</m:t>
                    </m:r>
                    <m:r>
                      <m:rPr>
                        <m:sty m:val="p"/>
                      </m:rPr>
                      <m:t>;</m:t>
                    </m:r>
                    <m:r>
                      <m:rPr>
                        <m:sty m:val="b"/>
                      </m:rPr>
                      <m:t>Q</m:t>
                    </m:r>
                  </m:e>
                </m:d>
                <m:r>
                  <m:rPr>
                    <m:sty m:val="p"/>
                  </m:rPr>
                  <m:t>≥</m:t>
                </m:r>
                <m:sSub>
                  <m:e>
                    <m:r>
                      <m:t>h</m:t>
                    </m:r>
                  </m:e>
                  <m:sub>
                    <m:r>
                      <m:rPr>
                        <m:nor/>
                      </m:rPr>
                      <m:t>pc</m:t>
                    </m:r>
                  </m:sub>
                </m:sSub>
                <m:d>
                  <m:dPr>
                    <m:begChr m:val="("/>
                    <m:sepChr m:val=""/>
                    <m:endChr m:val=")"/>
                    <m:grow/>
                  </m:dPr>
                  <m:e>
                    <m:r>
                      <m:rPr>
                        <m:sty m:val="b"/>
                      </m:rPr>
                      <m:t>x</m:t>
                    </m:r>
                  </m:e>
                </m:d>
              </m:oMath>
            </m:oMathPara>
          </w:p>
        </w:tc>
        <w:tc>
          <w:tcPr>
            <w:tcW w:type="dxa" w:w="794"/>
            <w:vAlign w:val="center"/>
          </w:tcPr>
          <w:p>
            <w:pPr>
              <w:jc w:val="right"/>
            </w:pPr>
            <w:r>
              <w:rPr>
                <w:rFonts w:ascii="Arial" w:hAnsi="Arial" w:eastAsia="Arial"/>
                <w:b w:val="0"/>
                <w:i w:val="0"/>
                <w:sz w:val="22"/>
              </w:rPr>
              <w:t>(25)</w:t>
            </w:r>
          </w:p>
        </w:tc>
      </w:tr>
    </w:tbl>
    <w:p>
      <w:pPr>
        <w:spacing w:after="80" w:before="0"/>
        <w:jc w:val="both"/>
      </w:pPr>
      <w:r>
        <w:rPr>
          <w:rFonts w:ascii="Arial" w:hAnsi="Arial" w:eastAsia="Arial"/>
          <w:b w:val="0"/>
          <w:i w:val="0"/>
          <w:sz w:val="22"/>
        </w:rPr>
        <w:t>The liquefaction constraint is also checked for a sudden pumping stop, after which the water table recovers and the factor of safety falls: the rule must stay safe in both directions. The problem is solved with the surrogate and the result is checked with the full model before it is proposed to the utility.</w:t>
      </w:r>
    </w:p>
    <w:p>
      <w:pPr>
        <w:spacing w:after="80" w:before="0"/>
        <w:jc w:val="both"/>
      </w:pPr>
      <w:r>
        <w:rPr>
          <w:rFonts w:ascii="Arial" w:hAnsi="Arial" w:eastAsia="Arial"/>
          <w:b/>
          <w:i w:val="0"/>
          <w:sz w:val="22"/>
        </w:rPr>
        <w:t>Post-event protocol (T5.4).</w:t>
      </w:r>
      <w:r>
        <w:rPr>
          <w:rFonts w:ascii="Arial" w:hAnsi="Arial" w:eastAsia="Arial"/>
          <w:b w:val="0"/>
          <w:i w:val="0"/>
          <w:sz w:val="22"/>
        </w:rPr>
        <w:t xml:space="preserve"> When an earthquake, ground shaking or water level exceeds the triggers agreed with civil protection, heads, conductivity, chloride, GNSS and seismic velocity are measured within days, the next Sentinel-1 acquisitions are processed with priority, the model is updated, the alarms are recomputed, and the event joins the back-testing record.</w:t>
      </w:r>
    </w:p>
    <w:p>
      <w:pPr>
        <w:keepNext/>
        <w:spacing w:after="120" w:before="200"/>
      </w:pPr>
      <w:r>
        <w:rPr>
          <w:rFonts w:ascii="Arial" w:hAnsi="Arial" w:eastAsia="Arial"/>
          <w:b/>
          <w:i w:val="0"/>
          <w:color w:val="1F3864"/>
          <w:sz w:val="27"/>
        </w:rPr>
        <w:t>8. Software, data and reproducibility (T6.3, T7.2)</w:t>
      </w:r>
    </w:p>
    <w:p>
      <w:pPr>
        <w:spacing w:after="60" w:before="0"/>
        <w:ind w:left="283"/>
      </w:pPr>
      <w:r>
        <w:rPr>
          <w:rFonts w:ascii="Arial" w:hAnsi="Arial" w:eastAsia="Arial"/>
          <w:b/>
          <w:i w:val="0"/>
          <w:sz w:val="22"/>
        </w:rPr>
        <w:t xml:space="preserve">• </w:t>
      </w:r>
      <w:r>
        <w:rPr>
          <w:rFonts w:ascii="Arial" w:hAnsi="Arial" w:eastAsia="Arial"/>
          <w:b/>
          <w:i w:val="0"/>
          <w:sz w:val="22"/>
        </w:rPr>
        <w:t>Open software.</w:t>
      </w:r>
      <w:r>
        <w:rPr>
          <w:rFonts w:ascii="Arial" w:hAnsi="Arial" w:eastAsia="Arial"/>
          <w:b w:val="0"/>
          <w:i w:val="0"/>
          <w:sz w:val="22"/>
        </w:rPr>
        <w:t xml:space="preserve"> The model, surrogate, alarms and network design are released under an open licence, in containers, with tests and documentation.</w:t>
      </w:r>
    </w:p>
    <w:p>
      <w:pPr>
        <w:spacing w:after="60" w:before="0"/>
        <w:ind w:left="283"/>
      </w:pPr>
      <w:r>
        <w:rPr>
          <w:rFonts w:ascii="Arial" w:hAnsi="Arial" w:eastAsia="Arial"/>
          <w:b/>
          <w:i w:val="0"/>
          <w:sz w:val="22"/>
        </w:rPr>
        <w:t xml:space="preserve">• </w:t>
      </w:r>
      <w:r>
        <w:rPr>
          <w:rFonts w:ascii="Arial" w:hAnsi="Arial" w:eastAsia="Arial"/>
          <w:b/>
          <w:i w:val="0"/>
          <w:sz w:val="22"/>
        </w:rPr>
        <w:t>Data.</w:t>
      </w:r>
      <w:r>
        <w:rPr>
          <w:rFonts w:ascii="Arial" w:hAnsi="Arial" w:eastAsia="Arial"/>
          <w:b w:val="0"/>
          <w:i w:val="0"/>
          <w:sz w:val="22"/>
        </w:rPr>
        <w:t xml:space="preserve"> Operator data are used under the access agreements of T7.2; derived products, the bulletin log and the project data are released openly following FAIR principles.</w:t>
      </w:r>
    </w:p>
    <w:p>
      <w:pPr>
        <w:spacing w:after="60" w:before="0"/>
        <w:ind w:left="283"/>
      </w:pPr>
      <w:r>
        <w:rPr>
          <w:rFonts w:ascii="Arial" w:hAnsi="Arial" w:eastAsia="Arial"/>
          <w:b/>
          <w:i w:val="0"/>
          <w:sz w:val="22"/>
        </w:rPr>
        <w:t xml:space="preserve">• </w:t>
      </w:r>
      <w:r>
        <w:rPr>
          <w:rFonts w:ascii="Arial" w:hAnsi="Arial" w:eastAsia="Arial"/>
          <w:b/>
          <w:i w:val="0"/>
          <w:sz w:val="22"/>
        </w:rPr>
        <w:t>Reproducibility.</w:t>
      </w:r>
      <w:r>
        <w:rPr>
          <w:rFonts w:ascii="Arial" w:hAnsi="Arial" w:eastAsia="Arial"/>
          <w:b w:val="0"/>
          <w:i w:val="0"/>
          <w:sz w:val="22"/>
        </w:rPr>
        <w:t xml:space="preserve"> Every bulletin and figure can be regenerated from the logged inputs and the code version.</w:t>
      </w:r>
    </w:p>
    <w:p>
      <w:pPr>
        <w:keepNext/>
        <w:spacing w:after="120" w:before="200"/>
      </w:pPr>
      <w:r>
        <w:rPr>
          <w:rFonts w:ascii="Arial" w:hAnsi="Arial" w:eastAsia="Arial"/>
          <w:b/>
          <w:i w:val="0"/>
          <w:color w:val="1F3864"/>
          <w:sz w:val="27"/>
        </w:rPr>
        <w:t>9. Pass tests and fallbacks for each step</w:t>
      </w:r>
    </w:p>
    <w:p>
      <w:pPr>
        <w:keepNext/>
        <w:spacing w:after="120" w:before="0"/>
      </w:pPr>
      <w:r>
        <w:rPr>
          <w:rFonts w:ascii="Arial" w:hAnsi="Arial" w:eastAsia="Arial"/>
          <w:b w:val="0"/>
          <w:i/>
          <w:color w:val="52606D"/>
          <w:sz w:val="20"/>
        </w:rPr>
        <w:t>Table 2. What each step must achieve, and what happens if it does not.</w:t>
      </w:r>
    </w:p>
    <w:tbl>
      <w:tblPr>
        <w:tblStyle w:val="TableGrid"/>
        <w:tblW w:type="auto" w:w="0"/>
        <w:jc w:val="center"/>
        <w:tblLayout w:type="fixed"/>
        <w:tblLook w:firstColumn="1" w:firstRow="1" w:lastColumn="0" w:lastRow="0" w:noHBand="0" w:noVBand="1" w:val="04A0"/>
        <w:tblLayout w:type="fixed"/>
      </w:tblPr>
      <w:tblGrid>
        <w:gridCol w:w="1701"/>
        <w:gridCol w:w="1928"/>
        <w:gridCol w:w="3175"/>
        <w:gridCol w:w="2835"/>
      </w:tblGrid>
      <w:tr>
        <w:trPr>
          <w:cantSplit/>
        </w:trPr>
        <w:tc>
          <w:tcPr>
            <w:tcW w:type="dxa" w:w="1701"/>
            <w:shd w:val="clear" w:color="auto" w:fill="1F3864"/>
          </w:tcPr>
          <w:p>
            <w:r/>
            <w:r>
              <w:rPr>
                <w:rFonts w:ascii="Arial" w:hAnsi="Arial" w:eastAsia="Arial"/>
                <w:b/>
                <w:i w:val="0"/>
                <w:color w:val="FFFFFF"/>
                <w:sz w:val="19"/>
              </w:rPr>
              <w:t>Step</w:t>
            </w:r>
          </w:p>
        </w:tc>
        <w:tc>
          <w:tcPr>
            <w:tcW w:type="dxa" w:w="1928"/>
            <w:shd w:val="clear" w:color="auto" w:fill="1F3864"/>
          </w:tcPr>
          <w:p>
            <w:r/>
            <w:r>
              <w:rPr>
                <w:rFonts w:ascii="Arial" w:hAnsi="Arial" w:eastAsia="Arial"/>
                <w:b/>
                <w:i w:val="0"/>
                <w:color w:val="FFFFFF"/>
                <w:sz w:val="19"/>
              </w:rPr>
              <w:t>Output</w:t>
            </w:r>
          </w:p>
        </w:tc>
        <w:tc>
          <w:tcPr>
            <w:tcW w:type="dxa" w:w="3175"/>
            <w:shd w:val="clear" w:color="auto" w:fill="1F3864"/>
          </w:tcPr>
          <w:p>
            <w:r/>
            <w:r>
              <w:rPr>
                <w:rFonts w:ascii="Arial" w:hAnsi="Arial" w:eastAsia="Arial"/>
                <w:b/>
                <w:i w:val="0"/>
                <w:color w:val="FFFFFF"/>
                <w:sz w:val="19"/>
              </w:rPr>
              <w:t>Pass test</w:t>
            </w:r>
          </w:p>
        </w:tc>
        <w:tc>
          <w:tcPr>
            <w:tcW w:type="dxa" w:w="2835"/>
            <w:shd w:val="clear" w:color="auto" w:fill="1F3864"/>
          </w:tcPr>
          <w:p>
            <w:r/>
            <w:r>
              <w:rPr>
                <w:rFonts w:ascii="Arial" w:hAnsi="Arial" w:eastAsia="Arial"/>
                <w:b/>
                <w:i w:val="0"/>
                <w:color w:val="FFFFFF"/>
                <w:sz w:val="19"/>
              </w:rPr>
              <w:t>Fallback</w:t>
            </w:r>
          </w:p>
        </w:tc>
      </w:tr>
      <w:tr>
        <w:trPr>
          <w:cantSplit/>
        </w:trPr>
        <w:tc>
          <w:tcPr>
            <w:tcW w:type="dxa" w:w="1701"/>
          </w:tcPr>
          <w:p>
            <w:r/>
            <w:r>
              <w:rPr>
                <w:rFonts w:ascii="Arial" w:hAnsi="Arial" w:eastAsia="Arial"/>
                <w:b w:val="0"/>
                <w:i w:val="0"/>
                <w:sz w:val="19"/>
              </w:rPr>
              <w:t>Coastal motion (WP1)</w:t>
            </w:r>
          </w:p>
        </w:tc>
        <w:tc>
          <w:tcPr>
            <w:tcW w:type="dxa" w:w="1928"/>
          </w:tcPr>
          <w:p>
            <w:r/>
            <w:r>
              <w:rPr>
                <w:rFonts w:ascii="Arial" w:hAnsi="Arial" w:eastAsia="Arial"/>
                <w:b w:val="0"/>
                <w:i w:val="0"/>
                <w:sz w:val="19"/>
              </w:rPr>
              <w:t>Relative sea level and land motion at each asset; compaction parameters; preconsolidation head</w:t>
            </w:r>
          </w:p>
        </w:tc>
        <w:tc>
          <w:tcPr>
            <w:tcW w:type="dxa" w:w="3175"/>
          </w:tcPr>
          <w:p>
            <w:r/>
            <w:r>
              <w:rPr>
                <w:rFonts w:ascii="Arial" w:hAnsi="Arial" w:eastAsia="Arial"/>
                <w:b w:val="0"/>
                <w:i w:val="0"/>
                <w:sz w:val="19"/>
              </w:rPr>
              <w:t>Vertical-velocity uncertainty of the order of 1–2 mm/yr at asset points; InSAR and GNSS agree within uncertainty</w:t>
            </w:r>
          </w:p>
        </w:tc>
        <w:tc>
          <w:tcPr>
            <w:tcW w:type="dxa" w:w="2835"/>
          </w:tcPr>
          <w:p>
            <w:r/>
            <w:r>
              <w:rPr>
                <w:rFonts w:ascii="Arial" w:hAnsi="Arial" w:eastAsia="Arial"/>
                <w:b w:val="0"/>
                <w:i w:val="0"/>
                <w:sz w:val="19"/>
              </w:rPr>
              <w:t>Corner reflectors and GNSS at the assets; persistent scatterers on structures</w:t>
            </w:r>
          </w:p>
        </w:tc>
      </w:tr>
      <w:tr>
        <w:trPr>
          <w:cantSplit/>
        </w:trPr>
        <w:tc>
          <w:tcPr>
            <w:tcW w:type="dxa" w:w="1701"/>
          </w:tcPr>
          <w:p>
            <w:r/>
            <w:r>
              <w:rPr>
                <w:rFonts w:ascii="Arial" w:hAnsi="Arial" w:eastAsia="Arial"/>
                <w:b w:val="0"/>
                <w:i w:val="0"/>
                <w:sz w:val="19"/>
              </w:rPr>
              <w:t>Coupled model (WP2)</w:t>
            </w:r>
          </w:p>
        </w:tc>
        <w:tc>
          <w:tcPr>
            <w:tcW w:type="dxa" w:w="1928"/>
          </w:tcPr>
          <w:p>
            <w:r/>
            <w:r>
              <w:rPr>
                <w:rFonts w:ascii="Arial" w:hAnsi="Arial" w:eastAsia="Arial"/>
                <w:b w:val="0"/>
                <w:i w:val="0"/>
                <w:sz w:val="19"/>
              </w:rPr>
              <w:t>I₁, I₂, I₃ from one forcing</w:t>
            </w:r>
          </w:p>
        </w:tc>
        <w:tc>
          <w:tcPr>
            <w:tcW w:type="dxa" w:w="3175"/>
          </w:tcPr>
          <w:p>
            <w:r/>
            <w:r>
              <w:rPr>
                <w:rFonts w:ascii="Arial" w:hAnsi="Arial" w:eastAsia="Arial"/>
                <w:b w:val="0"/>
                <w:i w:val="0"/>
                <w:sz w:val="19"/>
              </w:rPr>
              <w:t>Held-out heads, chloride, InSAR and seismic velocity fall inside the 90% predictive intervals at close to the nominal rate</w:t>
            </w:r>
          </w:p>
        </w:tc>
        <w:tc>
          <w:tcPr>
            <w:tcW w:type="dxa" w:w="2835"/>
          </w:tcPr>
          <w:p>
            <w:r/>
            <w:r>
              <w:rPr>
                <w:rFonts w:ascii="Arial" w:hAnsi="Arial" w:eastAsia="Arial"/>
                <w:b w:val="0"/>
                <w:i w:val="0"/>
                <w:sz w:val="19"/>
              </w:rPr>
              <w:t>Two-dimensional sections through each asset; wider error bound Δₖ</w:t>
            </w:r>
          </w:p>
        </w:tc>
      </w:tr>
      <w:tr>
        <w:trPr>
          <w:cantSplit/>
        </w:trPr>
        <w:tc>
          <w:tcPr>
            <w:tcW w:type="dxa" w:w="1701"/>
          </w:tcPr>
          <w:p>
            <w:r/>
            <w:r>
              <w:rPr>
                <w:rFonts w:ascii="Arial" w:hAnsi="Arial" w:eastAsia="Arial"/>
                <w:b w:val="0"/>
                <w:i w:val="0"/>
                <w:sz w:val="19"/>
              </w:rPr>
              <w:t>Surrogate (WP2)</w:t>
            </w:r>
          </w:p>
        </w:tc>
        <w:tc>
          <w:tcPr>
            <w:tcW w:type="dxa" w:w="1928"/>
          </w:tcPr>
          <w:p>
            <w:r/>
            <w:r>
              <w:rPr>
                <w:rFonts w:ascii="Arial" w:hAnsi="Arial" w:eastAsia="Arial"/>
                <w:b w:val="0"/>
                <w:i w:val="0"/>
                <w:sz w:val="19"/>
              </w:rPr>
              <w:t>Îₖ with Δₖ</w:t>
            </w:r>
          </w:p>
        </w:tc>
        <w:tc>
          <w:tcPr>
            <w:tcW w:type="dxa" w:w="3175"/>
          </w:tcPr>
          <w:p>
            <w:r/>
            <w:r>
              <w:rPr>
                <w:rFonts w:ascii="Arial" w:hAnsi="Arial" w:eastAsia="Arial"/>
                <w:b w:val="0"/>
                <w:i w:val="0"/>
                <w:sz w:val="19"/>
              </w:rPr>
              <w:t>Coverage of Δₖ ≥ 1 − δ on test runs; thousands of storylines per day</w:t>
            </w:r>
          </w:p>
        </w:tc>
        <w:tc>
          <w:tcPr>
            <w:tcW w:type="dxa" w:w="2835"/>
          </w:tcPr>
          <w:p>
            <w:r/>
            <w:r>
              <w:rPr>
                <w:rFonts w:ascii="Arial" w:hAnsi="Arial" w:eastAsia="Arial"/>
                <w:b w:val="0"/>
                <w:i w:val="0"/>
                <w:sz w:val="19"/>
              </w:rPr>
              <w:t>Full model on a reduced domain for flagged forecasts</w:t>
            </w:r>
          </w:p>
        </w:tc>
      </w:tr>
      <w:tr>
        <w:trPr>
          <w:cantSplit/>
        </w:trPr>
        <w:tc>
          <w:tcPr>
            <w:tcW w:type="dxa" w:w="1701"/>
          </w:tcPr>
          <w:p>
            <w:r/>
            <w:r>
              <w:rPr>
                <w:rFonts w:ascii="Arial" w:hAnsi="Arial" w:eastAsia="Arial"/>
                <w:b w:val="0"/>
                <w:i w:val="0"/>
                <w:sz w:val="19"/>
              </w:rPr>
              <w:t>Alarms (WP3)</w:t>
            </w:r>
          </w:p>
        </w:tc>
        <w:tc>
          <w:tcPr>
            <w:tcW w:type="dxa" w:w="1928"/>
          </w:tcPr>
          <w:p>
            <w:r/>
            <w:r>
              <w:rPr>
                <w:rFonts w:ascii="Arial" w:hAnsi="Arial" w:eastAsia="Arial"/>
                <w:b w:val="0"/>
                <w:i w:val="0"/>
                <w:sz w:val="19"/>
              </w:rPr>
              <w:t>Aₖ with αₖ</w:t>
            </w:r>
          </w:p>
        </w:tc>
        <w:tc>
          <w:tcPr>
            <w:tcW w:type="dxa" w:w="3175"/>
          </w:tcPr>
          <w:p>
            <w:r/>
            <w:r>
              <w:rPr>
                <w:rFonts w:ascii="Arial" w:hAnsi="Arial" w:eastAsia="Arial"/>
                <w:b w:val="0"/>
                <w:i w:val="0"/>
                <w:sz w:val="19"/>
              </w:rPr>
              <w:t>Back-tested miss rate ≤ αₖ (Clopper–Pearson interval); false-alarm rate reported</w:t>
            </w:r>
          </w:p>
        </w:tc>
        <w:tc>
          <w:tcPr>
            <w:tcW w:type="dxa" w:w="2835"/>
          </w:tcPr>
          <w:p>
            <w:r/>
            <w:r>
              <w:rPr>
                <w:rFonts w:ascii="Arial" w:hAnsi="Arial" w:eastAsia="Arial"/>
                <w:b w:val="0"/>
                <w:i w:val="0"/>
                <w:sz w:val="19"/>
              </w:rPr>
              <w:t>Margin widened: the miss target is kept and the extra false alarms are reported</w:t>
            </w:r>
          </w:p>
        </w:tc>
      </w:tr>
      <w:tr>
        <w:trPr>
          <w:cantSplit/>
        </w:trPr>
        <w:tc>
          <w:tcPr>
            <w:tcW w:type="dxa" w:w="1701"/>
          </w:tcPr>
          <w:p>
            <w:r/>
            <w:r>
              <w:rPr>
                <w:rFonts w:ascii="Arial" w:hAnsi="Arial" w:eastAsia="Arial"/>
                <w:b w:val="0"/>
                <w:i w:val="0"/>
                <w:sz w:val="19"/>
              </w:rPr>
              <w:t>Network (WP4)</w:t>
            </w:r>
          </w:p>
        </w:tc>
        <w:tc>
          <w:tcPr>
            <w:tcW w:type="dxa" w:w="1928"/>
          </w:tcPr>
          <w:p>
            <w:r/>
            <w:r>
              <w:rPr>
                <w:rFonts w:ascii="Arial" w:hAnsi="Arial" w:eastAsia="Arial"/>
                <w:b w:val="0"/>
                <w:i w:val="0"/>
                <w:sz w:val="19"/>
              </w:rPr>
              <w:t>Installed sensor set</w:t>
            </w:r>
          </w:p>
        </w:tc>
        <w:tc>
          <w:tcPr>
            <w:tcW w:type="dxa" w:w="3175"/>
          </w:tcPr>
          <w:p>
            <w:r/>
            <w:r>
              <w:rPr>
                <w:rFonts w:ascii="Arial" w:hAnsi="Arial" w:eastAsia="Arial"/>
                <w:b w:val="0"/>
                <w:i w:val="0"/>
                <w:sz w:val="19"/>
              </w:rPr>
              <w:t>≥ 90% data availability; forecast spread reduced as the design predicted</w:t>
            </w:r>
          </w:p>
        </w:tc>
        <w:tc>
          <w:tcPr>
            <w:tcW w:type="dxa" w:w="2835"/>
          </w:tcPr>
          <w:p>
            <w:r/>
            <w:r>
              <w:rPr>
                <w:rFonts w:ascii="Arial" w:hAnsi="Arial" w:eastAsia="Arial"/>
                <w:b w:val="0"/>
                <w:i w:val="0"/>
                <w:sz w:val="19"/>
              </w:rPr>
              <w:t>Design re-run with the remaining budget; seismic nodes if fibre is not available</w:t>
            </w:r>
          </w:p>
        </w:tc>
      </w:tr>
      <w:tr>
        <w:trPr>
          <w:cantSplit/>
        </w:trPr>
        <w:tc>
          <w:tcPr>
            <w:tcW w:type="dxa" w:w="1701"/>
          </w:tcPr>
          <w:p>
            <w:r/>
            <w:r>
              <w:rPr>
                <w:rFonts w:ascii="Arial" w:hAnsi="Arial" w:eastAsia="Arial"/>
                <w:b w:val="0"/>
                <w:i w:val="0"/>
                <w:sz w:val="19"/>
              </w:rPr>
              <w:t>Seismic velocity (T4.4)</w:t>
            </w:r>
          </w:p>
        </w:tc>
        <w:tc>
          <w:tcPr>
            <w:tcW w:type="dxa" w:w="1928"/>
          </w:tcPr>
          <w:p>
            <w:r/>
            <w:r>
              <w:rPr>
                <w:rFonts w:ascii="Arial" w:hAnsi="Arial" w:eastAsia="Arial"/>
                <w:b w:val="0"/>
                <w:i w:val="0"/>
                <w:sz w:val="19"/>
              </w:rPr>
              <w:t>Calibrated δv/v–water-table relation</w:t>
            </w:r>
          </w:p>
        </w:tc>
        <w:tc>
          <w:tcPr>
            <w:tcW w:type="dxa" w:w="3175"/>
          </w:tcPr>
          <w:p>
            <w:r/>
            <w:r>
              <w:rPr>
                <w:rFonts w:ascii="Arial" w:hAnsi="Arial" w:eastAsia="Arial"/>
                <w:b w:val="0"/>
                <w:i w:val="0"/>
                <w:sz w:val="19"/>
              </w:rPr>
              <w:t>Relation significant against piezometers at the port or landfall</w:t>
            </w:r>
          </w:p>
        </w:tc>
        <w:tc>
          <w:tcPr>
            <w:tcW w:type="dxa" w:w="2835"/>
          </w:tcPr>
          <w:p>
            <w:r/>
            <w:r>
              <w:rPr>
                <w:rFonts w:ascii="Arial" w:hAnsi="Arial" w:eastAsia="Arial"/>
                <w:b w:val="0"/>
                <w:i w:val="0"/>
                <w:sz w:val="19"/>
              </w:rPr>
              <w:t>Piezometers alone for the water table; velocity kept for post-event damage</w:t>
            </w:r>
          </w:p>
        </w:tc>
      </w:tr>
      <w:tr>
        <w:trPr>
          <w:cantSplit/>
        </w:trPr>
        <w:tc>
          <w:tcPr>
            <w:tcW w:type="dxa" w:w="1701"/>
          </w:tcPr>
          <w:p>
            <w:r/>
            <w:r>
              <w:rPr>
                <w:rFonts w:ascii="Arial" w:hAnsi="Arial" w:eastAsia="Arial"/>
                <w:b w:val="0"/>
                <w:i w:val="0"/>
                <w:sz w:val="19"/>
              </w:rPr>
              <w:t>Live operation (WP5)</w:t>
            </w:r>
          </w:p>
        </w:tc>
        <w:tc>
          <w:tcPr>
            <w:tcW w:type="dxa" w:w="1928"/>
          </w:tcPr>
          <w:p>
            <w:r/>
            <w:r>
              <w:rPr>
                <w:rFonts w:ascii="Arial" w:hAnsi="Arial" w:eastAsia="Arial"/>
                <w:b w:val="0"/>
                <w:i w:val="0"/>
                <w:sz w:val="19"/>
              </w:rPr>
              <w:t>Bulletin log; pumping rule</w:t>
            </w:r>
          </w:p>
        </w:tc>
        <w:tc>
          <w:tcPr>
            <w:tcW w:type="dxa" w:w="3175"/>
          </w:tcPr>
          <w:p>
            <w:r/>
            <w:r>
              <w:rPr>
                <w:rFonts w:ascii="Arial" w:hAnsi="Arial" w:eastAsia="Arial"/>
                <w:b w:val="0"/>
                <w:i w:val="0"/>
                <w:sz w:val="19"/>
              </w:rPr>
              <w:t>Observed miss rates within targets over 12 months</w:t>
            </w:r>
          </w:p>
        </w:tc>
        <w:tc>
          <w:tcPr>
            <w:tcW w:type="dxa" w:w="2835"/>
          </w:tcPr>
          <w:p>
            <w:r/>
            <w:r>
              <w:rPr>
                <w:rFonts w:ascii="Arial" w:hAnsi="Arial" w:eastAsia="Arial"/>
                <w:b w:val="0"/>
                <w:i w:val="0"/>
                <w:sz w:val="19"/>
              </w:rPr>
              <w:t>If no strong event occurs, guarantees rest on back-testing and storylines (T3.4)</w:t>
            </w:r>
          </w:p>
        </w:tc>
      </w:tr>
    </w:tbl>
    <w:p>
      <w:pPr>
        <w:spacing w:after="80" w:before="0"/>
      </w:pPr>
    </w:p>
    <w:p>
      <w:pPr>
        <w:keepNext/>
        <w:spacing w:after="120" w:before="200"/>
      </w:pPr>
      <w:r>
        <w:rPr>
          <w:rFonts w:ascii="Arial" w:hAnsi="Arial" w:eastAsia="Arial"/>
          <w:b/>
          <w:i w:val="0"/>
          <w:color w:val="1F3864"/>
          <w:sz w:val="27"/>
        </w:rPr>
        <w:t>10. What is new in this methodology</w:t>
      </w:r>
    </w:p>
    <w:p>
      <w:pPr>
        <w:spacing w:after="60" w:before="0"/>
        <w:ind w:left="283"/>
      </w:pPr>
      <w:r>
        <w:rPr>
          <w:rFonts w:ascii="Arial" w:hAnsi="Arial" w:eastAsia="Arial"/>
          <w:b/>
          <w:i w:val="0"/>
          <w:sz w:val="22"/>
        </w:rPr>
        <w:t xml:space="preserve">• </w:t>
      </w:r>
      <w:r>
        <w:rPr>
          <w:rFonts w:ascii="Arial" w:hAnsi="Arial" w:eastAsia="Arial"/>
          <w:b/>
          <w:i w:val="0"/>
          <w:sz w:val="22"/>
        </w:rPr>
        <w:t>Relative sea level where it matters.</w:t>
      </w:r>
      <w:r>
        <w:rPr>
          <w:rFonts w:ascii="Arial" w:hAnsi="Arial" w:eastAsia="Arial"/>
          <w:b w:val="0"/>
          <w:i w:val="0"/>
          <w:sz w:val="22"/>
        </w:rPr>
        <w:t xml:space="preserve"> Sea level is referred to each asset, not to the tide gauge, by adding the differential land motion measured by InSAR and GNSS (Eq. (3)).</w:t>
      </w:r>
    </w:p>
    <w:p>
      <w:pPr>
        <w:spacing w:after="60" w:before="0"/>
        <w:ind w:left="283"/>
      </w:pPr>
      <w:r>
        <w:rPr>
          <w:rFonts w:ascii="Arial" w:hAnsi="Arial" w:eastAsia="Arial"/>
          <w:b/>
          <w:i w:val="0"/>
          <w:sz w:val="22"/>
        </w:rPr>
        <w:t xml:space="preserve">• </w:t>
      </w:r>
      <w:r>
        <w:rPr>
          <w:rFonts w:ascii="Arial" w:hAnsi="Arial" w:eastAsia="Arial"/>
          <w:b/>
          <w:i w:val="0"/>
          <w:sz w:val="22"/>
        </w:rPr>
        <w:t>One model in which pumping moves the hazards in opposite directions.</w:t>
      </w:r>
      <w:r>
        <w:rPr>
          <w:rFonts w:ascii="Arial" w:hAnsi="Arial" w:eastAsia="Arial"/>
          <w:b w:val="0"/>
          <w:i w:val="0"/>
          <w:sz w:val="22"/>
        </w:rPr>
        <w:t xml:space="preserve"> The same water table drives intrusion, compaction and the liquefaction factor of safety, so every pumping decision is checked against all three at once, including a sudden pumping stop (Eq. (25)).</w:t>
      </w:r>
    </w:p>
    <w:p>
      <w:pPr>
        <w:spacing w:after="60" w:before="0"/>
        <w:ind w:left="283"/>
      </w:pPr>
      <w:r>
        <w:rPr>
          <w:rFonts w:ascii="Arial" w:hAnsi="Arial" w:eastAsia="Arial"/>
          <w:b/>
          <w:i w:val="0"/>
          <w:sz w:val="22"/>
        </w:rPr>
        <w:t xml:space="preserve">• </w:t>
      </w:r>
      <w:r>
        <w:rPr>
          <w:rFonts w:ascii="Arial" w:hAnsi="Arial" w:eastAsia="Arial"/>
          <w:b/>
          <w:i w:val="0"/>
          <w:sz w:val="22"/>
        </w:rPr>
        <w:t>A margin with three certified parts.</w:t>
      </w:r>
      <w:r>
        <w:rPr>
          <w:rFonts w:ascii="Arial" w:hAnsi="Arial" w:eastAsia="Arial"/>
          <w:b w:val="0"/>
          <w:i w:val="0"/>
          <w:sz w:val="22"/>
        </w:rPr>
        <w:t xml:space="preserve"> Surrogate error (Eq. (14)), distribution-free control of the long-run miss rate (Eq. (16)) and a physics-based widening beyond the observed record (Eq. (17)), so the guarantee does not end where the data end.</w:t>
      </w:r>
    </w:p>
    <w:p>
      <w:pPr>
        <w:spacing w:after="60" w:before="0"/>
        <w:ind w:left="283"/>
      </w:pPr>
      <w:r>
        <w:rPr>
          <w:rFonts w:ascii="Arial" w:hAnsi="Arial" w:eastAsia="Arial"/>
          <w:b/>
          <w:i w:val="0"/>
          <w:sz w:val="22"/>
        </w:rPr>
        <w:t xml:space="preserve">• </w:t>
      </w:r>
      <w:r>
        <w:rPr>
          <w:rFonts w:ascii="Arial" w:hAnsi="Arial" w:eastAsia="Arial"/>
          <w:b/>
          <w:i w:val="0"/>
          <w:sz w:val="22"/>
        </w:rPr>
        <w:t>Tolerances allocated by consequence.</w:t>
      </w:r>
      <w:r>
        <w:rPr>
          <w:rFonts w:ascii="Arial" w:hAnsi="Arial" w:eastAsia="Arial"/>
          <w:b w:val="0"/>
          <w:i w:val="0"/>
          <w:sz w:val="22"/>
        </w:rPr>
        <w:t xml:space="preserve"> The joint miss probability is bounded by Σαₖ, and the αₖ are set where tightening costs least in false alarms (Eq. (19)).</w:t>
      </w:r>
    </w:p>
    <w:p>
      <w:pPr>
        <w:spacing w:after="60" w:before="0"/>
        <w:ind w:left="283"/>
      </w:pPr>
      <w:r>
        <w:rPr>
          <w:rFonts w:ascii="Arial" w:hAnsi="Arial" w:eastAsia="Arial"/>
          <w:b/>
          <w:i w:val="0"/>
          <w:sz w:val="22"/>
        </w:rPr>
        <w:t xml:space="preserve">• </w:t>
      </w:r>
      <w:r>
        <w:rPr>
          <w:rFonts w:ascii="Arial" w:hAnsi="Arial" w:eastAsia="Arial"/>
          <w:b/>
          <w:i w:val="0"/>
          <w:sz w:val="22"/>
        </w:rPr>
        <w:t>Sensors chosen for the warnings.</w:t>
      </w:r>
      <w:r>
        <w:rPr>
          <w:rFonts w:ascii="Arial" w:hAnsi="Arial" w:eastAsia="Arial"/>
          <w:b w:val="0"/>
          <w:i w:val="0"/>
          <w:sz w:val="22"/>
        </w:rPr>
        <w:t xml:space="preserve"> Every sensor type, from a piezometer to a fibre, is ranked by how much it shrinks the alarm margins per unit cost (Eq. (23)).</w:t>
      </w:r>
    </w:p>
    <w:p>
      <w:pPr>
        <w:spacing w:after="60" w:before="0"/>
        <w:ind w:left="283"/>
      </w:pPr>
      <w:r>
        <w:rPr>
          <w:rFonts w:ascii="Arial" w:hAnsi="Arial" w:eastAsia="Arial"/>
          <w:b/>
          <w:i w:val="0"/>
          <w:sz w:val="22"/>
        </w:rPr>
        <w:t xml:space="preserve">• </w:t>
      </w:r>
      <w:r>
        <w:rPr>
          <w:rFonts w:ascii="Arial" w:hAnsi="Arial" w:eastAsia="Arial"/>
          <w:b/>
          <w:i w:val="0"/>
          <w:sz w:val="22"/>
        </w:rPr>
        <w:t>Seismic noise as a water-table gauge with a physical prior.</w:t>
      </w:r>
      <w:r>
        <w:rPr>
          <w:rFonts w:ascii="Arial" w:hAnsi="Arial" w:eastAsia="Arial"/>
          <w:b w:val="0"/>
          <w:i w:val="0"/>
          <w:sz w:val="22"/>
        </w:rPr>
        <w:t xml:space="preserve"> Grain-contact theory links seismic velocity to effective stress and so to the water table that controls liquefaction (Eq. (24)).</w:t>
      </w:r>
    </w:p>
    <w:p>
      <w:pPr>
        <w:keepNext/>
        <w:spacing w:after="120" w:before="200"/>
      </w:pPr>
      <w:r>
        <w:rPr>
          <w:rFonts w:ascii="Arial" w:hAnsi="Arial" w:eastAsia="Arial"/>
          <w:b/>
          <w:i w:val="0"/>
          <w:color w:val="2E6DB4"/>
          <w:sz w:val="24"/>
        </w:rPr>
        <w:t>Method references</w:t>
      </w:r>
    </w:p>
    <w:p>
      <w:pPr>
        <w:spacing w:after="20" w:before="0"/>
        <w:ind w:left="283"/>
      </w:pPr>
      <w:r>
        <w:rPr>
          <w:rFonts w:ascii="Arial" w:hAnsi="Arial" w:eastAsia="Arial"/>
          <w:b w:val="0"/>
          <w:i w:val="0"/>
          <w:color w:val="52606D"/>
          <w:sz w:val="19"/>
        </w:rPr>
        <w:t>Angelopoulos, A.N., Candès, E.J., Tibshirani, R.J. (2023). Conformal PID control for time series prediction. NeurIPS 36.</w:t>
      </w:r>
    </w:p>
    <w:p>
      <w:pPr>
        <w:spacing w:after="20" w:before="0"/>
        <w:ind w:left="283"/>
      </w:pPr>
      <w:r>
        <w:rPr>
          <w:rFonts w:ascii="Arial" w:hAnsi="Arial" w:eastAsia="Arial"/>
          <w:b w:val="0"/>
          <w:i w:val="0"/>
          <w:color w:val="52606D"/>
          <w:sz w:val="19"/>
        </w:rPr>
        <w:t>Becker, R., Rannacher, R. (2001). An optimal control approach to a posteriori error estimation in finite element methods. Acta Numerica 10, 1–102.</w:t>
      </w:r>
    </w:p>
    <w:p>
      <w:pPr>
        <w:spacing w:after="20" w:before="0"/>
        <w:ind w:left="283"/>
      </w:pPr>
      <w:r>
        <w:rPr>
          <w:rFonts w:ascii="Arial" w:hAnsi="Arial" w:eastAsia="Arial"/>
          <w:b w:val="0"/>
          <w:i w:val="0"/>
          <w:color w:val="52606D"/>
          <w:sz w:val="19"/>
        </w:rPr>
        <w:t>Boulanger, R.W., Idriss, I.M. (2014). CPT and SPT based liquefaction triggering procedures. Report UCD/CGM-14/01, University of California, Davis.</w:t>
      </w:r>
    </w:p>
    <w:p>
      <w:pPr>
        <w:spacing w:after="20" w:before="0"/>
        <w:ind w:left="283"/>
      </w:pPr>
      <w:r>
        <w:rPr>
          <w:rFonts w:ascii="Arial" w:hAnsi="Arial" w:eastAsia="Arial"/>
          <w:b w:val="0"/>
          <w:i w:val="0"/>
          <w:color w:val="52606D"/>
          <w:sz w:val="19"/>
        </w:rPr>
        <w:t>Coles, S. (2001). An Introduction to Statistical Modeling of Extreme Values. Springer.</w:t>
      </w:r>
    </w:p>
    <w:p>
      <w:pPr>
        <w:spacing w:after="20" w:before="0"/>
        <w:ind w:left="283"/>
      </w:pPr>
      <w:r>
        <w:rPr>
          <w:rFonts w:ascii="Arial" w:hAnsi="Arial" w:eastAsia="Arial"/>
          <w:b w:val="0"/>
          <w:i w:val="0"/>
          <w:color w:val="52606D"/>
          <w:sz w:val="19"/>
        </w:rPr>
        <w:t>Emerick, A.A., Reynolds, A.C. (2013). Ensemble smoother with multiple data assimilation. Computers &amp; Geosciences 55, 3–15.</w:t>
      </w:r>
    </w:p>
    <w:p>
      <w:pPr>
        <w:spacing w:after="20" w:before="0"/>
        <w:ind w:left="283"/>
      </w:pPr>
      <w:r>
        <w:rPr>
          <w:rFonts w:ascii="Arial" w:hAnsi="Arial" w:eastAsia="Arial"/>
          <w:b w:val="0"/>
          <w:i w:val="0"/>
          <w:color w:val="52606D"/>
          <w:sz w:val="19"/>
        </w:rPr>
        <w:t>Gibbs, I., Candès, E. (2021). Adaptive conformal inference under distribution shift. NeurIPS 34.</w:t>
      </w:r>
    </w:p>
    <w:p>
      <w:pPr>
        <w:spacing w:after="20" w:before="0"/>
        <w:ind w:left="283"/>
      </w:pPr>
      <w:r>
        <w:rPr>
          <w:rFonts w:ascii="Arial" w:hAnsi="Arial" w:eastAsia="Arial"/>
          <w:b w:val="0"/>
          <w:i w:val="0"/>
          <w:color w:val="52606D"/>
          <w:sz w:val="19"/>
        </w:rPr>
        <w:t>Iwasaki, T., Tatsuoka, F., Tokida, K., Yasuda, S. (1978). A practical method for assessing soil liquefaction potential based on case studies at various sites in Japan. Proc. 2nd Int. Conf. on Microzonation, San Francisco.</w:t>
      </w:r>
    </w:p>
    <w:p>
      <w:pPr>
        <w:spacing w:after="20" w:before="0"/>
        <w:ind w:left="283"/>
      </w:pPr>
      <w:r>
        <w:rPr>
          <w:rFonts w:ascii="Arial" w:hAnsi="Arial" w:eastAsia="Arial"/>
          <w:b w:val="0"/>
          <w:i w:val="0"/>
          <w:color w:val="52606D"/>
          <w:sz w:val="19"/>
        </w:rPr>
        <w:t>Riley, F.S. (1969). Analysis of borehole extensometer data from central California. IASH Publication 89, 423–431.</w:t>
      </w:r>
    </w:p>
    <w:p>
      <w:pPr>
        <w:spacing w:after="20" w:before="0"/>
        <w:ind w:left="283"/>
      </w:pPr>
      <w:r>
        <w:rPr>
          <w:rFonts w:ascii="Arial" w:hAnsi="Arial" w:eastAsia="Arial"/>
          <w:b w:val="0"/>
          <w:i w:val="0"/>
          <w:color w:val="52606D"/>
          <w:sz w:val="19"/>
        </w:rPr>
        <w:t>Seed, H.B., Idriss, I.M. (1971). Simplified procedure for evaluating soil liquefaction potential. Journal of the Soil Mechanics and Foundations Division, ASCE 97(SM9), 1249–1273.</w:t>
      </w:r>
    </w:p>
    <w:p>
      <w:pPr>
        <w:spacing w:after="20" w:before="0"/>
        <w:ind w:left="283"/>
      </w:pPr>
      <w:r>
        <w:rPr>
          <w:rFonts w:ascii="Arial" w:hAnsi="Arial" w:eastAsia="Arial"/>
          <w:b w:val="0"/>
          <w:i w:val="0"/>
          <w:color w:val="52606D"/>
          <w:sz w:val="19"/>
        </w:rPr>
        <w:t>Sens-Schönfelder, C., Wegler, U. (2006). Passive image interferometry and seasonal variations of seismic velocities at Merapi Volcano, Indonesia. Geophysical Research Letters 33, L21302.</w:t>
      </w:r>
    </w:p>
    <w:p>
      <w:pPr>
        <w:spacing w:after="40" w:before="80"/>
      </w:pPr>
      <w:r>
        <w:rPr>
          <w:rFonts w:ascii="Arial" w:hAnsi="Arial" w:eastAsia="Arial"/>
          <w:b w:val="0"/>
          <w:i/>
          <w:color w:val="52606D"/>
          <w:sz w:val="19"/>
        </w:rPr>
        <w:t>Standard method references only; the 30 key papers of 2020–2026 on which the innovations build are listed in the State of the Art.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