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State of the Art</w:t>
      </w:r>
    </w:p>
    <w:p>
      <w:pPr>
        <w:spacing w:after="8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200" w:before="0"/>
        <w:jc w:val="center"/>
      </w:pPr>
      <w:r>
        <w:rPr>
          <w:rFonts w:ascii="Arial" w:hAnsi="Arial" w:eastAsia="Arial"/>
          <w:b w:val="0"/>
          <w:i/>
          <w:color w:val="52606D"/>
          <w:sz w:val="22"/>
        </w:rPr>
        <w:t>What has been done (30 key papers, 2020–2026, Caltech, MIT, Harvard, Oxford), what has not been done, and what CERTAIN-COAST brings in mathematics and physics</w:t>
      </w:r>
    </w:p>
    <w:p>
      <w:pPr>
        <w:keepNext/>
        <w:spacing w:after="120" w:before="200"/>
      </w:pPr>
      <w:r>
        <w:rPr>
          <w:rFonts w:ascii="Arial" w:hAnsi="Arial" w:eastAsia="Arial"/>
          <w:b/>
          <w:i w:val="0"/>
          <w:color w:val="1F3864"/>
          <w:sz w:val="28"/>
        </w:rPr>
        <w:t>1. The problem: three hazards, two shared variables, one lever</w:t>
      </w:r>
    </w:p>
    <w:p>
      <w:pPr>
        <w:spacing w:after="120" w:before="0"/>
      </w:pPr>
      <w:r>
        <w:rPr>
          <w:rFonts w:ascii="Arial" w:hAnsi="Arial" w:eastAsia="Arial"/>
          <w:b w:val="0"/>
          <w:i w:val="0"/>
          <w:sz w:val="22"/>
        </w:rPr>
        <w:t>On a subsiding coast, seawater intrusion at the wellfields, liquefaction at the port and the energy landfall, and extreme sea levels at both are usually studied by different communities with different models. Physically they are one system, because they share two state variables:</w:t>
      </w:r>
    </w:p>
    <w:p>
      <w:pPr>
        <w:spacing w:after="60" w:before="0"/>
        <w:ind w:left="283"/>
      </w:pPr>
      <w:r>
        <w:rPr>
          <w:rFonts w:ascii="Arial" w:hAnsi="Arial" w:eastAsia="Arial"/>
          <w:b/>
          <w:i w:val="0"/>
          <w:sz w:val="22"/>
        </w:rPr>
        <w:t xml:space="preserve">• </w:t>
      </w:r>
      <w:r>
        <w:rPr>
          <w:rFonts w:ascii="Arial" w:hAnsi="Arial" w:eastAsia="Arial"/>
          <w:b/>
          <w:i w:val="0"/>
          <w:sz w:val="22"/>
        </w:rPr>
        <w:t>Relative sea level</w:t>
      </w:r>
      <w:r>
        <w:rPr>
          <w:rFonts w:ascii="Arial" w:hAnsi="Arial" w:eastAsia="Arial"/>
          <w:b w:val="0"/>
          <w:i w:val="0"/>
          <w:sz w:val="22"/>
        </w:rPr>
        <w:t xml:space="preserve"> R(t) = η(t) − u_z(t), the sea level η minus the vertical motion of the land u_z. It sets the seaward boundary of the aquifer, and therefore the position of the saline wedge (by the Ghyben–Herzberg relation the interface lies about 40 times deeper than the fresh head above sea level, so each centimetre of R raises it by up to about 40 cm), and it sets the base of every extreme water level at the port and the landfall.</w:t>
      </w:r>
    </w:p>
    <w:p>
      <w:pPr>
        <w:spacing w:after="60" w:before="0"/>
        <w:ind w:left="283"/>
      </w:pPr>
      <w:r>
        <w:rPr>
          <w:rFonts w:ascii="Arial" w:hAnsi="Arial" w:eastAsia="Arial"/>
          <w:b/>
          <w:i w:val="0"/>
          <w:sz w:val="22"/>
        </w:rPr>
        <w:t xml:space="preserve">• </w:t>
      </w:r>
      <w:r>
        <w:rPr>
          <w:rFonts w:ascii="Arial" w:hAnsi="Arial" w:eastAsia="Arial"/>
          <w:b/>
          <w:i w:val="0"/>
          <w:sz w:val="22"/>
        </w:rPr>
        <w:t>Pore pressure and water-table depth</w:t>
      </w:r>
      <w:r>
        <w:rPr>
          <w:rFonts w:ascii="Arial" w:hAnsi="Arial" w:eastAsia="Arial"/>
          <w:b w:val="0"/>
          <w:i w:val="0"/>
          <w:sz w:val="22"/>
        </w:rPr>
        <w:t xml:space="preserve"> z_w(x, t). It drives intrusion (the fresh head), compaction (the change in effective stress σ′ = σ − p compacts the clays and lowers the land) and liquefaction: in the simplified procedure the cyclic stress ratio CSR = 0.65 (a_max/g)(σ_v/σ′_v) r_d grows as the water table rises, so the factor of safety FS = CRR/CSR falls when the ground is wetter.</w:t>
      </w:r>
    </w:p>
    <w:p>
      <w:pPr>
        <w:spacing w:after="120" w:before="0"/>
      </w:pPr>
      <w:r>
        <w:rPr>
          <w:rFonts w:ascii="Arial" w:hAnsi="Arial" w:eastAsia="Arial"/>
          <w:b w:val="0"/>
          <w:i w:val="0"/>
          <w:sz w:val="22"/>
        </w:rPr>
        <w:t>Pumping is the lever that moves all three at once, and in opposite directions. Lowering the water table thickens the unsaturated crust and reduces liquefaction susceptibility, but it draws the saline wedge inland and compacts the clays; the compaction lowers the land, raises R(t), and so raises both the intrusion boundary and every extreme sea level. Sea-level rise works the other way round: it lifts the coastal water table, which brings liquefiable sand back into saturation. A warning system that treats one hazard at a time will recommend actions that worsen the others. This coupled chain is the object of CERTAIN-COAST.</w:t>
      </w:r>
    </w:p>
    <w:p>
      <w:pPr>
        <w:spacing w:after="120" w:before="0"/>
      </w:pPr>
      <w:r>
        <w:rPr>
          <w:rFonts w:ascii="Arial" w:hAnsi="Arial" w:eastAsia="Arial"/>
          <w:b w:val="0"/>
          <w:i w:val="0"/>
          <w:sz w:val="22"/>
        </w:rPr>
        <w:t>The setting is concrete. The Durrës coast, the main port area of a NATO member, combines wellfields in layered alluvium, a port and an energy landfall on a coast of soft deltaic and lagoonal sediments, active thrust faults (the 26 November 2019 Mw 6.4 earthquake caused liquefaction along this coast [L1]) and the Adriatic exposure to storm surges. Water supply, port logistics and energy supply are critical infrastructure; their joint exposure is a security question, not only an environmental one.</w:t>
      </w:r>
    </w:p>
    <w:p>
      <w:pPr>
        <w:keepNext/>
        <w:spacing w:after="120" w:before="200"/>
      </w:pPr>
      <w:r>
        <w:rPr>
          <w:rFonts w:ascii="Arial" w:hAnsi="Arial" w:eastAsia="Arial"/>
          <w:b/>
          <w:i w:val="0"/>
          <w:color w:val="1F3864"/>
          <w:sz w:val="28"/>
        </w:rPr>
        <w:t>2. State of the art</w:t>
      </w:r>
    </w:p>
    <w:p>
      <w:pPr>
        <w:spacing w:after="120" w:before="0"/>
      </w:pPr>
      <w:r>
        <w:rPr>
          <w:rFonts w:ascii="Arial" w:hAnsi="Arial" w:eastAsia="Arial"/>
          <w:b w:val="0"/>
          <w:i w:val="0"/>
          <w:sz w:val="22"/>
        </w:rPr>
        <w:t>Seawater intrusion itself is notable by its absence: the searches behind this review found no 2020–2026 paper on intrusion from Caltech, MIT, Harvard or Oxford. The intrusion component of CERTAIN-COAST therefore rests on the preparatory work of the consortium, a coupled variable-density model with salt memory in clay layers, ion exchange, goal-oriented monitoring design and an extreme-aware alarm, and on the methods reviewed below.</w:t>
      </w:r>
    </w:p>
    <w:p>
      <w:pPr>
        <w:keepNext/>
        <w:spacing w:after="120" w:before="120"/>
      </w:pPr>
      <w:r>
        <w:rPr>
          <w:rFonts w:ascii="Arial" w:hAnsi="Arial" w:eastAsia="Arial"/>
          <w:b/>
          <w:i w:val="0"/>
          <w:color w:val="2E6DB4"/>
          <w:sz w:val="24"/>
        </w:rPr>
        <w:t>2.1 Subsidence and relative sea level: the amplifier</w:t>
      </w:r>
    </w:p>
    <w:p>
      <w:pPr>
        <w:spacing w:after="120" w:before="0"/>
      </w:pPr>
      <w:r>
        <w:rPr>
          <w:rFonts w:ascii="Arial" w:hAnsi="Arial" w:eastAsia="Arial"/>
          <w:b w:val="0"/>
          <w:i w:val="0"/>
          <w:sz w:val="22"/>
        </w:rPr>
        <w:t>Space geodesy now measures what pumping does to the land. Thirty years of InSAR in the Hollywood Basin, combined with pumping records, gave a sustainable yield of 1.44–1.67 million m³/yr, less than half the operating safe yield, without any water-level data [1]. In the Sacramento Valley the 2020–2022 drought caused an abrupt switch from reversible to irreversible compaction, decimetres per year above the elastic rate, that the well network alone did not reveal [2]. Groningen showed how elastic seasonal cycles and inelastic long-term compaction can be separated in geodetic data [3]. At the coast, land motion at tide gauges is not a constant trend: it changes with groundwater and hydrocarbon withdrawal and with earthquakes, and treating it as linear gives median projection errors of up to 7.6 mm/yr at seismic sites [4]. Probabilistic reconstructions now separate the causes of relative sea-level change since 1900 [5].</w:t>
      </w:r>
    </w:p>
    <w:p>
      <w:pPr>
        <w:keepNext/>
        <w:spacing w:after="120" w:before="120"/>
      </w:pPr>
      <w:r>
        <w:rPr>
          <w:rFonts w:ascii="Arial" w:hAnsi="Arial" w:eastAsia="Arial"/>
          <w:b/>
          <w:i w:val="0"/>
          <w:color w:val="2E6DB4"/>
          <w:sz w:val="24"/>
        </w:rPr>
        <w:t>2.2 Extreme sea levels</w:t>
      </w:r>
    </w:p>
    <w:p>
      <w:pPr>
        <w:spacing w:after="120" w:before="0"/>
      </w:pPr>
      <w:r>
        <w:rPr>
          <w:rFonts w:ascii="Arial" w:hAnsi="Arial" w:eastAsia="Arial"/>
          <w:b w:val="0"/>
          <w:i w:val="0"/>
          <w:sz w:val="22"/>
        </w:rPr>
        <w:t>Human-driven sea-level rise has already made the historical 1-in-100-year extreme a 1-in-8-year event at the median tide gauge, and the driver is mean relative sea level, not surge or tide [6]. Physics-based compound models of rainfall and surge show the same dominance of sea-level rise for a major port city [7]. For ports, a third of expected annual losses in Europe come from compound events, and ignoring hazard interactions underestimates them [8]; worldwide, flooding and earthquakes are the main threats to port assets and trade [9]. What is missing at the scale of one port is the step from a return period to an operational warning whose miss rate is guaranteed, with measured, time-varying land motion inside it and with the earthquake and groundwater pathways coupled rather than added.</w:t>
      </w:r>
    </w:p>
    <w:p>
      <w:pPr>
        <w:keepNext/>
        <w:spacing w:after="120" w:before="120"/>
      </w:pPr>
      <w:r>
        <w:rPr>
          <w:rFonts w:ascii="Arial" w:hAnsi="Arial" w:eastAsia="Arial"/>
          <w:b/>
          <w:i w:val="0"/>
          <w:color w:val="2E6DB4"/>
          <w:sz w:val="24"/>
        </w:rPr>
        <w:t>2.3 Liquefaction and the foundations of port and landfall</w:t>
      </w:r>
    </w:p>
    <w:p>
      <w:pPr>
        <w:spacing w:after="120" w:before="0"/>
      </w:pPr>
      <w:r>
        <w:rPr>
          <w:rFonts w:ascii="Arial" w:hAnsi="Arial" w:eastAsia="Arial"/>
          <w:b w:val="0"/>
          <w:i w:val="0"/>
          <w:sz w:val="22"/>
        </w:rPr>
        <w:t>Liquefaction hazard is mapped statistically: a latent Gaussian process now gives spatially correlated maps of liquefaction manifestation conditioned on a regional proxy [10]. Fibre-optic sensing images shallow shear-wave velocity along 10 km of telecom cable and shows ground motion varying at sub-kilometre scale with soft sediments [11]. Borehole data show near-surface shear-wave velocity changing by about 25% in the top 6 m with the water table [12], the physical link between groundwater and liquefaction. For offshore and landfall foundations, the PISA programme produced validated 1-D design models in clay, sand and layered soils and a lifetime model of ratcheting under storms [13–15]; its one failing case, very soft clay over dense sand, is the typical deltaic sequence of the Adriatic coast [14]. After the 2019 Durrës earthquake, liquefaction was mapped at lagoons, estuaries and the southern Durrës coast [L1].</w:t>
      </w:r>
    </w:p>
    <w:p>
      <w:pPr>
        <w:keepNext/>
        <w:spacing w:after="120" w:before="120"/>
      </w:pPr>
      <w:r>
        <w:rPr>
          <w:rFonts w:ascii="Arial" w:hAnsi="Arial" w:eastAsia="Arial"/>
          <w:b/>
          <w:i w:val="0"/>
          <w:color w:val="2E6DB4"/>
          <w:sz w:val="24"/>
        </w:rPr>
        <w:t>2.4 Continuous sensing of groundwater and soil</w:t>
      </w:r>
    </w:p>
    <w:p>
      <w:pPr>
        <w:spacing w:after="120" w:before="0"/>
      </w:pPr>
      <w:r>
        <w:rPr>
          <w:rFonts w:ascii="Arial" w:hAnsi="Arial" w:eastAsia="Arial"/>
          <w:b w:val="0"/>
          <w:i w:val="0"/>
          <w:sz w:val="22"/>
        </w:rPr>
        <w:t>Ambient seismic noise tracks groundwater: space-time maps of velocity change near Los Angeles follow well water tables and InSAR deformation over 2000–2020 [16]. Telecom fibre resolves recharge pulses and a drought loss of about 0.25 m/yr of water in the unsaturated zone [17]. Twenty years of velocity changes at about 700 stations separate wet winters, droughts and decade-long postseismic signals [18]. These sensors are cheap, continuous and depth-resolved.</w:t>
      </w:r>
    </w:p>
    <w:p>
      <w:pPr>
        <w:keepNext/>
        <w:spacing w:after="120" w:before="120"/>
      </w:pPr>
      <w:r>
        <w:rPr>
          <w:rFonts w:ascii="Arial" w:hAnsi="Arial" w:eastAsia="Arial"/>
          <w:b/>
          <w:i w:val="0"/>
          <w:color w:val="2E6DB4"/>
          <w:sz w:val="24"/>
        </w:rPr>
        <w:t>2.5 The mathematics of certified warning</w:t>
      </w:r>
    </w:p>
    <w:p>
      <w:pPr>
        <w:spacing w:after="120" w:before="0"/>
      </w:pPr>
      <w:r>
        <w:rPr>
          <w:rFonts w:ascii="Arial" w:hAnsi="Arial" w:eastAsia="Arial"/>
          <w:b w:val="0"/>
          <w:i w:val="0"/>
          <w:sz w:val="22"/>
        </w:rPr>
        <w:t>Distribution-free methods now control more than coverage: conformal risk control bounds the expected value of any monotone loss, such as a false-negative rate, at a chosen level α [19]. Online conformal methods keep long-run coverage for arbitrary, even adversarial, sequences [20], and discounted adaptive learning forgets the past at the right speed under nonstationarity [21]; adaptive conformal sets have been embedded in control loops [22]. For physics surrogates, a risk-controlling quantile neural operator gives a finite-sample guarantee on the fraction of the domain outside its band [23], and conformal Bayesian computation gives frequentist coverage even for misspecified models [24]. On the modelling side, neural operators approximate solution operators of PDEs universally [25], Gaussian-process solvers treat nonlinear PDEs and inverse problems with convergence guarantees [26], optimal uncertainty quantification gives worst-case risk as the radius of a minimum enclosing ball [27], ensemble Kalman methods have a mean-field theory [28], dimension reduction can be certified by a computable bound [29], and optimal experimental design has a unified theory [30].</w:t>
      </w:r>
    </w:p>
    <w:p>
      <w:pPr>
        <w:keepNext/>
        <w:spacing w:after="120" w:before="200"/>
      </w:pPr>
      <w:r>
        <w:rPr>
          <w:rFonts w:ascii="Arial" w:hAnsi="Arial" w:eastAsia="Arial"/>
          <w:b/>
          <w:i w:val="0"/>
          <w:color w:val="1F3864"/>
          <w:sz w:val="28"/>
        </w:rPr>
        <w:t>3. What has not been done</w:t>
      </w:r>
    </w:p>
    <w:p>
      <w:pPr>
        <w:spacing w:after="120" w:before="0"/>
      </w:pPr>
      <w:r>
        <w:rPr>
          <w:rFonts w:ascii="Arial" w:hAnsi="Arial" w:eastAsia="Arial"/>
          <w:b w:val="0"/>
          <w:i w:val="0"/>
          <w:sz w:val="22"/>
        </w:rPr>
        <w:t>The table sets out, for each component, what the literature has achieved, what it has not, and the step CERTAIN-COAST takes.</w:t>
      </w:r>
    </w:p>
    <w:tbl>
      <w:tblPr>
        <w:tblStyle w:val="TableGrid"/>
        <w:tblW w:type="auto" w:w="0"/>
        <w:jc w:val="center"/>
        <w:tblLayout w:type="fixed"/>
        <w:tblLook w:firstColumn="1" w:firstRow="1" w:lastColumn="0" w:lastRow="0" w:noHBand="0" w:noVBand="1" w:val="04A0"/>
        <w:tblLayout w:type="fixed"/>
      </w:tblPr>
      <w:tblGrid>
        <w:gridCol w:w="1474"/>
        <w:gridCol w:w="3061"/>
        <w:gridCol w:w="2608"/>
        <w:gridCol w:w="2494"/>
      </w:tblGrid>
      <w:tr>
        <w:tc>
          <w:tcPr>
            <w:tcW w:type="dxa" w:w="1474"/>
            <w:shd w:val="clear" w:color="auto" w:fill="1F3864"/>
          </w:tcPr>
          <w:p>
            <w:r/>
            <w:r>
              <w:rPr>
                <w:rFonts w:ascii="Arial" w:hAnsi="Arial" w:eastAsia="Arial"/>
                <w:b/>
                <w:i w:val="0"/>
                <w:color w:val="FFFFFF"/>
                <w:sz w:val="20"/>
              </w:rPr>
              <w:t>Component</w:t>
            </w:r>
          </w:p>
        </w:tc>
        <w:tc>
          <w:tcPr>
            <w:tcW w:type="dxa" w:w="3061"/>
            <w:shd w:val="clear" w:color="auto" w:fill="1F3864"/>
          </w:tcPr>
          <w:p>
            <w:r/>
            <w:r>
              <w:rPr>
                <w:rFonts w:ascii="Arial" w:hAnsi="Arial" w:eastAsia="Arial"/>
                <w:b/>
                <w:i w:val="0"/>
                <w:color w:val="FFFFFF"/>
                <w:sz w:val="20"/>
              </w:rPr>
              <w:t>Done (papers)</w:t>
            </w:r>
          </w:p>
        </w:tc>
        <w:tc>
          <w:tcPr>
            <w:tcW w:type="dxa" w:w="2608"/>
            <w:shd w:val="clear" w:color="auto" w:fill="1F3864"/>
          </w:tcPr>
          <w:p>
            <w:r/>
            <w:r>
              <w:rPr>
                <w:rFonts w:ascii="Arial" w:hAnsi="Arial" w:eastAsia="Arial"/>
                <w:b/>
                <w:i w:val="0"/>
                <w:color w:val="FFFFFF"/>
                <w:sz w:val="20"/>
              </w:rPr>
              <w:t>Not done</w:t>
            </w:r>
          </w:p>
        </w:tc>
        <w:tc>
          <w:tcPr>
            <w:tcW w:type="dxa" w:w="2494"/>
            <w:shd w:val="clear" w:color="auto" w:fill="1F3864"/>
          </w:tcPr>
          <w:p>
            <w:r/>
            <w:r>
              <w:rPr>
                <w:rFonts w:ascii="Arial" w:hAnsi="Arial" w:eastAsia="Arial"/>
                <w:b/>
                <w:i w:val="0"/>
                <w:color w:val="FFFFFF"/>
                <w:sz w:val="20"/>
              </w:rPr>
              <w:t>CERTAIN-COAST</w:t>
            </w:r>
          </w:p>
        </w:tc>
      </w:tr>
      <w:tr>
        <w:tc>
          <w:tcPr>
            <w:tcW w:type="dxa" w:w="1474"/>
          </w:tcPr>
          <w:p>
            <w:r/>
            <w:r>
              <w:rPr>
                <w:rFonts w:ascii="Arial" w:hAnsi="Arial" w:eastAsia="Arial"/>
                <w:b w:val="0"/>
                <w:i w:val="0"/>
                <w:sz w:val="20"/>
              </w:rPr>
              <w:t>Seawater intrusion at the wellfields</w:t>
            </w:r>
          </w:p>
        </w:tc>
        <w:tc>
          <w:tcPr>
            <w:tcW w:type="dxa" w:w="3061"/>
          </w:tcPr>
          <w:p>
            <w:r/>
            <w:r>
              <w:rPr>
                <w:rFonts w:ascii="Arial" w:hAnsi="Arial" w:eastAsia="Arial"/>
                <w:b w:val="0"/>
                <w:i w:val="0"/>
                <w:sz w:val="20"/>
              </w:rPr>
              <w:t>Variable-density models, management optimisation and monitoring design exist, but our searches found no 2020–2026 intrusion paper from the four universities; the preparatory work of this proposal (coupled model, goal-oriented design, extreme-aware alarm) covers it</w:t>
            </w:r>
          </w:p>
        </w:tc>
        <w:tc>
          <w:tcPr>
            <w:tcW w:type="dxa" w:w="2608"/>
          </w:tcPr>
          <w:p>
            <w:r/>
            <w:r>
              <w:rPr>
                <w:rFonts w:ascii="Arial" w:hAnsi="Arial" w:eastAsia="Arial"/>
                <w:b w:val="0"/>
                <w:i w:val="0"/>
                <w:sz w:val="20"/>
              </w:rPr>
              <w:t>No intrusion warning with a guaranteed miss rate; subsidence and earthquakes absent from the seaward boundary</w:t>
            </w:r>
          </w:p>
        </w:tc>
        <w:tc>
          <w:tcPr>
            <w:tcW w:type="dxa" w:w="2494"/>
          </w:tcPr>
          <w:p>
            <w:r/>
            <w:r>
              <w:rPr>
                <w:rFonts w:ascii="Arial" w:hAnsi="Arial" w:eastAsia="Arial"/>
                <w:b/>
                <w:i w:val="0"/>
                <w:sz w:val="20"/>
              </w:rPr>
              <w:t>Certified intrusion alarm</w:t>
            </w:r>
            <w:r>
              <w:rPr>
                <w:rFonts w:ascii="Arial" w:hAnsi="Arial" w:eastAsia="Arial"/>
                <w:b w:val="0"/>
                <w:i w:val="0"/>
                <w:sz w:val="20"/>
              </w:rPr>
              <w:t xml:space="preserve"> on the coupled model, with the relative-sea-level boundary R(t)</w:t>
            </w:r>
          </w:p>
        </w:tc>
      </w:tr>
      <w:tr>
        <w:tc>
          <w:tcPr>
            <w:tcW w:type="dxa" w:w="1474"/>
          </w:tcPr>
          <w:p>
            <w:r/>
            <w:r>
              <w:rPr>
                <w:rFonts w:ascii="Arial" w:hAnsi="Arial" w:eastAsia="Arial"/>
                <w:b w:val="0"/>
                <w:i w:val="0"/>
                <w:sz w:val="20"/>
              </w:rPr>
              <w:t>Land subsidence and vertical land motion</w:t>
            </w:r>
          </w:p>
        </w:tc>
        <w:tc>
          <w:tcPr>
            <w:tcW w:type="dxa" w:w="3061"/>
          </w:tcPr>
          <w:p>
            <w:r/>
            <w:r>
              <w:rPr>
                <w:rFonts w:ascii="Arial" w:hAnsi="Arial" w:eastAsia="Arial"/>
                <w:b w:val="0"/>
                <w:i w:val="0"/>
                <w:sz w:val="20"/>
              </w:rPr>
              <w:t>Measured from InSAR/GNSS; sustainable pumping set from 30 years of InSAR; abrupt switch to irreversible compaction detected [1–3]; land motion at tide gauges shown to vary in time with fluid withdrawal and earthquakes [4]</w:t>
            </w:r>
          </w:p>
        </w:tc>
        <w:tc>
          <w:tcPr>
            <w:tcW w:type="dxa" w:w="2608"/>
          </w:tcPr>
          <w:p>
            <w:r/>
            <w:r>
              <w:rPr>
                <w:rFonts w:ascii="Arial" w:hAnsi="Arial" w:eastAsia="Arial"/>
                <w:b w:val="0"/>
                <w:i w:val="0"/>
                <w:sz w:val="20"/>
              </w:rPr>
              <w:t>Measured subsidence is not used as a time-varying boundary condition in intrusion, flooding and liquefaction models at the same site</w:t>
            </w:r>
          </w:p>
        </w:tc>
        <w:tc>
          <w:tcPr>
            <w:tcW w:type="dxa" w:w="2494"/>
          </w:tcPr>
          <w:p>
            <w:r/>
            <w:r>
              <w:rPr>
                <w:rFonts w:ascii="Arial" w:hAnsi="Arial" w:eastAsia="Arial"/>
                <w:b/>
                <w:i w:val="0"/>
                <w:sz w:val="20"/>
              </w:rPr>
              <w:t>One relative sea level R(t) = η(t) − u_z(t)</w:t>
            </w:r>
            <w:r>
              <w:rPr>
                <w:rFonts w:ascii="Arial" w:hAnsi="Arial" w:eastAsia="Arial"/>
                <w:b w:val="0"/>
                <w:i w:val="0"/>
                <w:sz w:val="20"/>
              </w:rPr>
              <w:t xml:space="preserve"> from InSAR/GNSS drives all three hazard models</w:t>
            </w:r>
          </w:p>
        </w:tc>
      </w:tr>
      <w:tr>
        <w:tc>
          <w:tcPr>
            <w:tcW w:type="dxa" w:w="1474"/>
          </w:tcPr>
          <w:p>
            <w:r/>
            <w:r>
              <w:rPr>
                <w:rFonts w:ascii="Arial" w:hAnsi="Arial" w:eastAsia="Arial"/>
                <w:b w:val="0"/>
                <w:i w:val="0"/>
                <w:sz w:val="20"/>
              </w:rPr>
              <w:t>Extreme sea levels</w:t>
            </w:r>
          </w:p>
        </w:tc>
        <w:tc>
          <w:tcPr>
            <w:tcW w:type="dxa" w:w="3061"/>
          </w:tcPr>
          <w:p>
            <w:r/>
            <w:r>
              <w:rPr>
                <w:rFonts w:ascii="Arial" w:hAnsi="Arial" w:eastAsia="Arial"/>
                <w:b w:val="0"/>
                <w:i w:val="0"/>
                <w:sz w:val="20"/>
              </w:rPr>
              <w:t>Probabilistic sea-level reconstructions with causes and land motion [5]; extremes attributed to relative sea-level rise [6]; physics-based compound flooding [7]; compound and multi-hazard risk to ports [8, 9]</w:t>
            </w:r>
          </w:p>
        </w:tc>
        <w:tc>
          <w:tcPr>
            <w:tcW w:type="dxa" w:w="2608"/>
          </w:tcPr>
          <w:p>
            <w:r/>
            <w:r>
              <w:rPr>
                <w:rFonts w:ascii="Arial" w:hAnsi="Arial" w:eastAsia="Arial"/>
                <w:b w:val="0"/>
                <w:i w:val="0"/>
                <w:sz w:val="20"/>
              </w:rPr>
              <w:t>Land motion enters local extremes as a straight-line trend; port risk is expected annual damage, not a warning; earthquake and flood pathways added, not coupled</w:t>
            </w:r>
          </w:p>
        </w:tc>
        <w:tc>
          <w:tcPr>
            <w:tcW w:type="dxa" w:w="2494"/>
          </w:tcPr>
          <w:p>
            <w:r/>
            <w:r>
              <w:rPr>
                <w:rFonts w:ascii="Arial" w:hAnsi="Arial" w:eastAsia="Arial"/>
                <w:b/>
                <w:i w:val="0"/>
                <w:sz w:val="20"/>
              </w:rPr>
              <w:t>Nonstationary extremes with InSAR land motion as covariate</w:t>
            </w:r>
            <w:r>
              <w:rPr>
                <w:rFonts w:ascii="Arial" w:hAnsi="Arial" w:eastAsia="Arial"/>
                <w:b w:val="0"/>
                <w:i w:val="0"/>
                <w:sz w:val="20"/>
              </w:rPr>
              <w:t>, calibrated by conformal risk control</w:t>
            </w:r>
          </w:p>
        </w:tc>
      </w:tr>
      <w:tr>
        <w:tc>
          <w:tcPr>
            <w:tcW w:type="dxa" w:w="1474"/>
          </w:tcPr>
          <w:p>
            <w:r/>
            <w:r>
              <w:rPr>
                <w:rFonts w:ascii="Arial" w:hAnsi="Arial" w:eastAsia="Arial"/>
                <w:b w:val="0"/>
                <w:i w:val="0"/>
                <w:sz w:val="20"/>
              </w:rPr>
              <w:t>Liquefaction</w:t>
            </w:r>
          </w:p>
        </w:tc>
        <w:tc>
          <w:tcPr>
            <w:tcW w:type="dxa" w:w="3061"/>
          </w:tcPr>
          <w:p>
            <w:r/>
            <w:r>
              <w:rPr>
                <w:rFonts w:ascii="Arial" w:hAnsi="Arial" w:eastAsia="Arial"/>
                <w:b w:val="0"/>
                <w:i w:val="0"/>
                <w:sz w:val="20"/>
              </w:rPr>
              <w:t>Spatially correlated, data-driven liquefaction maps [10]; sub-kilometre site effects imaged by fibre [11]; water table shown to control near-surface stiffness [12]; Durrës 2019 liquefaction mapped [L1]</w:t>
            </w:r>
          </w:p>
        </w:tc>
        <w:tc>
          <w:tcPr>
            <w:tcW w:type="dxa" w:w="2608"/>
          </w:tcPr>
          <w:p>
            <w:r/>
            <w:r>
              <w:rPr>
                <w:rFonts w:ascii="Arial" w:hAnsi="Arial" w:eastAsia="Arial"/>
                <w:b w:val="0"/>
                <w:i w:val="0"/>
                <w:sz w:val="20"/>
              </w:rPr>
              <w:t>Susceptibility is static and scenario-based; the water table, which pumping and the sea move, is fixed</w:t>
            </w:r>
          </w:p>
        </w:tc>
        <w:tc>
          <w:tcPr>
            <w:tcW w:type="dxa" w:w="2494"/>
          </w:tcPr>
          <w:p>
            <w:r/>
            <w:r>
              <w:rPr>
                <w:rFonts w:ascii="Arial" w:hAnsi="Arial" w:eastAsia="Arial"/>
                <w:b/>
                <w:i w:val="0"/>
                <w:sz w:val="20"/>
              </w:rPr>
              <w:t>Factor of safety FS(t) driven by the modelled, time-varying water table</w:t>
            </w:r>
            <w:r>
              <w:rPr>
                <w:rFonts w:ascii="Arial" w:hAnsi="Arial" w:eastAsia="Arial"/>
                <w:b w:val="0"/>
                <w:i w:val="0"/>
                <w:sz w:val="20"/>
              </w:rPr>
              <w:t>, updated by seismic sensing</w:t>
            </w:r>
          </w:p>
        </w:tc>
      </w:tr>
      <w:tr>
        <w:tc>
          <w:tcPr>
            <w:tcW w:type="dxa" w:w="1474"/>
          </w:tcPr>
          <w:p>
            <w:r/>
            <w:r>
              <w:rPr>
                <w:rFonts w:ascii="Arial" w:hAnsi="Arial" w:eastAsia="Arial"/>
                <w:b w:val="0"/>
                <w:i w:val="0"/>
                <w:sz w:val="20"/>
              </w:rPr>
              <w:t>Port and landfall foundations</w:t>
            </w:r>
          </w:p>
        </w:tc>
        <w:tc>
          <w:tcPr>
            <w:tcW w:type="dxa" w:w="3061"/>
          </w:tcPr>
          <w:p>
            <w:r/>
            <w:r>
              <w:rPr>
                <w:rFonts w:ascii="Arial" w:hAnsi="Arial" w:eastAsia="Arial"/>
                <w:b w:val="0"/>
                <w:i w:val="0"/>
                <w:sz w:val="20"/>
              </w:rPr>
              <w:t>Validated 1-D design models for piles in clay, sand and layered soils, and lifetime ratcheting under storms [13–15]</w:t>
            </w:r>
          </w:p>
        </w:tc>
        <w:tc>
          <w:tcPr>
            <w:tcW w:type="dxa" w:w="2608"/>
          </w:tcPr>
          <w:p>
            <w:r/>
            <w:r>
              <w:rPr>
                <w:rFonts w:ascii="Arial" w:hAnsi="Arial" w:eastAsia="Arial"/>
                <w:b w:val="0"/>
                <w:i w:val="0"/>
                <w:sz w:val="20"/>
              </w:rPr>
              <w:t>No seismic shaking, pore-pressure build-up, liquefaction or subsidence; no monitoring or warning</w:t>
            </w:r>
          </w:p>
        </w:tc>
        <w:tc>
          <w:tcPr>
            <w:tcW w:type="dxa" w:w="2494"/>
          </w:tcPr>
          <w:p>
            <w:r/>
            <w:r>
              <w:rPr>
                <w:rFonts w:ascii="Arial" w:hAnsi="Arial" w:eastAsia="Arial"/>
                <w:b/>
                <w:i w:val="0"/>
                <w:sz w:val="20"/>
              </w:rPr>
              <w:t>Stability check of the landfall combining shaking, liquefaction, scour-free water level and subsidence</w:t>
            </w:r>
          </w:p>
        </w:tc>
      </w:tr>
      <w:tr>
        <w:tc>
          <w:tcPr>
            <w:tcW w:type="dxa" w:w="1474"/>
          </w:tcPr>
          <w:p>
            <w:r/>
            <w:r>
              <w:rPr>
                <w:rFonts w:ascii="Arial" w:hAnsi="Arial" w:eastAsia="Arial"/>
                <w:b w:val="0"/>
                <w:i w:val="0"/>
                <w:sz w:val="20"/>
              </w:rPr>
              <w:t>Groundwater sensing</w:t>
            </w:r>
          </w:p>
        </w:tc>
        <w:tc>
          <w:tcPr>
            <w:tcW w:type="dxa" w:w="3061"/>
          </w:tcPr>
          <w:p>
            <w:r/>
            <w:r>
              <w:rPr>
                <w:rFonts w:ascii="Arial" w:hAnsi="Arial" w:eastAsia="Arial"/>
                <w:b w:val="0"/>
                <w:i w:val="0"/>
                <w:sz w:val="20"/>
              </w:rPr>
              <w:t>Groundwater levels mapped from ambient seismic noise [16]; soil moisture from telecom fibre [17]; droughts, floods and earthquakes separated in 20 years of dv/v [18]</w:t>
            </w:r>
          </w:p>
        </w:tc>
        <w:tc>
          <w:tcPr>
            <w:tcW w:type="dxa" w:w="2608"/>
          </w:tcPr>
          <w:p>
            <w:r/>
            <w:r>
              <w:rPr>
                <w:rFonts w:ascii="Arial" w:hAnsi="Arial" w:eastAsia="Arial"/>
                <w:b w:val="0"/>
                <w:i w:val="0"/>
                <w:sz w:val="20"/>
              </w:rPr>
              <w:t>Never used to warn of intrusion or liquefaction; not part of any sensor-design problem</w:t>
            </w:r>
          </w:p>
        </w:tc>
        <w:tc>
          <w:tcPr>
            <w:tcW w:type="dxa" w:w="2494"/>
          </w:tcPr>
          <w:p>
            <w:r/>
            <w:r>
              <w:rPr>
                <w:rFonts w:ascii="Arial" w:hAnsi="Arial" w:eastAsia="Arial"/>
                <w:b/>
                <w:i w:val="0"/>
                <w:sz w:val="20"/>
              </w:rPr>
              <w:t>dv/v and fibre as observation types</w:t>
            </w:r>
            <w:r>
              <w:rPr>
                <w:rFonts w:ascii="Arial" w:hAnsi="Arial" w:eastAsia="Arial"/>
                <w:b w:val="0"/>
                <w:i w:val="0"/>
                <w:sz w:val="20"/>
              </w:rPr>
              <w:t xml:space="preserve"> in a goal-oriented design and as liquefaction-susceptibility sensors</w:t>
            </w:r>
          </w:p>
        </w:tc>
      </w:tr>
      <w:tr>
        <w:tc>
          <w:tcPr>
            <w:tcW w:type="dxa" w:w="1474"/>
          </w:tcPr>
          <w:p>
            <w:r/>
            <w:r>
              <w:rPr>
                <w:rFonts w:ascii="Arial" w:hAnsi="Arial" w:eastAsia="Arial"/>
                <w:b w:val="0"/>
                <w:i w:val="0"/>
                <w:sz w:val="20"/>
              </w:rPr>
              <w:t>Certified uncertainty and alarms</w:t>
            </w:r>
          </w:p>
        </w:tc>
        <w:tc>
          <w:tcPr>
            <w:tcW w:type="dxa" w:w="3061"/>
          </w:tcPr>
          <w:p>
            <w:r/>
            <w:r>
              <w:rPr>
                <w:rFonts w:ascii="Arial" w:hAnsi="Arial" w:eastAsia="Arial"/>
                <w:b w:val="0"/>
                <w:i w:val="0"/>
                <w:sz w:val="20"/>
              </w:rPr>
              <w:t>Distribution-free risk control [19]; online and adaptive conformal prediction with long-run guarantees [20–22]; conformal coverage for neural-operator surrogates [23]; conformal Bayes [24]</w:t>
            </w:r>
          </w:p>
        </w:tc>
        <w:tc>
          <w:tcPr>
            <w:tcW w:type="dxa" w:w="2608"/>
          </w:tcPr>
          <w:p>
            <w:r/>
            <w:r>
              <w:rPr>
                <w:rFonts w:ascii="Arial" w:hAnsi="Arial" w:eastAsia="Arial"/>
                <w:b w:val="0"/>
                <w:i w:val="0"/>
                <w:sz w:val="20"/>
              </w:rPr>
              <w:t>Guarantees assume exchangeable data or hold only on time average; never applied to slow physics models of coastal hazards; nothing for states beyond the record</w:t>
            </w:r>
          </w:p>
        </w:tc>
        <w:tc>
          <w:tcPr>
            <w:tcW w:type="dxa" w:w="2494"/>
          </w:tcPr>
          <w:p>
            <w:r/>
            <w:r>
              <w:rPr>
                <w:rFonts w:ascii="Arial" w:hAnsi="Arial" w:eastAsia="Arial"/>
                <w:b/>
                <w:i w:val="0"/>
                <w:sz w:val="20"/>
              </w:rPr>
              <w:t>Certified multi-hazard alarm</w:t>
            </w:r>
            <w:r>
              <w:rPr>
                <w:rFonts w:ascii="Arial" w:hAnsi="Arial" w:eastAsia="Arial"/>
                <w:b w:val="0"/>
                <w:i w:val="0"/>
                <w:sz w:val="20"/>
              </w:rPr>
              <w:t>: surrogate error bound + online conformal margin + extreme-aware margin</w:t>
            </w:r>
          </w:p>
        </w:tc>
      </w:tr>
      <w:tr>
        <w:tc>
          <w:tcPr>
            <w:tcW w:type="dxa" w:w="1474"/>
          </w:tcPr>
          <w:p>
            <w:r/>
            <w:r>
              <w:rPr>
                <w:rFonts w:ascii="Arial" w:hAnsi="Arial" w:eastAsia="Arial"/>
                <w:b w:val="0"/>
                <w:i w:val="0"/>
                <w:sz w:val="20"/>
              </w:rPr>
              <w:t>Fast models and assimilation</w:t>
            </w:r>
          </w:p>
        </w:tc>
        <w:tc>
          <w:tcPr>
            <w:tcW w:type="dxa" w:w="3061"/>
          </w:tcPr>
          <w:p>
            <w:r/>
            <w:r>
              <w:rPr>
                <w:rFonts w:ascii="Arial" w:hAnsi="Arial" w:eastAsia="Arial"/>
                <w:b w:val="0"/>
                <w:i w:val="0"/>
                <w:sz w:val="20"/>
              </w:rPr>
              <w:t>Neural operators with universal approximation [25]; kernel/GP solvers for nonlinear PDEs [26]; optimal UQ by minimum enclosing ball [27]; ensemble Kalman theory [28]; certified dimension reduction [29]; experimental design review [30]</w:t>
            </w:r>
          </w:p>
        </w:tc>
        <w:tc>
          <w:tcPr>
            <w:tcW w:type="dxa" w:w="2608"/>
          </w:tcPr>
          <w:p>
            <w:r/>
            <w:r>
              <w:rPr>
                <w:rFonts w:ascii="Arial" w:hAnsi="Arial" w:eastAsia="Arial"/>
                <w:b w:val="0"/>
                <w:i w:val="0"/>
                <w:sz w:val="20"/>
              </w:rPr>
              <w:t>Approximation guarantees, not per-forecast certificates, for coupled variable-density and poroelastic models</w:t>
            </w:r>
          </w:p>
        </w:tc>
        <w:tc>
          <w:tcPr>
            <w:tcW w:type="dxa" w:w="2494"/>
          </w:tcPr>
          <w:p>
            <w:r/>
            <w:r>
              <w:rPr>
                <w:rFonts w:ascii="Arial" w:hAnsi="Arial" w:eastAsia="Arial"/>
                <w:b/>
                <w:i w:val="0"/>
                <w:sz w:val="20"/>
              </w:rPr>
              <w:t>Error-certified surrogate of the coupled model</w:t>
            </w:r>
            <w:r>
              <w:rPr>
                <w:rFonts w:ascii="Arial" w:hAnsi="Arial" w:eastAsia="Arial"/>
                <w:b w:val="0"/>
                <w:i w:val="0"/>
                <w:sz w:val="20"/>
              </w:rPr>
              <w:t>, with sensors chosen jointly for the three warnings</w:t>
            </w:r>
          </w:p>
        </w:tc>
      </w:tr>
    </w:tbl>
    <w:p>
      <w:pPr>
        <w:spacing w:after="120" w:before="0"/>
      </w:pPr>
    </w:p>
    <w:p>
      <w:pPr>
        <w:spacing w:after="120" w:before="0"/>
      </w:pPr>
      <w:r>
        <w:rPr>
          <w:rFonts w:ascii="Arial" w:hAnsi="Arial" w:eastAsia="Arial"/>
          <w:b w:val="0"/>
          <w:i w:val="0"/>
          <w:sz w:val="22"/>
        </w:rPr>
        <w:t xml:space="preserve">Three gaps cut across the table. First, </w:t>
      </w:r>
      <w:r>
        <w:rPr>
          <w:rFonts w:ascii="Arial" w:hAnsi="Arial" w:eastAsia="Arial"/>
          <w:b/>
          <w:i w:val="0"/>
          <w:sz w:val="22"/>
        </w:rPr>
        <w:t>no early warning treats the three hazards as one system</w:t>
      </w:r>
      <w:r>
        <w:rPr>
          <w:rFonts w:ascii="Arial" w:hAnsi="Arial" w:eastAsia="Arial"/>
          <w:b w:val="0"/>
          <w:i w:val="0"/>
          <w:sz w:val="22"/>
        </w:rPr>
        <w:t xml:space="preserve">, although they share relative sea level and pore pressure and are moved by the same pumping lever. Second, </w:t>
      </w:r>
      <w:r>
        <w:rPr>
          <w:rFonts w:ascii="Arial" w:hAnsi="Arial" w:eastAsia="Arial"/>
          <w:b/>
          <w:i w:val="0"/>
          <w:sz w:val="22"/>
        </w:rPr>
        <w:t>no warning for any of them carries a guarantee</w:t>
      </w:r>
      <w:r>
        <w:rPr>
          <w:rFonts w:ascii="Arial" w:hAnsi="Arial" w:eastAsia="Arial"/>
          <w:b w:val="0"/>
          <w:i w:val="0"/>
          <w:sz w:val="22"/>
        </w:rPr>
        <w:t xml:space="preserve">: the certified methods of [19–24] assume exchangeable data or hold on time average, and none has been applied to a slow physics model of a coastal hazard or to states outside the observed record. Third, </w:t>
      </w:r>
      <w:r>
        <w:rPr>
          <w:rFonts w:ascii="Arial" w:hAnsi="Arial" w:eastAsia="Arial"/>
          <w:b/>
          <w:i w:val="0"/>
          <w:sz w:val="22"/>
        </w:rPr>
        <w:t>the new sensors (InSAR time series, seismic noise, fibre) are measured but not designed</w:t>
      </w:r>
      <w:r>
        <w:rPr>
          <w:rFonts w:ascii="Arial" w:hAnsi="Arial" w:eastAsia="Arial"/>
          <w:b w:val="0"/>
          <w:i w:val="0"/>
          <w:sz w:val="22"/>
        </w:rPr>
        <w:t>: no study chooses them jointly with wells and chemical samples to minimise the miss probability of the warnings.</w:t>
      </w:r>
    </w:p>
    <w:p>
      <w:pPr>
        <w:keepNext/>
        <w:spacing w:after="120" w:before="200"/>
      </w:pPr>
      <w:r>
        <w:rPr>
          <w:rFonts w:ascii="Arial" w:hAnsi="Arial" w:eastAsia="Arial"/>
          <w:b/>
          <w:i w:val="0"/>
          <w:color w:val="1F3864"/>
          <w:sz w:val="28"/>
        </w:rPr>
        <w:t>4. What CERTAIN-COAST brings</w:t>
      </w:r>
    </w:p>
    <w:p>
      <w:pPr>
        <w:keepNext/>
        <w:spacing w:after="120" w:before="120"/>
      </w:pPr>
      <w:r>
        <w:rPr>
          <w:rFonts w:ascii="Arial" w:hAnsi="Arial" w:eastAsia="Arial"/>
          <w:b/>
          <w:i w:val="0"/>
          <w:color w:val="2E6DB4"/>
          <w:sz w:val="24"/>
        </w:rPr>
        <w:t>Mathematical innovations</w:t>
      </w:r>
    </w:p>
    <w:p>
      <w:pPr>
        <w:spacing w:after="60" w:before="0"/>
        <w:ind w:left="283"/>
      </w:pPr>
      <w:r>
        <w:rPr>
          <w:rFonts w:ascii="Arial" w:hAnsi="Arial" w:eastAsia="Arial"/>
          <w:b/>
          <w:i w:val="0"/>
          <w:sz w:val="22"/>
        </w:rPr>
        <w:t xml:space="preserve">• </w:t>
      </w:r>
      <w:r>
        <w:rPr>
          <w:rFonts w:ascii="Arial" w:hAnsi="Arial" w:eastAsia="Arial"/>
          <w:b/>
          <w:i w:val="0"/>
          <w:sz w:val="22"/>
        </w:rPr>
        <w:t>M1. Certified multi-hazard alarm.</w:t>
      </w:r>
      <w:r>
        <w:rPr>
          <w:rFonts w:ascii="Arial" w:hAnsi="Arial" w:eastAsia="Arial"/>
          <w:b w:val="0"/>
          <w:i w:val="0"/>
          <w:sz w:val="22"/>
        </w:rPr>
        <w:t xml:space="preserve"> For each hazard k (intrusion at a wellfield, liquefaction at the port or landfall, extreme water level) the alarm fires when the forecast indicator exceeds its threshold minus a margin m_k. The margin adds three certified parts: the a-posteriori error bound of the fast surrogate [23, 27], an online conformal risk-control term that keeps the long-run miss rate below α_k under nonstationarity [19–21], and an extreme-aware term that widens the margin when the forcing leaves the observed record. In our preparatory synthetic tests on a coupled variable-density model, an extreme-aware margin kept the share of seasons above the chloride limit at 4–9% across drought, human-feedback and compound storylines, where a static alarm allowed 13–21%.</w:t>
      </w:r>
    </w:p>
    <w:p>
      <w:pPr>
        <w:spacing w:after="60" w:before="0"/>
        <w:ind w:left="283"/>
      </w:pPr>
      <w:r>
        <w:rPr>
          <w:rFonts w:ascii="Arial" w:hAnsi="Arial" w:eastAsia="Arial"/>
          <w:b/>
          <w:i w:val="0"/>
          <w:sz w:val="22"/>
        </w:rPr>
        <w:t xml:space="preserve">• </w:t>
      </w:r>
      <w:r>
        <w:rPr>
          <w:rFonts w:ascii="Arial" w:hAnsi="Arial" w:eastAsia="Arial"/>
          <w:b/>
          <w:i w:val="0"/>
          <w:sz w:val="22"/>
        </w:rPr>
        <w:t>M2. A joint guarantee across hazards.</w:t>
      </w:r>
      <w:r>
        <w:rPr>
          <w:rFonts w:ascii="Arial" w:hAnsi="Arial" w:eastAsia="Arial"/>
          <w:b w:val="0"/>
          <w:i w:val="0"/>
          <w:sz w:val="22"/>
        </w:rPr>
        <w:t xml:space="preserve"> Because the three alarms share inputs, their miss events are dependent; CERTAIN-COAST controls the probability that any of them is missed (at most Σ α_k by a union bound, tightened by joint calibration) and allocates the α_k by consequence, so that a water-supply alarm and a landfall alarm are not held to the same tolerance by accident.</w:t>
      </w:r>
    </w:p>
    <w:p>
      <w:pPr>
        <w:spacing w:after="60" w:before="0"/>
        <w:ind w:left="283"/>
      </w:pPr>
      <w:r>
        <w:rPr>
          <w:rFonts w:ascii="Arial" w:hAnsi="Arial" w:eastAsia="Arial"/>
          <w:b/>
          <w:i w:val="0"/>
          <w:sz w:val="22"/>
        </w:rPr>
        <w:t xml:space="preserve">• </w:t>
      </w:r>
      <w:r>
        <w:rPr>
          <w:rFonts w:ascii="Arial" w:hAnsi="Arial" w:eastAsia="Arial"/>
          <w:b/>
          <w:i w:val="0"/>
          <w:sz w:val="22"/>
        </w:rPr>
        <w:t>M3. Multi-hazard goal-oriented sensor design.</w:t>
      </w:r>
      <w:r>
        <w:rPr>
          <w:rFonts w:ascii="Arial" w:hAnsi="Arial" w:eastAsia="Arial"/>
          <w:b w:val="0"/>
          <w:i w:val="0"/>
          <w:sz w:val="22"/>
        </w:rPr>
        <w:t xml:space="preserve"> InSAR, GNSS, piezometers, chloride samples, seismic noise, fibre and temporary nodes are chosen together to maximise the expected reduction in the miss probability of the three alarms, extending goal-oriented design [30] from one quantity and one sensor type to several hazards and sensor types.</w:t>
      </w:r>
    </w:p>
    <w:p>
      <w:pPr>
        <w:spacing w:after="60" w:before="0"/>
        <w:ind w:left="283"/>
      </w:pPr>
      <w:r>
        <w:rPr>
          <w:rFonts w:ascii="Arial" w:hAnsi="Arial" w:eastAsia="Arial"/>
          <w:b/>
          <w:i w:val="0"/>
          <w:sz w:val="22"/>
        </w:rPr>
        <w:t xml:space="preserve">• </w:t>
      </w:r>
      <w:r>
        <w:rPr>
          <w:rFonts w:ascii="Arial" w:hAnsi="Arial" w:eastAsia="Arial"/>
          <w:b/>
          <w:i w:val="0"/>
          <w:sz w:val="22"/>
        </w:rPr>
        <w:t>M4. An error-certified surrogate of the coupled model.</w:t>
      </w:r>
      <w:r>
        <w:rPr>
          <w:rFonts w:ascii="Arial" w:hAnsi="Arial" w:eastAsia="Arial"/>
          <w:b w:val="0"/>
          <w:i w:val="0"/>
          <w:sz w:val="22"/>
        </w:rPr>
        <w:t xml:space="preserve"> A neural or kernel operator of the coupled variable-density, poroelastic model [25, 26], whose error is bounded a posteriori and calibrated conformally [23], makes thousands of storylines and real-time updates affordable without losing the guarantee.</w:t>
      </w:r>
    </w:p>
    <w:p>
      <w:pPr>
        <w:spacing w:after="60" w:before="0"/>
        <w:ind w:left="283"/>
      </w:pPr>
      <w:r>
        <w:rPr>
          <w:rFonts w:ascii="Arial" w:hAnsi="Arial" w:eastAsia="Arial"/>
          <w:b/>
          <w:i w:val="0"/>
          <w:sz w:val="22"/>
        </w:rPr>
        <w:t xml:space="preserve">• </w:t>
      </w:r>
      <w:r>
        <w:rPr>
          <w:rFonts w:ascii="Arial" w:hAnsi="Arial" w:eastAsia="Arial"/>
          <w:b/>
          <w:i w:val="0"/>
          <w:sz w:val="22"/>
        </w:rPr>
        <w:t>M5. Nonstationary extremes with measured land motion.</w:t>
      </w:r>
      <w:r>
        <w:rPr>
          <w:rFonts w:ascii="Arial" w:hAnsi="Arial" w:eastAsia="Arial"/>
          <w:b w:val="0"/>
          <w:i w:val="0"/>
          <w:sz w:val="22"/>
        </w:rPr>
        <w:t xml:space="preserve"> Extreme water levels are modelled with InSAR/GNSS land motion as a time-varying covariate of the location parameter, instead of a linear trend [4, 5].</w:t>
      </w:r>
    </w:p>
    <w:p>
      <w:pPr>
        <w:keepNext/>
        <w:spacing w:after="120" w:before="120"/>
      </w:pPr>
      <w:r>
        <w:rPr>
          <w:rFonts w:ascii="Arial" w:hAnsi="Arial" w:eastAsia="Arial"/>
          <w:b/>
          <w:i w:val="0"/>
          <w:color w:val="2E6DB4"/>
          <w:sz w:val="24"/>
        </w:rPr>
        <w:t>Physical innovations</w:t>
      </w:r>
    </w:p>
    <w:p>
      <w:pPr>
        <w:spacing w:after="60" w:before="0"/>
        <w:ind w:left="283"/>
      </w:pPr>
      <w:r>
        <w:rPr>
          <w:rFonts w:ascii="Arial" w:hAnsi="Arial" w:eastAsia="Arial"/>
          <w:b/>
          <w:i w:val="0"/>
          <w:sz w:val="22"/>
        </w:rPr>
        <w:t xml:space="preserve">• </w:t>
      </w:r>
      <w:r>
        <w:rPr>
          <w:rFonts w:ascii="Arial" w:hAnsi="Arial" w:eastAsia="Arial"/>
          <w:b/>
          <w:i w:val="0"/>
          <w:sz w:val="22"/>
        </w:rPr>
        <w:t>P1. One relative-sea-level boundary for all three hazards</w:t>
      </w:r>
      <w:r>
        <w:rPr>
          <w:rFonts w:ascii="Arial" w:hAnsi="Arial" w:eastAsia="Arial"/>
          <w:b w:val="0"/>
          <w:i w:val="0"/>
          <w:sz w:val="22"/>
        </w:rPr>
        <w:t>, R(t) = η(t) − u_z(t), with u_z from InSAR/GNSS after removal of loading signals [1–5].</w:t>
      </w:r>
    </w:p>
    <w:p>
      <w:pPr>
        <w:spacing w:after="60" w:before="0"/>
        <w:ind w:left="283"/>
      </w:pPr>
      <w:r>
        <w:rPr>
          <w:rFonts w:ascii="Arial" w:hAnsi="Arial" w:eastAsia="Arial"/>
          <w:b/>
          <w:i w:val="0"/>
          <w:sz w:val="22"/>
        </w:rPr>
        <w:t xml:space="preserve">• </w:t>
      </w:r>
      <w:r>
        <w:rPr>
          <w:rFonts w:ascii="Arial" w:hAnsi="Arial" w:eastAsia="Arial"/>
          <w:b/>
          <w:i w:val="0"/>
          <w:sz w:val="22"/>
        </w:rPr>
        <w:t>P2. A time-varying liquefaction factor of safety</w:t>
      </w:r>
      <w:r>
        <w:rPr>
          <w:rFonts w:ascii="Arial" w:hAnsi="Arial" w:eastAsia="Arial"/>
          <w:b w:val="0"/>
          <w:i w:val="0"/>
          <w:sz w:val="22"/>
        </w:rPr>
        <w:t>, FS(x, t) = CRR / CSR(z_w(x, t)), with the water table z_w taken from the calibrated groundwater model and checked by seismic velocity [12, 16–18], instead of a fixed design water table.</w:t>
      </w:r>
    </w:p>
    <w:p>
      <w:pPr>
        <w:spacing w:after="60" w:before="0"/>
        <w:ind w:left="283"/>
      </w:pPr>
      <w:r>
        <w:rPr>
          <w:rFonts w:ascii="Arial" w:hAnsi="Arial" w:eastAsia="Arial"/>
          <w:b/>
          <w:i w:val="0"/>
          <w:sz w:val="22"/>
        </w:rPr>
        <w:t xml:space="preserve">• </w:t>
      </w:r>
      <w:r>
        <w:rPr>
          <w:rFonts w:ascii="Arial" w:hAnsi="Arial" w:eastAsia="Arial"/>
          <w:b/>
          <w:i w:val="0"/>
          <w:sz w:val="22"/>
        </w:rPr>
        <w:t>P3. The pumping lever made explicit</w:t>
      </w:r>
      <w:r>
        <w:rPr>
          <w:rFonts w:ascii="Arial" w:hAnsi="Arial" w:eastAsia="Arial"/>
          <w:b w:val="0"/>
          <w:i w:val="0"/>
          <w:sz w:val="22"/>
        </w:rPr>
        <w:t>: every pumping rule is evaluated against all three hazards at once (intrusion and subsidence rise, liquefaction susceptibility falls), so the warning recommends actions that do not shift the risk from one asset to another.</w:t>
      </w:r>
    </w:p>
    <w:p>
      <w:pPr>
        <w:spacing w:after="60" w:before="0"/>
        <w:ind w:left="283"/>
      </w:pPr>
      <w:r>
        <w:rPr>
          <w:rFonts w:ascii="Arial" w:hAnsi="Arial" w:eastAsia="Arial"/>
          <w:b/>
          <w:i w:val="0"/>
          <w:sz w:val="22"/>
        </w:rPr>
        <w:t xml:space="preserve">• </w:t>
      </w:r>
      <w:r>
        <w:rPr>
          <w:rFonts w:ascii="Arial" w:hAnsi="Arial" w:eastAsia="Arial"/>
          <w:b/>
          <w:i w:val="0"/>
          <w:sz w:val="22"/>
        </w:rPr>
        <w:t>P4. The compaction tipping point as a warning in itself</w:t>
      </w:r>
      <w:r>
        <w:rPr>
          <w:rFonts w:ascii="Arial" w:hAnsi="Arial" w:eastAsia="Arial"/>
          <w:b w:val="0"/>
          <w:i w:val="0"/>
          <w:sz w:val="22"/>
        </w:rPr>
        <w:t>: the switch from elastic to inelastic compaction [2, 3] is irreversible and permanently raises R(t); detecting it early is a warning for all three hazards.</w:t>
      </w:r>
    </w:p>
    <w:p>
      <w:pPr>
        <w:spacing w:after="60" w:before="0"/>
        <w:ind w:left="283"/>
      </w:pPr>
      <w:r>
        <w:rPr>
          <w:rFonts w:ascii="Arial" w:hAnsi="Arial" w:eastAsia="Arial"/>
          <w:b/>
          <w:i w:val="0"/>
          <w:sz w:val="22"/>
        </w:rPr>
        <w:t xml:space="preserve">• </w:t>
      </w:r>
      <w:r>
        <w:rPr>
          <w:rFonts w:ascii="Arial" w:hAnsi="Arial" w:eastAsia="Arial"/>
          <w:b/>
          <w:i w:val="0"/>
          <w:sz w:val="22"/>
        </w:rPr>
        <w:t>P5. Seismic velocity as a pore-pressure sensor in saturated coastal sediments</w:t>
      </w:r>
      <w:r>
        <w:rPr>
          <w:rFonts w:ascii="Arial" w:hAnsi="Arial" w:eastAsia="Arial"/>
          <w:b w:val="0"/>
          <w:i w:val="0"/>
          <w:sz w:val="22"/>
        </w:rPr>
        <w:t xml:space="preserve"> at the port and the landfall, transferring [11, 16–18] from dry or inland basins to the coastal setting where it matters for liquefaction.</w:t>
      </w:r>
    </w:p>
    <w:p>
      <w:pPr>
        <w:spacing w:after="120" w:before="0"/>
      </w:pPr>
      <w:r>
        <w:rPr>
          <w:rFonts w:ascii="Arial" w:hAnsi="Arial" w:eastAsia="Arial"/>
          <w:b w:val="0"/>
          <w:i w:val="0"/>
          <w:sz w:val="22"/>
        </w:rPr>
        <w:t>Together these give what no study has delivered: warnings for the wellfields, the port and the energy landfall that come from one physical model, are issued fast enough to act on, and carry a stated, verifiable bound on how often they miss.</w:t>
      </w:r>
    </w:p>
    <w:p>
      <w:pPr>
        <w:keepNext/>
        <w:spacing w:after="120" w:before="200"/>
      </w:pPr>
      <w:r>
        <w:rPr>
          <w:rFonts w:ascii="Arial" w:hAnsi="Arial" w:eastAsia="Arial"/>
          <w:b/>
          <w:i w:val="0"/>
          <w:color w:val="1F3864"/>
          <w:sz w:val="28"/>
        </w:rPr>
        <w:t>5. The 30 key papers (2020–2026)</w:t>
      </w:r>
    </w:p>
    <w:p>
      <w:pPr>
        <w:spacing w:after="120" w:before="0"/>
      </w:pPr>
      <w:r>
        <w:rPr>
          <w:rFonts w:ascii="Arial" w:hAnsi="Arial" w:eastAsia="Arial"/>
          <w:b w:val="0"/>
          <w:i w:val="0"/>
          <w:sz w:val="22"/>
        </w:rPr>
        <w:t>Caltech 12, MIT 7, Harvard 5, Oxford 6. For each: where to download it, what it did, and the step CERTAIN-COAST takes beyond it. [L1] is a local study, not from the four universities.</w:t>
      </w:r>
    </w:p>
    <w:p>
      <w:pPr>
        <w:keepNext/>
        <w:spacing w:after="120" w:before="120"/>
      </w:pPr>
      <w:r>
        <w:rPr>
          <w:rFonts w:ascii="Arial" w:hAnsi="Arial" w:eastAsia="Arial"/>
          <w:b/>
          <w:i w:val="0"/>
          <w:color w:val="2E6DB4"/>
          <w:sz w:val="25"/>
        </w:rPr>
        <w:t>A. Subsidence and relative sea level</w:t>
      </w:r>
    </w:p>
    <w:p>
      <w:pPr>
        <w:keepNext/>
        <w:spacing w:after="40" w:before="0"/>
      </w:pPr>
      <w:r>
        <w:rPr>
          <w:rFonts w:ascii="Arial" w:hAnsi="Arial" w:eastAsia="Arial"/>
          <w:b/>
          <w:i w:val="0"/>
          <w:color w:val="1F3864"/>
          <w:sz w:val="22"/>
        </w:rPr>
        <w:t xml:space="preserve">[1] </w:t>
      </w:r>
      <w:r>
        <w:rPr>
          <w:rFonts w:ascii="Arial" w:hAnsi="Arial" w:eastAsia="Arial"/>
          <w:b/>
          <w:i w:val="0"/>
          <w:sz w:val="21"/>
        </w:rPr>
        <w:t>Zheng, Y. and Simons, M. (2025). Integrating long-term InSAR monitoring into local groundwater management: insights from the Hollywood Basin, California. Water Resources Research 61(11), e2024WR039161.</w:t>
      </w:r>
    </w:p>
    <w:p>
      <w:pPr>
        <w:spacing w:after="40" w:before="0"/>
        <w:ind w:left="283"/>
      </w:pPr>
      <w:r>
        <w:rPr>
          <w:rFonts w:ascii="Arial" w:hAnsi="Arial" w:eastAsia="Arial"/>
          <w:b w:val="0"/>
          <w:i/>
          <w:color w:val="52606D"/>
          <w:sz w:val="20"/>
        </w:rPr>
        <w:t xml:space="preserve">Caltech   </w:t>
      </w:r>
      <w:hyperlink r:id="rId9">
        <w:r>
          <w:rPr>
            <w:rFonts w:ascii="Arial" w:hAnsi="Arial"/>
            <w:color w:val="1F5FBF"/>
            <w:u w:val="single"/>
            <w:sz w:val="20"/>
          </w:rPr>
          <w:t xml:space="preserve">doi.org/10.1029/2024WR039161</w:t>
        </w:r>
      </w:hyperlink>
      <w:r>
        <w:rPr>
          <w:rFonts w:ascii="Arial" w:hAnsi="Arial" w:eastAsia="Arial"/>
          <w:b w:val="0"/>
          <w:i w:val="0"/>
          <w:sz w:val="20"/>
        </w:rPr>
        <w:t xml:space="preserve">   |   free: </w:t>
      </w:r>
      <w:hyperlink r:id="rId10">
        <w:r>
          <w:rPr>
            <w:rFonts w:ascii="Arial" w:hAnsi="Arial"/>
            <w:color w:val="1F5FBF"/>
            <w:u w:val="single"/>
            <w:sz w:val="20"/>
          </w:rPr>
          <w:t xml:space="preserve">ESS Open Archive</w:t>
        </w:r>
      </w:hyperlink>
    </w:p>
    <w:p>
      <w:pPr>
        <w:spacing w:after="40" w:before="0"/>
        <w:ind w:left="283"/>
      </w:pPr>
      <w:r>
        <w:rPr>
          <w:rFonts w:ascii="Arial" w:hAnsi="Arial" w:eastAsia="Arial"/>
          <w:b/>
          <w:i w:val="0"/>
          <w:sz w:val="21"/>
        </w:rPr>
        <w:t xml:space="preserve">Done: </w:t>
      </w:r>
      <w:r>
        <w:rPr>
          <w:rFonts w:ascii="Arial" w:hAnsi="Arial" w:eastAsia="Arial"/>
          <w:b w:val="0"/>
          <w:i w:val="0"/>
          <w:sz w:val="21"/>
        </w:rPr>
        <w:t>About 30 years of InSAR with pumping records give a sustainable yield of 1.44–1.67 million m³/yr against an operating safe yield of 3.70 million m³/yr; ICA separates deep and shallow aquifer signals without water-level data.</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sustainable yield becomes one constraint among three: CERTAIN-COAST sets pumping so that subsidence, intrusion and liquefaction alarms stay within their certified miss rates together.</w:t>
      </w:r>
    </w:p>
    <w:p>
      <w:pPr>
        <w:keepNext/>
        <w:spacing w:after="40" w:before="0"/>
      </w:pPr>
      <w:r>
        <w:rPr>
          <w:rFonts w:ascii="Arial" w:hAnsi="Arial" w:eastAsia="Arial"/>
          <w:b/>
          <w:i w:val="0"/>
          <w:color w:val="1F3864"/>
          <w:sz w:val="22"/>
        </w:rPr>
        <w:t xml:space="preserve">[2] </w:t>
      </w:r>
      <w:r>
        <w:rPr>
          <w:rFonts w:ascii="Arial" w:hAnsi="Arial" w:eastAsia="Arial"/>
          <w:b/>
          <w:i w:val="0"/>
          <w:sz w:val="21"/>
        </w:rPr>
        <w:t>Larochelle, S., Chanard, K., Dalaison, M., Fortin, J., et al., including Avouac, J.-P. (2026). Abrupt transition to irreversible damage in the overdrafted Sacramento Valley aquifer system. PNAS 123(31), e2526041123.</w:t>
      </w:r>
    </w:p>
    <w:p>
      <w:pPr>
        <w:spacing w:after="40" w:before="0"/>
        <w:ind w:left="283"/>
      </w:pPr>
      <w:r>
        <w:rPr>
          <w:rFonts w:ascii="Arial" w:hAnsi="Arial" w:eastAsia="Arial"/>
          <w:b w:val="0"/>
          <w:i/>
          <w:color w:val="52606D"/>
          <w:sz w:val="20"/>
        </w:rPr>
        <w:t xml:space="preserve">Caltech   </w:t>
      </w:r>
      <w:hyperlink r:id="rId11">
        <w:r>
          <w:rPr>
            <w:rFonts w:ascii="Arial" w:hAnsi="Arial"/>
            <w:color w:val="1F5FBF"/>
            <w:u w:val="single"/>
            <w:sz w:val="20"/>
          </w:rPr>
          <w:t xml:space="preserve">doi.org/10.1073/pnas.2526041123</w:t>
        </w:r>
      </w:hyperlink>
      <w:r>
        <w:rPr>
          <w:rFonts w:ascii="Arial" w:hAnsi="Arial" w:eastAsia="Arial"/>
          <w:b w:val="0"/>
          <w:i w:val="0"/>
          <w:sz w:val="20"/>
        </w:rPr>
        <w:t xml:space="preserve">   |   free: </w:t>
      </w:r>
      <w:hyperlink r:id="rId12">
        <w:r>
          <w:rPr>
            <w:rFonts w:ascii="Arial" w:hAnsi="Arial"/>
            <w:color w:val="1F5FBF"/>
            <w:u w:val="single"/>
            <w:sz w:val="20"/>
          </w:rPr>
          <w:t xml:space="preserve">CaltechAUTHORS record</w:t>
        </w:r>
      </w:hyperlink>
    </w:p>
    <w:p>
      <w:pPr>
        <w:spacing w:after="40" w:before="0"/>
        <w:ind w:left="283"/>
      </w:pPr>
      <w:r>
        <w:rPr>
          <w:rFonts w:ascii="Arial" w:hAnsi="Arial" w:eastAsia="Arial"/>
          <w:b/>
          <w:i w:val="0"/>
          <w:sz w:val="21"/>
        </w:rPr>
        <w:t xml:space="preserve">Done: </w:t>
      </w:r>
      <w:r>
        <w:rPr>
          <w:rFonts w:ascii="Arial" w:hAnsi="Arial" w:eastAsia="Arial"/>
          <w:b w:val="0"/>
          <w:i w:val="0"/>
          <w:sz w:val="21"/>
        </w:rPr>
        <w:t>InSAR, GNSS and wells (2016–2022) show an abrupt switch to irreversible compaction during the 2020–2022 drought, decimetres per year above the elastic rate; space geodesy proposed as early warning.</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switch is turned into a formal alarm (P4) and its consequence, a permanent rise of relative sea level, is propagated into the intrusion and flooding warnings.</w:t>
      </w:r>
    </w:p>
    <w:p>
      <w:pPr>
        <w:keepNext/>
        <w:spacing w:after="40" w:before="0"/>
      </w:pPr>
      <w:r>
        <w:rPr>
          <w:rFonts w:ascii="Arial" w:hAnsi="Arial" w:eastAsia="Arial"/>
          <w:b/>
          <w:i w:val="0"/>
          <w:color w:val="1F3864"/>
          <w:sz w:val="22"/>
        </w:rPr>
        <w:t xml:space="preserve">[3] </w:t>
      </w:r>
      <w:r>
        <w:rPr>
          <w:rFonts w:ascii="Arial" w:hAnsi="Arial" w:eastAsia="Arial"/>
          <w:b/>
          <w:i w:val="0"/>
          <w:sz w:val="21"/>
        </w:rPr>
        <w:t>Li, Y., Acosta, M., Sirorattanakul, K., Bourne, S. and Avouac, J.-P. (2025). Geodetic monitoring of elastic and inelastic deformation in compacting reservoirs due to subsurface operations. Journal of Geophysical Research: Solid Earth 130(3), e2024JB030794.</w:t>
      </w:r>
    </w:p>
    <w:p>
      <w:pPr>
        <w:spacing w:after="40" w:before="0"/>
        <w:ind w:left="283"/>
      </w:pPr>
      <w:r>
        <w:rPr>
          <w:rFonts w:ascii="Arial" w:hAnsi="Arial" w:eastAsia="Arial"/>
          <w:b w:val="0"/>
          <w:i/>
          <w:color w:val="52606D"/>
          <w:sz w:val="20"/>
        </w:rPr>
        <w:t xml:space="preserve">Caltech   </w:t>
      </w:r>
      <w:hyperlink r:id="rId13">
        <w:r>
          <w:rPr>
            <w:rFonts w:ascii="Arial" w:hAnsi="Arial"/>
            <w:color w:val="1F5FBF"/>
            <w:u w:val="single"/>
            <w:sz w:val="20"/>
          </w:rPr>
          <w:t xml:space="preserve">doi.org/10.1029/2024JB030794</w:t>
        </w:r>
      </w:hyperlink>
      <w:r>
        <w:rPr>
          <w:rFonts w:ascii="Arial" w:hAnsi="Arial" w:eastAsia="Arial"/>
          <w:b w:val="0"/>
          <w:i w:val="0"/>
          <w:sz w:val="20"/>
        </w:rPr>
        <w:t xml:space="preserve">   |   free: </w:t>
      </w:r>
      <w:hyperlink r:id="rId14">
        <w:r>
          <w:rPr>
            <w:rFonts w:ascii="Arial" w:hAnsi="Arial"/>
            <w:color w:val="1F5FBF"/>
            <w:u w:val="single"/>
            <w:sz w:val="20"/>
          </w:rPr>
          <w:t xml:space="preserve">CaltechAUTHORS record</w:t>
        </w:r>
      </w:hyperlink>
    </w:p>
    <w:p>
      <w:pPr>
        <w:spacing w:after="40" w:before="0"/>
        <w:ind w:left="283"/>
      </w:pPr>
      <w:r>
        <w:rPr>
          <w:rFonts w:ascii="Arial" w:hAnsi="Arial" w:eastAsia="Arial"/>
          <w:b/>
          <w:i w:val="0"/>
          <w:sz w:val="21"/>
        </w:rPr>
        <w:t xml:space="preserve">Done: </w:t>
      </w:r>
      <w:r>
        <w:rPr>
          <w:rFonts w:ascii="Arial" w:hAnsi="Arial" w:eastAsia="Arial"/>
          <w:b w:val="0"/>
          <w:i w:val="0"/>
          <w:sz w:val="21"/>
        </w:rPr>
        <w:t>Over Groningen and Norg (2009–2022), inelastic compaction reaches about 20% of the total at Groningen, while a 20 mm seasonal storage cycle at Norg is purely elastic.</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elastic/inelastic split is applied to a coastal wellfield, where seasonal pumping should leave an elastic cycle; its loss is the early sign of the tipping point.</w:t>
      </w:r>
    </w:p>
    <w:p>
      <w:pPr>
        <w:keepNext/>
        <w:spacing w:after="40" w:before="0"/>
      </w:pPr>
      <w:r>
        <w:rPr>
          <w:rFonts w:ascii="Arial" w:hAnsi="Arial" w:eastAsia="Arial"/>
          <w:b/>
          <w:i w:val="0"/>
          <w:color w:val="1F3864"/>
          <w:sz w:val="22"/>
        </w:rPr>
        <w:t xml:space="preserve">[4] </w:t>
      </w:r>
      <w:r>
        <w:rPr>
          <w:rFonts w:ascii="Arial" w:hAnsi="Arial" w:eastAsia="Arial"/>
          <w:b/>
          <w:i w:val="0"/>
          <w:sz w:val="21"/>
        </w:rPr>
        <w:t>Dangendorf, S., Oelsmann, J., Mitrovica, J.X., Törnqvist, T.E., Piecuch, C.G., Creel, R., Coronel, W., Thompson, P.R., Ebinger, C. and Wahl, T. (2026). Variable contributions of vertical land motion to sea-level change inferred at tide gauges. Nature Geoscience 19, 814–821.</w:t>
      </w:r>
    </w:p>
    <w:p>
      <w:pPr>
        <w:spacing w:after="40" w:before="0"/>
        <w:ind w:left="283"/>
      </w:pPr>
      <w:r>
        <w:rPr>
          <w:rFonts w:ascii="Arial" w:hAnsi="Arial" w:eastAsia="Arial"/>
          <w:b w:val="0"/>
          <w:i/>
          <w:color w:val="52606D"/>
          <w:sz w:val="20"/>
        </w:rPr>
        <w:t xml:space="preserve">Harvard   </w:t>
      </w:r>
      <w:hyperlink r:id="rId15">
        <w:r>
          <w:rPr>
            <w:rFonts w:ascii="Arial" w:hAnsi="Arial"/>
            <w:color w:val="1F5FBF"/>
            <w:u w:val="single"/>
            <w:sz w:val="20"/>
          </w:rPr>
          <w:t xml:space="preserve">doi.org/10.1038/s41561-026-02005-1</w:t>
        </w:r>
      </w:hyperlink>
      <w:r>
        <w:rPr>
          <w:rFonts w:ascii="Arial" w:hAnsi="Arial" w:eastAsia="Arial"/>
          <w:b w:val="0"/>
          <w:i/>
          <w:color w:val="52606D"/>
          <w:sz w:val="20"/>
        </w:rPr>
        <w:t xml:space="preserve">   |   paywalled; free copy due at par.nsf.gov in June 2027</w:t>
      </w:r>
    </w:p>
    <w:p>
      <w:pPr>
        <w:spacing w:after="40" w:before="0"/>
        <w:ind w:left="283"/>
      </w:pPr>
      <w:r>
        <w:rPr>
          <w:rFonts w:ascii="Arial" w:hAnsi="Arial" w:eastAsia="Arial"/>
          <w:b/>
          <w:i w:val="0"/>
          <w:sz w:val="21"/>
        </w:rPr>
        <w:t xml:space="preserve">Done: </w:t>
      </w:r>
      <w:r>
        <w:rPr>
          <w:rFonts w:ascii="Arial" w:hAnsi="Arial" w:eastAsia="Arial"/>
          <w:b w:val="0"/>
          <w:i w:val="0"/>
          <w:sz w:val="21"/>
        </w:rPr>
        <w:t>Vertical land motion at tide gauges changes its rate with fluid withdrawal and earthquakes; treating it as linear gives median projection errors up to 7.6 mm/yr at seismic sites. Venice is among the cases.</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Land motion enters as a measured, time-varying input (P1, M5), at the scale of a port, instead of a linear trend at a tide gauge.</w:t>
      </w:r>
    </w:p>
    <w:p>
      <w:pPr>
        <w:keepNext/>
        <w:spacing w:after="40" w:before="0"/>
      </w:pPr>
      <w:r>
        <w:rPr>
          <w:rFonts w:ascii="Arial" w:hAnsi="Arial" w:eastAsia="Arial"/>
          <w:b/>
          <w:i w:val="0"/>
          <w:color w:val="1F3864"/>
          <w:sz w:val="22"/>
        </w:rPr>
        <w:t xml:space="preserve">[5] </w:t>
      </w:r>
      <w:r>
        <w:rPr>
          <w:rFonts w:ascii="Arial" w:hAnsi="Arial" w:eastAsia="Arial"/>
          <w:b/>
          <w:i w:val="0"/>
          <w:sz w:val="21"/>
        </w:rPr>
        <w:t>Dangendorf, S., Sun, Q., Wahl, T., Thompson, P., Mitrovica, J.X. and Hamlington, B. (2024). Probabilistic reconstruction of sea-level changes and their causes since 1900. Earth System Science Data 16, 3471–3494.</w:t>
      </w:r>
    </w:p>
    <w:p>
      <w:pPr>
        <w:spacing w:after="40" w:before="0"/>
        <w:ind w:left="283"/>
      </w:pPr>
      <w:r>
        <w:rPr>
          <w:rFonts w:ascii="Arial" w:hAnsi="Arial" w:eastAsia="Arial"/>
          <w:b w:val="0"/>
          <w:i/>
          <w:color w:val="52606D"/>
          <w:sz w:val="20"/>
        </w:rPr>
        <w:t xml:space="preserve">Harvard   </w:t>
      </w:r>
      <w:hyperlink r:id="rId16">
        <w:r>
          <w:rPr>
            <w:rFonts w:ascii="Arial" w:hAnsi="Arial"/>
            <w:color w:val="1F5FBF"/>
            <w:u w:val="single"/>
            <w:sz w:val="20"/>
          </w:rPr>
          <w:t xml:space="preserve">doi.org/10.5194/essd-16-3471-2024</w:t>
        </w:r>
      </w:hyperlink>
      <w:r>
        <w:rPr>
          <w:rFonts w:ascii="Arial" w:hAnsi="Arial" w:eastAsia="Arial"/>
          <w:b w:val="0"/>
          <w:i w:val="0"/>
          <w:sz w:val="20"/>
        </w:rPr>
        <w:t xml:space="preserve">   |   free: </w:t>
      </w:r>
      <w:hyperlink r:id="rId17">
        <w:r>
          <w:rPr>
            <w:rFonts w:ascii="Arial" w:hAnsi="Arial"/>
            <w:color w:val="1F5FBF"/>
            <w:u w:val="single"/>
            <w:sz w:val="20"/>
          </w:rPr>
          <w:t xml:space="preserve">open access</w:t>
        </w:r>
      </w:hyperlink>
    </w:p>
    <w:p>
      <w:pPr>
        <w:spacing w:after="40" w:before="0"/>
        <w:ind w:left="283"/>
      </w:pPr>
      <w:r>
        <w:rPr>
          <w:rFonts w:ascii="Arial" w:hAnsi="Arial" w:eastAsia="Arial"/>
          <w:b/>
          <w:i w:val="0"/>
          <w:sz w:val="21"/>
        </w:rPr>
        <w:t xml:space="preserve">Done: </w:t>
      </w:r>
      <w:r>
        <w:rPr>
          <w:rFonts w:ascii="Arial" w:hAnsi="Arial" w:eastAsia="Arial"/>
          <w:b w:val="0"/>
          <w:i w:val="0"/>
          <w:sz w:val="21"/>
        </w:rPr>
        <w:t>Near-global probabilistic reconstruction of relative sea level and its causes, 1900–2021; global mean rise 1.5 ± 0.19 mm/yr, consistent with observations only once local land motion is included.</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Its regional climate component supplies η(t) with uncertainty; CERTAIN-COAST adds the local u_z(t) from InSAR to obtain R(t) at the assets.</w:t>
      </w:r>
    </w:p>
    <w:p>
      <w:pPr>
        <w:keepNext/>
        <w:spacing w:after="120" w:before="120"/>
      </w:pPr>
      <w:r>
        <w:rPr>
          <w:rFonts w:ascii="Arial" w:hAnsi="Arial" w:eastAsia="Arial"/>
          <w:b/>
          <w:i w:val="0"/>
          <w:color w:val="2E6DB4"/>
          <w:sz w:val="25"/>
        </w:rPr>
        <w:t>B. Extreme sea levels, compound flooding and ports</w:t>
      </w:r>
    </w:p>
    <w:p>
      <w:pPr>
        <w:keepNext/>
        <w:spacing w:after="40" w:before="0"/>
      </w:pPr>
      <w:r>
        <w:rPr>
          <w:rFonts w:ascii="Arial" w:hAnsi="Arial" w:eastAsia="Arial"/>
          <w:b/>
          <w:i w:val="0"/>
          <w:color w:val="1F3864"/>
          <w:sz w:val="22"/>
        </w:rPr>
        <w:t xml:space="preserve">[6] </w:t>
      </w:r>
      <w:r>
        <w:rPr>
          <w:rFonts w:ascii="Arial" w:hAnsi="Arial" w:eastAsia="Arial"/>
          <w:b/>
          <w:i w:val="0"/>
          <w:sz w:val="21"/>
        </w:rPr>
        <w:t>Dangendorf, S., Sun, Q., Maduwantha, P., Wahl, T., Marcos, M., Marzeion, B., Slangen, A.B.A. and Mitrovica, J.X. (2026). Human-driven sea-level rise has quadrupled the frequency of coastal sea-level extremes since 1900. Nature Climate Change 16(7), 796–803.</w:t>
      </w:r>
    </w:p>
    <w:p>
      <w:pPr>
        <w:spacing w:after="40" w:before="0"/>
        <w:ind w:left="283"/>
      </w:pPr>
      <w:r>
        <w:rPr>
          <w:rFonts w:ascii="Arial" w:hAnsi="Arial" w:eastAsia="Arial"/>
          <w:b w:val="0"/>
          <w:i/>
          <w:color w:val="52606D"/>
          <w:sz w:val="20"/>
        </w:rPr>
        <w:t xml:space="preserve">Harvard (Mitrovica)   </w:t>
      </w:r>
      <w:hyperlink r:id="rId18">
        <w:r>
          <w:rPr>
            <w:rFonts w:ascii="Arial" w:hAnsi="Arial"/>
            <w:color w:val="1F5FBF"/>
            <w:u w:val="single"/>
            <w:sz w:val="20"/>
          </w:rPr>
          <w:t xml:space="preserve">doi.org/10.1038/s41558-026-02659-0</w:t>
        </w:r>
      </w:hyperlink>
      <w:r>
        <w:rPr>
          <w:rFonts w:ascii="Arial" w:hAnsi="Arial" w:eastAsia="Arial"/>
          <w:b w:val="0"/>
          <w:i w:val="0"/>
          <w:sz w:val="20"/>
        </w:rPr>
        <w:t xml:space="preserve">   |   free: </w:t>
      </w:r>
      <w:hyperlink r:id="rId19">
        <w:r>
          <w:rPr>
            <w:rFonts w:ascii="Arial" w:hAnsi="Arial"/>
            <w:color w:val="1F5FBF"/>
            <w:u w:val="single"/>
            <w:sz w:val="20"/>
          </w:rPr>
          <w:t xml:space="preserve">MARUM repository record</w:t>
        </w:r>
      </w:hyperlink>
    </w:p>
    <w:p>
      <w:pPr>
        <w:spacing w:after="40" w:before="0"/>
        <w:ind w:left="283"/>
      </w:pPr>
      <w:r>
        <w:rPr>
          <w:rFonts w:ascii="Arial" w:hAnsi="Arial" w:eastAsia="Arial"/>
          <w:b/>
          <w:i w:val="0"/>
          <w:sz w:val="21"/>
        </w:rPr>
        <w:t xml:space="preserve">Done: </w:t>
      </w:r>
      <w:r>
        <w:rPr>
          <w:rFonts w:ascii="Arial" w:hAnsi="Arial" w:eastAsia="Arial"/>
          <w:b w:val="0"/>
          <w:i w:val="0"/>
          <w:sz w:val="21"/>
        </w:rPr>
        <w:t>Long tide-gauge records with climate-model attribution (1900–2005): the median historical 1-in-100-year extreme is now about a 1-in-8-year event; human forcing alone made such events about four times more likely; the driver is mean relative sea level, not surge or tide.</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Since the driver is relative sea level, a subsiding coast moves its extremes faster than the global attribution shows; CERTAIN-COAST puts the measured land motion into the local extreme-value model (M5).</w:t>
      </w:r>
    </w:p>
    <w:p>
      <w:pPr>
        <w:keepNext/>
        <w:spacing w:after="40" w:before="0"/>
      </w:pPr>
      <w:r>
        <w:rPr>
          <w:rFonts w:ascii="Arial" w:hAnsi="Arial" w:eastAsia="Arial"/>
          <w:b/>
          <w:i w:val="0"/>
          <w:color w:val="1F3864"/>
          <w:sz w:val="22"/>
        </w:rPr>
        <w:t xml:space="preserve">[7] </w:t>
      </w:r>
      <w:r>
        <w:rPr>
          <w:rFonts w:ascii="Arial" w:hAnsi="Arial" w:eastAsia="Arial"/>
          <w:b/>
          <w:i w:val="0"/>
          <w:sz w:val="21"/>
        </w:rPr>
        <w:t>Sarhadi, A., Rousseau-Rizzi, R., Mandli, K., Neal, J., Wiper, M.P., Feldmann, M. and Emanuel, K. (2024). Climate change contributions to increasing compound flooding risk in New York City. Bulletin of the American Meteorological Society 105(2), E337–E356.</w:t>
      </w:r>
    </w:p>
    <w:p>
      <w:pPr>
        <w:spacing w:after="40" w:before="0"/>
        <w:ind w:left="283"/>
      </w:pPr>
      <w:r>
        <w:rPr>
          <w:rFonts w:ascii="Arial" w:hAnsi="Arial" w:eastAsia="Arial"/>
          <w:b w:val="0"/>
          <w:i/>
          <w:color w:val="52606D"/>
          <w:sz w:val="20"/>
        </w:rPr>
        <w:t xml:space="preserve">MIT (Emanuel)   </w:t>
      </w:r>
      <w:hyperlink r:id="rId20">
        <w:r>
          <w:rPr>
            <w:rFonts w:ascii="Arial" w:hAnsi="Arial"/>
            <w:color w:val="1F5FBF"/>
            <w:u w:val="single"/>
            <w:sz w:val="20"/>
          </w:rPr>
          <w:t xml:space="preserve">doi.org/10.1175/BAMS-D-23-0177.1</w:t>
        </w:r>
      </w:hyperlink>
      <w:r>
        <w:rPr>
          <w:rFonts w:ascii="Arial" w:hAnsi="Arial" w:eastAsia="Arial"/>
          <w:b w:val="0"/>
          <w:i w:val="0"/>
          <w:sz w:val="20"/>
        </w:rPr>
        <w:t xml:space="preserve">   |   free: </w:t>
      </w:r>
      <w:hyperlink r:id="rId21">
        <w:r>
          <w:rPr>
            <w:rFonts w:ascii="Arial" w:hAnsi="Arial"/>
            <w:color w:val="1F5FBF"/>
            <w:u w:val="single"/>
            <w:sz w:val="20"/>
          </w:rPr>
          <w:t xml:space="preserve">DSpace@MIT (open access)</w:t>
        </w:r>
      </w:hyperlink>
    </w:p>
    <w:p>
      <w:pPr>
        <w:spacing w:after="40" w:before="0"/>
        <w:ind w:left="283"/>
      </w:pPr>
      <w:r>
        <w:rPr>
          <w:rFonts w:ascii="Arial" w:hAnsi="Arial" w:eastAsia="Arial"/>
          <w:b/>
          <w:i w:val="0"/>
          <w:sz w:val="21"/>
        </w:rPr>
        <w:t xml:space="preserve">Done: </w:t>
      </w:r>
      <w:r>
        <w:rPr>
          <w:rFonts w:ascii="Arial" w:hAnsi="Arial" w:eastAsia="Arial"/>
          <w:b w:val="0"/>
          <w:i w:val="0"/>
          <w:sz w:val="21"/>
        </w:rPr>
        <w:t>Physics-based coupled rainfall and surge models driven by synthetic tropical and extratropical cyclones: a Sandy-scale compound flood (about 1-in-150 years now) becomes about 1-in-60 by mid-century and 1-in-30 by 2100; sea-level rise alone raises the hazard more than changes in storms.</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same physics-based compound approach, with Adriatic storms instead of tropical cyclones, plus the two terms it lacks for a subsiding coast: land motion and the groundwater rise that the surge pushes inland.</w:t>
      </w:r>
    </w:p>
    <w:p>
      <w:pPr>
        <w:keepNext/>
        <w:spacing w:after="40" w:before="0"/>
      </w:pPr>
      <w:r>
        <w:rPr>
          <w:rFonts w:ascii="Arial" w:hAnsi="Arial" w:eastAsia="Arial"/>
          <w:b/>
          <w:i w:val="0"/>
          <w:color w:val="1F3864"/>
          <w:sz w:val="22"/>
        </w:rPr>
        <w:t xml:space="preserve">[8] </w:t>
      </w:r>
      <w:r>
        <w:rPr>
          <w:rFonts w:ascii="Arial" w:hAnsi="Arial" w:eastAsia="Arial"/>
          <w:b/>
          <w:i w:val="0"/>
          <w:sz w:val="21"/>
        </w:rPr>
        <w:t>Fernandez-Perez, A., Verschuur, J., Lara, J.L., Losada, I.J. and Hall, J.W. (2025). Compound climate risks to European ports. Environmental Research: Climate 5(1), 015005.</w:t>
      </w:r>
    </w:p>
    <w:p>
      <w:pPr>
        <w:spacing w:after="40" w:before="0"/>
        <w:ind w:left="283"/>
      </w:pPr>
      <w:r>
        <w:rPr>
          <w:rFonts w:ascii="Arial" w:hAnsi="Arial" w:eastAsia="Arial"/>
          <w:b w:val="0"/>
          <w:i/>
          <w:color w:val="52606D"/>
          <w:sz w:val="20"/>
        </w:rPr>
        <w:t xml:space="preserve">Oxford (Hall)   </w:t>
      </w:r>
      <w:hyperlink r:id="rId22">
        <w:r>
          <w:rPr>
            <w:rFonts w:ascii="Arial" w:hAnsi="Arial"/>
            <w:color w:val="1F5FBF"/>
            <w:u w:val="single"/>
            <w:sz w:val="20"/>
          </w:rPr>
          <w:t xml:space="preserve">doi.org/10.1088/2752-5295/ae26bc</w:t>
        </w:r>
      </w:hyperlink>
      <w:r>
        <w:rPr>
          <w:rFonts w:ascii="Arial" w:hAnsi="Arial" w:eastAsia="Arial"/>
          <w:b w:val="0"/>
          <w:i w:val="0"/>
          <w:sz w:val="20"/>
        </w:rPr>
        <w:t xml:space="preserve">   |   free: </w:t>
      </w:r>
      <w:hyperlink r:id="rId23">
        <w:r>
          <w:rPr>
            <w:rFonts w:ascii="Arial" w:hAnsi="Arial"/>
            <w:color w:val="1F5FBF"/>
            <w:u w:val="single"/>
            <w:sz w:val="20"/>
          </w:rPr>
          <w:t xml:space="preserve">Oxford ORA (open access)</w:t>
        </w:r>
      </w:hyperlink>
    </w:p>
    <w:p>
      <w:pPr>
        <w:spacing w:after="40" w:before="0"/>
        <w:ind w:left="283"/>
      </w:pPr>
      <w:r>
        <w:rPr>
          <w:rFonts w:ascii="Arial" w:hAnsi="Arial" w:eastAsia="Arial"/>
          <w:b/>
          <w:i w:val="0"/>
          <w:sz w:val="21"/>
        </w:rPr>
        <w:t xml:space="preserve">Done: </w:t>
      </w:r>
      <w:r>
        <w:rPr>
          <w:rFonts w:ascii="Arial" w:hAnsi="Arial" w:eastAsia="Arial"/>
          <w:b w:val="0"/>
          <w:i w:val="0"/>
          <w:sz w:val="21"/>
        </w:rPr>
        <w:t>A compound-event risk framework for 406 European ports: expected annual losses about €1.05 bn, more than one third from compound events; ignoring hazard interactions underestimates losses by about €100 M, more so for extreme events.</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Hazard interactions matter at the continental scale; CERTAIN-COAST resolves them physically at one port, including the interactions this framework does not carry: subsidence, groundwater and liquefaction.</w:t>
      </w:r>
    </w:p>
    <w:p>
      <w:pPr>
        <w:keepNext/>
        <w:spacing w:after="40" w:before="0"/>
      </w:pPr>
      <w:r>
        <w:rPr>
          <w:rFonts w:ascii="Arial" w:hAnsi="Arial" w:eastAsia="Arial"/>
          <w:b/>
          <w:i w:val="0"/>
          <w:color w:val="1F3864"/>
          <w:sz w:val="22"/>
        </w:rPr>
        <w:t xml:space="preserve">[9] </w:t>
      </w:r>
      <w:r>
        <w:rPr>
          <w:rFonts w:ascii="Arial" w:hAnsi="Arial" w:eastAsia="Arial"/>
          <w:b/>
          <w:i w:val="0"/>
          <w:sz w:val="21"/>
        </w:rPr>
        <w:t>Verschuur, J., Koks, E.E., Li, S. and Hall, J.W. (2023). Multi-hazard risk to global port infrastructure and resulting trade and logistics losses. Communications Earth &amp; Environment 4, 5.</w:t>
      </w:r>
    </w:p>
    <w:p>
      <w:pPr>
        <w:spacing w:after="40" w:before="0"/>
        <w:ind w:left="283"/>
      </w:pPr>
      <w:r>
        <w:rPr>
          <w:rFonts w:ascii="Arial" w:hAnsi="Arial" w:eastAsia="Arial"/>
          <w:b w:val="0"/>
          <w:i/>
          <w:color w:val="52606D"/>
          <w:sz w:val="20"/>
        </w:rPr>
        <w:t xml:space="preserve">Oxford (Hall)   </w:t>
      </w:r>
      <w:hyperlink r:id="rId24">
        <w:r>
          <w:rPr>
            <w:rFonts w:ascii="Arial" w:hAnsi="Arial"/>
            <w:color w:val="1F5FBF"/>
            <w:u w:val="single"/>
            <w:sz w:val="20"/>
          </w:rPr>
          <w:t xml:space="preserve">doi.org/10.1038/s43247-022-00656-7</w:t>
        </w:r>
      </w:hyperlink>
      <w:r>
        <w:rPr>
          <w:rFonts w:ascii="Arial" w:hAnsi="Arial" w:eastAsia="Arial"/>
          <w:b w:val="0"/>
          <w:i w:val="0"/>
          <w:sz w:val="20"/>
        </w:rPr>
        <w:t xml:space="preserve">   |   free: </w:t>
      </w:r>
      <w:hyperlink r:id="rId24">
        <w:r>
          <w:rPr>
            <w:rFonts w:ascii="Arial" w:hAnsi="Arial"/>
            <w:color w:val="1F5FBF"/>
            <w:u w:val="single"/>
            <w:sz w:val="20"/>
          </w:rPr>
          <w:t xml:space="preserve">open access (journal)</w:t>
        </w:r>
      </w:hyperlink>
    </w:p>
    <w:p>
      <w:pPr>
        <w:spacing w:after="40" w:before="0"/>
        <w:ind w:left="283"/>
      </w:pPr>
      <w:r>
        <w:rPr>
          <w:rFonts w:ascii="Arial" w:hAnsi="Arial" w:eastAsia="Arial"/>
          <w:b/>
          <w:i w:val="0"/>
          <w:sz w:val="21"/>
        </w:rPr>
        <w:t xml:space="preserve">Done: </w:t>
      </w:r>
      <w:r>
        <w:rPr>
          <w:rFonts w:ascii="Arial" w:hAnsi="Arial" w:eastAsia="Arial"/>
          <w:b w:val="0"/>
          <w:i w:val="0"/>
          <w:sz w:val="21"/>
        </w:rPr>
        <w:t>An asset-level analysis of about 1,340 ports for cyclone wind, coastal, river and pluvial flooding and earthquakes: port-specific risk US$7.5 bn per year, 58.6% physical damage, 22.2% logistics losses, 19.2% damage to nearby infrastructure; US$63.1 bn of trade at risk per year.</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Earthquakes and flooding are counted side by side but not coupled; CERTAIN-COAST couples them at the port through the water table and relative sea level, and turns expected annual damage into a warning.</w:t>
      </w:r>
    </w:p>
    <w:p>
      <w:pPr>
        <w:keepNext/>
        <w:spacing w:after="120" w:before="120"/>
      </w:pPr>
      <w:r>
        <w:rPr>
          <w:rFonts w:ascii="Arial" w:hAnsi="Arial" w:eastAsia="Arial"/>
          <w:b/>
          <w:i w:val="0"/>
          <w:color w:val="2E6DB4"/>
          <w:sz w:val="25"/>
        </w:rPr>
        <w:t>C. Liquefaction and the foundations of port and landfall</w:t>
      </w:r>
    </w:p>
    <w:p>
      <w:pPr>
        <w:keepNext/>
        <w:spacing w:after="40" w:before="0"/>
      </w:pPr>
      <w:r>
        <w:rPr>
          <w:rFonts w:ascii="Arial" w:hAnsi="Arial" w:eastAsia="Arial"/>
          <w:b/>
          <w:i w:val="0"/>
          <w:color w:val="1F3864"/>
          <w:sz w:val="22"/>
        </w:rPr>
        <w:t xml:space="preserve">[10] </w:t>
      </w:r>
      <w:r>
        <w:rPr>
          <w:rFonts w:ascii="Arial" w:hAnsi="Arial" w:eastAsia="Arial"/>
          <w:b/>
          <w:i w:val="0"/>
          <w:sz w:val="21"/>
        </w:rPr>
        <w:t>Bullock, Z., Zimmaro, P., Lavrentiadis, G., Wang, P., Ojomo, O., Asimaki, D., Rathje, E.M. and Stewart, J.P. (2023). A latent Gaussian process model for the spatial distribution of liquefaction manifestation. Earthquake Spectra 39(2), 1189–1213.</w:t>
      </w:r>
    </w:p>
    <w:p>
      <w:pPr>
        <w:spacing w:after="40" w:before="0"/>
        <w:ind w:left="283"/>
      </w:pPr>
      <w:r>
        <w:rPr>
          <w:rFonts w:ascii="Arial" w:hAnsi="Arial" w:eastAsia="Arial"/>
          <w:b w:val="0"/>
          <w:i/>
          <w:color w:val="52606D"/>
          <w:sz w:val="20"/>
        </w:rPr>
        <w:t xml:space="preserve">Caltech (Asimaki)   </w:t>
      </w:r>
      <w:hyperlink r:id="rId25">
        <w:r>
          <w:rPr>
            <w:rFonts w:ascii="Arial" w:hAnsi="Arial"/>
            <w:color w:val="1F5FBF"/>
            <w:u w:val="single"/>
            <w:sz w:val="20"/>
          </w:rPr>
          <w:t xml:space="preserve">doi.org/10.1177/87552930231163894</w:t>
        </w:r>
      </w:hyperlink>
      <w:r>
        <w:rPr>
          <w:rFonts w:ascii="Arial" w:hAnsi="Arial" w:eastAsia="Arial"/>
          <w:b w:val="0"/>
          <w:i w:val="0"/>
          <w:sz w:val="20"/>
        </w:rPr>
        <w:t xml:space="preserve">   |   free: </w:t>
      </w:r>
      <w:hyperlink r:id="rId26">
        <w:r>
          <w:rPr>
            <w:rFonts w:ascii="Arial" w:hAnsi="Arial"/>
            <w:color w:val="1F5FBF"/>
            <w:u w:val="single"/>
            <w:sz w:val="20"/>
          </w:rPr>
          <w:t xml:space="preserve">eScholarship</w:t>
        </w:r>
      </w:hyperlink>
    </w:p>
    <w:p>
      <w:pPr>
        <w:spacing w:after="40" w:before="0"/>
        <w:ind w:left="283"/>
      </w:pPr>
      <w:r>
        <w:rPr>
          <w:rFonts w:ascii="Arial" w:hAnsi="Arial" w:eastAsia="Arial"/>
          <w:b/>
          <w:i w:val="0"/>
          <w:sz w:val="21"/>
        </w:rPr>
        <w:t xml:space="preserve">Done: </w:t>
      </w:r>
      <w:r>
        <w:rPr>
          <w:rFonts w:ascii="Arial" w:hAnsi="Arial" w:eastAsia="Arial"/>
          <w:b w:val="0"/>
          <w:i w:val="0"/>
          <w:sz w:val="21"/>
        </w:rPr>
        <w:t>A latent Gaussian process adds spatial correlation to a geospatial liquefaction proxy fitted to observed liquefaction and generates random maps conditioned on the areal fraction that liquefied; developed for regional gas-system risk.</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statistical field is conditioned on physics: the water table from the groundwater model and the seismic velocity from fibre or noise, so susceptibility changes with the season, the pumping and the sea (P2).</w:t>
      </w:r>
    </w:p>
    <w:p>
      <w:pPr>
        <w:keepNext/>
        <w:spacing w:after="40" w:before="0"/>
      </w:pPr>
      <w:r>
        <w:rPr>
          <w:rFonts w:ascii="Arial" w:hAnsi="Arial" w:eastAsia="Arial"/>
          <w:b/>
          <w:i w:val="0"/>
          <w:color w:val="1F3864"/>
          <w:sz w:val="22"/>
        </w:rPr>
        <w:t xml:space="preserve">[11] </w:t>
      </w:r>
      <w:r>
        <w:rPr>
          <w:rFonts w:ascii="Arial" w:hAnsi="Arial" w:eastAsia="Arial"/>
          <w:b/>
          <w:i w:val="0"/>
          <w:sz w:val="21"/>
        </w:rPr>
        <w:t>Yang, Y., Atterholt, J.W., Shen, Z., Muir, J.B., Williams, E.F. and Zhan, Z. (2022). Sub-kilometer correlation between near-surface structure and ground motion measured with distributed acoustic sensing. Geophysical Research Letters 49(1), e2021GL096503.</w:t>
      </w:r>
    </w:p>
    <w:p>
      <w:pPr>
        <w:spacing w:after="40" w:before="0"/>
        <w:ind w:left="283"/>
      </w:pPr>
      <w:r>
        <w:rPr>
          <w:rFonts w:ascii="Arial" w:hAnsi="Arial" w:eastAsia="Arial"/>
          <w:b w:val="0"/>
          <w:i/>
          <w:color w:val="52606D"/>
          <w:sz w:val="20"/>
        </w:rPr>
        <w:t xml:space="preserve">Caltech (Zhan)   </w:t>
      </w:r>
      <w:hyperlink r:id="rId27">
        <w:r>
          <w:rPr>
            <w:rFonts w:ascii="Arial" w:hAnsi="Arial"/>
            <w:color w:val="1F5FBF"/>
            <w:u w:val="single"/>
            <w:sz w:val="20"/>
          </w:rPr>
          <w:t xml:space="preserve">doi.org/10.1029/2021GL096503</w:t>
        </w:r>
      </w:hyperlink>
      <w:r>
        <w:rPr>
          <w:rFonts w:ascii="Arial" w:hAnsi="Arial" w:eastAsia="Arial"/>
          <w:b w:val="0"/>
          <w:i w:val="0"/>
          <w:sz w:val="20"/>
        </w:rPr>
        <w:t xml:space="preserve">   |   free: </w:t>
      </w:r>
      <w:hyperlink r:id="rId28">
        <w:r>
          <w:rPr>
            <w:rFonts w:ascii="Arial" w:hAnsi="Arial"/>
            <w:color w:val="1F5FBF"/>
            <w:u w:val="single"/>
            <w:sz w:val="20"/>
          </w:rPr>
          <w:t xml:space="preserve">CaltechAUTHORS record</w:t>
        </w:r>
      </w:hyperlink>
    </w:p>
    <w:p>
      <w:pPr>
        <w:spacing w:after="40" w:before="0"/>
        <w:ind w:left="283"/>
      </w:pPr>
      <w:r>
        <w:rPr>
          <w:rFonts w:ascii="Arial" w:hAnsi="Arial" w:eastAsia="Arial"/>
          <w:b/>
          <w:i w:val="0"/>
          <w:sz w:val="21"/>
        </w:rPr>
        <w:t xml:space="preserve">Done: </w:t>
      </w:r>
      <w:r>
        <w:rPr>
          <w:rFonts w:ascii="Arial" w:hAnsi="Arial" w:eastAsia="Arial"/>
          <w:b w:val="0"/>
          <w:i w:val="0"/>
          <w:sz w:val="21"/>
        </w:rPr>
        <w:t>About three months of traffic noise on a telecom fibre image shallow shear-wave velocity along about 10 km; aftershock shaking varies at sub-kilometre scale and is stronger in soft-sediment micro-basins.</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same fibre principle is moved to saturated port and landfall sediments and used continuously, so that site amplification and the water table are monitored together (P5).</w:t>
      </w:r>
    </w:p>
    <w:p>
      <w:pPr>
        <w:keepNext/>
        <w:spacing w:after="40" w:before="0"/>
      </w:pPr>
      <w:r>
        <w:rPr>
          <w:rFonts w:ascii="Arial" w:hAnsi="Arial" w:eastAsia="Arial"/>
          <w:b/>
          <w:i w:val="0"/>
          <w:color w:val="1F3864"/>
          <w:sz w:val="22"/>
        </w:rPr>
        <w:t xml:space="preserve">[12] </w:t>
      </w:r>
      <w:r>
        <w:rPr>
          <w:rFonts w:ascii="Arial" w:hAnsi="Arial" w:eastAsia="Arial"/>
          <w:b/>
          <w:i w:val="0"/>
          <w:sz w:val="21"/>
        </w:rPr>
        <w:t>Qin, L., Steidl, J.H., Qiu, H., Nakata, N. and Ben-Zion, Y. (2022). Monitoring seasonal shear wave velocity changes in the top 6 m at Garner Valley in Southern California with borehole data. Geophysical Research Letters 49, e2022GL101189.</w:t>
      </w:r>
    </w:p>
    <w:p>
      <w:pPr>
        <w:spacing w:after="40" w:before="0"/>
        <w:ind w:left="283"/>
      </w:pPr>
      <w:r>
        <w:rPr>
          <w:rFonts w:ascii="Arial" w:hAnsi="Arial" w:eastAsia="Arial"/>
          <w:b w:val="0"/>
          <w:i/>
          <w:color w:val="52606D"/>
          <w:sz w:val="20"/>
        </w:rPr>
        <w:t xml:space="preserve">MIT (Nakata)   </w:t>
      </w:r>
      <w:hyperlink r:id="rId29">
        <w:r>
          <w:rPr>
            <w:rFonts w:ascii="Arial" w:hAnsi="Arial"/>
            <w:color w:val="1F5FBF"/>
            <w:u w:val="single"/>
            <w:sz w:val="20"/>
          </w:rPr>
          <w:t xml:space="preserve">doi.org/10.1029/2022GL101189</w:t>
        </w:r>
      </w:hyperlink>
      <w:r>
        <w:rPr>
          <w:rFonts w:ascii="Arial" w:hAnsi="Arial" w:eastAsia="Arial"/>
          <w:b w:val="0"/>
          <w:i w:val="0"/>
          <w:sz w:val="20"/>
        </w:rPr>
        <w:t xml:space="preserve">   |   free: </w:t>
      </w:r>
      <w:hyperlink r:id="rId30">
        <w:r>
          <w:rPr>
            <w:rFonts w:ascii="Arial" w:hAnsi="Arial"/>
            <w:color w:val="1F5FBF"/>
            <w:u w:val="single"/>
            <w:sz w:val="20"/>
          </w:rPr>
          <w:t xml:space="preserve">OSTI record</w:t>
        </w:r>
      </w:hyperlink>
    </w:p>
    <w:p>
      <w:pPr>
        <w:spacing w:after="40" w:before="0"/>
        <w:ind w:left="283"/>
      </w:pPr>
      <w:r>
        <w:rPr>
          <w:rFonts w:ascii="Arial" w:hAnsi="Arial" w:eastAsia="Arial"/>
          <w:b/>
          <w:i w:val="0"/>
          <w:sz w:val="21"/>
        </w:rPr>
        <w:t xml:space="preserve">Done: </w:t>
      </w:r>
      <w:r>
        <w:rPr>
          <w:rFonts w:ascii="Arial" w:hAnsi="Arial" w:eastAsia="Arial"/>
          <w:b w:val="0"/>
          <w:i w:val="0"/>
          <w:sz w:val="21"/>
        </w:rPr>
        <w:t>Borehole earthquake and cross-hole data show shear-wave velocity varying by about 25% in the top 6 m and about 10% at 2–5 m, following the water-table depth.</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measured link between water table and stiffness becomes the bridge from the groundwater model to the liquefaction factor of safety, and a check on it.</w:t>
      </w:r>
    </w:p>
    <w:p>
      <w:pPr>
        <w:keepNext/>
        <w:spacing w:after="40" w:before="0"/>
      </w:pPr>
      <w:r>
        <w:rPr>
          <w:rFonts w:ascii="Arial" w:hAnsi="Arial" w:eastAsia="Arial"/>
          <w:b/>
          <w:i w:val="0"/>
          <w:color w:val="1F3864"/>
          <w:sz w:val="22"/>
        </w:rPr>
        <w:t xml:space="preserve">[13] </w:t>
      </w:r>
      <w:r>
        <w:rPr>
          <w:rFonts w:ascii="Arial" w:hAnsi="Arial" w:eastAsia="Arial"/>
          <w:b/>
          <w:i w:val="0"/>
          <w:sz w:val="21"/>
        </w:rPr>
        <w:t>Byrne, B.W., Houlsby, G.T., Burd, H.J., Gavin, K.G., Igoe, D.J.P., Jardine, R.J., et al. (2020). PISA design model for monopiles for offshore wind turbines: application to a stiff glacial clay till. Géotechnique 70(11), 1030–1047.</w:t>
      </w:r>
    </w:p>
    <w:p>
      <w:pPr>
        <w:spacing w:after="40" w:before="0"/>
        <w:ind w:left="283"/>
      </w:pPr>
      <w:r>
        <w:rPr>
          <w:rFonts w:ascii="Arial" w:hAnsi="Arial" w:eastAsia="Arial"/>
          <w:b w:val="0"/>
          <w:i/>
          <w:color w:val="52606D"/>
          <w:sz w:val="20"/>
        </w:rPr>
        <w:t xml:space="preserve">Oxford (Byrne, Houlsby, Burd, Martin)   </w:t>
      </w:r>
      <w:hyperlink r:id="rId31">
        <w:r>
          <w:rPr>
            <w:rFonts w:ascii="Arial" w:hAnsi="Arial"/>
            <w:color w:val="1F5FBF"/>
            <w:u w:val="single"/>
            <w:sz w:val="20"/>
          </w:rPr>
          <w:t xml:space="preserve">doi.org/10.1680/jgeot.18.P.255</w:t>
        </w:r>
      </w:hyperlink>
      <w:r>
        <w:rPr>
          <w:rFonts w:ascii="Arial" w:hAnsi="Arial" w:eastAsia="Arial"/>
          <w:b w:val="0"/>
          <w:i w:val="0"/>
          <w:sz w:val="20"/>
        </w:rPr>
        <w:t xml:space="preserve">   |   free: </w:t>
      </w:r>
      <w:hyperlink r:id="rId32">
        <w:r>
          <w:rPr>
            <w:rFonts w:ascii="Arial" w:hAnsi="Arial"/>
            <w:color w:val="1F5FBF"/>
            <w:u w:val="single"/>
            <w:sz w:val="20"/>
          </w:rPr>
          <w:t xml:space="preserve">TU Delft portal</w:t>
        </w:r>
      </w:hyperlink>
    </w:p>
    <w:p>
      <w:pPr>
        <w:spacing w:after="40" w:before="0"/>
        <w:ind w:left="283"/>
      </w:pPr>
      <w:r>
        <w:rPr>
          <w:rFonts w:ascii="Arial" w:hAnsi="Arial" w:eastAsia="Arial"/>
          <w:b/>
          <w:i w:val="0"/>
          <w:sz w:val="21"/>
        </w:rPr>
        <w:t xml:space="preserve">Done: </w:t>
      </w:r>
      <w:r>
        <w:rPr>
          <w:rFonts w:ascii="Arial" w:hAnsi="Arial" w:eastAsia="Arial"/>
          <w:b w:val="0"/>
          <w:i w:val="0"/>
          <w:sz w:val="21"/>
        </w:rPr>
        <w:t>A 1-D pile design model calibrated on 3-D finite-element analyses and field tests, matching 3-D results at a fraction of the cost within its calibration space.</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A fast, validated foundation model is the template; CERTAIN-COAST adds what it lacks for a landfall on a seismic, subsiding coast: shaking, pore-pressure build-up and a changing water level.</w:t>
      </w:r>
    </w:p>
    <w:p>
      <w:pPr>
        <w:keepNext/>
        <w:spacing w:after="40" w:before="0"/>
      </w:pPr>
      <w:r>
        <w:rPr>
          <w:rFonts w:ascii="Arial" w:hAnsi="Arial" w:eastAsia="Arial"/>
          <w:b/>
          <w:i w:val="0"/>
          <w:color w:val="1F3864"/>
          <w:sz w:val="22"/>
        </w:rPr>
        <w:t xml:space="preserve">[14] </w:t>
      </w:r>
      <w:r>
        <w:rPr>
          <w:rFonts w:ascii="Arial" w:hAnsi="Arial" w:eastAsia="Arial"/>
          <w:b/>
          <w:i w:val="0"/>
          <w:sz w:val="21"/>
        </w:rPr>
        <w:t>Burd, H.J., Abadie, C.N., Byrne, B.W., Houlsby, G.T., Martin, C.M., McAdam, R.A., et al. (2020). Application of the PISA design model to monopiles embedded in layered soils. Géotechnique 70(11), 1067–1082.</w:t>
      </w:r>
    </w:p>
    <w:p>
      <w:pPr>
        <w:spacing w:after="40" w:before="0"/>
        <w:ind w:left="283"/>
      </w:pPr>
      <w:r>
        <w:rPr>
          <w:rFonts w:ascii="Arial" w:hAnsi="Arial" w:eastAsia="Arial"/>
          <w:b w:val="0"/>
          <w:i/>
          <w:color w:val="52606D"/>
          <w:sz w:val="20"/>
        </w:rPr>
        <w:t xml:space="preserve">Oxford   </w:t>
      </w:r>
      <w:hyperlink r:id="rId33">
        <w:r>
          <w:rPr>
            <w:rFonts w:ascii="Arial" w:hAnsi="Arial"/>
            <w:color w:val="1F5FBF"/>
            <w:u w:val="single"/>
            <w:sz w:val="20"/>
          </w:rPr>
          <w:t xml:space="preserve">doi.org/10.1680/jgeot.20.PISA.009</w:t>
        </w:r>
      </w:hyperlink>
      <w:r>
        <w:rPr>
          <w:rFonts w:ascii="Arial" w:hAnsi="Arial" w:eastAsia="Arial"/>
          <w:b w:val="0"/>
          <w:i w:val="0"/>
          <w:sz w:val="20"/>
        </w:rPr>
        <w:t xml:space="preserve">   |   free: </w:t>
      </w:r>
      <w:hyperlink r:id="rId34">
        <w:r>
          <w:rPr>
            <w:rFonts w:ascii="Arial" w:hAnsi="Arial"/>
            <w:color w:val="1F5FBF"/>
            <w:u w:val="single"/>
            <w:sz w:val="20"/>
          </w:rPr>
          <w:t xml:space="preserve">Imperial Spiral</w:t>
        </w:r>
      </w:hyperlink>
    </w:p>
    <w:p>
      <w:pPr>
        <w:spacing w:after="40" w:before="0"/>
        <w:ind w:left="283"/>
      </w:pPr>
      <w:r>
        <w:rPr>
          <w:rFonts w:ascii="Arial" w:hAnsi="Arial" w:eastAsia="Arial"/>
          <w:b/>
          <w:i w:val="0"/>
          <w:sz w:val="21"/>
        </w:rPr>
        <w:t xml:space="preserve">Done: </w:t>
      </w:r>
      <w:r>
        <w:rPr>
          <w:rFonts w:ascii="Arial" w:hAnsi="Arial" w:eastAsia="Arial"/>
          <w:b w:val="0"/>
          <w:i w:val="0"/>
          <w:sz w:val="21"/>
        </w:rPr>
        <w:t>Soil-reaction curves from uniform soils work for layered profiles, except some combinations of very soft clay and very dense sand.</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failing case is the deltaic and lagoonal sequence of the Adriatic coast; the landfall check of CERTAIN-COAST is built for it, with liquefaction of the sand layers included.</w:t>
      </w:r>
    </w:p>
    <w:p>
      <w:pPr>
        <w:keepNext/>
        <w:spacing w:after="40" w:before="0"/>
      </w:pPr>
      <w:r>
        <w:rPr>
          <w:rFonts w:ascii="Arial" w:hAnsi="Arial" w:eastAsia="Arial"/>
          <w:b/>
          <w:i w:val="0"/>
          <w:color w:val="1F3864"/>
          <w:sz w:val="22"/>
        </w:rPr>
        <w:t xml:space="preserve">[15] </w:t>
      </w:r>
      <w:r>
        <w:rPr>
          <w:rFonts w:ascii="Arial" w:hAnsi="Arial" w:eastAsia="Arial"/>
          <w:b/>
          <w:i w:val="0"/>
          <w:sz w:val="21"/>
        </w:rPr>
        <w:t>Abadie, C.N., Beuckelaers, W.J.A.P., Byrne, B.W., Burd, H.J. and McAdam, R.A. (2023). Modeling lifetime performance of monopile foundations for offshore wind applications. Journal of Geotechnical and Geoenvironmental Engineering 149(8), 04023051.</w:t>
      </w:r>
    </w:p>
    <w:p>
      <w:pPr>
        <w:spacing w:after="40" w:before="0"/>
        <w:ind w:left="283"/>
      </w:pPr>
      <w:r>
        <w:rPr>
          <w:rFonts w:ascii="Arial" w:hAnsi="Arial" w:eastAsia="Arial"/>
          <w:b w:val="0"/>
          <w:i/>
          <w:color w:val="52606D"/>
          <w:sz w:val="20"/>
        </w:rPr>
        <w:t xml:space="preserve">Oxford   </w:t>
      </w:r>
      <w:hyperlink r:id="rId35">
        <w:r>
          <w:rPr>
            <w:rFonts w:ascii="Arial" w:hAnsi="Arial"/>
            <w:color w:val="1F5FBF"/>
            <w:u w:val="single"/>
            <w:sz w:val="20"/>
          </w:rPr>
          <w:t xml:space="preserve">doi.org/10.1061/JGGEFK.GTENG-9833</w:t>
        </w:r>
      </w:hyperlink>
      <w:r>
        <w:rPr>
          <w:rFonts w:ascii="Arial" w:hAnsi="Arial" w:eastAsia="Arial"/>
          <w:b w:val="0"/>
          <w:i w:val="0"/>
          <w:sz w:val="20"/>
        </w:rPr>
        <w:t xml:space="preserve">   |   free: </w:t>
      </w:r>
      <w:hyperlink r:id="rId36">
        <w:r>
          <w:rPr>
            <w:rFonts w:ascii="Arial" w:hAnsi="Arial"/>
            <w:color w:val="1F5FBF"/>
            <w:u w:val="single"/>
            <w:sz w:val="20"/>
          </w:rPr>
          <w:t xml:space="preserve">Oxford ORA</w:t>
        </w:r>
      </w:hyperlink>
    </w:p>
    <w:p>
      <w:pPr>
        <w:spacing w:after="40" w:before="0"/>
        <w:ind w:left="283"/>
      </w:pPr>
      <w:r>
        <w:rPr>
          <w:rFonts w:ascii="Arial" w:hAnsi="Arial" w:eastAsia="Arial"/>
          <w:b/>
          <w:i w:val="0"/>
          <w:sz w:val="21"/>
        </w:rPr>
        <w:t xml:space="preserve">Done: </w:t>
      </w:r>
      <w:r>
        <w:rPr>
          <w:rFonts w:ascii="Arial" w:hAnsi="Arial" w:eastAsia="Arial"/>
          <w:b w:val="0"/>
          <w:i w:val="0"/>
          <w:sz w:val="21"/>
        </w:rPr>
        <w:t>Couples the PISA model with a ratcheting model to predict permanent rotation over a short storm, a 35-hour storm and the full lifetime.</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Storm loading is joined by the other two hazards of the landfall, seismic liquefaction and the rising relative sea level, in one assessment with stated uncertainty.</w:t>
      </w:r>
    </w:p>
    <w:p>
      <w:pPr>
        <w:keepNext/>
        <w:spacing w:after="120" w:before="120"/>
      </w:pPr>
      <w:r>
        <w:rPr>
          <w:rFonts w:ascii="Arial" w:hAnsi="Arial" w:eastAsia="Arial"/>
          <w:b/>
          <w:i w:val="0"/>
          <w:color w:val="2E6DB4"/>
          <w:sz w:val="25"/>
        </w:rPr>
        <w:t>D. Continuous sensing of groundwater and soil</w:t>
      </w:r>
    </w:p>
    <w:p>
      <w:pPr>
        <w:keepNext/>
        <w:spacing w:after="40" w:before="0"/>
      </w:pPr>
      <w:r>
        <w:rPr>
          <w:rFonts w:ascii="Arial" w:hAnsi="Arial" w:eastAsia="Arial"/>
          <w:b/>
          <w:i w:val="0"/>
          <w:color w:val="1F3864"/>
          <w:sz w:val="22"/>
        </w:rPr>
        <w:t xml:space="preserve">[16] </w:t>
      </w:r>
      <w:r>
        <w:rPr>
          <w:rFonts w:ascii="Arial" w:hAnsi="Arial" w:eastAsia="Arial"/>
          <w:b/>
          <w:i w:val="0"/>
          <w:sz w:val="21"/>
        </w:rPr>
        <w:t>Mao, S., Lecointre, A., van der Hilst, R.D. and Campillo, M. (2022). Space-time monitoring of groundwater fluctuations with passive seismic interferometry. Nature Communications 13, 4643.</w:t>
      </w:r>
    </w:p>
    <w:p>
      <w:pPr>
        <w:spacing w:after="40" w:before="0"/>
        <w:ind w:left="283"/>
      </w:pPr>
      <w:r>
        <w:rPr>
          <w:rFonts w:ascii="Arial" w:hAnsi="Arial" w:eastAsia="Arial"/>
          <w:b w:val="0"/>
          <w:i/>
          <w:color w:val="52606D"/>
          <w:sz w:val="20"/>
        </w:rPr>
        <w:t xml:space="preserve">MIT   </w:t>
      </w:r>
      <w:hyperlink r:id="rId37">
        <w:r>
          <w:rPr>
            <w:rFonts w:ascii="Arial" w:hAnsi="Arial"/>
            <w:color w:val="1F5FBF"/>
            <w:u w:val="single"/>
            <w:sz w:val="20"/>
          </w:rPr>
          <w:t xml:space="preserve">doi.org/10.1038/s41467-022-32194-3</w:t>
        </w:r>
      </w:hyperlink>
      <w:r>
        <w:rPr>
          <w:rFonts w:ascii="Arial" w:hAnsi="Arial" w:eastAsia="Arial"/>
          <w:b w:val="0"/>
          <w:i w:val="0"/>
          <w:sz w:val="20"/>
        </w:rPr>
        <w:t xml:space="preserve">   |   free: </w:t>
      </w:r>
      <w:hyperlink r:id="rId38">
        <w:r>
          <w:rPr>
            <w:rFonts w:ascii="Arial" w:hAnsi="Arial"/>
            <w:color w:val="1F5FBF"/>
            <w:u w:val="single"/>
            <w:sz w:val="20"/>
          </w:rPr>
          <w:t xml:space="preserve">PubMed Central</w:t>
        </w:r>
      </w:hyperlink>
    </w:p>
    <w:p>
      <w:pPr>
        <w:spacing w:after="40" w:before="0"/>
        <w:ind w:left="283"/>
      </w:pPr>
      <w:r>
        <w:rPr>
          <w:rFonts w:ascii="Arial" w:hAnsi="Arial" w:eastAsia="Arial"/>
          <w:b/>
          <w:i w:val="0"/>
          <w:sz w:val="21"/>
        </w:rPr>
        <w:t xml:space="preserve">Done: </w:t>
      </w:r>
      <w:r>
        <w:rPr>
          <w:rFonts w:ascii="Arial" w:hAnsi="Arial" w:eastAsia="Arial"/>
          <w:b w:val="0"/>
          <w:i w:val="0"/>
          <w:sz w:val="21"/>
        </w:rPr>
        <w:t>Ambient-noise velocity changes map groundwater fluctuations over 2000–2020 near Los Angeles, following well water tables and InSAR, with better time and depth resolution.</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Seismic noise becomes a designed observation (M3) and a pore-pressure sensor at the port and landfall (P5), not only a hydrogeological map.</w:t>
      </w:r>
    </w:p>
    <w:p>
      <w:pPr>
        <w:keepNext/>
        <w:spacing w:after="40" w:before="0"/>
      </w:pPr>
      <w:r>
        <w:rPr>
          <w:rFonts w:ascii="Arial" w:hAnsi="Arial" w:eastAsia="Arial"/>
          <w:b/>
          <w:i w:val="0"/>
          <w:color w:val="1F3864"/>
          <w:sz w:val="22"/>
        </w:rPr>
        <w:t xml:space="preserve">[17] </w:t>
      </w:r>
      <w:r>
        <w:rPr>
          <w:rFonts w:ascii="Arial" w:hAnsi="Arial" w:eastAsia="Arial"/>
          <w:b/>
          <w:i w:val="0"/>
          <w:sz w:val="21"/>
        </w:rPr>
        <w:t>Shen, Z., Yang, Y., Fu, X., Adams, K.H., Biondi, E. and Zhan, Z. (2024). Fiber-optic seismic sensing of vadose zone soil moisture dynamics. Nature Communications 15, 6432.</w:t>
      </w:r>
    </w:p>
    <w:p>
      <w:pPr>
        <w:spacing w:after="40" w:before="0"/>
        <w:ind w:left="283"/>
      </w:pPr>
      <w:r>
        <w:rPr>
          <w:rFonts w:ascii="Arial" w:hAnsi="Arial" w:eastAsia="Arial"/>
          <w:b w:val="0"/>
          <w:i/>
          <w:color w:val="52606D"/>
          <w:sz w:val="20"/>
        </w:rPr>
        <w:t xml:space="preserve">Caltech (Zhan, Fu)   </w:t>
      </w:r>
      <w:hyperlink r:id="rId39">
        <w:r>
          <w:rPr>
            <w:rFonts w:ascii="Arial" w:hAnsi="Arial"/>
            <w:color w:val="1F5FBF"/>
            <w:u w:val="single"/>
            <w:sz w:val="20"/>
          </w:rPr>
          <w:t xml:space="preserve">doi.org/10.1038/s41467-024-50690-6</w:t>
        </w:r>
      </w:hyperlink>
      <w:r>
        <w:rPr>
          <w:rFonts w:ascii="Arial" w:hAnsi="Arial" w:eastAsia="Arial"/>
          <w:b w:val="0"/>
          <w:i w:val="0"/>
          <w:sz w:val="20"/>
        </w:rPr>
        <w:t xml:space="preserve">   |   free: </w:t>
      </w:r>
      <w:hyperlink r:id="rId40">
        <w:r>
          <w:rPr>
            <w:rFonts w:ascii="Arial" w:hAnsi="Arial"/>
            <w:color w:val="1F5FBF"/>
            <w:u w:val="single"/>
            <w:sz w:val="20"/>
          </w:rPr>
          <w:t xml:space="preserve">open access</w:t>
        </w:r>
      </w:hyperlink>
    </w:p>
    <w:p>
      <w:pPr>
        <w:spacing w:after="40" w:before="0"/>
        <w:ind w:left="283"/>
      </w:pPr>
      <w:r>
        <w:rPr>
          <w:rFonts w:ascii="Arial" w:hAnsi="Arial" w:eastAsia="Arial"/>
          <w:b/>
          <w:i w:val="0"/>
          <w:sz w:val="21"/>
        </w:rPr>
        <w:t xml:space="preserve">Done: </w:t>
      </w:r>
      <w:r>
        <w:rPr>
          <w:rFonts w:ascii="Arial" w:hAnsi="Arial" w:eastAsia="Arial"/>
          <w:b w:val="0"/>
          <w:i w:val="0"/>
          <w:sz w:val="21"/>
        </w:rPr>
        <w:t>Traffic noise on about 10 km of telecom fibre resolves recharge pulses and a drought loss of about 0.25 m/yr of water in the unsaturated zone over about 5 years.</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Moved from an arid vadose zone to a shallow coastal water table, the fibre becomes a recharge and liquefaction-susceptibility sensor along the coast road.</w:t>
      </w:r>
    </w:p>
    <w:p>
      <w:pPr>
        <w:keepNext/>
        <w:spacing w:after="40" w:before="0"/>
      </w:pPr>
      <w:r>
        <w:rPr>
          <w:rFonts w:ascii="Arial" w:hAnsi="Arial" w:eastAsia="Arial"/>
          <w:b/>
          <w:i w:val="0"/>
          <w:color w:val="1F3864"/>
          <w:sz w:val="22"/>
        </w:rPr>
        <w:t xml:space="preserve">[18] </w:t>
      </w:r>
      <w:r>
        <w:rPr>
          <w:rFonts w:ascii="Arial" w:hAnsi="Arial" w:eastAsia="Arial"/>
          <w:b/>
          <w:i w:val="0"/>
          <w:sz w:val="21"/>
        </w:rPr>
        <w:t>Clements, T. and Denolle, M.A. (2023). The seismic signature of California's earthquakes, droughts, and floods. Journal of Geophysical Research: Solid Earth 128(1), e2022JB025553.</w:t>
      </w:r>
    </w:p>
    <w:p>
      <w:pPr>
        <w:spacing w:after="40" w:before="0"/>
        <w:ind w:left="283"/>
      </w:pPr>
      <w:r>
        <w:rPr>
          <w:rFonts w:ascii="Arial" w:hAnsi="Arial" w:eastAsia="Arial"/>
          <w:b w:val="0"/>
          <w:i/>
          <w:color w:val="52606D"/>
          <w:sz w:val="20"/>
        </w:rPr>
        <w:t xml:space="preserve">Harvard   </w:t>
      </w:r>
      <w:hyperlink r:id="rId41">
        <w:r>
          <w:rPr>
            <w:rFonts w:ascii="Arial" w:hAnsi="Arial"/>
            <w:color w:val="1F5FBF"/>
            <w:u w:val="single"/>
            <w:sz w:val="20"/>
          </w:rPr>
          <w:t xml:space="preserve">doi.org/10.1029/2022JB025553</w:t>
        </w:r>
      </w:hyperlink>
      <w:r>
        <w:rPr>
          <w:rFonts w:ascii="Arial" w:hAnsi="Arial" w:eastAsia="Arial"/>
          <w:b w:val="0"/>
          <w:i w:val="0"/>
          <w:sz w:val="20"/>
        </w:rPr>
        <w:t xml:space="preserve">   |   free: </w:t>
      </w:r>
      <w:hyperlink r:id="rId42">
        <w:r>
          <w:rPr>
            <w:rFonts w:ascii="Arial" w:hAnsi="Arial"/>
            <w:color w:val="1F5FBF"/>
            <w:u w:val="single"/>
            <w:sz w:val="20"/>
          </w:rPr>
          <w:t xml:space="preserve">EarthArXiv</w:t>
        </w:r>
      </w:hyperlink>
    </w:p>
    <w:p>
      <w:pPr>
        <w:spacing w:after="40" w:before="0"/>
        <w:ind w:left="283"/>
      </w:pPr>
      <w:r>
        <w:rPr>
          <w:rFonts w:ascii="Arial" w:hAnsi="Arial" w:eastAsia="Arial"/>
          <w:b/>
          <w:i w:val="0"/>
          <w:sz w:val="21"/>
        </w:rPr>
        <w:t xml:space="preserve">Done: </w:t>
      </w:r>
      <w:r>
        <w:rPr>
          <w:rFonts w:ascii="Arial" w:hAnsi="Arial" w:eastAsia="Arial"/>
          <w:b w:val="0"/>
          <w:i w:val="0"/>
          <w:sz w:val="21"/>
        </w:rPr>
        <w:t>dv/v at about 700 stations (1999–2021) separates wet winters, multiyear droughts and decade-long postseismic signals; diffusivity is low in basins; site variations match subsidence and uplift.</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separation of hydrological and earthquake signals is what a coastal warning needs after the next earthquake, when the water table and the soil both change.</w:t>
      </w:r>
    </w:p>
    <w:p>
      <w:pPr>
        <w:keepNext/>
        <w:spacing w:after="120" w:before="120"/>
      </w:pPr>
      <w:r>
        <w:rPr>
          <w:rFonts w:ascii="Arial" w:hAnsi="Arial" w:eastAsia="Arial"/>
          <w:b/>
          <w:i w:val="0"/>
          <w:color w:val="2E6DB4"/>
          <w:sz w:val="25"/>
        </w:rPr>
        <w:t>E. Mathematics of certified warning</w:t>
      </w:r>
    </w:p>
    <w:p>
      <w:pPr>
        <w:keepNext/>
        <w:spacing w:after="40" w:before="0"/>
      </w:pPr>
      <w:r>
        <w:rPr>
          <w:rFonts w:ascii="Arial" w:hAnsi="Arial" w:eastAsia="Arial"/>
          <w:b/>
          <w:i w:val="0"/>
          <w:color w:val="1F3864"/>
          <w:sz w:val="22"/>
        </w:rPr>
        <w:t xml:space="preserve">[19] </w:t>
      </w:r>
      <w:r>
        <w:rPr>
          <w:rFonts w:ascii="Arial" w:hAnsi="Arial" w:eastAsia="Arial"/>
          <w:b/>
          <w:i w:val="0"/>
          <w:sz w:val="21"/>
        </w:rPr>
        <w:t>Angelopoulos, A.N., Bates, S., Fisch, A., Lei, L. and Schuster, T. (2024). Conformal risk control. International Conference on Learning Representations (ICLR 2024).</w:t>
      </w:r>
    </w:p>
    <w:p>
      <w:pPr>
        <w:spacing w:after="40" w:before="0"/>
        <w:ind w:left="283"/>
      </w:pPr>
      <w:r>
        <w:rPr>
          <w:rFonts w:ascii="Arial" w:hAnsi="Arial" w:eastAsia="Arial"/>
          <w:b w:val="0"/>
          <w:i/>
          <w:color w:val="52606D"/>
          <w:sz w:val="20"/>
        </w:rPr>
        <w:t xml:space="preserve">MIT (Bates, Fisch)   </w:t>
      </w:r>
      <w:hyperlink r:id="rId43">
        <w:r>
          <w:rPr>
            <w:rFonts w:ascii="Arial" w:hAnsi="Arial"/>
            <w:color w:val="1F5FBF"/>
            <w:u w:val="single"/>
            <w:sz w:val="20"/>
          </w:rPr>
          <w:t xml:space="preserve">proceedings.iclr.cc/paper_files/paper/2024/hash/f3549ef9b5ff520a7e41ff3cc306ab2b-Abstract-Conference.html</w:t>
        </w:r>
      </w:hyperlink>
      <w:r>
        <w:rPr>
          <w:rFonts w:ascii="Arial" w:hAnsi="Arial" w:eastAsia="Arial"/>
          <w:b w:val="0"/>
          <w:i w:val="0"/>
          <w:sz w:val="20"/>
        </w:rPr>
        <w:t xml:space="preserve">   |   free: </w:t>
      </w:r>
      <w:hyperlink r:id="rId44">
        <w:r>
          <w:rPr>
            <w:rFonts w:ascii="Arial" w:hAnsi="Arial"/>
            <w:color w:val="1F5FBF"/>
            <w:u w:val="single"/>
            <w:sz w:val="20"/>
          </w:rPr>
          <w:t xml:space="preserve">arXiv</w:t>
        </w:r>
      </w:hyperlink>
    </w:p>
    <w:p>
      <w:pPr>
        <w:spacing w:after="40" w:before="0"/>
        <w:ind w:left="283"/>
      </w:pPr>
      <w:r>
        <w:rPr>
          <w:rFonts w:ascii="Arial" w:hAnsi="Arial" w:eastAsia="Arial"/>
          <w:b/>
          <w:i w:val="0"/>
          <w:sz w:val="21"/>
        </w:rPr>
        <w:t xml:space="preserve">Done: </w:t>
      </w:r>
      <w:r>
        <w:rPr>
          <w:rFonts w:ascii="Arial" w:hAnsi="Arial" w:eastAsia="Arial"/>
          <w:b w:val="0"/>
          <w:i w:val="0"/>
          <w:sz w:val="21"/>
        </w:rPr>
        <w:t>Extends split conformal prediction to any monotone bounded loss: the calibrated threshold guarantees E[L(λ̂)] ≤ α under exchangeability, tight to O(B/n); a false-negative (miss) rate is a special case.</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miss rate of each alarm is the controlled loss; CERTAIN-COAST removes the exchangeability assumption by the online and extreme-aware terms of M1.</w:t>
      </w:r>
    </w:p>
    <w:p>
      <w:pPr>
        <w:keepNext/>
        <w:spacing w:after="40" w:before="0"/>
      </w:pPr>
      <w:r>
        <w:rPr>
          <w:rFonts w:ascii="Arial" w:hAnsi="Arial" w:eastAsia="Arial"/>
          <w:b/>
          <w:i w:val="0"/>
          <w:color w:val="1F3864"/>
          <w:sz w:val="22"/>
        </w:rPr>
        <w:t xml:space="preserve">[20] </w:t>
      </w:r>
      <w:r>
        <w:rPr>
          <w:rFonts w:ascii="Arial" w:hAnsi="Arial" w:eastAsia="Arial"/>
          <w:b/>
          <w:i w:val="0"/>
          <w:sz w:val="21"/>
        </w:rPr>
        <w:t>Angelopoulos, A.N., Barber, R.F. and Bates, S. (2024). Online conformal prediction with decaying step sizes. Proceedings of the 41st International Conference on Machine Learning, PMLR 235, 1616–1630.</w:t>
      </w:r>
    </w:p>
    <w:p>
      <w:pPr>
        <w:spacing w:after="40" w:before="0"/>
        <w:ind w:left="283"/>
      </w:pPr>
      <w:r>
        <w:rPr>
          <w:rFonts w:ascii="Arial" w:hAnsi="Arial" w:eastAsia="Arial"/>
          <w:b w:val="0"/>
          <w:i/>
          <w:color w:val="52606D"/>
          <w:sz w:val="20"/>
        </w:rPr>
        <w:t xml:space="preserve">MIT (Bates)   </w:t>
      </w:r>
      <w:hyperlink r:id="rId45">
        <w:r>
          <w:rPr>
            <w:rFonts w:ascii="Arial" w:hAnsi="Arial"/>
            <w:color w:val="1F5FBF"/>
            <w:u w:val="single"/>
            <w:sz w:val="20"/>
          </w:rPr>
          <w:t xml:space="preserve">proceedings.mlr.press/v235/angelopoulos24a.html</w:t>
        </w:r>
      </w:hyperlink>
      <w:r>
        <w:rPr>
          <w:rFonts w:ascii="Arial" w:hAnsi="Arial" w:eastAsia="Arial"/>
          <w:b w:val="0"/>
          <w:i w:val="0"/>
          <w:sz w:val="20"/>
        </w:rPr>
        <w:t xml:space="preserve">   |   free: </w:t>
      </w:r>
      <w:hyperlink r:id="rId46">
        <w:r>
          <w:rPr>
            <w:rFonts w:ascii="Arial" w:hAnsi="Arial"/>
            <w:color w:val="1F5FBF"/>
            <w:u w:val="single"/>
            <w:sz w:val="20"/>
          </w:rPr>
          <w:t xml:space="preserve">arXiv</w:t>
        </w:r>
      </w:hyperlink>
    </w:p>
    <w:p>
      <w:pPr>
        <w:spacing w:after="40" w:before="0"/>
        <w:ind w:left="283"/>
      </w:pPr>
      <w:r>
        <w:rPr>
          <w:rFonts w:ascii="Arial" w:hAnsi="Arial" w:eastAsia="Arial"/>
          <w:b/>
          <w:i w:val="0"/>
          <w:sz w:val="21"/>
        </w:rPr>
        <w:t xml:space="preserve">Done: </w:t>
      </w:r>
      <w:r>
        <w:rPr>
          <w:rFonts w:ascii="Arial" w:hAnsi="Arial" w:eastAsia="Arial"/>
          <w:b w:val="0"/>
          <w:i w:val="0"/>
          <w:sz w:val="21"/>
        </w:rPr>
        <w:t>Online quantile tracking with decaying steps keeps long-run coverage for arbitrary sequences and converges to the true quantile when the data are i.i.d.</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Long-run coverage is not enough for rare, clustered extremes; it is combined with a margin that widens when forcing leaves the record.</w:t>
      </w:r>
    </w:p>
    <w:p>
      <w:pPr>
        <w:keepNext/>
        <w:spacing w:after="40" w:before="0"/>
      </w:pPr>
      <w:r>
        <w:rPr>
          <w:rFonts w:ascii="Arial" w:hAnsi="Arial" w:eastAsia="Arial"/>
          <w:b/>
          <w:i w:val="0"/>
          <w:color w:val="1F3864"/>
          <w:sz w:val="22"/>
        </w:rPr>
        <w:t xml:space="preserve">[21] </w:t>
      </w:r>
      <w:r>
        <w:rPr>
          <w:rFonts w:ascii="Arial" w:hAnsi="Arial" w:eastAsia="Arial"/>
          <w:b/>
          <w:i w:val="0"/>
          <w:sz w:val="21"/>
        </w:rPr>
        <w:t>Zhang, Z., Bombara, D. and Yang, H. (2024). Discounted adaptive online learning: towards better regularization. Proceedings of the 41st International Conference on Machine Learning, PMLR 235, 58631–58661.</w:t>
      </w:r>
    </w:p>
    <w:p>
      <w:pPr>
        <w:spacing w:after="40" w:before="0"/>
        <w:ind w:left="283"/>
      </w:pPr>
      <w:r>
        <w:rPr>
          <w:rFonts w:ascii="Arial" w:hAnsi="Arial" w:eastAsia="Arial"/>
          <w:b w:val="0"/>
          <w:i/>
          <w:color w:val="52606D"/>
          <w:sz w:val="20"/>
        </w:rPr>
        <w:t xml:space="preserve">Harvard (Yang)   </w:t>
      </w:r>
      <w:hyperlink r:id="rId47">
        <w:r>
          <w:rPr>
            <w:rFonts w:ascii="Arial" w:hAnsi="Arial"/>
            <w:color w:val="1F5FBF"/>
            <w:u w:val="single"/>
            <w:sz w:val="20"/>
          </w:rPr>
          <w:t xml:space="preserve">proceedings.mlr.press/v235/zhang24e.html</w:t>
        </w:r>
      </w:hyperlink>
      <w:r>
        <w:rPr>
          <w:rFonts w:ascii="Arial" w:hAnsi="Arial" w:eastAsia="Arial"/>
          <w:b w:val="0"/>
          <w:i w:val="0"/>
          <w:sz w:val="20"/>
        </w:rPr>
        <w:t xml:space="preserve">   |   free: </w:t>
      </w:r>
      <w:hyperlink r:id="rId48">
        <w:r>
          <w:rPr>
            <w:rFonts w:ascii="Arial" w:hAnsi="Arial"/>
            <w:color w:val="1F5FBF"/>
            <w:u w:val="single"/>
            <w:sz w:val="20"/>
          </w:rPr>
          <w:t xml:space="preserve">arXiv</w:t>
        </w:r>
      </w:hyperlink>
    </w:p>
    <w:p>
      <w:pPr>
        <w:spacing w:after="40" w:before="0"/>
        <w:ind w:left="283"/>
      </w:pPr>
      <w:r>
        <w:rPr>
          <w:rFonts w:ascii="Arial" w:hAnsi="Arial" w:eastAsia="Arial"/>
          <w:b/>
          <w:i w:val="0"/>
          <w:sz w:val="21"/>
        </w:rPr>
        <w:t xml:space="preserve">Done: </w:t>
      </w:r>
      <w:r>
        <w:rPr>
          <w:rFonts w:ascii="Arial" w:hAnsi="Arial" w:eastAsia="Arial"/>
          <w:b w:val="0"/>
          <w:i w:val="0"/>
          <w:sz w:val="21"/>
        </w:rPr>
        <w:t>An adaptive algorithm for discounted regret that forgets history gracefully in nonstationary environments; applied to online conformal prediction it gives instance-dependent coverage guarantees.</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forgetting rate is tied to physics: it is set by the memory time of the aquifer and the clays, not tuned on generic benchmarks.</w:t>
      </w:r>
    </w:p>
    <w:p>
      <w:pPr>
        <w:keepNext/>
        <w:spacing w:after="40" w:before="0"/>
      </w:pPr>
      <w:r>
        <w:rPr>
          <w:rFonts w:ascii="Arial" w:hAnsi="Arial" w:eastAsia="Arial"/>
          <w:b/>
          <w:i w:val="0"/>
          <w:color w:val="1F3864"/>
          <w:sz w:val="22"/>
        </w:rPr>
        <w:t xml:space="preserve">[22] </w:t>
      </w:r>
      <w:r>
        <w:rPr>
          <w:rFonts w:ascii="Arial" w:hAnsi="Arial" w:eastAsia="Arial"/>
          <w:b/>
          <w:i w:val="0"/>
          <w:sz w:val="21"/>
        </w:rPr>
        <w:t>Dixit, A., Lindemann, L., Wei, S.X., Cleaveland, M., Pappas, G.J. and Burdick, J.W. (2023). Adaptive conformal prediction for motion planning among dynamic agents. Proceedings of the 5th Learning for Dynamics and Control Conference, PMLR 211, 300–314.</w:t>
      </w:r>
    </w:p>
    <w:p>
      <w:pPr>
        <w:spacing w:after="40" w:before="0"/>
        <w:ind w:left="283"/>
      </w:pPr>
      <w:r>
        <w:rPr>
          <w:rFonts w:ascii="Arial" w:hAnsi="Arial" w:eastAsia="Arial"/>
          <w:b w:val="0"/>
          <w:i/>
          <w:color w:val="52606D"/>
          <w:sz w:val="20"/>
        </w:rPr>
        <w:t xml:space="preserve">Caltech (Burdick)   </w:t>
      </w:r>
      <w:hyperlink r:id="rId49">
        <w:r>
          <w:rPr>
            <w:rFonts w:ascii="Arial" w:hAnsi="Arial"/>
            <w:color w:val="1F5FBF"/>
            <w:u w:val="single"/>
            <w:sz w:val="20"/>
          </w:rPr>
          <w:t xml:space="preserve">proceedings.mlr.press/v211/dixit23a.html</w:t>
        </w:r>
      </w:hyperlink>
      <w:r>
        <w:rPr>
          <w:rFonts w:ascii="Arial" w:hAnsi="Arial" w:eastAsia="Arial"/>
          <w:b w:val="0"/>
          <w:i w:val="0"/>
          <w:sz w:val="20"/>
        </w:rPr>
        <w:t xml:space="preserve">   |   free: </w:t>
      </w:r>
      <w:hyperlink r:id="rId50">
        <w:r>
          <w:rPr>
            <w:rFonts w:ascii="Arial" w:hAnsi="Arial"/>
            <w:color w:val="1F5FBF"/>
            <w:u w:val="single"/>
            <w:sz w:val="20"/>
          </w:rPr>
          <w:t xml:space="preserve">arXiv</w:t>
        </w:r>
      </w:hyperlink>
    </w:p>
    <w:p>
      <w:pPr>
        <w:spacing w:after="40" w:before="0"/>
        <w:ind w:left="283"/>
      </w:pPr>
      <w:r>
        <w:rPr>
          <w:rFonts w:ascii="Arial" w:hAnsi="Arial" w:eastAsia="Arial"/>
          <w:b/>
          <w:i w:val="0"/>
          <w:sz w:val="21"/>
        </w:rPr>
        <w:t xml:space="preserve">Done: </w:t>
      </w:r>
      <w:r>
        <w:rPr>
          <w:rFonts w:ascii="Arial" w:hAnsi="Arial" w:eastAsia="Arial"/>
          <w:b w:val="0"/>
          <w:i w:val="0"/>
          <w:sz w:val="21"/>
        </w:rPr>
        <w:t>Online adaptive conformal sets for multistep-ahead predictions, without exchangeability, feed a model-predictive controller.</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same closed loop, prediction set to action, is built for pumping and port operations, with sets from a physics surrogate instead of a data-driven predictor.</w:t>
      </w:r>
    </w:p>
    <w:p>
      <w:pPr>
        <w:keepNext/>
        <w:spacing w:after="40" w:before="0"/>
      </w:pPr>
      <w:r>
        <w:rPr>
          <w:rFonts w:ascii="Arial" w:hAnsi="Arial" w:eastAsia="Arial"/>
          <w:b/>
          <w:i w:val="0"/>
          <w:color w:val="1F3864"/>
          <w:sz w:val="22"/>
        </w:rPr>
        <w:t xml:space="preserve">[23] </w:t>
      </w:r>
      <w:r>
        <w:rPr>
          <w:rFonts w:ascii="Arial" w:hAnsi="Arial" w:eastAsia="Arial"/>
          <w:b/>
          <w:i w:val="0"/>
          <w:sz w:val="21"/>
        </w:rPr>
        <w:t>Ma, Z., Pitt, D., Azizzadenesheli, K. and Anandkumar, A. (2024). Calibrated uncertainty quantification for operator learning via conformal prediction. Transactions on Machine Learning Research, August 2024.</w:t>
      </w:r>
    </w:p>
    <w:p>
      <w:pPr>
        <w:spacing w:after="40" w:before="0"/>
        <w:ind w:left="283"/>
      </w:pPr>
      <w:r>
        <w:rPr>
          <w:rFonts w:ascii="Arial" w:hAnsi="Arial" w:eastAsia="Arial"/>
          <w:b w:val="0"/>
          <w:i/>
          <w:color w:val="52606D"/>
          <w:sz w:val="20"/>
        </w:rPr>
        <w:t xml:space="preserve">Caltech (Anandkumar)   </w:t>
      </w:r>
      <w:hyperlink r:id="rId51">
        <w:r>
          <w:rPr>
            <w:rFonts w:ascii="Arial" w:hAnsi="Arial"/>
            <w:color w:val="1F5FBF"/>
            <w:u w:val="single"/>
            <w:sz w:val="20"/>
          </w:rPr>
          <w:t xml:space="preserve">openreview.net/forum?id=cGpegxy12T</w:t>
        </w:r>
      </w:hyperlink>
      <w:r>
        <w:rPr>
          <w:rFonts w:ascii="Arial" w:hAnsi="Arial" w:eastAsia="Arial"/>
          <w:b w:val="0"/>
          <w:i w:val="0"/>
          <w:sz w:val="20"/>
        </w:rPr>
        <w:t xml:space="preserve">   |   free: </w:t>
      </w:r>
      <w:hyperlink r:id="rId52">
        <w:r>
          <w:rPr>
            <w:rFonts w:ascii="Arial" w:hAnsi="Arial"/>
            <w:color w:val="1F5FBF"/>
            <w:u w:val="single"/>
            <w:sz w:val="20"/>
          </w:rPr>
          <w:t xml:space="preserve">arXiv</w:t>
        </w:r>
      </w:hyperlink>
    </w:p>
    <w:p>
      <w:pPr>
        <w:spacing w:after="40" w:before="0"/>
        <w:ind w:left="283"/>
      </w:pPr>
      <w:r>
        <w:rPr>
          <w:rFonts w:ascii="Arial" w:hAnsi="Arial" w:eastAsia="Arial"/>
          <w:b/>
          <w:i w:val="0"/>
          <w:sz w:val="21"/>
        </w:rPr>
        <w:t xml:space="preserve">Done: </w:t>
      </w:r>
      <w:r>
        <w:rPr>
          <w:rFonts w:ascii="Arial" w:hAnsi="Arial" w:eastAsia="Arial"/>
          <w:b w:val="0"/>
          <w:i w:val="0"/>
          <w:sz w:val="21"/>
        </w:rPr>
        <w:t>A risk-controlling quantile neural operator gives, with probability at least 1 − δ, an expected fraction of domain points outside the band of at most α; it alone reached the 98% target on a 3-D task.</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surrogate guarantee is the first of the three margin terms of M1; CERTAIN-COAST extends it from a fraction of the domain to the asset points where the alarms are issued.</w:t>
      </w:r>
    </w:p>
    <w:p>
      <w:pPr>
        <w:keepNext/>
        <w:spacing w:after="40" w:before="0"/>
      </w:pPr>
      <w:r>
        <w:rPr>
          <w:rFonts w:ascii="Arial" w:hAnsi="Arial" w:eastAsia="Arial"/>
          <w:b/>
          <w:i w:val="0"/>
          <w:color w:val="1F3864"/>
          <w:sz w:val="22"/>
        </w:rPr>
        <w:t xml:space="preserve">[24] </w:t>
      </w:r>
      <w:r>
        <w:rPr>
          <w:rFonts w:ascii="Arial" w:hAnsi="Arial" w:eastAsia="Arial"/>
          <w:b/>
          <w:i w:val="0"/>
          <w:sz w:val="21"/>
        </w:rPr>
        <w:t>Fong, E. and Holmes, C. (2021). Conformal Bayesian computation. Advances in Neural Information Processing Systems 34 (NeurIPS 2021).</w:t>
      </w:r>
    </w:p>
    <w:p>
      <w:pPr>
        <w:spacing w:after="40" w:before="0"/>
        <w:ind w:left="283"/>
      </w:pPr>
      <w:r>
        <w:rPr>
          <w:rFonts w:ascii="Arial" w:hAnsi="Arial" w:eastAsia="Arial"/>
          <w:b w:val="0"/>
          <w:i/>
          <w:color w:val="52606D"/>
          <w:sz w:val="20"/>
        </w:rPr>
        <w:t xml:space="preserve">Oxford (Holmes)   </w:t>
      </w:r>
      <w:hyperlink r:id="rId53">
        <w:r>
          <w:rPr>
            <w:rFonts w:ascii="Arial" w:hAnsi="Arial"/>
            <w:color w:val="1F5FBF"/>
            <w:u w:val="single"/>
            <w:sz w:val="20"/>
          </w:rPr>
          <w:t xml:space="preserve">proceedings.neurips.cc/paper/2021/hash/97785e0500ad16c18574c64189ccf4b4-Abstract.html</w:t>
        </w:r>
      </w:hyperlink>
      <w:r>
        <w:rPr>
          <w:rFonts w:ascii="Arial" w:hAnsi="Arial" w:eastAsia="Arial"/>
          <w:b w:val="0"/>
          <w:i w:val="0"/>
          <w:sz w:val="20"/>
        </w:rPr>
        <w:t xml:space="preserve">   |   free: </w:t>
      </w:r>
      <w:hyperlink r:id="rId54">
        <w:r>
          <w:rPr>
            <w:rFonts w:ascii="Arial" w:hAnsi="Arial"/>
            <w:color w:val="1F5FBF"/>
            <w:u w:val="single"/>
            <w:sz w:val="20"/>
          </w:rPr>
          <w:t xml:space="preserve">proceedings PDF</w:t>
        </w:r>
      </w:hyperlink>
    </w:p>
    <w:p>
      <w:pPr>
        <w:spacing w:after="40" w:before="0"/>
        <w:ind w:left="283"/>
      </w:pPr>
      <w:r>
        <w:rPr>
          <w:rFonts w:ascii="Arial" w:hAnsi="Arial" w:eastAsia="Arial"/>
          <w:b/>
          <w:i w:val="0"/>
          <w:sz w:val="21"/>
        </w:rPr>
        <w:t xml:space="preserve">Done: </w:t>
      </w:r>
      <w:r>
        <w:rPr>
          <w:rFonts w:ascii="Arial" w:hAnsi="Arial" w:eastAsia="Arial"/>
          <w:b w:val="0"/>
          <w:i w:val="0"/>
          <w:sz w:val="21"/>
        </w:rPr>
        <w:t>Full conformal prediction for Bayesian models from existing posterior samples, with finite-sample coverage even under misspecification; extends to hierarchical data.</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Bayesian calibration of the coupled model keeps its posterior, and conformal Bayes turns it into intervals with frequentist coverage; hierarchical data match several wells and sites.</w:t>
      </w:r>
    </w:p>
    <w:p>
      <w:pPr>
        <w:keepNext/>
        <w:spacing w:after="40" w:before="0"/>
      </w:pPr>
      <w:r>
        <w:rPr>
          <w:rFonts w:ascii="Arial" w:hAnsi="Arial" w:eastAsia="Arial"/>
          <w:b/>
          <w:i w:val="0"/>
          <w:color w:val="1F3864"/>
          <w:sz w:val="22"/>
        </w:rPr>
        <w:t xml:space="preserve">[25] </w:t>
      </w:r>
      <w:r>
        <w:rPr>
          <w:rFonts w:ascii="Arial" w:hAnsi="Arial" w:eastAsia="Arial"/>
          <w:b/>
          <w:i w:val="0"/>
          <w:sz w:val="21"/>
        </w:rPr>
        <w:t>Kovachki, N., Li, Z., Liu, B., Azizzadenesheli, K., Bhattacharya, K., Stuart, A. and Anandkumar, A. (2023). Neural operator: learning maps between function spaces with applications to PDEs. Journal of Machine Learning Research 24(89), 1–97.</w:t>
      </w:r>
    </w:p>
    <w:p>
      <w:pPr>
        <w:spacing w:after="40" w:before="0"/>
        <w:ind w:left="283"/>
      </w:pPr>
      <w:r>
        <w:rPr>
          <w:rFonts w:ascii="Arial" w:hAnsi="Arial" w:eastAsia="Arial"/>
          <w:b w:val="0"/>
          <w:i/>
          <w:color w:val="52606D"/>
          <w:sz w:val="20"/>
        </w:rPr>
        <w:t xml:space="preserve">Caltech (Stuart, Anandkumar)   </w:t>
      </w:r>
      <w:hyperlink r:id="rId55">
        <w:r>
          <w:rPr>
            <w:rFonts w:ascii="Arial" w:hAnsi="Arial"/>
            <w:color w:val="1F5FBF"/>
            <w:u w:val="single"/>
            <w:sz w:val="20"/>
          </w:rPr>
          <w:t xml:space="preserve">www.jmlr.org/papers/v24/21-1524.html</w:t>
        </w:r>
      </w:hyperlink>
      <w:r>
        <w:rPr>
          <w:rFonts w:ascii="Arial" w:hAnsi="Arial" w:eastAsia="Arial"/>
          <w:b w:val="0"/>
          <w:i w:val="0"/>
          <w:sz w:val="20"/>
        </w:rPr>
        <w:t xml:space="preserve">   |   free: </w:t>
      </w:r>
      <w:hyperlink r:id="rId56">
        <w:r>
          <w:rPr>
            <w:rFonts w:ascii="Arial" w:hAnsi="Arial"/>
            <w:color w:val="1F5FBF"/>
            <w:u w:val="single"/>
            <w:sz w:val="20"/>
          </w:rPr>
          <w:t xml:space="preserve">arXiv</w:t>
        </w:r>
      </w:hyperlink>
    </w:p>
    <w:p>
      <w:pPr>
        <w:spacing w:after="40" w:before="0"/>
        <w:ind w:left="283"/>
      </w:pPr>
      <w:r>
        <w:rPr>
          <w:rFonts w:ascii="Arial" w:hAnsi="Arial" w:eastAsia="Arial"/>
          <w:b/>
          <w:i w:val="0"/>
          <w:sz w:val="21"/>
        </w:rPr>
        <w:t xml:space="preserve">Done: </w:t>
      </w:r>
      <w:r>
        <w:rPr>
          <w:rFonts w:ascii="Arial" w:hAnsi="Arial" w:eastAsia="Arial"/>
          <w:b w:val="0"/>
          <w:i w:val="0"/>
          <w:sz w:val="21"/>
        </w:rPr>
        <w:t>Defines discretisation-invariant neural operators and proves universal approximation of continuous nonlinear operators.</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coupled variable-density, poroelastic model is learned as an operator from forcing to hazard indicators, with the a-posteriori certificate approximation theory does not give.</w:t>
      </w:r>
    </w:p>
    <w:p>
      <w:pPr>
        <w:keepNext/>
        <w:spacing w:after="40" w:before="0"/>
      </w:pPr>
      <w:r>
        <w:rPr>
          <w:rFonts w:ascii="Arial" w:hAnsi="Arial" w:eastAsia="Arial"/>
          <w:b/>
          <w:i w:val="0"/>
          <w:color w:val="1F3864"/>
          <w:sz w:val="22"/>
        </w:rPr>
        <w:t xml:space="preserve">[26] </w:t>
      </w:r>
      <w:r>
        <w:rPr>
          <w:rFonts w:ascii="Arial" w:hAnsi="Arial" w:eastAsia="Arial"/>
          <w:b/>
          <w:i w:val="0"/>
          <w:sz w:val="21"/>
        </w:rPr>
        <w:t>Chen, Y., Hosseini, B., Owhadi, H. and Stuart, A.M. (2021). Solving and learning nonlinear PDEs with Gaussian processes. Journal of Computational Physics 447, 110668.</w:t>
      </w:r>
    </w:p>
    <w:p>
      <w:pPr>
        <w:spacing w:after="40" w:before="0"/>
        <w:ind w:left="283"/>
      </w:pPr>
      <w:r>
        <w:rPr>
          <w:rFonts w:ascii="Arial" w:hAnsi="Arial" w:eastAsia="Arial"/>
          <w:b w:val="0"/>
          <w:i/>
          <w:color w:val="52606D"/>
          <w:sz w:val="20"/>
        </w:rPr>
        <w:t xml:space="preserve">Caltech (Owhadi, Stuart)   </w:t>
      </w:r>
      <w:hyperlink r:id="rId57">
        <w:r>
          <w:rPr>
            <w:rFonts w:ascii="Arial" w:hAnsi="Arial"/>
            <w:color w:val="1F5FBF"/>
            <w:u w:val="single"/>
            <w:sz w:val="20"/>
          </w:rPr>
          <w:t xml:space="preserve">doi.org/10.1016/j.jcp.2021.110668</w:t>
        </w:r>
      </w:hyperlink>
      <w:r>
        <w:rPr>
          <w:rFonts w:ascii="Arial" w:hAnsi="Arial" w:eastAsia="Arial"/>
          <w:b w:val="0"/>
          <w:i w:val="0"/>
          <w:sz w:val="20"/>
        </w:rPr>
        <w:t xml:space="preserve">   |   free: </w:t>
      </w:r>
      <w:hyperlink r:id="rId58">
        <w:r>
          <w:rPr>
            <w:rFonts w:ascii="Arial" w:hAnsi="Arial"/>
            <w:color w:val="1F5FBF"/>
            <w:u w:val="single"/>
            <w:sz w:val="20"/>
          </w:rPr>
          <w:t xml:space="preserve">arXiv</w:t>
        </w:r>
      </w:hyperlink>
    </w:p>
    <w:p>
      <w:pPr>
        <w:spacing w:after="40" w:before="0"/>
        <w:ind w:left="283"/>
      </w:pPr>
      <w:r>
        <w:rPr>
          <w:rFonts w:ascii="Arial" w:hAnsi="Arial" w:eastAsia="Arial"/>
          <w:b/>
          <w:i w:val="0"/>
          <w:sz w:val="21"/>
        </w:rPr>
        <w:t xml:space="preserve">Done: </w:t>
      </w:r>
      <w:r>
        <w:rPr>
          <w:rFonts w:ascii="Arial" w:hAnsi="Arial" w:eastAsia="Arial"/>
          <w:b w:val="0"/>
          <w:i w:val="0"/>
          <w:sz w:val="21"/>
        </w:rPr>
        <w:t>Nonlinear PDEs solved as the MAP of a Gaussian process conditioned at collocation points, with Gauss–Newton in a few iterations and convergence guarantees; inverse problems solved jointly.</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kernel route gives the coupled model an alternative surrogate with built-in uncertainty, for the small, data-poor coastal domains where neural operators are hard to train.</w:t>
      </w:r>
    </w:p>
    <w:p>
      <w:pPr>
        <w:keepNext/>
        <w:spacing w:after="40" w:before="0"/>
      </w:pPr>
      <w:r>
        <w:rPr>
          <w:rFonts w:ascii="Arial" w:hAnsi="Arial" w:eastAsia="Arial"/>
          <w:b/>
          <w:i w:val="0"/>
          <w:color w:val="1F3864"/>
          <w:sz w:val="22"/>
        </w:rPr>
        <w:t xml:space="preserve">[27] </w:t>
      </w:r>
      <w:r>
        <w:rPr>
          <w:rFonts w:ascii="Arial" w:hAnsi="Arial" w:eastAsia="Arial"/>
          <w:b/>
          <w:i w:val="0"/>
          <w:sz w:val="21"/>
        </w:rPr>
        <w:t>Hamze Bajgiran, H., Batlle, P., Owhadi, H., Samir, M., Scovel, C., Shirdel, M., Stanley, M. and Tavallali, P. (2022). Uncertainty quantification of the 4th kind; optimal posterior accuracy-uncertainty tradeoff with the minimum enclosing ball. Journal of Computational Physics 471, 111608. (DOI not confirmed.)</w:t>
      </w:r>
    </w:p>
    <w:p>
      <w:pPr>
        <w:spacing w:after="40" w:before="0"/>
        <w:ind w:left="283"/>
      </w:pPr>
      <w:r>
        <w:rPr>
          <w:rFonts w:ascii="Arial" w:hAnsi="Arial" w:eastAsia="Arial"/>
          <w:b w:val="0"/>
          <w:i/>
          <w:color w:val="52606D"/>
          <w:sz w:val="20"/>
        </w:rPr>
        <w:t xml:space="preserve">Caltech (Owhadi, Scovel)   </w:t>
      </w:r>
      <w:hyperlink r:id="rId59">
        <w:r>
          <w:rPr>
            <w:rFonts w:ascii="Arial" w:hAnsi="Arial"/>
            <w:color w:val="1F5FBF"/>
            <w:u w:val="single"/>
            <w:sz w:val="20"/>
          </w:rPr>
          <w:t xml:space="preserve">arxiv.org/abs/2108.10517</w:t>
        </w:r>
      </w:hyperlink>
      <w:r>
        <w:rPr>
          <w:rFonts w:ascii="Arial" w:hAnsi="Arial" w:eastAsia="Arial"/>
          <w:b w:val="0"/>
          <w:i w:val="0"/>
          <w:sz w:val="20"/>
        </w:rPr>
        <w:t xml:space="preserve">   |   free: </w:t>
      </w:r>
      <w:hyperlink r:id="rId60">
        <w:r>
          <w:rPr>
            <w:rFonts w:ascii="Arial" w:hAnsi="Arial"/>
            <w:color w:val="1F5FBF"/>
            <w:u w:val="single"/>
            <w:sz w:val="20"/>
          </w:rPr>
          <w:t xml:space="preserve">CaltechAUTHORS PDF</w:t>
        </w:r>
      </w:hyperlink>
    </w:p>
    <w:p>
      <w:pPr>
        <w:spacing w:after="40" w:before="0"/>
        <w:ind w:left="283"/>
      </w:pPr>
      <w:r>
        <w:rPr>
          <w:rFonts w:ascii="Arial" w:hAnsi="Arial" w:eastAsia="Arial"/>
          <w:b/>
          <w:i w:val="0"/>
          <w:sz w:val="21"/>
        </w:rPr>
        <w:t xml:space="preserve">Done: </w:t>
      </w:r>
      <w:r>
        <w:rPr>
          <w:rFonts w:ascii="Arial" w:hAnsi="Arial" w:eastAsia="Arial"/>
          <w:b w:val="0"/>
          <w:i w:val="0"/>
          <w:sz w:val="21"/>
        </w:rPr>
        <w:t>Combines robust optimisation, Bayesian inference and hypothesis testing: the optimal estimate and its worst-case risk are the centre and radius of the minimum enclosing ball of a likelihood region mapped to the quantity of interest.</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worst-case radius gives the extreme-aware margin a rigorous form: the alarm margin for states beyond the record is the enclosing-ball radius over the plausible forcing set.</w:t>
      </w:r>
    </w:p>
    <w:p>
      <w:pPr>
        <w:keepNext/>
        <w:spacing w:after="40" w:before="0"/>
      </w:pPr>
      <w:r>
        <w:rPr>
          <w:rFonts w:ascii="Arial" w:hAnsi="Arial" w:eastAsia="Arial"/>
          <w:b/>
          <w:i w:val="0"/>
          <w:color w:val="1F3864"/>
          <w:sz w:val="22"/>
        </w:rPr>
        <w:t xml:space="preserve">[28] </w:t>
      </w:r>
      <w:r>
        <w:rPr>
          <w:rFonts w:ascii="Arial" w:hAnsi="Arial" w:eastAsia="Arial"/>
          <w:b/>
          <w:i w:val="0"/>
          <w:sz w:val="21"/>
        </w:rPr>
        <w:t>Calvello, E., Reich, S. and Stuart, A.M. (2025). Ensemble Kalman methods: a mean-field perspective. Acta Numerica 34, 123–291.</w:t>
      </w:r>
    </w:p>
    <w:p>
      <w:pPr>
        <w:spacing w:after="40" w:before="0"/>
        <w:ind w:left="283"/>
      </w:pPr>
      <w:r>
        <w:rPr>
          <w:rFonts w:ascii="Arial" w:hAnsi="Arial" w:eastAsia="Arial"/>
          <w:b w:val="0"/>
          <w:i/>
          <w:color w:val="52606D"/>
          <w:sz w:val="20"/>
        </w:rPr>
        <w:t xml:space="preserve">Caltech (Stuart)   </w:t>
      </w:r>
      <w:hyperlink r:id="rId61">
        <w:r>
          <w:rPr>
            <w:rFonts w:ascii="Arial" w:hAnsi="Arial"/>
            <w:color w:val="1F5FBF"/>
            <w:u w:val="single"/>
            <w:sz w:val="20"/>
          </w:rPr>
          <w:t xml:space="preserve">doi.org/10.1017/S0962492924000060</w:t>
        </w:r>
      </w:hyperlink>
      <w:r>
        <w:rPr>
          <w:rFonts w:ascii="Arial" w:hAnsi="Arial" w:eastAsia="Arial"/>
          <w:b w:val="0"/>
          <w:i w:val="0"/>
          <w:sz w:val="20"/>
        </w:rPr>
        <w:t xml:space="preserve">   |   free: </w:t>
      </w:r>
      <w:hyperlink r:id="rId62">
        <w:r>
          <w:rPr>
            <w:rFonts w:ascii="Arial" w:hAnsi="Arial"/>
            <w:color w:val="1F5FBF"/>
            <w:u w:val="single"/>
            <w:sz w:val="20"/>
          </w:rPr>
          <w:t xml:space="preserve">arXiv</w:t>
        </w:r>
      </w:hyperlink>
    </w:p>
    <w:p>
      <w:pPr>
        <w:spacing w:after="40" w:before="0"/>
        <w:ind w:left="283"/>
      </w:pPr>
      <w:r>
        <w:rPr>
          <w:rFonts w:ascii="Arial" w:hAnsi="Arial" w:eastAsia="Arial"/>
          <w:b/>
          <w:i w:val="0"/>
          <w:sz w:val="21"/>
        </w:rPr>
        <w:t xml:space="preserve">Done: </w:t>
      </w:r>
      <w:r>
        <w:rPr>
          <w:rFonts w:ascii="Arial" w:hAnsi="Arial" w:eastAsia="Arial"/>
          <w:b w:val="0"/>
          <w:i w:val="0"/>
          <w:sz w:val="21"/>
        </w:rPr>
        <w:t>A unifying analysis of ensemble Kalman methods for filtering, inversion and sampling as particle approximations of mean-field models, exact in the linear-Gaussian case.</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Ensemble Kalman assimilation of heads, chloride, InSAR and dv/v updates the coupled state; its non-Gaussian error is absorbed by the conformal layer rather than ignored.</w:t>
      </w:r>
    </w:p>
    <w:p>
      <w:pPr>
        <w:keepNext/>
        <w:spacing w:after="40" w:before="0"/>
      </w:pPr>
      <w:r>
        <w:rPr>
          <w:rFonts w:ascii="Arial" w:hAnsi="Arial" w:eastAsia="Arial"/>
          <w:b/>
          <w:i w:val="0"/>
          <w:color w:val="1F3864"/>
          <w:sz w:val="22"/>
        </w:rPr>
        <w:t xml:space="preserve">[29] </w:t>
      </w:r>
      <w:r>
        <w:rPr>
          <w:rFonts w:ascii="Arial" w:hAnsi="Arial" w:eastAsia="Arial"/>
          <w:b/>
          <w:i w:val="0"/>
          <w:sz w:val="21"/>
        </w:rPr>
        <w:t>Zahm, O., Cui, T., Law, K., Spantini, A. and Marzouk, Y. (2022). Certified dimension reduction in nonlinear Bayesian inverse problems. Mathematics of Computation 91(336), 1789–1835.</w:t>
      </w:r>
    </w:p>
    <w:p>
      <w:pPr>
        <w:spacing w:after="40" w:before="0"/>
        <w:ind w:left="283"/>
      </w:pPr>
      <w:r>
        <w:rPr>
          <w:rFonts w:ascii="Arial" w:hAnsi="Arial" w:eastAsia="Arial"/>
          <w:b w:val="0"/>
          <w:i/>
          <w:color w:val="52606D"/>
          <w:sz w:val="20"/>
        </w:rPr>
        <w:t xml:space="preserve">MIT (Marzouk)   </w:t>
      </w:r>
      <w:hyperlink r:id="rId63">
        <w:r>
          <w:rPr>
            <w:rFonts w:ascii="Arial" w:hAnsi="Arial"/>
            <w:color w:val="1F5FBF"/>
            <w:u w:val="single"/>
            <w:sz w:val="20"/>
          </w:rPr>
          <w:t xml:space="preserve">www.ams.org/journals/mcom/2022-91-336/S0025-5718-2022-03737-6/</w:t>
        </w:r>
      </w:hyperlink>
      <w:r>
        <w:rPr>
          <w:rFonts w:ascii="Arial" w:hAnsi="Arial" w:eastAsia="Arial"/>
          <w:b w:val="0"/>
          <w:i w:val="0"/>
          <w:sz w:val="20"/>
        </w:rPr>
        <w:t xml:space="preserve">   |   free: </w:t>
      </w:r>
      <w:hyperlink r:id="rId64">
        <w:r>
          <w:rPr>
            <w:rFonts w:ascii="Arial" w:hAnsi="Arial"/>
            <w:color w:val="1F5FBF"/>
            <w:u w:val="single"/>
            <w:sz w:val="20"/>
          </w:rPr>
          <w:t xml:space="preserve">arXiv</w:t>
        </w:r>
      </w:hyperlink>
    </w:p>
    <w:p>
      <w:pPr>
        <w:spacing w:after="40" w:before="0"/>
        <w:ind w:left="283"/>
      </w:pPr>
      <w:r>
        <w:rPr>
          <w:rFonts w:ascii="Arial" w:hAnsi="Arial" w:eastAsia="Arial"/>
          <w:b/>
          <w:i w:val="0"/>
          <w:sz w:val="21"/>
        </w:rPr>
        <w:t xml:space="preserve">Done: </w:t>
      </w:r>
      <w:r>
        <w:rPr>
          <w:rFonts w:ascii="Arial" w:hAnsi="Arial" w:eastAsia="Arial"/>
          <w:b w:val="0"/>
          <w:i w:val="0"/>
          <w:sz w:val="21"/>
        </w:rPr>
        <w:t>Approximates the likelihood by a ridge function chosen to minimise a computable upper bound on the KL divergence between exact and approximate posteriors, which certifies the approximation.</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The certified reduction makes calibration of the coupled model tractable and gives the error budget that enters the alarm margin.</w:t>
      </w:r>
    </w:p>
    <w:p>
      <w:pPr>
        <w:keepNext/>
        <w:spacing w:after="40" w:before="0"/>
      </w:pPr>
      <w:r>
        <w:rPr>
          <w:rFonts w:ascii="Arial" w:hAnsi="Arial" w:eastAsia="Arial"/>
          <w:b/>
          <w:i w:val="0"/>
          <w:color w:val="1F3864"/>
          <w:sz w:val="22"/>
        </w:rPr>
        <w:t xml:space="preserve">[30] </w:t>
      </w:r>
      <w:r>
        <w:rPr>
          <w:rFonts w:ascii="Arial" w:hAnsi="Arial" w:eastAsia="Arial"/>
          <w:b/>
          <w:i w:val="0"/>
          <w:sz w:val="21"/>
        </w:rPr>
        <w:t>Huan, X., Jagalur, J. and Marzouk, Y. (2024). Optimal experimental design: formulations and computations. Acta Numerica 33, 715–840.</w:t>
      </w:r>
    </w:p>
    <w:p>
      <w:pPr>
        <w:spacing w:after="40" w:before="0"/>
        <w:ind w:left="283"/>
      </w:pPr>
      <w:r>
        <w:rPr>
          <w:rFonts w:ascii="Arial" w:hAnsi="Arial" w:eastAsia="Arial"/>
          <w:b w:val="0"/>
          <w:i/>
          <w:color w:val="52606D"/>
          <w:sz w:val="20"/>
        </w:rPr>
        <w:t xml:space="preserve">MIT (Marzouk)   </w:t>
      </w:r>
      <w:hyperlink r:id="rId65">
        <w:r>
          <w:rPr>
            <w:rFonts w:ascii="Arial" w:hAnsi="Arial"/>
            <w:color w:val="1F5FBF"/>
            <w:u w:val="single"/>
            <w:sz w:val="20"/>
          </w:rPr>
          <w:t xml:space="preserve">doi.org/10.1017/S0962492924000023</w:t>
        </w:r>
      </w:hyperlink>
      <w:r>
        <w:rPr>
          <w:rFonts w:ascii="Arial" w:hAnsi="Arial" w:eastAsia="Arial"/>
          <w:b w:val="0"/>
          <w:i/>
          <w:color w:val="52606D"/>
          <w:sz w:val="20"/>
        </w:rPr>
        <w:t xml:space="preserve">   |   free version: check the authors' pages or arXiv</w:t>
      </w:r>
    </w:p>
    <w:p>
      <w:pPr>
        <w:spacing w:after="40" w:before="0"/>
        <w:ind w:left="283"/>
      </w:pPr>
      <w:r>
        <w:rPr>
          <w:rFonts w:ascii="Arial" w:hAnsi="Arial" w:eastAsia="Arial"/>
          <w:b/>
          <w:i w:val="0"/>
          <w:sz w:val="21"/>
        </w:rPr>
        <w:t xml:space="preserve">Done: </w:t>
      </w:r>
      <w:r>
        <w:rPr>
          <w:rFonts w:ascii="Arial" w:hAnsi="Arial" w:eastAsia="Arial"/>
          <w:b w:val="0"/>
          <w:i w:val="0"/>
          <w:sz w:val="21"/>
        </w:rPr>
        <w:t>A unified review of optimal experimental design, Bayesian and goal-oriented criteria, and their computation.</w:t>
      </w:r>
    </w:p>
    <w:p>
      <w:pPr>
        <w:spacing w:after="160" w:before="0"/>
        <w:ind w:left="283"/>
      </w:pPr>
      <w:r>
        <w:rPr>
          <w:rFonts w:ascii="Arial" w:hAnsi="Arial" w:eastAsia="Arial"/>
          <w:b/>
          <w:i w:val="0"/>
          <w:color w:val="1E8A5A"/>
          <w:sz w:val="21"/>
        </w:rPr>
        <w:t xml:space="preserve">Beyond it in CERTAIN-COAST: </w:t>
      </w:r>
      <w:r>
        <w:rPr>
          <w:rFonts w:ascii="Arial" w:hAnsi="Arial" w:eastAsia="Arial"/>
          <w:b w:val="0"/>
          <w:i w:val="0"/>
          <w:sz w:val="21"/>
        </w:rPr>
        <w:t>Extended in M3 from one goal and one sensor type to the joint miss probability of three warnings and seven sensor types.</w:t>
      </w:r>
    </w:p>
    <w:p>
      <w:pPr>
        <w:keepNext/>
        <w:spacing w:after="120" w:before="120"/>
      </w:pPr>
      <w:r>
        <w:rPr>
          <w:rFonts w:ascii="Arial" w:hAnsi="Arial" w:eastAsia="Arial"/>
          <w:b/>
          <w:i w:val="0"/>
          <w:color w:val="2E6DB4"/>
          <w:sz w:val="25"/>
        </w:rPr>
        <w:t>Local study (not from the four universities)</w:t>
      </w:r>
    </w:p>
    <w:p>
      <w:pPr>
        <w:spacing w:after="60" w:before="0"/>
      </w:pPr>
      <w:r>
        <w:rPr>
          <w:rFonts w:ascii="Arial" w:hAnsi="Arial" w:eastAsia="Arial"/>
          <w:b/>
          <w:i w:val="0"/>
          <w:color w:val="1F3864"/>
          <w:sz w:val="22"/>
        </w:rPr>
        <w:t xml:space="preserve">[L1] </w:t>
      </w:r>
      <w:r>
        <w:rPr>
          <w:rFonts w:ascii="Arial" w:hAnsi="Arial" w:eastAsia="Arial"/>
          <w:b w:val="0"/>
          <w:i w:val="0"/>
          <w:sz w:val="21"/>
        </w:rPr>
        <w:t xml:space="preserve">Mavroulis, S., Lekkas, E. and Carydis, P. (2021). Liquefaction phenomena induced by the 26 November 2019, Mw = 6.4 Durrës (Albania) earthquake and liquefaction susceptibility assessment in the affected area. Geosciences 11(5), 215.  </w:t>
      </w:r>
      <w:hyperlink r:id="rId66">
        <w:r>
          <w:rPr>
            <w:rFonts w:ascii="Arial" w:hAnsi="Arial"/>
            <w:color w:val="1F5FBF"/>
            <w:u w:val="single"/>
            <w:sz w:val="20"/>
          </w:rPr>
          <w:t xml:space="preserve">doi.org/10.3390/geosciences11050215</w:t>
        </w:r>
      </w:hyperlink>
    </w:p>
    <w:p>
      <w:pPr>
        <w:spacing w:after="80" w:before="160"/>
      </w:pPr>
      <w:r>
        <w:rPr>
          <w:rFonts w:ascii="Arial" w:hAnsi="Arial" w:eastAsia="Arial"/>
          <w:b w:val="0"/>
          <w:i/>
          <w:color w:val="52606D"/>
          <w:sz w:val="19"/>
        </w:rPr>
        <w:t>Verification: each entry was checked against publisher, proceedings or institutional-repository records through web search; publisher sites could not be opened directly from this environment. Gaps are stated in the entry (the DOI of [27]). Some free links are repository records whose full text was not checked. No 2020–2026 paper on seawater intrusion with an author at the four universities was found; the intrusion state of the art rests on the preparatory work and is itself a gap.</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29/2024WR039161" TargetMode="External"/><Relationship Id="rId10" Type="http://schemas.openxmlformats.org/officeDocument/2006/relationships/hyperlink" Target="https://essopenarchive.org/doi/full/10.22541/essoar.173046635.57543794/v1" TargetMode="External"/><Relationship Id="rId11" Type="http://schemas.openxmlformats.org/officeDocument/2006/relationships/hyperlink" Target="https://doi.org/10.1073/pnas.2526041123" TargetMode="External"/><Relationship Id="rId12" Type="http://schemas.openxmlformats.org/officeDocument/2006/relationships/hyperlink" Target="https://authors.library.caltech.edu/records/hjp15-k0645" TargetMode="External"/><Relationship Id="rId13" Type="http://schemas.openxmlformats.org/officeDocument/2006/relationships/hyperlink" Target="https://doi.org/10.1029/2024JB030794" TargetMode="External"/><Relationship Id="rId14" Type="http://schemas.openxmlformats.org/officeDocument/2006/relationships/hyperlink" Target="https://authors.library.caltech.edu/records/vbhry-09e90" TargetMode="External"/><Relationship Id="rId15" Type="http://schemas.openxmlformats.org/officeDocument/2006/relationships/hyperlink" Target="https://doi.org/10.1038/s41561-026-02005-1" TargetMode="External"/><Relationship Id="rId16" Type="http://schemas.openxmlformats.org/officeDocument/2006/relationships/hyperlink" Target="https://doi.org/10.5194/essd-16-3471-2024" TargetMode="External"/><Relationship Id="rId17" Type="http://schemas.openxmlformats.org/officeDocument/2006/relationships/hyperlink" Target="https://essd.copernicus.org/articles/16/3471/2024/" TargetMode="External"/><Relationship Id="rId18" Type="http://schemas.openxmlformats.org/officeDocument/2006/relationships/hyperlink" Target="https://doi.org/10.1038/s41558-026-02659-0" TargetMode="External"/><Relationship Id="rId19" Type="http://schemas.openxmlformats.org/officeDocument/2006/relationships/hyperlink" Target="https://publications.marum.de/5800/" TargetMode="External"/><Relationship Id="rId20" Type="http://schemas.openxmlformats.org/officeDocument/2006/relationships/hyperlink" Target="https://doi.org/10.1175/BAMS-D-23-0177.1" TargetMode="External"/><Relationship Id="rId21" Type="http://schemas.openxmlformats.org/officeDocument/2006/relationships/hyperlink" Target="https://dspace.mit.edu/handle/1721.1/169800" TargetMode="External"/><Relationship Id="rId22" Type="http://schemas.openxmlformats.org/officeDocument/2006/relationships/hyperlink" Target="https://doi.org/10.1088/2752-5295/ae26bc" TargetMode="External"/><Relationship Id="rId23" Type="http://schemas.openxmlformats.org/officeDocument/2006/relationships/hyperlink" Target="https://ora.ox.ac.uk/objects/uuid:d97b8693-4357-416e-aa2b-6e12136d97ae" TargetMode="External"/><Relationship Id="rId24" Type="http://schemas.openxmlformats.org/officeDocument/2006/relationships/hyperlink" Target="https://doi.org/10.1038/s43247-022-00656-7" TargetMode="External"/><Relationship Id="rId25" Type="http://schemas.openxmlformats.org/officeDocument/2006/relationships/hyperlink" Target="https://doi.org/10.1177/87552930231163894" TargetMode="External"/><Relationship Id="rId26" Type="http://schemas.openxmlformats.org/officeDocument/2006/relationships/hyperlink" Target="https://escholarship.org/uc/item/2f93p946" TargetMode="External"/><Relationship Id="rId27" Type="http://schemas.openxmlformats.org/officeDocument/2006/relationships/hyperlink" Target="https://doi.org/10.1029/2021GL096503" TargetMode="External"/><Relationship Id="rId28" Type="http://schemas.openxmlformats.org/officeDocument/2006/relationships/hyperlink" Target="https://resolver.caltech.edu/CaltechAUTHORS:20220120-890594000" TargetMode="External"/><Relationship Id="rId29" Type="http://schemas.openxmlformats.org/officeDocument/2006/relationships/hyperlink" Target="https://doi.org/10.1029/2022GL101189" TargetMode="External"/><Relationship Id="rId30" Type="http://schemas.openxmlformats.org/officeDocument/2006/relationships/hyperlink" Target="https://www.osti.gov/pages/biblio/1903071" TargetMode="External"/><Relationship Id="rId31" Type="http://schemas.openxmlformats.org/officeDocument/2006/relationships/hyperlink" Target="https://doi.org/10.1680/jgeot.18.P.255" TargetMode="External"/><Relationship Id="rId32" Type="http://schemas.openxmlformats.org/officeDocument/2006/relationships/hyperlink" Target="https://research.tudelft.nl/en/publications/pisa-design-model-for-monopiles-for-offshore-wind-turbines-applic" TargetMode="External"/><Relationship Id="rId33" Type="http://schemas.openxmlformats.org/officeDocument/2006/relationships/hyperlink" Target="https://doi.org/10.1680/jgeot.20.PISA.009" TargetMode="External"/><Relationship Id="rId34" Type="http://schemas.openxmlformats.org/officeDocument/2006/relationships/hyperlink" Target="https://spiral.imperial.ac.uk/entities/publication/ae22661c-46e4-4710-ac7a-7b44a602fa47" TargetMode="External"/><Relationship Id="rId35" Type="http://schemas.openxmlformats.org/officeDocument/2006/relationships/hyperlink" Target="https://doi.org/10.1061/JGGEFK.GTENG-9833" TargetMode="External"/><Relationship Id="rId36" Type="http://schemas.openxmlformats.org/officeDocument/2006/relationships/hyperlink" Target="https://ora.ox.ac.uk/objects/uuid:5077c91e-daec-48a8-ad24-de711938f81d" TargetMode="External"/><Relationship Id="rId37" Type="http://schemas.openxmlformats.org/officeDocument/2006/relationships/hyperlink" Target="https://doi.org/10.1038/s41467-022-32194-3" TargetMode="External"/><Relationship Id="rId38" Type="http://schemas.openxmlformats.org/officeDocument/2006/relationships/hyperlink" Target="https://www.ncbi.nlm.nih.gov/pmc/articles/PMC9360030/" TargetMode="External"/><Relationship Id="rId39" Type="http://schemas.openxmlformats.org/officeDocument/2006/relationships/hyperlink" Target="https://doi.org/10.1038/s41467-024-50690-6" TargetMode="External"/><Relationship Id="rId40" Type="http://schemas.openxmlformats.org/officeDocument/2006/relationships/hyperlink" Target="https://www.nature.com/articles/s41467-024-50690-6" TargetMode="External"/><Relationship Id="rId41" Type="http://schemas.openxmlformats.org/officeDocument/2006/relationships/hyperlink" Target="https://doi.org/10.1029/2022JB025553" TargetMode="External"/><Relationship Id="rId42" Type="http://schemas.openxmlformats.org/officeDocument/2006/relationships/hyperlink" Target="https://eartharxiv.org/repository/view/4658/" TargetMode="External"/><Relationship Id="rId43" Type="http://schemas.openxmlformats.org/officeDocument/2006/relationships/hyperlink" Target="https://proceedings.iclr.cc/paper_files/paper/2024/hash/f3549ef9b5ff520a7e41ff3cc306ab2b-Abstract-Conference.html" TargetMode="External"/><Relationship Id="rId44" Type="http://schemas.openxmlformats.org/officeDocument/2006/relationships/hyperlink" Target="https://arxiv.org/abs/2208.02814" TargetMode="External"/><Relationship Id="rId45" Type="http://schemas.openxmlformats.org/officeDocument/2006/relationships/hyperlink" Target="https://proceedings.mlr.press/v235/angelopoulos24a.html" TargetMode="External"/><Relationship Id="rId46" Type="http://schemas.openxmlformats.org/officeDocument/2006/relationships/hyperlink" Target="https://arxiv.org/abs/2402.01139" TargetMode="External"/><Relationship Id="rId47" Type="http://schemas.openxmlformats.org/officeDocument/2006/relationships/hyperlink" Target="https://proceedings.mlr.press/v235/zhang24e.html" TargetMode="External"/><Relationship Id="rId48" Type="http://schemas.openxmlformats.org/officeDocument/2006/relationships/hyperlink" Target="https://arxiv.org/abs/2402.02720" TargetMode="External"/><Relationship Id="rId49" Type="http://schemas.openxmlformats.org/officeDocument/2006/relationships/hyperlink" Target="https://proceedings.mlr.press/v211/dixit23a.html" TargetMode="External"/><Relationship Id="rId50" Type="http://schemas.openxmlformats.org/officeDocument/2006/relationships/hyperlink" Target="https://arxiv.org/abs/2212.00278" TargetMode="External"/><Relationship Id="rId51" Type="http://schemas.openxmlformats.org/officeDocument/2006/relationships/hyperlink" Target="https://openreview.net/forum?id=cGpegxy12T" TargetMode="External"/><Relationship Id="rId52" Type="http://schemas.openxmlformats.org/officeDocument/2006/relationships/hyperlink" Target="https://arxiv.org/abs/2402.01960" TargetMode="External"/><Relationship Id="rId53" Type="http://schemas.openxmlformats.org/officeDocument/2006/relationships/hyperlink" Target="https://proceedings.neurips.cc/paper/2021/hash/97785e0500ad16c18574c64189ccf4b4-Abstract.html" TargetMode="External"/><Relationship Id="rId54" Type="http://schemas.openxmlformats.org/officeDocument/2006/relationships/hyperlink" Target="https://proceedings.nips.cc/paper_files/paper/2021/file/97785e0500ad16c18574c64189ccf4b4-Paper.pdf" TargetMode="External"/><Relationship Id="rId55" Type="http://schemas.openxmlformats.org/officeDocument/2006/relationships/hyperlink" Target="https://www.jmlr.org/papers/v24/21-1524.html" TargetMode="External"/><Relationship Id="rId56" Type="http://schemas.openxmlformats.org/officeDocument/2006/relationships/hyperlink" Target="https://arxiv.org/abs/2108.08481" TargetMode="External"/><Relationship Id="rId57" Type="http://schemas.openxmlformats.org/officeDocument/2006/relationships/hyperlink" Target="https://doi.org/10.1016/j.jcp.2021.110668" TargetMode="External"/><Relationship Id="rId58" Type="http://schemas.openxmlformats.org/officeDocument/2006/relationships/hyperlink" Target="https://arxiv.org/abs/2103.12959" TargetMode="External"/><Relationship Id="rId59" Type="http://schemas.openxmlformats.org/officeDocument/2006/relationships/hyperlink" Target="https://arxiv.org/abs/2108.10517" TargetMode="External"/><Relationship Id="rId60" Type="http://schemas.openxmlformats.org/officeDocument/2006/relationships/hyperlink" Target="https://authors.library.caltech.edu/records/v0cp5-ykc35/preview/2108.10517.pdf" TargetMode="External"/><Relationship Id="rId61" Type="http://schemas.openxmlformats.org/officeDocument/2006/relationships/hyperlink" Target="https://doi.org/10.1017/S0962492924000060" TargetMode="External"/><Relationship Id="rId62" Type="http://schemas.openxmlformats.org/officeDocument/2006/relationships/hyperlink" Target="https://arxiv.org/abs/2209.11371" TargetMode="External"/><Relationship Id="rId63" Type="http://schemas.openxmlformats.org/officeDocument/2006/relationships/hyperlink" Target="https://www.ams.org/journals/mcom/2022-91-336/S0025-5718-2022-03737-6/" TargetMode="External"/><Relationship Id="rId64" Type="http://schemas.openxmlformats.org/officeDocument/2006/relationships/hyperlink" Target="https://arxiv.org/abs/1807.03712" TargetMode="External"/><Relationship Id="rId65" Type="http://schemas.openxmlformats.org/officeDocument/2006/relationships/hyperlink" Target="https://doi.org/10.1017/S0962492924000023" TargetMode="External"/><Relationship Id="rId66" Type="http://schemas.openxmlformats.org/officeDocument/2006/relationships/hyperlink" Target="https://doi.org/10.3390/geosciences110502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