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Dissemination Plan</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60" w:before="0"/>
        <w:jc w:val="both"/>
      </w:pPr>
      <w:r>
        <w:rPr>
          <w:rFonts w:ascii="Arial" w:hAnsi="Arial" w:eastAsia="Arial"/>
          <w:b w:val="0"/>
          <w:i w:val="0"/>
          <w:sz w:val="23"/>
        </w:rPr>
        <w:t>CERTAIN-COAST produces two kinds of results: methods that any coast can reuse, and warnings about specific critical infrastructure. The dissemination plan treats them differently. Methods, software, verification statistics and policy conclusions are made as open and as widely used as possible; asset-level vulnerability results go only to the operators and authorities who must act on them. Every output passes a release gate before it leaves the project. The plan reaches seven audiences with products timed to the project's decisions, and is measured by indicators reported to the SPS Programme. It is delivered through WP6 (T6.1–T6.4), with D6.1 (open software and data, Month 33) and D6.2 (operating procedures and policy brief, Month 36).</w:t>
      </w:r>
    </w:p>
    <w:p>
      <w:pPr>
        <w:keepNext/>
        <w:spacing w:after="120" w:before="80"/>
      </w:pPr>
      <w:r>
        <w:rPr>
          <w:rFonts w:ascii="Arial" w:hAnsi="Arial" w:eastAsia="Arial"/>
          <w:b/>
          <w:i w:val="0"/>
          <w:color w:val="1F3864"/>
          <w:sz w:val="27"/>
        </w:rPr>
        <w:t>1. Aims</w:t>
      </w:r>
    </w:p>
    <w:p>
      <w:pPr>
        <w:spacing w:after="60" w:before="0"/>
        <w:ind w:left="283"/>
      </w:pPr>
      <w:r>
        <w:rPr>
          <w:rFonts w:ascii="Arial" w:hAnsi="Arial" w:eastAsia="Arial"/>
          <w:b/>
          <w:i w:val="0"/>
          <w:sz w:val="22"/>
        </w:rPr>
        <w:t xml:space="preserve">• </w:t>
      </w:r>
      <w:r>
        <w:rPr>
          <w:rFonts w:ascii="Arial" w:hAnsi="Arial" w:eastAsia="Arial"/>
          <w:b/>
          <w:i w:val="0"/>
          <w:sz w:val="22"/>
        </w:rPr>
        <w:t>Use.</w:t>
      </w:r>
      <w:r>
        <w:rPr>
          <w:rFonts w:ascii="Arial" w:hAnsi="Arial" w:eastAsia="Arial"/>
          <w:b w:val="0"/>
          <w:i w:val="0"/>
          <w:sz w:val="22"/>
        </w:rPr>
        <w:t xml:space="preserve"> The operators of the wellfields, the port and the energy landfall run the system and adopt procedures for it, and civil protection uses its bulletins after events.</w:t>
      </w:r>
    </w:p>
    <w:p>
      <w:pPr>
        <w:spacing w:after="60" w:before="0"/>
        <w:ind w:left="283"/>
      </w:pPr>
      <w:r>
        <w:rPr>
          <w:rFonts w:ascii="Arial" w:hAnsi="Arial" w:eastAsia="Arial"/>
          <w:b/>
          <w:i w:val="0"/>
          <w:sz w:val="22"/>
        </w:rPr>
        <w:t xml:space="preserve">• </w:t>
      </w:r>
      <w:r>
        <w:rPr>
          <w:rFonts w:ascii="Arial" w:hAnsi="Arial" w:eastAsia="Arial"/>
          <w:b/>
          <w:i w:val="0"/>
          <w:sz w:val="22"/>
        </w:rPr>
        <w:t>Policy.</w:t>
      </w:r>
      <w:r>
        <w:rPr>
          <w:rFonts w:ascii="Arial" w:hAnsi="Arial" w:eastAsia="Arial"/>
          <w:b w:val="0"/>
          <w:i w:val="0"/>
          <w:sz w:val="22"/>
        </w:rPr>
        <w:t xml:space="preserve"> National authorities receive evidence on coastal subsidence, relative sea level and critical-infrastructure protection in a form they can use for planning.</w:t>
      </w:r>
    </w:p>
    <w:p>
      <w:pPr>
        <w:spacing w:after="60" w:before="0"/>
        <w:ind w:left="283"/>
      </w:pPr>
      <w:r>
        <w:rPr>
          <w:rFonts w:ascii="Arial" w:hAnsi="Arial" w:eastAsia="Arial"/>
          <w:b/>
          <w:i w:val="0"/>
          <w:sz w:val="22"/>
        </w:rPr>
        <w:t xml:space="preserve">• </w:t>
      </w:r>
      <w:r>
        <w:rPr>
          <w:rFonts w:ascii="Arial" w:hAnsi="Arial" w:eastAsia="Arial"/>
          <w:b/>
          <w:i w:val="0"/>
          <w:sz w:val="22"/>
        </w:rPr>
        <w:t>Science.</w:t>
      </w:r>
      <w:r>
        <w:rPr>
          <w:rFonts w:ascii="Arial" w:hAnsi="Arial" w:eastAsia="Arial"/>
          <w:b w:val="0"/>
          <w:i w:val="0"/>
          <w:sz w:val="22"/>
        </w:rPr>
        <w:t xml:space="preserve"> The coupled model, the certified alarms and the network design are published openly and can be tested and reused by others.</w:t>
      </w:r>
    </w:p>
    <w:p>
      <w:pPr>
        <w:spacing w:after="60" w:before="0"/>
        <w:ind w:left="283"/>
      </w:pPr>
      <w:r>
        <w:rPr>
          <w:rFonts w:ascii="Arial" w:hAnsi="Arial" w:eastAsia="Arial"/>
          <w:b/>
          <w:i w:val="0"/>
          <w:sz w:val="22"/>
        </w:rPr>
        <w:t xml:space="preserve">• </w:t>
      </w:r>
      <w:r>
        <w:rPr>
          <w:rFonts w:ascii="Arial" w:hAnsi="Arial" w:eastAsia="Arial"/>
          <w:b/>
          <w:i w:val="0"/>
          <w:sz w:val="22"/>
        </w:rPr>
        <w:t>Transfer.</w:t>
      </w:r>
      <w:r>
        <w:rPr>
          <w:rFonts w:ascii="Arial" w:hAnsi="Arial" w:eastAsia="Arial"/>
          <w:b w:val="0"/>
          <w:i w:val="0"/>
          <w:sz w:val="22"/>
        </w:rPr>
        <w:t xml:space="preserve"> Other subsiding coasts with wellfields, ports and energy landfalls, in the Adriatic and beyond, can repeat the analysis with the open software and training material.</w:t>
      </w:r>
    </w:p>
    <w:p>
      <w:pPr>
        <w:spacing w:after="60" w:before="0"/>
        <w:ind w:left="283"/>
      </w:pPr>
      <w:r>
        <w:rPr>
          <w:rFonts w:ascii="Arial" w:hAnsi="Arial" w:eastAsia="Arial"/>
          <w:b/>
          <w:i w:val="0"/>
          <w:sz w:val="22"/>
        </w:rPr>
        <w:t xml:space="preserve">• </w:t>
      </w:r>
      <w:r>
        <w:rPr>
          <w:rFonts w:ascii="Arial" w:hAnsi="Arial" w:eastAsia="Arial"/>
          <w:b/>
          <w:i w:val="0"/>
          <w:sz w:val="22"/>
        </w:rPr>
        <w:t>Protection.</w:t>
      </w:r>
      <w:r>
        <w:rPr>
          <w:rFonts w:ascii="Arial" w:hAnsi="Arial" w:eastAsia="Arial"/>
          <w:b w:val="0"/>
          <w:i w:val="0"/>
          <w:sz w:val="22"/>
        </w:rPr>
        <w:t xml:space="preserve"> Nothing released helps an adversary find where critical infrastructure is most vulnerable.</w:t>
      </w:r>
    </w:p>
    <w:p>
      <w:pPr>
        <w:keepNext/>
        <w:spacing w:after="120" w:before="160"/>
      </w:pPr>
      <w:r>
        <w:rPr>
          <w:rFonts w:ascii="Arial" w:hAnsi="Arial" w:eastAsia="Arial"/>
          <w:b/>
          <w:i w:val="0"/>
          <w:color w:val="1F3864"/>
          <w:sz w:val="27"/>
        </w:rPr>
        <w:t>2. Audiences and what each receives</w:t>
      </w:r>
    </w:p>
    <w:tbl>
      <w:tblPr>
        <w:tblStyle w:val="TableGrid"/>
        <w:tblW w:type="auto" w:w="0"/>
        <w:jc w:val="center"/>
        <w:tblLayout w:type="fixed"/>
        <w:tblLook w:firstColumn="1" w:firstRow="1" w:lastColumn="0" w:lastRow="0" w:noHBand="0" w:noVBand="1" w:val="04A0"/>
        <w:tblLayout w:type="fixed"/>
      </w:tblPr>
      <w:tblGrid>
        <w:gridCol w:w="2041"/>
        <w:gridCol w:w="2154"/>
        <w:gridCol w:w="3288"/>
        <w:gridCol w:w="2154"/>
      </w:tblGrid>
      <w:tr>
        <w:trPr>
          <w:cantSplit/>
          <w:tblHeader/>
        </w:trPr>
        <w:tc>
          <w:tcPr>
            <w:tcW w:type="dxa" w:w="2041"/>
            <w:shd w:val="clear" w:color="auto" w:fill="1F3864"/>
          </w:tcPr>
          <w:p>
            <w:pPr>
              <w:keepNext/>
            </w:pPr>
            <w:r/>
            <w:r>
              <w:rPr>
                <w:rFonts w:ascii="Arial" w:hAnsi="Arial" w:eastAsia="Arial"/>
                <w:b/>
                <w:i w:val="0"/>
                <w:color w:val="FFFFFF"/>
                <w:sz w:val="19"/>
              </w:rPr>
              <w:t>Audience</w:t>
            </w:r>
          </w:p>
        </w:tc>
        <w:tc>
          <w:tcPr>
            <w:tcW w:type="dxa" w:w="2154"/>
            <w:shd w:val="clear" w:color="auto" w:fill="1F3864"/>
          </w:tcPr>
          <w:p>
            <w:pPr>
              <w:keepNext/>
            </w:pPr>
            <w:r/>
            <w:r>
              <w:rPr>
                <w:rFonts w:ascii="Arial" w:hAnsi="Arial" w:eastAsia="Arial"/>
                <w:b/>
                <w:i w:val="0"/>
                <w:color w:val="FFFFFF"/>
                <w:sz w:val="19"/>
              </w:rPr>
              <w:t>What they need</w:t>
            </w:r>
          </w:p>
        </w:tc>
        <w:tc>
          <w:tcPr>
            <w:tcW w:type="dxa" w:w="3288"/>
            <w:shd w:val="clear" w:color="auto" w:fill="1F3864"/>
          </w:tcPr>
          <w:p>
            <w:pPr>
              <w:keepNext/>
            </w:pPr>
            <w:r/>
            <w:r>
              <w:rPr>
                <w:rFonts w:ascii="Arial" w:hAnsi="Arial" w:eastAsia="Arial"/>
                <w:b/>
                <w:i w:val="0"/>
                <w:color w:val="FFFFFF"/>
                <w:sz w:val="19"/>
              </w:rPr>
              <w:t>What CERTAIN-COAST gives them</w:t>
            </w:r>
          </w:p>
        </w:tc>
        <w:tc>
          <w:tcPr>
            <w:tcW w:type="dxa" w:w="2154"/>
            <w:shd w:val="clear" w:color="auto" w:fill="1F3864"/>
          </w:tcPr>
          <w:p>
            <w:pPr>
              <w:keepNext/>
            </w:pPr>
            <w:r/>
            <w:r>
              <w:rPr>
                <w:rFonts w:ascii="Arial" w:hAnsi="Arial" w:eastAsia="Arial"/>
                <w:b/>
                <w:i w:val="0"/>
                <w:color w:val="FFFFFF"/>
                <w:sz w:val="19"/>
              </w:rPr>
              <w:t>Main channels</w:t>
            </w:r>
          </w:p>
        </w:tc>
      </w:tr>
      <w:tr>
        <w:trPr>
          <w:cantSplit/>
        </w:trPr>
        <w:tc>
          <w:tcPr>
            <w:tcW w:type="dxa" w:w="2041"/>
          </w:tcPr>
          <w:p>
            <w:r/>
            <w:r>
              <w:rPr>
                <w:rFonts w:ascii="Arial" w:hAnsi="Arial" w:eastAsia="Arial"/>
                <w:b w:val="0"/>
                <w:i w:val="0"/>
                <w:sz w:val="19"/>
              </w:rPr>
              <w:t>Water utility, port authority, energy landfall operator</w:t>
            </w:r>
          </w:p>
        </w:tc>
        <w:tc>
          <w:tcPr>
            <w:tcW w:type="dxa" w:w="2154"/>
          </w:tcPr>
          <w:p>
            <w:r/>
            <w:r>
              <w:rPr>
                <w:rFonts w:ascii="Arial" w:hAnsi="Arial" w:eastAsia="Arial"/>
                <w:b w:val="0"/>
                <w:i w:val="0"/>
                <w:sz w:val="19"/>
              </w:rPr>
              <w:t>Warnings they can act on, with known reliability</w:t>
            </w:r>
          </w:p>
        </w:tc>
        <w:tc>
          <w:tcPr>
            <w:tcW w:type="dxa" w:w="3288"/>
          </w:tcPr>
          <w:p>
            <w:r/>
            <w:r>
              <w:rPr>
                <w:rFonts w:ascii="Arial" w:hAnsi="Arial" w:eastAsia="Arial"/>
                <w:b w:val="0"/>
                <w:i w:val="0"/>
                <w:sz w:val="19"/>
              </w:rPr>
              <w:t>Bulletins with certified miss rates; joint pumping rule; operating procedures; training (restricted tier)</w:t>
            </w:r>
          </w:p>
        </w:tc>
        <w:tc>
          <w:tcPr>
            <w:tcW w:type="dxa" w:w="2154"/>
          </w:tcPr>
          <w:p>
            <w:r/>
            <w:r>
              <w:rPr>
                <w:rFonts w:ascii="Arial" w:hAnsi="Arial" w:eastAsia="Arial"/>
                <w:b w:val="0"/>
                <w:i w:val="0"/>
                <w:sz w:val="19"/>
              </w:rPr>
              <w:t>Bulletin interface; workshops; on-site training</w:t>
            </w:r>
          </w:p>
        </w:tc>
      </w:tr>
      <w:tr>
        <w:trPr>
          <w:cantSplit/>
        </w:trPr>
        <w:tc>
          <w:tcPr>
            <w:tcW w:type="dxa" w:w="2041"/>
          </w:tcPr>
          <w:p>
            <w:r/>
            <w:r>
              <w:rPr>
                <w:rFonts w:ascii="Arial" w:hAnsi="Arial" w:eastAsia="Arial"/>
                <w:b w:val="0"/>
                <w:i w:val="0"/>
                <w:sz w:val="19"/>
              </w:rPr>
              <w:t>Civil protection and national authorities</w:t>
            </w:r>
          </w:p>
        </w:tc>
        <w:tc>
          <w:tcPr>
            <w:tcW w:type="dxa" w:w="2154"/>
          </w:tcPr>
          <w:p>
            <w:r/>
            <w:r>
              <w:rPr>
                <w:rFonts w:ascii="Arial" w:hAnsi="Arial" w:eastAsia="Arial"/>
                <w:b w:val="0"/>
                <w:i w:val="0"/>
                <w:sz w:val="19"/>
              </w:rPr>
              <w:t>One consistent picture after events; numbers for planning</w:t>
            </w:r>
          </w:p>
        </w:tc>
        <w:tc>
          <w:tcPr>
            <w:tcW w:type="dxa" w:w="3288"/>
          </w:tcPr>
          <w:p>
            <w:r/>
            <w:r>
              <w:rPr>
                <w:rFonts w:ascii="Arial" w:hAnsi="Arial" w:eastAsia="Arial"/>
                <w:b w:val="0"/>
                <w:i w:val="0"/>
                <w:sz w:val="19"/>
              </w:rPr>
              <w:t>Post-event reports; relative sea level at each asset; policy brief</w:t>
            </w:r>
          </w:p>
        </w:tc>
        <w:tc>
          <w:tcPr>
            <w:tcW w:type="dxa" w:w="2154"/>
          </w:tcPr>
          <w:p>
            <w:r/>
            <w:r>
              <w:rPr>
                <w:rFonts w:ascii="Arial" w:hAnsi="Arial" w:eastAsia="Arial"/>
                <w:b w:val="0"/>
                <w:i w:val="0"/>
                <w:sz w:val="19"/>
              </w:rPr>
              <w:t>Briefings; workshops; policy brief</w:t>
            </w:r>
          </w:p>
        </w:tc>
      </w:tr>
      <w:tr>
        <w:trPr>
          <w:cantSplit/>
        </w:trPr>
        <w:tc>
          <w:tcPr>
            <w:tcW w:type="dxa" w:w="2041"/>
          </w:tcPr>
          <w:p>
            <w:r/>
            <w:r>
              <w:rPr>
                <w:rFonts w:ascii="Arial" w:hAnsi="Arial" w:eastAsia="Arial"/>
                <w:b w:val="0"/>
                <w:i w:val="0"/>
                <w:sz w:val="19"/>
              </w:rPr>
              <w:t>NATO SPS Programme, Allies and partners</w:t>
            </w:r>
          </w:p>
        </w:tc>
        <w:tc>
          <w:tcPr>
            <w:tcW w:type="dxa" w:w="2154"/>
          </w:tcPr>
          <w:p>
            <w:r/>
            <w:r>
              <w:rPr>
                <w:rFonts w:ascii="Arial" w:hAnsi="Arial" w:eastAsia="Arial"/>
                <w:b w:val="0"/>
                <w:i w:val="0"/>
                <w:sz w:val="19"/>
              </w:rPr>
              <w:t>Evidence of security value and a capability others can adopt</w:t>
            </w:r>
          </w:p>
        </w:tc>
        <w:tc>
          <w:tcPr>
            <w:tcW w:type="dxa" w:w="3288"/>
          </w:tcPr>
          <w:p>
            <w:r/>
            <w:r>
              <w:rPr>
                <w:rFonts w:ascii="Arial" w:hAnsi="Arial" w:eastAsia="Arial"/>
                <w:b w:val="0"/>
                <w:i w:val="0"/>
                <w:sz w:val="19"/>
              </w:rPr>
              <w:t>Progress and final reports; project summary for SPS communication; transfer workshop</w:t>
            </w:r>
          </w:p>
        </w:tc>
        <w:tc>
          <w:tcPr>
            <w:tcW w:type="dxa" w:w="2154"/>
          </w:tcPr>
          <w:p>
            <w:r/>
            <w:r>
              <w:rPr>
                <w:rFonts w:ascii="Arial" w:hAnsi="Arial" w:eastAsia="Arial"/>
                <w:b w:val="0"/>
                <w:i w:val="0"/>
                <w:sz w:val="19"/>
              </w:rPr>
              <w:t>Reports; final event; SPS channels</w:t>
            </w:r>
          </w:p>
        </w:tc>
      </w:tr>
      <w:tr>
        <w:trPr>
          <w:cantSplit/>
        </w:trPr>
        <w:tc>
          <w:tcPr>
            <w:tcW w:type="dxa" w:w="2041"/>
          </w:tcPr>
          <w:p>
            <w:r/>
            <w:r>
              <w:rPr>
                <w:rFonts w:ascii="Arial" w:hAnsi="Arial" w:eastAsia="Arial"/>
                <w:b w:val="0"/>
                <w:i w:val="0"/>
                <w:sz w:val="19"/>
              </w:rPr>
              <w:t>Scientific community</w:t>
            </w:r>
          </w:p>
        </w:tc>
        <w:tc>
          <w:tcPr>
            <w:tcW w:type="dxa" w:w="2154"/>
          </w:tcPr>
          <w:p>
            <w:r/>
            <w:r>
              <w:rPr>
                <w:rFonts w:ascii="Arial" w:hAnsi="Arial" w:eastAsia="Arial"/>
                <w:b w:val="0"/>
                <w:i w:val="0"/>
                <w:sz w:val="19"/>
              </w:rPr>
              <w:t>Methods, data and code to test and reuse</w:t>
            </w:r>
          </w:p>
        </w:tc>
        <w:tc>
          <w:tcPr>
            <w:tcW w:type="dxa" w:w="3288"/>
          </w:tcPr>
          <w:p>
            <w:r/>
            <w:r>
              <w:rPr>
                <w:rFonts w:ascii="Arial" w:hAnsi="Arial" w:eastAsia="Arial"/>
                <w:b w:val="0"/>
                <w:i w:val="0"/>
                <w:sz w:val="19"/>
              </w:rPr>
              <w:t>Open-access papers; open software; synthetic test coast; verification statistics</w:t>
            </w:r>
          </w:p>
        </w:tc>
        <w:tc>
          <w:tcPr>
            <w:tcW w:type="dxa" w:w="2154"/>
          </w:tcPr>
          <w:p>
            <w:r/>
            <w:r>
              <w:rPr>
                <w:rFonts w:ascii="Arial" w:hAnsi="Arial" w:eastAsia="Arial"/>
                <w:b w:val="0"/>
                <w:i w:val="0"/>
                <w:sz w:val="19"/>
              </w:rPr>
              <w:t>Journals; conferences; open repository</w:t>
            </w:r>
          </w:p>
        </w:tc>
      </w:tr>
      <w:tr>
        <w:trPr>
          <w:cantSplit/>
        </w:trPr>
        <w:tc>
          <w:tcPr>
            <w:tcW w:type="dxa" w:w="2041"/>
          </w:tcPr>
          <w:p>
            <w:r/>
            <w:r>
              <w:rPr>
                <w:rFonts w:ascii="Arial" w:hAnsi="Arial" w:eastAsia="Arial"/>
                <w:b w:val="0"/>
                <w:i w:val="0"/>
                <w:sz w:val="19"/>
              </w:rPr>
              <w:t>Operators and agencies of other coasts</w:t>
            </w:r>
          </w:p>
        </w:tc>
        <w:tc>
          <w:tcPr>
            <w:tcW w:type="dxa" w:w="2154"/>
          </w:tcPr>
          <w:p>
            <w:r/>
            <w:r>
              <w:rPr>
                <w:rFonts w:ascii="Arial" w:hAnsi="Arial" w:eastAsia="Arial"/>
                <w:b w:val="0"/>
                <w:i w:val="0"/>
                <w:sz w:val="19"/>
              </w:rPr>
              <w:t>A way to repeat the analysis on their coast</w:t>
            </w:r>
          </w:p>
        </w:tc>
        <w:tc>
          <w:tcPr>
            <w:tcW w:type="dxa" w:w="3288"/>
          </w:tcPr>
          <w:p>
            <w:r/>
            <w:r>
              <w:rPr>
                <w:rFonts w:ascii="Arial" w:hAnsi="Arial" w:eastAsia="Arial"/>
                <w:b w:val="0"/>
                <w:i w:val="0"/>
                <w:sz w:val="19"/>
              </w:rPr>
              <w:t>Coast kit: software, test case and training material</w:t>
            </w:r>
          </w:p>
        </w:tc>
        <w:tc>
          <w:tcPr>
            <w:tcW w:type="dxa" w:w="2154"/>
          </w:tcPr>
          <w:p>
            <w:r/>
            <w:r>
              <w:rPr>
                <w:rFonts w:ascii="Arial" w:hAnsi="Arial" w:eastAsia="Arial"/>
                <w:b w:val="0"/>
                <w:i w:val="0"/>
                <w:sz w:val="19"/>
              </w:rPr>
              <w:t>Transfer workshop; webinars</w:t>
            </w:r>
          </w:p>
        </w:tc>
      </w:tr>
      <w:tr>
        <w:trPr>
          <w:cantSplit/>
        </w:trPr>
        <w:tc>
          <w:tcPr>
            <w:tcW w:type="dxa" w:w="2041"/>
          </w:tcPr>
          <w:p>
            <w:pPr>
              <w:keepNext/>
            </w:pPr>
            <w:r/>
            <w:r>
              <w:rPr>
                <w:rFonts w:ascii="Arial" w:hAnsi="Arial" w:eastAsia="Arial"/>
                <w:b w:val="0"/>
                <w:i w:val="0"/>
                <w:sz w:val="19"/>
              </w:rPr>
              <w:t>Students and early-career researchers</w:t>
            </w:r>
          </w:p>
        </w:tc>
        <w:tc>
          <w:tcPr>
            <w:tcW w:type="dxa" w:w="2154"/>
          </w:tcPr>
          <w:p>
            <w:pPr>
              <w:keepNext/>
            </w:pPr>
            <w:r/>
            <w:r>
              <w:rPr>
                <w:rFonts w:ascii="Arial" w:hAnsi="Arial" w:eastAsia="Arial"/>
                <w:b w:val="0"/>
                <w:i w:val="0"/>
                <w:sz w:val="19"/>
              </w:rPr>
              <w:t>Skills across geoscience, data science and security</w:t>
            </w:r>
          </w:p>
        </w:tc>
        <w:tc>
          <w:tcPr>
            <w:tcW w:type="dxa" w:w="3288"/>
          </w:tcPr>
          <w:p>
            <w:pPr>
              <w:keepNext/>
            </w:pPr>
            <w:r/>
            <w:r>
              <w:rPr>
                <w:rFonts w:ascii="Arial" w:hAnsi="Arial" w:eastAsia="Arial"/>
                <w:b w:val="0"/>
                <w:i w:val="0"/>
                <w:sz w:val="19"/>
              </w:rPr>
              <w:t>Training school; supervised work; co-authorship</w:t>
            </w:r>
          </w:p>
        </w:tc>
        <w:tc>
          <w:tcPr>
            <w:tcW w:type="dxa" w:w="2154"/>
          </w:tcPr>
          <w:p>
            <w:pPr>
              <w:keepNext/>
            </w:pPr>
            <w:r/>
            <w:r>
              <w:rPr>
                <w:rFonts w:ascii="Arial" w:hAnsi="Arial" w:eastAsia="Arial"/>
                <w:b w:val="0"/>
                <w:i w:val="0"/>
                <w:sz w:val="19"/>
              </w:rPr>
              <w:t>School; exchanges</w:t>
            </w:r>
          </w:p>
        </w:tc>
      </w:tr>
      <w:tr>
        <w:trPr>
          <w:cantSplit/>
        </w:trPr>
        <w:tc>
          <w:tcPr>
            <w:tcW w:type="dxa" w:w="2041"/>
          </w:tcPr>
          <w:p>
            <w:r/>
            <w:r>
              <w:rPr>
                <w:rFonts w:ascii="Arial" w:hAnsi="Arial" w:eastAsia="Arial"/>
                <w:b w:val="0"/>
                <w:i w:val="0"/>
                <w:sz w:val="19"/>
              </w:rPr>
              <w:t>Public and media in Durrës and Albania</w:t>
            </w:r>
          </w:p>
        </w:tc>
        <w:tc>
          <w:tcPr>
            <w:tcW w:type="dxa" w:w="2154"/>
          </w:tcPr>
          <w:p>
            <w:r/>
            <w:r>
              <w:rPr>
                <w:rFonts w:ascii="Arial" w:hAnsi="Arial" w:eastAsia="Arial"/>
                <w:b w:val="0"/>
                <w:i w:val="0"/>
                <w:sz w:val="19"/>
              </w:rPr>
              <w:t>Clear information on coastal risks and what is being done</w:t>
            </w:r>
          </w:p>
        </w:tc>
        <w:tc>
          <w:tcPr>
            <w:tcW w:type="dxa" w:w="3288"/>
          </w:tcPr>
          <w:p>
            <w:r/>
            <w:r>
              <w:rPr>
                <w:rFonts w:ascii="Arial" w:hAnsi="Arial" w:eastAsia="Arial"/>
                <w:b w:val="0"/>
                <w:i w:val="0"/>
                <w:sz w:val="19"/>
              </w:rPr>
              <w:t>Plain-language summaries in Albanian and English; news at key moments (screened)</w:t>
            </w:r>
          </w:p>
        </w:tc>
        <w:tc>
          <w:tcPr>
            <w:tcW w:type="dxa" w:w="2154"/>
          </w:tcPr>
          <w:p>
            <w:r/>
            <w:r>
              <w:rPr>
                <w:rFonts w:ascii="Arial" w:hAnsi="Arial" w:eastAsia="Arial"/>
                <w:b w:val="0"/>
                <w:i w:val="0"/>
                <w:sz w:val="19"/>
              </w:rPr>
              <w:t>Website; local media; public event</w:t>
            </w:r>
          </w:p>
        </w:tc>
      </w:tr>
    </w:tbl>
    <w:p>
      <w:pPr>
        <w:spacing w:after="80" w:before="0"/>
      </w:pPr>
    </w:p>
    <w:p>
      <w:pPr>
        <w:keepNext/>
        <w:pageBreakBefore/>
        <w:spacing w:after="120" w:before="0"/>
      </w:pPr>
      <w:r>
        <w:rPr>
          <w:rFonts w:ascii="Arial" w:hAnsi="Arial" w:eastAsia="Arial"/>
          <w:b/>
          <w:i w:val="0"/>
          <w:color w:val="1F3864"/>
          <w:sz w:val="27"/>
        </w:rPr>
        <w:t>3. Two tiers: open methods, restricted vulnerability</w:t>
      </w:r>
    </w:p>
    <w:p>
      <w:pPr>
        <w:spacing w:after="100" w:before="0"/>
        <w:jc w:val="both"/>
      </w:pPr>
      <w:r>
        <w:rPr>
          <w:rFonts w:ascii="Arial" w:hAnsi="Arial" w:eastAsia="Arial"/>
          <w:b w:val="0"/>
          <w:i w:val="0"/>
          <w:sz w:val="22"/>
        </w:rPr>
        <w:t>A map of where a port would liquefy or where an energy landfall would flood is valuable to its operator and to an adversary. CERTAIN-COAST therefore separates what is published from what is shared only with those who must act (Risk Assessment, R20):</w:t>
      </w:r>
    </w:p>
    <w:tbl>
      <w:tblPr>
        <w:tblStyle w:val="TableGrid"/>
        <w:tblW w:type="auto" w:w="0"/>
        <w:jc w:val="center"/>
        <w:tblLayout w:type="fixed"/>
        <w:tblLook w:firstColumn="1" w:firstRow="1" w:lastColumn="0" w:lastRow="0" w:noHBand="0" w:noVBand="1" w:val="04A0"/>
        <w:tblLayout w:type="fixed"/>
      </w:tblPr>
      <w:tblGrid>
        <w:gridCol w:w="1928"/>
        <w:gridCol w:w="4082"/>
        <w:gridCol w:w="3628"/>
      </w:tblGrid>
      <w:tr>
        <w:trPr>
          <w:cantSplit/>
          <w:tblHeader/>
        </w:trPr>
        <w:tc>
          <w:tcPr>
            <w:tcW w:type="dxa" w:w="1928"/>
            <w:shd w:val="clear" w:color="auto" w:fill="1F3864"/>
          </w:tcPr>
          <w:p>
            <w:pPr>
              <w:keepNext/>
            </w:pPr>
            <w:r/>
            <w:r>
              <w:rPr>
                <w:rFonts w:ascii="Arial" w:hAnsi="Arial" w:eastAsia="Arial"/>
                <w:b/>
                <w:i w:val="0"/>
                <w:color w:val="FFFFFF"/>
                <w:sz w:val="19"/>
              </w:rPr>
              <w:t>Result</w:t>
            </w:r>
          </w:p>
        </w:tc>
        <w:tc>
          <w:tcPr>
            <w:tcW w:type="dxa" w:w="4082"/>
            <w:shd w:val="clear" w:color="auto" w:fill="1F3864"/>
          </w:tcPr>
          <w:p>
            <w:pPr>
              <w:keepNext/>
            </w:pPr>
            <w:r/>
            <w:r>
              <w:rPr>
                <w:rFonts w:ascii="Arial" w:hAnsi="Arial" w:eastAsia="Arial"/>
                <w:b/>
                <w:i w:val="0"/>
                <w:color w:val="FFFFFF"/>
                <w:sz w:val="19"/>
              </w:rPr>
              <w:t>Open (public)</w:t>
            </w:r>
          </w:p>
        </w:tc>
        <w:tc>
          <w:tcPr>
            <w:tcW w:type="dxa" w:w="3628"/>
            <w:shd w:val="clear" w:color="auto" w:fill="1F3864"/>
          </w:tcPr>
          <w:p>
            <w:pPr>
              <w:keepNext/>
            </w:pPr>
            <w:r/>
            <w:r>
              <w:rPr>
                <w:rFonts w:ascii="Arial" w:hAnsi="Arial" w:eastAsia="Arial"/>
                <w:b/>
                <w:i w:val="0"/>
                <w:color w:val="FFFFFF"/>
                <w:sz w:val="19"/>
              </w:rPr>
              <w:t>Restricted (operators and authorities)</w:t>
            </w:r>
          </w:p>
        </w:tc>
      </w:tr>
      <w:tr>
        <w:trPr>
          <w:cantSplit/>
        </w:trPr>
        <w:tc>
          <w:tcPr>
            <w:tcW w:type="dxa" w:w="1928"/>
          </w:tcPr>
          <w:p>
            <w:r/>
            <w:r>
              <w:rPr>
                <w:rFonts w:ascii="Arial" w:hAnsi="Arial" w:eastAsia="Arial"/>
                <w:b w:val="0"/>
                <w:i w:val="0"/>
                <w:sz w:val="19"/>
              </w:rPr>
              <w:t>Methods and software</w:t>
            </w:r>
          </w:p>
        </w:tc>
        <w:tc>
          <w:tcPr>
            <w:tcW w:type="dxa" w:w="4082"/>
            <w:shd w:val="clear" w:color="auto" w:fill="E6F4EC"/>
          </w:tcPr>
          <w:p>
            <w:r/>
            <w:r>
              <w:rPr>
                <w:rFonts w:ascii="Arial" w:hAnsi="Arial" w:eastAsia="Arial"/>
                <w:b w:val="0"/>
                <w:i w:val="0"/>
                <w:sz w:val="19"/>
              </w:rPr>
              <w:t>All algorithms, code, documentation and a synthetic test coast</w:t>
            </w:r>
          </w:p>
        </w:tc>
        <w:tc>
          <w:tcPr>
            <w:tcW w:type="dxa" w:w="3628"/>
            <w:shd w:val="clear" w:color="auto" w:fill="FBEAEA"/>
          </w:tcPr>
          <w:p>
            <w:r/>
            <w:r>
              <w:rPr>
                <w:rFonts w:ascii="Arial" w:hAnsi="Arial" w:eastAsia="Arial"/>
                <w:b w:val="0"/>
                <w:i w:val="0"/>
                <w:sz w:val="19"/>
              </w:rPr>
              <w:t>—</w:t>
            </w:r>
          </w:p>
        </w:tc>
      </w:tr>
      <w:tr>
        <w:trPr>
          <w:cantSplit/>
        </w:trPr>
        <w:tc>
          <w:tcPr>
            <w:tcW w:type="dxa" w:w="1928"/>
          </w:tcPr>
          <w:p>
            <w:r/>
            <w:r>
              <w:rPr>
                <w:rFonts w:ascii="Arial" w:hAnsi="Arial" w:eastAsia="Arial"/>
                <w:b w:val="0"/>
                <w:i w:val="0"/>
                <w:sz w:val="19"/>
              </w:rPr>
              <w:t>Coastal motion</w:t>
            </w:r>
          </w:p>
        </w:tc>
        <w:tc>
          <w:tcPr>
            <w:tcW w:type="dxa" w:w="4082"/>
            <w:shd w:val="clear" w:color="auto" w:fill="E6F4EC"/>
          </w:tcPr>
          <w:p>
            <w:r/>
            <w:r>
              <w:rPr>
                <w:rFonts w:ascii="Arial" w:hAnsi="Arial" w:eastAsia="Arial"/>
                <w:b w:val="0"/>
                <w:i w:val="0"/>
                <w:sz w:val="19"/>
              </w:rPr>
              <w:t>Regional land-motion maps; the relative-sea-level method</w:t>
            </w:r>
          </w:p>
        </w:tc>
        <w:tc>
          <w:tcPr>
            <w:tcW w:type="dxa" w:w="3628"/>
            <w:shd w:val="clear" w:color="auto" w:fill="FBEAEA"/>
          </w:tcPr>
          <w:p>
            <w:r/>
            <w:r>
              <w:rPr>
                <w:rFonts w:ascii="Arial" w:hAnsi="Arial" w:eastAsia="Arial"/>
                <w:b w:val="0"/>
                <w:i w:val="0"/>
                <w:sz w:val="19"/>
              </w:rPr>
              <w:t>Values at named asset points</w:t>
            </w:r>
          </w:p>
        </w:tc>
      </w:tr>
      <w:tr>
        <w:trPr>
          <w:cantSplit/>
        </w:trPr>
        <w:tc>
          <w:tcPr>
            <w:tcW w:type="dxa" w:w="1928"/>
          </w:tcPr>
          <w:p>
            <w:r/>
            <w:r>
              <w:rPr>
                <w:rFonts w:ascii="Arial" w:hAnsi="Arial" w:eastAsia="Arial"/>
                <w:b w:val="0"/>
                <w:i w:val="0"/>
                <w:sz w:val="19"/>
              </w:rPr>
              <w:t>Model and hazards</w:t>
            </w:r>
          </w:p>
        </w:tc>
        <w:tc>
          <w:tcPr>
            <w:tcW w:type="dxa" w:w="4082"/>
            <w:shd w:val="clear" w:color="auto" w:fill="E6F4EC"/>
          </w:tcPr>
          <w:p>
            <w:r/>
            <w:r>
              <w:rPr>
                <w:rFonts w:ascii="Arial" w:hAnsi="Arial" w:eastAsia="Arial"/>
                <w:b w:val="0"/>
                <w:i w:val="0"/>
                <w:sz w:val="19"/>
              </w:rPr>
              <w:t>Model structure, calibration method, results aggregated or anonymised</w:t>
            </w:r>
          </w:p>
        </w:tc>
        <w:tc>
          <w:tcPr>
            <w:tcW w:type="dxa" w:w="3628"/>
            <w:shd w:val="clear" w:color="auto" w:fill="FBEAEA"/>
          </w:tcPr>
          <w:p>
            <w:r/>
            <w:r>
              <w:rPr>
                <w:rFonts w:ascii="Arial" w:hAnsi="Arial" w:eastAsia="Arial"/>
                <w:b w:val="0"/>
                <w:i w:val="0"/>
                <w:sz w:val="19"/>
              </w:rPr>
              <w:t>Asset-level intrusion, liquefaction and flooding maps</w:t>
            </w:r>
          </w:p>
        </w:tc>
      </w:tr>
      <w:tr>
        <w:trPr>
          <w:cantSplit/>
        </w:trPr>
        <w:tc>
          <w:tcPr>
            <w:tcW w:type="dxa" w:w="1928"/>
          </w:tcPr>
          <w:p>
            <w:pPr>
              <w:keepNext/>
            </w:pPr>
            <w:r/>
            <w:r>
              <w:rPr>
                <w:rFonts w:ascii="Arial" w:hAnsi="Arial" w:eastAsia="Arial"/>
                <w:b w:val="0"/>
                <w:i w:val="0"/>
                <w:sz w:val="19"/>
              </w:rPr>
              <w:t>Alarms</w:t>
            </w:r>
          </w:p>
        </w:tc>
        <w:tc>
          <w:tcPr>
            <w:tcW w:type="dxa" w:w="4082"/>
            <w:shd w:val="clear" w:color="auto" w:fill="E6F4EC"/>
          </w:tcPr>
          <w:p>
            <w:pPr>
              <w:keepNext/>
            </w:pPr>
            <w:r/>
            <w:r>
              <w:rPr>
                <w:rFonts w:ascii="Arial" w:hAnsi="Arial" w:eastAsia="Arial"/>
                <w:b w:val="0"/>
                <w:i w:val="0"/>
                <w:sz w:val="19"/>
              </w:rPr>
              <w:t>Verification statistics: observed miss and false-alarm rates with intervals</w:t>
            </w:r>
          </w:p>
        </w:tc>
        <w:tc>
          <w:tcPr>
            <w:tcW w:type="dxa" w:w="3628"/>
            <w:shd w:val="clear" w:color="auto" w:fill="FBEAEA"/>
          </w:tcPr>
          <w:p>
            <w:pPr>
              <w:keepNext/>
            </w:pPr>
            <w:r/>
            <w:r>
              <w:rPr>
                <w:rFonts w:ascii="Arial" w:hAnsi="Arial" w:eastAsia="Arial"/>
                <w:b w:val="0"/>
                <w:i w:val="0"/>
                <w:sz w:val="19"/>
              </w:rPr>
              <w:t>Thresholds, bulletin contents, sensor locations inside sites</w:t>
            </w:r>
          </w:p>
        </w:tc>
      </w:tr>
      <w:tr>
        <w:trPr>
          <w:cantSplit/>
        </w:trPr>
        <w:tc>
          <w:tcPr>
            <w:tcW w:type="dxa" w:w="1928"/>
          </w:tcPr>
          <w:p>
            <w:r/>
            <w:r>
              <w:rPr>
                <w:rFonts w:ascii="Arial" w:hAnsi="Arial" w:eastAsia="Arial"/>
                <w:b w:val="0"/>
                <w:i w:val="0"/>
                <w:sz w:val="19"/>
              </w:rPr>
              <w:t>Procedures and policy</w:t>
            </w:r>
          </w:p>
        </w:tc>
        <w:tc>
          <w:tcPr>
            <w:tcW w:type="dxa" w:w="4082"/>
            <w:shd w:val="clear" w:color="auto" w:fill="E6F4EC"/>
          </w:tcPr>
          <w:p>
            <w:r/>
            <w:r>
              <w:rPr>
                <w:rFonts w:ascii="Arial" w:hAnsi="Arial" w:eastAsia="Arial"/>
                <w:b w:val="0"/>
                <w:i w:val="0"/>
                <w:sz w:val="19"/>
              </w:rPr>
              <w:t>Generic procedure template; public version of the policy brief</w:t>
            </w:r>
          </w:p>
        </w:tc>
        <w:tc>
          <w:tcPr>
            <w:tcW w:type="dxa" w:w="3628"/>
            <w:shd w:val="clear" w:color="auto" w:fill="FBEAEA"/>
          </w:tcPr>
          <w:p>
            <w:r/>
            <w:r>
              <w:rPr>
                <w:rFonts w:ascii="Arial" w:hAnsi="Arial" w:eastAsia="Arial"/>
                <w:b w:val="0"/>
                <w:i w:val="0"/>
                <w:sz w:val="19"/>
              </w:rPr>
              <w:t>Operator-specific procedures; annex with asset details</w:t>
            </w:r>
          </w:p>
        </w:tc>
      </w:tr>
    </w:tbl>
    <w:p>
      <w:pPr>
        <w:spacing w:after="80" w:before="0"/>
      </w:pPr>
    </w:p>
    <w:p>
      <w:pPr>
        <w:spacing w:after="60" w:before="0"/>
      </w:pPr>
      <w:r>
        <w:rPr>
          <w:rFonts w:ascii="Arial" w:hAnsi="Arial" w:eastAsia="Arial"/>
          <w:b/>
          <w:i w:val="0"/>
          <w:color w:val="1F3864"/>
          <w:sz w:val="22"/>
        </w:rPr>
        <w:t>Release gate for every output</w:t>
      </w:r>
    </w:p>
    <w:p>
      <w:pPr>
        <w:spacing w:after="60" w:before="0"/>
        <w:ind w:left="283"/>
      </w:pPr>
      <w:r>
        <w:rPr>
          <w:rFonts w:ascii="Arial" w:hAnsi="Arial" w:eastAsia="Arial"/>
          <w:b/>
          <w:i w:val="0"/>
          <w:sz w:val="22"/>
        </w:rPr>
        <w:t xml:space="preserve">• </w:t>
      </w:r>
      <w:r>
        <w:rPr>
          <w:rFonts w:ascii="Arial" w:hAnsi="Arial" w:eastAsia="Arial"/>
          <w:b/>
          <w:i w:val="0"/>
          <w:sz w:val="22"/>
        </w:rPr>
        <w:t>Classify.</w:t>
      </w:r>
      <w:r>
        <w:rPr>
          <w:rFonts w:ascii="Arial" w:hAnsi="Arial" w:eastAsia="Arial"/>
          <w:b w:val="0"/>
          <w:i w:val="0"/>
          <w:sz w:val="22"/>
        </w:rPr>
        <w:t xml:space="preserve"> The author classifies each output as open or restricted using the data plan (T7.2).</w:t>
      </w:r>
    </w:p>
    <w:p>
      <w:pPr>
        <w:spacing w:after="60" w:before="0"/>
        <w:ind w:left="283"/>
      </w:pPr>
      <w:r>
        <w:rPr>
          <w:rFonts w:ascii="Arial" w:hAnsi="Arial" w:eastAsia="Arial"/>
          <w:b/>
          <w:i w:val="0"/>
          <w:sz w:val="22"/>
        </w:rPr>
        <w:t xml:space="preserve">• </w:t>
      </w:r>
      <w:r>
        <w:rPr>
          <w:rFonts w:ascii="Arial" w:hAnsi="Arial" w:eastAsia="Arial"/>
          <w:b/>
          <w:i w:val="0"/>
          <w:sz w:val="22"/>
        </w:rPr>
        <w:t>Review.</w:t>
      </w:r>
      <w:r>
        <w:rPr>
          <w:rFonts w:ascii="Arial" w:hAnsi="Arial" w:eastAsia="Arial"/>
          <w:b w:val="0"/>
          <w:i w:val="0"/>
          <w:sz w:val="22"/>
        </w:rPr>
        <w:t xml:space="preserve"> Operators review any manuscript or dataset that uses their data within an agreed period (indicatively 30 days); the review may remove sensitive content but cannot block the publication of methods.</w:t>
      </w:r>
    </w:p>
    <w:p>
      <w:pPr>
        <w:spacing w:after="60" w:before="0"/>
        <w:ind w:left="283"/>
      </w:pPr>
      <w:r>
        <w:rPr>
          <w:rFonts w:ascii="Arial" w:hAnsi="Arial" w:eastAsia="Arial"/>
          <w:b/>
          <w:i w:val="0"/>
          <w:sz w:val="22"/>
        </w:rPr>
        <w:t xml:space="preserve">• </w:t>
      </w:r>
      <w:r>
        <w:rPr>
          <w:rFonts w:ascii="Arial" w:hAnsi="Arial" w:eastAsia="Arial"/>
          <w:b/>
          <w:i w:val="0"/>
          <w:sz w:val="22"/>
        </w:rPr>
        <w:t>Adapt.</w:t>
      </w:r>
      <w:r>
        <w:rPr>
          <w:rFonts w:ascii="Arial" w:hAnsi="Arial" w:eastAsia="Arial"/>
          <w:b w:val="0"/>
          <w:i w:val="0"/>
          <w:sz w:val="22"/>
        </w:rPr>
        <w:t xml:space="preserve"> Sensitive content is aggregated, anonymised ("a port", "an energy landfall") or moved to the restricted annex.</w:t>
      </w:r>
    </w:p>
    <w:p>
      <w:pPr>
        <w:spacing w:after="60" w:before="0"/>
        <w:ind w:left="283"/>
      </w:pPr>
      <w:r>
        <w:rPr>
          <w:rFonts w:ascii="Arial" w:hAnsi="Arial" w:eastAsia="Arial"/>
          <w:b/>
          <w:i w:val="0"/>
          <w:sz w:val="22"/>
        </w:rPr>
        <w:t xml:space="preserve">• </w:t>
      </w:r>
      <w:r>
        <w:rPr>
          <w:rFonts w:ascii="Arial" w:hAnsi="Arial" w:eastAsia="Arial"/>
          <w:b/>
          <w:i w:val="0"/>
          <w:sz w:val="22"/>
        </w:rPr>
        <w:t>Sign off.</w:t>
      </w:r>
      <w:r>
        <w:rPr>
          <w:rFonts w:ascii="Arial" w:hAnsi="Arial" w:eastAsia="Arial"/>
          <w:b w:val="0"/>
          <w:i w:val="0"/>
          <w:sz w:val="22"/>
        </w:rPr>
        <w:t xml:space="preserve"> The coordinator records the decision in the release log.</w:t>
      </w:r>
    </w:p>
    <w:p>
      <w:pPr>
        <w:keepNext/>
        <w:spacing w:after="120" w:before="160"/>
      </w:pPr>
      <w:r>
        <w:rPr>
          <w:rFonts w:ascii="Arial" w:hAnsi="Arial" w:eastAsia="Arial"/>
          <w:b/>
          <w:i w:val="0"/>
          <w:color w:val="1F3864"/>
          <w:sz w:val="27"/>
        </w:rPr>
        <w:t>4. Products and events</w:t>
      </w:r>
    </w:p>
    <w:tbl>
      <w:tblPr>
        <w:tblStyle w:val="TableGrid"/>
        <w:tblW w:type="auto" w:w="0"/>
        <w:jc w:val="center"/>
        <w:tblLayout w:type="fixed"/>
        <w:tblLook w:firstColumn="1" w:firstRow="1" w:lastColumn="0" w:lastRow="0" w:noHBand="0" w:noVBand="1" w:val="04A0"/>
        <w:tblLayout w:type="fixed"/>
      </w:tblPr>
      <w:tblGrid>
        <w:gridCol w:w="2098"/>
        <w:gridCol w:w="3572"/>
        <w:gridCol w:w="1871"/>
        <w:gridCol w:w="1077"/>
        <w:gridCol w:w="1020"/>
      </w:tblGrid>
      <w:tr>
        <w:trPr>
          <w:cantSplit/>
          <w:tblHeader/>
        </w:trPr>
        <w:tc>
          <w:tcPr>
            <w:tcW w:type="dxa" w:w="2098"/>
            <w:shd w:val="clear" w:color="auto" w:fill="1F3864"/>
          </w:tcPr>
          <w:p>
            <w:pPr>
              <w:keepNext/>
            </w:pPr>
            <w:r/>
            <w:r>
              <w:rPr>
                <w:rFonts w:ascii="Arial" w:hAnsi="Arial" w:eastAsia="Arial"/>
                <w:b/>
                <w:i w:val="0"/>
                <w:color w:val="FFFFFF"/>
                <w:sz w:val="19"/>
              </w:rPr>
              <w:t>Product or event</w:t>
            </w:r>
          </w:p>
        </w:tc>
        <w:tc>
          <w:tcPr>
            <w:tcW w:type="dxa" w:w="3572"/>
            <w:shd w:val="clear" w:color="auto" w:fill="1F3864"/>
          </w:tcPr>
          <w:p>
            <w:pPr>
              <w:keepNext/>
            </w:pPr>
            <w:r/>
            <w:r>
              <w:rPr>
                <w:rFonts w:ascii="Arial" w:hAnsi="Arial" w:eastAsia="Arial"/>
                <w:b/>
                <w:i w:val="0"/>
                <w:color w:val="FFFFFF"/>
                <w:sz w:val="19"/>
              </w:rPr>
              <w:t>Content</w:t>
            </w:r>
          </w:p>
        </w:tc>
        <w:tc>
          <w:tcPr>
            <w:tcW w:type="dxa" w:w="1871"/>
            <w:shd w:val="clear" w:color="auto" w:fill="1F3864"/>
          </w:tcPr>
          <w:p>
            <w:pPr>
              <w:keepNext/>
            </w:pPr>
            <w:r/>
            <w:r>
              <w:rPr>
                <w:rFonts w:ascii="Arial" w:hAnsi="Arial" w:eastAsia="Arial"/>
                <w:b/>
                <w:i w:val="0"/>
                <w:color w:val="FFFFFF"/>
                <w:sz w:val="19"/>
              </w:rPr>
              <w:t>Audience</w:t>
            </w:r>
          </w:p>
        </w:tc>
        <w:tc>
          <w:tcPr>
            <w:tcW w:type="dxa" w:w="1077"/>
            <w:shd w:val="clear" w:color="auto" w:fill="1F3864"/>
          </w:tcPr>
          <w:p>
            <w:pPr>
              <w:keepNext/>
            </w:pPr>
            <w:r/>
            <w:r>
              <w:rPr>
                <w:rFonts w:ascii="Arial" w:hAnsi="Arial" w:eastAsia="Arial"/>
                <w:b/>
                <w:i w:val="0"/>
                <w:color w:val="FFFFFF"/>
                <w:sz w:val="19"/>
              </w:rPr>
              <w:t>Month</w:t>
            </w:r>
          </w:p>
        </w:tc>
        <w:tc>
          <w:tcPr>
            <w:tcW w:type="dxa" w:w="1020"/>
            <w:shd w:val="clear" w:color="auto" w:fill="1F3864"/>
          </w:tcPr>
          <w:p>
            <w:pPr>
              <w:keepNext/>
            </w:pPr>
            <w:r/>
            <w:r>
              <w:rPr>
                <w:rFonts w:ascii="Arial" w:hAnsi="Arial" w:eastAsia="Arial"/>
                <w:b/>
                <w:i w:val="0"/>
                <w:color w:val="FFFFFF"/>
                <w:sz w:val="19"/>
              </w:rPr>
              <w:t>Task</w:t>
            </w:r>
          </w:p>
        </w:tc>
      </w:tr>
      <w:tr>
        <w:trPr>
          <w:cantSplit/>
        </w:trPr>
        <w:tc>
          <w:tcPr>
            <w:tcW w:type="dxa" w:w="2098"/>
          </w:tcPr>
          <w:p>
            <w:r/>
            <w:r>
              <w:rPr>
                <w:rFonts w:ascii="Arial" w:hAnsi="Arial" w:eastAsia="Arial"/>
                <w:b w:val="0"/>
                <w:i w:val="0"/>
                <w:sz w:val="19"/>
              </w:rPr>
              <w:t>Website and visual identity</w:t>
            </w:r>
          </w:p>
        </w:tc>
        <w:tc>
          <w:tcPr>
            <w:tcW w:type="dxa" w:w="3572"/>
          </w:tcPr>
          <w:p>
            <w:r/>
            <w:r>
              <w:rPr>
                <w:rFonts w:ascii="Arial" w:hAnsi="Arial" w:eastAsia="Arial"/>
                <w:b w:val="0"/>
                <w:i w:val="0"/>
                <w:sz w:val="19"/>
              </w:rPr>
              <w:t>Public summary, news and non-sensitive results in English and Albanian</w:t>
            </w:r>
          </w:p>
        </w:tc>
        <w:tc>
          <w:tcPr>
            <w:tcW w:type="dxa" w:w="1871"/>
          </w:tcPr>
          <w:p>
            <w:r/>
            <w:r>
              <w:rPr>
                <w:rFonts w:ascii="Arial" w:hAnsi="Arial" w:eastAsia="Arial"/>
                <w:b w:val="0"/>
                <w:i w:val="0"/>
                <w:sz w:val="19"/>
              </w:rPr>
              <w:t>All; public</w:t>
            </w:r>
          </w:p>
        </w:tc>
        <w:tc>
          <w:tcPr>
            <w:tcW w:type="dxa" w:w="1077"/>
          </w:tcPr>
          <w:p>
            <w:r/>
            <w:r>
              <w:rPr>
                <w:rFonts w:ascii="Arial" w:hAnsi="Arial" w:eastAsia="Arial"/>
                <w:b w:val="0"/>
                <w:i w:val="0"/>
                <w:sz w:val="19"/>
              </w:rPr>
              <w:t>3, updated</w:t>
            </w:r>
          </w:p>
        </w:tc>
        <w:tc>
          <w:tcPr>
            <w:tcW w:type="dxa" w:w="1020"/>
          </w:tcPr>
          <w:p>
            <w:r/>
            <w:r>
              <w:rPr>
                <w:rFonts w:ascii="Arial" w:hAnsi="Arial" w:eastAsia="Arial"/>
                <w:b w:val="0"/>
                <w:i w:val="0"/>
                <w:sz w:val="19"/>
              </w:rPr>
              <w:t>WP6</w:t>
            </w:r>
          </w:p>
        </w:tc>
      </w:tr>
      <w:tr>
        <w:trPr>
          <w:cantSplit/>
        </w:trPr>
        <w:tc>
          <w:tcPr>
            <w:tcW w:type="dxa" w:w="2098"/>
          </w:tcPr>
          <w:p>
            <w:r/>
            <w:r>
              <w:rPr>
                <w:rFonts w:ascii="Arial" w:hAnsi="Arial" w:eastAsia="Arial"/>
                <w:b w:val="0"/>
                <w:i w:val="0"/>
                <w:sz w:val="19"/>
              </w:rPr>
              <w:t>Kick-off stakeholder workshop</w:t>
            </w:r>
          </w:p>
        </w:tc>
        <w:tc>
          <w:tcPr>
            <w:tcW w:type="dxa" w:w="3572"/>
          </w:tcPr>
          <w:p>
            <w:r/>
            <w:r>
              <w:rPr>
                <w:rFonts w:ascii="Arial" w:hAnsi="Arial" w:eastAsia="Arial"/>
                <w:b w:val="0"/>
                <w:i w:val="0"/>
                <w:sz w:val="19"/>
              </w:rPr>
              <w:t>Needs, thresholds, data access and the acceptable false-alarm rate</w:t>
            </w:r>
          </w:p>
        </w:tc>
        <w:tc>
          <w:tcPr>
            <w:tcW w:type="dxa" w:w="1871"/>
          </w:tcPr>
          <w:p>
            <w:r/>
            <w:r>
              <w:rPr>
                <w:rFonts w:ascii="Arial" w:hAnsi="Arial" w:eastAsia="Arial"/>
                <w:b w:val="0"/>
                <w:i w:val="0"/>
                <w:sz w:val="19"/>
              </w:rPr>
              <w:t>Operators; civil protection</w:t>
            </w:r>
          </w:p>
        </w:tc>
        <w:tc>
          <w:tcPr>
            <w:tcW w:type="dxa" w:w="1077"/>
          </w:tcPr>
          <w:p>
            <w:r/>
            <w:r>
              <w:rPr>
                <w:rFonts w:ascii="Arial" w:hAnsi="Arial" w:eastAsia="Arial"/>
                <w:b w:val="0"/>
                <w:i w:val="0"/>
                <w:sz w:val="19"/>
              </w:rPr>
              <w:t>2</w:t>
            </w:r>
          </w:p>
        </w:tc>
        <w:tc>
          <w:tcPr>
            <w:tcW w:type="dxa" w:w="1020"/>
          </w:tcPr>
          <w:p>
            <w:r/>
            <w:r>
              <w:rPr>
                <w:rFonts w:ascii="Arial" w:hAnsi="Arial" w:eastAsia="Arial"/>
                <w:b w:val="0"/>
                <w:i w:val="0"/>
                <w:sz w:val="19"/>
              </w:rPr>
              <w:t>T3.1, T7.2</w:t>
            </w:r>
          </w:p>
        </w:tc>
      </w:tr>
      <w:tr>
        <w:trPr>
          <w:cantSplit/>
        </w:trPr>
        <w:tc>
          <w:tcPr>
            <w:tcW w:type="dxa" w:w="2098"/>
          </w:tcPr>
          <w:p>
            <w:r/>
            <w:r>
              <w:rPr>
                <w:rFonts w:ascii="Arial" w:hAnsi="Arial" w:eastAsia="Arial"/>
                <w:b w:val="0"/>
                <w:i w:val="0"/>
                <w:sz w:val="19"/>
              </w:rPr>
              <w:t>Open-access papers (at least six)</w:t>
            </w:r>
          </w:p>
        </w:tc>
        <w:tc>
          <w:tcPr>
            <w:tcW w:type="dxa" w:w="3572"/>
          </w:tcPr>
          <w:p>
            <w:r/>
            <w:r>
              <w:rPr>
                <w:rFonts w:ascii="Arial" w:hAnsi="Arial" w:eastAsia="Arial"/>
                <w:b w:val="0"/>
                <w:i w:val="0"/>
                <w:sz w:val="19"/>
              </w:rPr>
              <w:t>Coastal motion; coupled model; certified surrogate; certified alarms; network design and seismic velocity; verification in operation</w:t>
            </w:r>
          </w:p>
        </w:tc>
        <w:tc>
          <w:tcPr>
            <w:tcW w:type="dxa" w:w="1871"/>
          </w:tcPr>
          <w:p>
            <w:r/>
            <w:r>
              <w:rPr>
                <w:rFonts w:ascii="Arial" w:hAnsi="Arial" w:eastAsia="Arial"/>
                <w:b w:val="0"/>
                <w:i w:val="0"/>
                <w:sz w:val="19"/>
              </w:rPr>
              <w:t>Science</w:t>
            </w:r>
          </w:p>
        </w:tc>
        <w:tc>
          <w:tcPr>
            <w:tcW w:type="dxa" w:w="1077"/>
          </w:tcPr>
          <w:p>
            <w:r/>
            <w:r>
              <w:rPr>
                <w:rFonts w:ascii="Arial" w:hAnsi="Arial" w:eastAsia="Arial"/>
                <w:b w:val="0"/>
                <w:i w:val="0"/>
                <w:sz w:val="19"/>
              </w:rPr>
              <w:t>15–36</w:t>
            </w:r>
          </w:p>
        </w:tc>
        <w:tc>
          <w:tcPr>
            <w:tcW w:type="dxa" w:w="1020"/>
          </w:tcPr>
          <w:p>
            <w:r/>
            <w:r>
              <w:rPr>
                <w:rFonts w:ascii="Arial" w:hAnsi="Arial" w:eastAsia="Arial"/>
                <w:b w:val="0"/>
                <w:i w:val="0"/>
                <w:sz w:val="19"/>
              </w:rPr>
              <w:t>WP1–WP5</w:t>
            </w:r>
          </w:p>
        </w:tc>
      </w:tr>
      <w:tr>
        <w:trPr>
          <w:cantSplit/>
        </w:trPr>
        <w:tc>
          <w:tcPr>
            <w:tcW w:type="dxa" w:w="2098"/>
          </w:tcPr>
          <w:p>
            <w:r/>
            <w:r>
              <w:rPr>
                <w:rFonts w:ascii="Arial" w:hAnsi="Arial" w:eastAsia="Arial"/>
                <w:b w:val="0"/>
                <w:i w:val="0"/>
                <w:sz w:val="19"/>
              </w:rPr>
              <w:t>Conference presentations</w:t>
            </w:r>
          </w:p>
        </w:tc>
        <w:tc>
          <w:tcPr>
            <w:tcW w:type="dxa" w:w="3572"/>
          </w:tcPr>
          <w:p>
            <w:r/>
            <w:r>
              <w:rPr>
                <w:rFonts w:ascii="Arial" w:hAnsi="Arial" w:eastAsia="Arial"/>
                <w:b w:val="0"/>
                <w:i w:val="0"/>
                <w:sz w:val="19"/>
              </w:rPr>
              <w:t>For example EGU General Assembly, AGU Fall Meeting, Salt Water Intrusion Meeting, SIAM Conference on Uncertainty Quantification</w:t>
            </w:r>
          </w:p>
        </w:tc>
        <w:tc>
          <w:tcPr>
            <w:tcW w:type="dxa" w:w="1871"/>
          </w:tcPr>
          <w:p>
            <w:r/>
            <w:r>
              <w:rPr>
                <w:rFonts w:ascii="Arial" w:hAnsi="Arial" w:eastAsia="Arial"/>
                <w:b w:val="0"/>
                <w:i w:val="0"/>
                <w:sz w:val="19"/>
              </w:rPr>
              <w:t>Science</w:t>
            </w:r>
          </w:p>
        </w:tc>
        <w:tc>
          <w:tcPr>
            <w:tcW w:type="dxa" w:w="1077"/>
          </w:tcPr>
          <w:p>
            <w:r/>
            <w:r>
              <w:rPr>
                <w:rFonts w:ascii="Arial" w:hAnsi="Arial" w:eastAsia="Arial"/>
                <w:b w:val="0"/>
                <w:i w:val="0"/>
                <w:sz w:val="19"/>
              </w:rPr>
              <w:t>Each year</w:t>
            </w:r>
          </w:p>
        </w:tc>
        <w:tc>
          <w:tcPr>
            <w:tcW w:type="dxa" w:w="1020"/>
          </w:tcPr>
          <w:p>
            <w:r/>
            <w:r>
              <w:rPr>
                <w:rFonts w:ascii="Arial" w:hAnsi="Arial" w:eastAsia="Arial"/>
                <w:b w:val="0"/>
                <w:i w:val="0"/>
                <w:sz w:val="19"/>
              </w:rPr>
              <w:t>WP6</w:t>
            </w:r>
          </w:p>
        </w:tc>
      </w:tr>
      <w:tr>
        <w:trPr>
          <w:cantSplit/>
        </w:trPr>
        <w:tc>
          <w:tcPr>
            <w:tcW w:type="dxa" w:w="2098"/>
          </w:tcPr>
          <w:p>
            <w:r/>
            <w:r>
              <w:rPr>
                <w:rFonts w:ascii="Arial" w:hAnsi="Arial" w:eastAsia="Arial"/>
                <w:b w:val="0"/>
                <w:i w:val="0"/>
                <w:sz w:val="19"/>
              </w:rPr>
              <w:t>Training school</w:t>
            </w:r>
          </w:p>
        </w:tc>
        <w:tc>
          <w:tcPr>
            <w:tcW w:type="dxa" w:w="3572"/>
          </w:tcPr>
          <w:p>
            <w:r/>
            <w:r>
              <w:rPr>
                <w:rFonts w:ascii="Arial" w:hAnsi="Arial" w:eastAsia="Arial"/>
                <w:b w:val="0"/>
                <w:i w:val="0"/>
                <w:sz w:val="19"/>
              </w:rPr>
              <w:t>Hands-on work with the coast kit</w:t>
            </w:r>
          </w:p>
        </w:tc>
        <w:tc>
          <w:tcPr>
            <w:tcW w:type="dxa" w:w="1871"/>
          </w:tcPr>
          <w:p>
            <w:r/>
            <w:r>
              <w:rPr>
                <w:rFonts w:ascii="Arial" w:hAnsi="Arial" w:eastAsia="Arial"/>
                <w:b w:val="0"/>
                <w:i w:val="0"/>
                <w:sz w:val="19"/>
              </w:rPr>
              <w:t>Early-career researchers; students</w:t>
            </w:r>
          </w:p>
        </w:tc>
        <w:tc>
          <w:tcPr>
            <w:tcW w:type="dxa" w:w="1077"/>
          </w:tcPr>
          <w:p>
            <w:r/>
            <w:r>
              <w:rPr>
                <w:rFonts w:ascii="Arial" w:hAnsi="Arial" w:eastAsia="Arial"/>
                <w:b w:val="0"/>
                <w:i w:val="0"/>
                <w:sz w:val="19"/>
              </w:rPr>
              <w:t>14</w:t>
            </w:r>
          </w:p>
        </w:tc>
        <w:tc>
          <w:tcPr>
            <w:tcW w:type="dxa" w:w="1020"/>
          </w:tcPr>
          <w:p>
            <w:r/>
            <w:r>
              <w:rPr>
                <w:rFonts w:ascii="Arial" w:hAnsi="Arial" w:eastAsia="Arial"/>
                <w:b w:val="0"/>
                <w:i w:val="0"/>
                <w:sz w:val="19"/>
              </w:rPr>
              <w:t>T6.1</w:t>
            </w:r>
          </w:p>
        </w:tc>
      </w:tr>
      <w:tr>
        <w:trPr>
          <w:cantSplit/>
        </w:trPr>
        <w:tc>
          <w:tcPr>
            <w:tcW w:type="dxa" w:w="2098"/>
          </w:tcPr>
          <w:p>
            <w:r/>
            <w:r>
              <w:rPr>
                <w:rFonts w:ascii="Arial" w:hAnsi="Arial" w:eastAsia="Arial"/>
                <w:b w:val="0"/>
                <w:i w:val="0"/>
                <w:sz w:val="19"/>
              </w:rPr>
              <w:t>Mid-term workshop</w:t>
            </w:r>
          </w:p>
        </w:tc>
        <w:tc>
          <w:tcPr>
            <w:tcW w:type="dxa" w:w="3572"/>
          </w:tcPr>
          <w:p>
            <w:r/>
            <w:r>
              <w:rPr>
                <w:rFonts w:ascii="Arial" w:hAnsi="Arial" w:eastAsia="Arial"/>
                <w:b w:val="0"/>
                <w:i w:val="0"/>
                <w:sz w:val="19"/>
              </w:rPr>
              <w:t>Model and network results; dry run of the bulletins</w:t>
            </w:r>
          </w:p>
        </w:tc>
        <w:tc>
          <w:tcPr>
            <w:tcW w:type="dxa" w:w="1871"/>
          </w:tcPr>
          <w:p>
            <w:r/>
            <w:r>
              <w:rPr>
                <w:rFonts w:ascii="Arial" w:hAnsi="Arial" w:eastAsia="Arial"/>
                <w:b w:val="0"/>
                <w:i w:val="0"/>
                <w:sz w:val="19"/>
              </w:rPr>
              <w:t>Operators; civil protection</w:t>
            </w:r>
          </w:p>
        </w:tc>
        <w:tc>
          <w:tcPr>
            <w:tcW w:type="dxa" w:w="1077"/>
          </w:tcPr>
          <w:p>
            <w:r/>
            <w:r>
              <w:rPr>
                <w:rFonts w:ascii="Arial" w:hAnsi="Arial" w:eastAsia="Arial"/>
                <w:b w:val="0"/>
                <w:i w:val="0"/>
                <w:sz w:val="19"/>
              </w:rPr>
              <w:t>18</w:t>
            </w:r>
          </w:p>
        </w:tc>
        <w:tc>
          <w:tcPr>
            <w:tcW w:type="dxa" w:w="1020"/>
          </w:tcPr>
          <w:p>
            <w:r/>
            <w:r>
              <w:rPr>
                <w:rFonts w:ascii="Arial" w:hAnsi="Arial" w:eastAsia="Arial"/>
                <w:b w:val="0"/>
                <w:i w:val="0"/>
                <w:sz w:val="19"/>
              </w:rPr>
              <w:t>WP2, WP4</w:t>
            </w:r>
          </w:p>
        </w:tc>
      </w:tr>
      <w:tr>
        <w:trPr>
          <w:cantSplit/>
        </w:trPr>
        <w:tc>
          <w:tcPr>
            <w:tcW w:type="dxa" w:w="2098"/>
          </w:tcPr>
          <w:p>
            <w:r/>
            <w:r>
              <w:rPr>
                <w:rFonts w:ascii="Arial" w:hAnsi="Arial" w:eastAsia="Arial"/>
                <w:b w:val="0"/>
                <w:i w:val="0"/>
                <w:sz w:val="19"/>
              </w:rPr>
              <w:t>Live bulletins</w:t>
            </w:r>
          </w:p>
        </w:tc>
        <w:tc>
          <w:tcPr>
            <w:tcW w:type="dxa" w:w="3572"/>
          </w:tcPr>
          <w:p>
            <w:r/>
            <w:r>
              <w:rPr>
                <w:rFonts w:ascii="Arial" w:hAnsi="Arial" w:eastAsia="Arial"/>
                <w:b w:val="0"/>
                <w:i w:val="0"/>
                <w:sz w:val="19"/>
              </w:rPr>
              <w:t>Twelve months of certified warnings, logged with outcomes</w:t>
            </w:r>
          </w:p>
        </w:tc>
        <w:tc>
          <w:tcPr>
            <w:tcW w:type="dxa" w:w="1871"/>
          </w:tcPr>
          <w:p>
            <w:r/>
            <w:r>
              <w:rPr>
                <w:rFonts w:ascii="Arial" w:hAnsi="Arial" w:eastAsia="Arial"/>
                <w:b w:val="0"/>
                <w:i w:val="0"/>
                <w:sz w:val="19"/>
              </w:rPr>
              <w:t>Operators; civil protection</w:t>
            </w:r>
          </w:p>
        </w:tc>
        <w:tc>
          <w:tcPr>
            <w:tcW w:type="dxa" w:w="1077"/>
          </w:tcPr>
          <w:p>
            <w:r/>
            <w:r>
              <w:rPr>
                <w:rFonts w:ascii="Arial" w:hAnsi="Arial" w:eastAsia="Arial"/>
                <w:b w:val="0"/>
                <w:i w:val="0"/>
                <w:sz w:val="19"/>
              </w:rPr>
              <w:t>23–34</w:t>
            </w:r>
          </w:p>
        </w:tc>
        <w:tc>
          <w:tcPr>
            <w:tcW w:type="dxa" w:w="1020"/>
          </w:tcPr>
          <w:p>
            <w:r/>
            <w:r>
              <w:rPr>
                <w:rFonts w:ascii="Arial" w:hAnsi="Arial" w:eastAsia="Arial"/>
                <w:b w:val="0"/>
                <w:i w:val="0"/>
                <w:sz w:val="19"/>
              </w:rPr>
              <w:t>T5.2</w:t>
            </w:r>
          </w:p>
        </w:tc>
      </w:tr>
      <w:tr>
        <w:trPr>
          <w:cantSplit/>
        </w:trPr>
        <w:tc>
          <w:tcPr>
            <w:tcW w:type="dxa" w:w="2098"/>
          </w:tcPr>
          <w:p>
            <w:r/>
            <w:r>
              <w:rPr>
                <w:rFonts w:ascii="Arial" w:hAnsi="Arial" w:eastAsia="Arial"/>
                <w:b w:val="0"/>
                <w:i w:val="0"/>
                <w:sz w:val="19"/>
              </w:rPr>
              <w:t>Operator training</w:t>
            </w:r>
          </w:p>
        </w:tc>
        <w:tc>
          <w:tcPr>
            <w:tcW w:type="dxa" w:w="3572"/>
          </w:tcPr>
          <w:p>
            <w:r/>
            <w:r>
              <w:rPr>
                <w:rFonts w:ascii="Arial" w:hAnsi="Arial" w:eastAsia="Arial"/>
                <w:b w:val="0"/>
                <w:i w:val="0"/>
                <w:sz w:val="19"/>
              </w:rPr>
              <w:t>Running the system; what a miss rate means</w:t>
            </w:r>
          </w:p>
        </w:tc>
        <w:tc>
          <w:tcPr>
            <w:tcW w:type="dxa" w:w="1871"/>
          </w:tcPr>
          <w:p>
            <w:r/>
            <w:r>
              <w:rPr>
                <w:rFonts w:ascii="Arial" w:hAnsi="Arial" w:eastAsia="Arial"/>
                <w:b w:val="0"/>
                <w:i w:val="0"/>
                <w:sz w:val="19"/>
              </w:rPr>
              <w:t>Operator and civil-protection staff</w:t>
            </w:r>
          </w:p>
        </w:tc>
        <w:tc>
          <w:tcPr>
            <w:tcW w:type="dxa" w:w="1077"/>
          </w:tcPr>
          <w:p>
            <w:r/>
            <w:r>
              <w:rPr>
                <w:rFonts w:ascii="Arial" w:hAnsi="Arial" w:eastAsia="Arial"/>
                <w:b w:val="0"/>
                <w:i w:val="0"/>
                <w:sz w:val="19"/>
              </w:rPr>
              <w:t>24–36</w:t>
            </w:r>
          </w:p>
        </w:tc>
        <w:tc>
          <w:tcPr>
            <w:tcW w:type="dxa" w:w="1020"/>
          </w:tcPr>
          <w:p>
            <w:r/>
            <w:r>
              <w:rPr>
                <w:rFonts w:ascii="Arial" w:hAnsi="Arial" w:eastAsia="Arial"/>
                <w:b w:val="0"/>
                <w:i w:val="0"/>
                <w:sz w:val="19"/>
              </w:rPr>
              <w:t>T6.2</w:t>
            </w:r>
          </w:p>
        </w:tc>
      </w:tr>
      <w:tr>
        <w:trPr>
          <w:cantSplit/>
        </w:trPr>
        <w:tc>
          <w:tcPr>
            <w:tcW w:type="dxa" w:w="2098"/>
          </w:tcPr>
          <w:p>
            <w:r/>
            <w:r>
              <w:rPr>
                <w:rFonts w:ascii="Arial" w:hAnsi="Arial" w:eastAsia="Arial"/>
                <w:b w:val="0"/>
                <w:i w:val="0"/>
                <w:sz w:val="19"/>
              </w:rPr>
              <w:t>Open software and data (D6.1)</w:t>
            </w:r>
          </w:p>
        </w:tc>
        <w:tc>
          <w:tcPr>
            <w:tcW w:type="dxa" w:w="3572"/>
          </w:tcPr>
          <w:p>
            <w:r/>
            <w:r>
              <w:rPr>
                <w:rFonts w:ascii="Arial" w:hAnsi="Arial" w:eastAsia="Arial"/>
                <w:b w:val="0"/>
                <w:i w:val="0"/>
                <w:sz w:val="19"/>
              </w:rPr>
              <w:t>Code, documentation, synthetic test coast, open data, verification statistics</w:t>
            </w:r>
          </w:p>
        </w:tc>
        <w:tc>
          <w:tcPr>
            <w:tcW w:type="dxa" w:w="1871"/>
          </w:tcPr>
          <w:p>
            <w:r/>
            <w:r>
              <w:rPr>
                <w:rFonts w:ascii="Arial" w:hAnsi="Arial" w:eastAsia="Arial"/>
                <w:b w:val="0"/>
                <w:i w:val="0"/>
                <w:sz w:val="19"/>
              </w:rPr>
              <w:t>Science; other coasts</w:t>
            </w:r>
          </w:p>
        </w:tc>
        <w:tc>
          <w:tcPr>
            <w:tcW w:type="dxa" w:w="1077"/>
          </w:tcPr>
          <w:p>
            <w:r/>
            <w:r>
              <w:rPr>
                <w:rFonts w:ascii="Arial" w:hAnsi="Arial" w:eastAsia="Arial"/>
                <w:b w:val="0"/>
                <w:i w:val="0"/>
                <w:sz w:val="19"/>
              </w:rPr>
              <w:t>33</w:t>
            </w:r>
          </w:p>
        </w:tc>
        <w:tc>
          <w:tcPr>
            <w:tcW w:type="dxa" w:w="1020"/>
          </w:tcPr>
          <w:p>
            <w:r/>
            <w:r>
              <w:rPr>
                <w:rFonts w:ascii="Arial" w:hAnsi="Arial" w:eastAsia="Arial"/>
                <w:b w:val="0"/>
                <w:i w:val="0"/>
                <w:sz w:val="19"/>
              </w:rPr>
              <w:t>T6.3</w:t>
            </w:r>
          </w:p>
        </w:tc>
      </w:tr>
      <w:tr>
        <w:trPr>
          <w:cantSplit/>
        </w:trPr>
        <w:tc>
          <w:tcPr>
            <w:tcW w:type="dxa" w:w="2098"/>
          </w:tcPr>
          <w:p>
            <w:r/>
            <w:r>
              <w:rPr>
                <w:rFonts w:ascii="Arial" w:hAnsi="Arial" w:eastAsia="Arial"/>
                <w:b w:val="0"/>
                <w:i w:val="0"/>
                <w:sz w:val="19"/>
              </w:rPr>
              <w:t>Transfer workshop</w:t>
            </w:r>
          </w:p>
        </w:tc>
        <w:tc>
          <w:tcPr>
            <w:tcW w:type="dxa" w:w="3572"/>
          </w:tcPr>
          <w:p>
            <w:r/>
            <w:r>
              <w:rPr>
                <w:rFonts w:ascii="Arial" w:hAnsi="Arial" w:eastAsia="Arial"/>
                <w:b w:val="0"/>
                <w:i w:val="0"/>
                <w:sz w:val="19"/>
              </w:rPr>
              <w:t>Coast kit for other Adriatic and Mediterranean coasts</w:t>
            </w:r>
          </w:p>
        </w:tc>
        <w:tc>
          <w:tcPr>
            <w:tcW w:type="dxa" w:w="1871"/>
          </w:tcPr>
          <w:p>
            <w:r/>
            <w:r>
              <w:rPr>
                <w:rFonts w:ascii="Arial" w:hAnsi="Arial" w:eastAsia="Arial"/>
                <w:b w:val="0"/>
                <w:i w:val="0"/>
                <w:sz w:val="19"/>
              </w:rPr>
              <w:t>Other coasts; Allies and partners</w:t>
            </w:r>
          </w:p>
        </w:tc>
        <w:tc>
          <w:tcPr>
            <w:tcW w:type="dxa" w:w="1077"/>
          </w:tcPr>
          <w:p>
            <w:r/>
            <w:r>
              <w:rPr>
                <w:rFonts w:ascii="Arial" w:hAnsi="Arial" w:eastAsia="Arial"/>
                <w:b w:val="0"/>
                <w:i w:val="0"/>
                <w:sz w:val="19"/>
              </w:rPr>
              <w:t>35</w:t>
            </w:r>
          </w:p>
        </w:tc>
        <w:tc>
          <w:tcPr>
            <w:tcW w:type="dxa" w:w="1020"/>
          </w:tcPr>
          <w:p>
            <w:r/>
            <w:r>
              <w:rPr>
                <w:rFonts w:ascii="Arial" w:hAnsi="Arial" w:eastAsia="Arial"/>
                <w:b w:val="0"/>
                <w:i w:val="0"/>
                <w:sz w:val="19"/>
              </w:rPr>
              <w:t>T6.3</w:t>
            </w:r>
          </w:p>
        </w:tc>
      </w:tr>
      <w:tr>
        <w:trPr>
          <w:cantSplit/>
        </w:trPr>
        <w:tc>
          <w:tcPr>
            <w:tcW w:type="dxa" w:w="2098"/>
          </w:tcPr>
          <w:p>
            <w:r/>
            <w:r>
              <w:rPr>
                <w:rFonts w:ascii="Arial" w:hAnsi="Arial" w:eastAsia="Arial"/>
                <w:b w:val="0"/>
                <w:i w:val="0"/>
                <w:sz w:val="19"/>
              </w:rPr>
              <w:t>Policy brief and procedures (D6.2)</w:t>
            </w:r>
          </w:p>
        </w:tc>
        <w:tc>
          <w:tcPr>
            <w:tcW w:type="dxa" w:w="3572"/>
          </w:tcPr>
          <w:p>
            <w:r/>
            <w:r>
              <w:rPr>
                <w:rFonts w:ascii="Arial" w:hAnsi="Arial" w:eastAsia="Arial"/>
                <w:b w:val="0"/>
                <w:i w:val="0"/>
                <w:sz w:val="19"/>
              </w:rPr>
              <w:t>Subsidence, water supply, critical-infrastructure protection; operator procedures</w:t>
            </w:r>
          </w:p>
        </w:tc>
        <w:tc>
          <w:tcPr>
            <w:tcW w:type="dxa" w:w="1871"/>
          </w:tcPr>
          <w:p>
            <w:r/>
            <w:r>
              <w:rPr>
                <w:rFonts w:ascii="Arial" w:hAnsi="Arial" w:eastAsia="Arial"/>
                <w:b w:val="0"/>
                <w:i w:val="0"/>
                <w:sz w:val="19"/>
              </w:rPr>
              <w:t>National authorities; operators</w:t>
            </w:r>
          </w:p>
        </w:tc>
        <w:tc>
          <w:tcPr>
            <w:tcW w:type="dxa" w:w="1077"/>
          </w:tcPr>
          <w:p>
            <w:r/>
            <w:r>
              <w:rPr>
                <w:rFonts w:ascii="Arial" w:hAnsi="Arial" w:eastAsia="Arial"/>
                <w:b w:val="0"/>
                <w:i w:val="0"/>
                <w:sz w:val="19"/>
              </w:rPr>
              <w:t>36</w:t>
            </w:r>
          </w:p>
        </w:tc>
        <w:tc>
          <w:tcPr>
            <w:tcW w:type="dxa" w:w="1020"/>
          </w:tcPr>
          <w:p>
            <w:r/>
            <w:r>
              <w:rPr>
                <w:rFonts w:ascii="Arial" w:hAnsi="Arial" w:eastAsia="Arial"/>
                <w:b w:val="0"/>
                <w:i w:val="0"/>
                <w:sz w:val="19"/>
              </w:rPr>
              <w:t>T6.4</w:t>
            </w:r>
          </w:p>
        </w:tc>
      </w:tr>
      <w:tr>
        <w:trPr>
          <w:cantSplit/>
        </w:trPr>
        <w:tc>
          <w:tcPr>
            <w:tcW w:type="dxa" w:w="2098"/>
          </w:tcPr>
          <w:p>
            <w:r/>
            <w:r>
              <w:rPr>
                <w:rFonts w:ascii="Arial" w:hAnsi="Arial" w:eastAsia="Arial"/>
                <w:b w:val="0"/>
                <w:i w:val="0"/>
                <w:sz w:val="19"/>
              </w:rPr>
              <w:t>Final workshop and live demonstration</w:t>
            </w:r>
          </w:p>
        </w:tc>
        <w:tc>
          <w:tcPr>
            <w:tcW w:type="dxa" w:w="3572"/>
          </w:tcPr>
          <w:p>
            <w:r/>
            <w:r>
              <w:rPr>
                <w:rFonts w:ascii="Arial" w:hAnsi="Arial" w:eastAsia="Arial"/>
                <w:b w:val="0"/>
                <w:i w:val="0"/>
                <w:sz w:val="19"/>
              </w:rPr>
              <w:t>The system in operation; results; hand-over</w:t>
            </w:r>
          </w:p>
        </w:tc>
        <w:tc>
          <w:tcPr>
            <w:tcW w:type="dxa" w:w="1871"/>
          </w:tcPr>
          <w:p>
            <w:r/>
            <w:r>
              <w:rPr>
                <w:rFonts w:ascii="Arial" w:hAnsi="Arial" w:eastAsia="Arial"/>
                <w:b w:val="0"/>
                <w:i w:val="0"/>
                <w:sz w:val="19"/>
              </w:rPr>
              <w:t>All</w:t>
            </w:r>
          </w:p>
        </w:tc>
        <w:tc>
          <w:tcPr>
            <w:tcW w:type="dxa" w:w="1077"/>
          </w:tcPr>
          <w:p>
            <w:r/>
            <w:r>
              <w:rPr>
                <w:rFonts w:ascii="Arial" w:hAnsi="Arial" w:eastAsia="Arial"/>
                <w:b w:val="0"/>
                <w:i w:val="0"/>
                <w:sz w:val="19"/>
              </w:rPr>
              <w:t>36</w:t>
            </w:r>
          </w:p>
        </w:tc>
        <w:tc>
          <w:tcPr>
            <w:tcW w:type="dxa" w:w="1020"/>
          </w:tcPr>
          <w:p>
            <w:r/>
            <w:r>
              <w:rPr>
                <w:rFonts w:ascii="Arial" w:hAnsi="Arial" w:eastAsia="Arial"/>
                <w:b w:val="0"/>
                <w:i w:val="0"/>
                <w:sz w:val="19"/>
              </w:rPr>
              <w:t>WP5, WP6</w:t>
            </w:r>
          </w:p>
        </w:tc>
      </w:tr>
      <w:tr>
        <w:trPr>
          <w:cantSplit/>
        </w:trPr>
        <w:tc>
          <w:tcPr>
            <w:tcW w:type="dxa" w:w="2098"/>
          </w:tcPr>
          <w:p>
            <w:pPr>
              <w:keepNext/>
            </w:pPr>
            <w:r/>
            <w:r>
              <w:rPr>
                <w:rFonts w:ascii="Arial" w:hAnsi="Arial" w:eastAsia="Arial"/>
                <w:b w:val="0"/>
                <w:i w:val="0"/>
                <w:sz w:val="19"/>
              </w:rPr>
              <w:t>Press releases</w:t>
            </w:r>
          </w:p>
        </w:tc>
        <w:tc>
          <w:tcPr>
            <w:tcW w:type="dxa" w:w="3572"/>
          </w:tcPr>
          <w:p>
            <w:pPr>
              <w:keepNext/>
            </w:pPr>
            <w:r/>
            <w:r>
              <w:rPr>
                <w:rFonts w:ascii="Arial" w:hAnsi="Arial" w:eastAsia="Arial"/>
                <w:b w:val="0"/>
                <w:i w:val="0"/>
                <w:sz w:val="19"/>
              </w:rPr>
              <w:t>Kick-off, network installed, start of live bulletins, final event</w:t>
            </w:r>
          </w:p>
        </w:tc>
        <w:tc>
          <w:tcPr>
            <w:tcW w:type="dxa" w:w="1871"/>
          </w:tcPr>
          <w:p>
            <w:pPr>
              <w:keepNext/>
            </w:pPr>
            <w:r/>
            <w:r>
              <w:rPr>
                <w:rFonts w:ascii="Arial" w:hAnsi="Arial" w:eastAsia="Arial"/>
                <w:b w:val="0"/>
                <w:i w:val="0"/>
                <w:sz w:val="19"/>
              </w:rPr>
              <w:t>Public; media</w:t>
            </w:r>
          </w:p>
        </w:tc>
        <w:tc>
          <w:tcPr>
            <w:tcW w:type="dxa" w:w="1077"/>
          </w:tcPr>
          <w:p>
            <w:pPr>
              <w:keepNext/>
            </w:pPr>
            <w:r/>
            <w:r>
              <w:rPr>
                <w:rFonts w:ascii="Arial" w:hAnsi="Arial" w:eastAsia="Arial"/>
                <w:b w:val="0"/>
                <w:i w:val="0"/>
                <w:sz w:val="19"/>
              </w:rPr>
              <w:t>2, 12, 23, 36</w:t>
            </w:r>
          </w:p>
        </w:tc>
        <w:tc>
          <w:tcPr>
            <w:tcW w:type="dxa" w:w="1020"/>
          </w:tcPr>
          <w:p>
            <w:pPr>
              <w:keepNext/>
            </w:pPr>
            <w:r/>
            <w:r>
              <w:rPr>
                <w:rFonts w:ascii="Arial" w:hAnsi="Arial" w:eastAsia="Arial"/>
                <w:b w:val="0"/>
                <w:i w:val="0"/>
                <w:sz w:val="19"/>
              </w:rPr>
              <w:t>WP6</w:t>
            </w:r>
          </w:p>
        </w:tc>
      </w:tr>
      <w:tr>
        <w:trPr>
          <w:cantSplit/>
        </w:trPr>
        <w:tc>
          <w:tcPr>
            <w:tcW w:type="dxa" w:w="2098"/>
          </w:tcPr>
          <w:p>
            <w:r/>
            <w:r>
              <w:rPr>
                <w:rFonts w:ascii="Arial" w:hAnsi="Arial" w:eastAsia="Arial"/>
                <w:b w:val="0"/>
                <w:i w:val="0"/>
                <w:sz w:val="19"/>
              </w:rPr>
              <w:t>Reports to NATO SPS</w:t>
            </w:r>
          </w:p>
        </w:tc>
        <w:tc>
          <w:tcPr>
            <w:tcW w:type="dxa" w:w="3572"/>
          </w:tcPr>
          <w:p>
            <w:r/>
            <w:r>
              <w:rPr>
                <w:rFonts w:ascii="Arial" w:hAnsi="Arial" w:eastAsia="Arial"/>
                <w:b w:val="0"/>
                <w:i w:val="0"/>
                <w:sz w:val="19"/>
              </w:rPr>
              <w:t>Progress and final reports with the risk register and indicators</w:t>
            </w:r>
          </w:p>
        </w:tc>
        <w:tc>
          <w:tcPr>
            <w:tcW w:type="dxa" w:w="1871"/>
          </w:tcPr>
          <w:p>
            <w:r/>
            <w:r>
              <w:rPr>
                <w:rFonts w:ascii="Arial" w:hAnsi="Arial" w:eastAsia="Arial"/>
                <w:b w:val="0"/>
                <w:i w:val="0"/>
                <w:sz w:val="19"/>
              </w:rPr>
              <w:t>NATO SPS</w:t>
            </w:r>
          </w:p>
        </w:tc>
        <w:tc>
          <w:tcPr>
            <w:tcW w:type="dxa" w:w="1077"/>
          </w:tcPr>
          <w:p>
            <w:r/>
            <w:r>
              <w:rPr>
                <w:rFonts w:ascii="Arial" w:hAnsi="Arial" w:eastAsia="Arial"/>
                <w:b w:val="0"/>
                <w:i w:val="0"/>
                <w:sz w:val="19"/>
              </w:rPr>
              <w:t>12, 24, 36</w:t>
            </w:r>
          </w:p>
        </w:tc>
        <w:tc>
          <w:tcPr>
            <w:tcW w:type="dxa" w:w="1020"/>
          </w:tcPr>
          <w:p>
            <w:r/>
            <w:r>
              <w:rPr>
                <w:rFonts w:ascii="Arial" w:hAnsi="Arial" w:eastAsia="Arial"/>
                <w:b w:val="0"/>
                <w:i w:val="0"/>
                <w:sz w:val="19"/>
              </w:rPr>
              <w:t>T7.1</w:t>
            </w:r>
          </w:p>
        </w:tc>
      </w:tr>
    </w:tbl>
    <w:p>
      <w:pPr>
        <w:spacing w:after="80" w:before="0"/>
      </w:pPr>
    </w:p>
    <w:p>
      <w:pPr>
        <w:keepNext/>
        <w:spacing w:after="120" w:before="160"/>
      </w:pPr>
      <w:r>
        <w:rPr>
          <w:rFonts w:ascii="Arial" w:hAnsi="Arial" w:eastAsia="Arial"/>
          <w:b/>
          <w:i w:val="0"/>
          <w:color w:val="1F3864"/>
          <w:sz w:val="27"/>
        </w:rPr>
        <w:t>5. Timeline</w:t>
      </w:r>
    </w:p>
    <w:p>
      <w:pPr>
        <w:spacing w:after="40" w:before="0"/>
        <w:jc w:val="center"/>
      </w:pPr>
      <w:r>
        <w:drawing>
          <wp:inline xmlns:a="http://schemas.openxmlformats.org/drawingml/2006/main" xmlns:pic="http://schemas.openxmlformats.org/drawingml/2006/picture">
            <wp:extent cx="6120000" cy="5115224"/>
            <wp:docPr id="1" name="Picture 1"/>
            <wp:cNvGraphicFramePr>
              <a:graphicFrameLocks noChangeAspect="1"/>
            </wp:cNvGraphicFramePr>
            <a:graphic>
              <a:graphicData uri="http://schemas.openxmlformats.org/drawingml/2006/picture">
                <pic:pic>
                  <pic:nvPicPr>
                    <pic:cNvPr id="0" name="fig_dissemination_timeline.png"/>
                    <pic:cNvPicPr/>
                  </pic:nvPicPr>
                  <pic:blipFill>
                    <a:blip r:embed="rId9"/>
                    <a:stretch>
                      <a:fillRect/>
                    </a:stretch>
                  </pic:blipFill>
                  <pic:spPr>
                    <a:xfrm>
                      <a:off x="0" y="0"/>
                      <a:ext cx="6120000" cy="5115224"/>
                    </a:xfrm>
                    <a:prstGeom prst="rect"/>
                  </pic:spPr>
                </pic:pic>
              </a:graphicData>
            </a:graphic>
          </wp:inline>
        </w:drawing>
      </w:r>
    </w:p>
    <w:p>
      <w:pPr>
        <w:spacing w:after="120" w:before="0"/>
      </w:pPr>
      <w:r>
        <w:rPr>
          <w:rFonts w:ascii="Arial" w:hAnsi="Arial" w:eastAsia="Arial"/>
          <w:b w:val="0"/>
          <w:i/>
          <w:color w:val="52606D"/>
          <w:sz w:val="20"/>
        </w:rPr>
        <w:t>Figure 1. Dissemination over the 36 months by audience. Diamonds: events and deliverables; bars: continuous activities. Conference months are indicative and depend on the start date.</w:t>
      </w:r>
    </w:p>
    <w:p>
      <w:pPr>
        <w:keepNext/>
        <w:spacing w:after="120" w:before="160"/>
      </w:pPr>
      <w:r>
        <w:rPr>
          <w:rFonts w:ascii="Arial" w:hAnsi="Arial" w:eastAsia="Arial"/>
          <w:b/>
          <w:i w:val="0"/>
          <w:color w:val="1F3864"/>
          <w:sz w:val="27"/>
        </w:rPr>
        <w:t>6. Indicators</w:t>
      </w:r>
    </w:p>
    <w:p>
      <w:pPr>
        <w:spacing w:after="80" w:before="0"/>
      </w:pPr>
      <w:r>
        <w:rPr>
          <w:rFonts w:ascii="Arial" w:hAnsi="Arial" w:eastAsia="Arial"/>
          <w:b w:val="0"/>
          <w:i w:val="0"/>
          <w:sz w:val="22"/>
        </w:rPr>
        <w:t>Targets are indicative and are reported in each progress report to the SPS Programme.</w:t>
      </w:r>
    </w:p>
    <w:tbl>
      <w:tblPr>
        <w:tblStyle w:val="TableGrid"/>
        <w:tblW w:type="auto" w:w="0"/>
        <w:jc w:val="center"/>
        <w:tblLayout w:type="fixed"/>
        <w:tblLook w:firstColumn="1" w:firstRow="1" w:lastColumn="0" w:lastRow="0" w:noHBand="0" w:noVBand="1" w:val="04A0"/>
        <w:tblLayout w:type="fixed"/>
      </w:tblPr>
      <w:tblGrid>
        <w:gridCol w:w="4195"/>
        <w:gridCol w:w="2835"/>
        <w:gridCol w:w="2608"/>
      </w:tblGrid>
      <w:tr>
        <w:trPr>
          <w:cantSplit/>
          <w:tblHeader/>
        </w:trPr>
        <w:tc>
          <w:tcPr>
            <w:tcW w:type="dxa" w:w="4195"/>
            <w:shd w:val="clear" w:color="auto" w:fill="1F3864"/>
          </w:tcPr>
          <w:p>
            <w:pPr>
              <w:keepNext/>
            </w:pPr>
            <w:r/>
            <w:r>
              <w:rPr>
                <w:rFonts w:ascii="Arial" w:hAnsi="Arial" w:eastAsia="Arial"/>
                <w:b/>
                <w:i w:val="0"/>
                <w:color w:val="FFFFFF"/>
                <w:sz w:val="20"/>
              </w:rPr>
              <w:t>Indicator</w:t>
            </w:r>
          </w:p>
        </w:tc>
        <w:tc>
          <w:tcPr>
            <w:tcW w:type="dxa" w:w="2835"/>
            <w:shd w:val="clear" w:color="auto" w:fill="1F3864"/>
          </w:tcPr>
          <w:p>
            <w:pPr>
              <w:keepNext/>
            </w:pPr>
            <w:r/>
            <w:r>
              <w:rPr>
                <w:rFonts w:ascii="Arial" w:hAnsi="Arial" w:eastAsia="Arial"/>
                <w:b/>
                <w:i w:val="0"/>
                <w:color w:val="FFFFFF"/>
                <w:sz w:val="20"/>
              </w:rPr>
              <w:t>Target</w:t>
            </w:r>
          </w:p>
        </w:tc>
        <w:tc>
          <w:tcPr>
            <w:tcW w:type="dxa" w:w="2608"/>
            <w:shd w:val="clear" w:color="auto" w:fill="1F3864"/>
          </w:tcPr>
          <w:p>
            <w:pPr>
              <w:keepNext/>
            </w:pPr>
            <w:r/>
            <w:r>
              <w:rPr>
                <w:rFonts w:ascii="Arial" w:hAnsi="Arial" w:eastAsia="Arial"/>
                <w:b/>
                <w:i w:val="0"/>
                <w:color w:val="FFFFFF"/>
                <w:sz w:val="20"/>
              </w:rPr>
              <w:t>Evidence</w:t>
            </w:r>
          </w:p>
        </w:tc>
      </w:tr>
      <w:tr>
        <w:trPr>
          <w:cantSplit/>
        </w:trPr>
        <w:tc>
          <w:tcPr>
            <w:tcW w:type="dxa" w:w="4195"/>
          </w:tcPr>
          <w:p>
            <w:r/>
            <w:r>
              <w:rPr>
                <w:rFonts w:ascii="Arial" w:hAnsi="Arial" w:eastAsia="Arial"/>
                <w:b w:val="0"/>
                <w:i w:val="0"/>
                <w:sz w:val="20"/>
              </w:rPr>
              <w:t>Open-access peer-reviewed papers</w:t>
            </w:r>
          </w:p>
        </w:tc>
        <w:tc>
          <w:tcPr>
            <w:tcW w:type="dxa" w:w="2835"/>
          </w:tcPr>
          <w:p>
            <w:r/>
            <w:r>
              <w:rPr>
                <w:rFonts w:ascii="Arial" w:hAnsi="Arial" w:eastAsia="Arial"/>
                <w:b w:val="0"/>
                <w:i w:val="0"/>
                <w:sz w:val="20"/>
              </w:rPr>
              <w:t>At least 6</w:t>
            </w:r>
          </w:p>
        </w:tc>
        <w:tc>
          <w:tcPr>
            <w:tcW w:type="dxa" w:w="2608"/>
          </w:tcPr>
          <w:p>
            <w:r/>
            <w:r>
              <w:rPr>
                <w:rFonts w:ascii="Arial" w:hAnsi="Arial" w:eastAsia="Arial"/>
                <w:b w:val="0"/>
                <w:i w:val="0"/>
                <w:sz w:val="20"/>
              </w:rPr>
              <w:t>Publication list with open links</w:t>
            </w:r>
          </w:p>
        </w:tc>
      </w:tr>
      <w:tr>
        <w:trPr>
          <w:cantSplit/>
        </w:trPr>
        <w:tc>
          <w:tcPr>
            <w:tcW w:type="dxa" w:w="4195"/>
          </w:tcPr>
          <w:p>
            <w:r/>
            <w:r>
              <w:rPr>
                <w:rFonts w:ascii="Arial" w:hAnsi="Arial" w:eastAsia="Arial"/>
                <w:b w:val="0"/>
                <w:i w:val="0"/>
                <w:sz w:val="20"/>
              </w:rPr>
              <w:t>Conference presentations</w:t>
            </w:r>
          </w:p>
        </w:tc>
        <w:tc>
          <w:tcPr>
            <w:tcW w:type="dxa" w:w="2835"/>
          </w:tcPr>
          <w:p>
            <w:r/>
            <w:r>
              <w:rPr>
                <w:rFonts w:ascii="Arial" w:hAnsi="Arial" w:eastAsia="Arial"/>
                <w:b w:val="0"/>
                <w:i w:val="0"/>
                <w:sz w:val="20"/>
              </w:rPr>
              <w:t>At least 8</w:t>
            </w:r>
          </w:p>
        </w:tc>
        <w:tc>
          <w:tcPr>
            <w:tcW w:type="dxa" w:w="2608"/>
          </w:tcPr>
          <w:p>
            <w:r/>
            <w:r>
              <w:rPr>
                <w:rFonts w:ascii="Arial" w:hAnsi="Arial" w:eastAsia="Arial"/>
                <w:b w:val="0"/>
                <w:i w:val="0"/>
                <w:sz w:val="20"/>
              </w:rPr>
              <w:t>Presentation list</w:t>
            </w:r>
          </w:p>
        </w:tc>
      </w:tr>
      <w:tr>
        <w:trPr>
          <w:cantSplit/>
        </w:trPr>
        <w:tc>
          <w:tcPr>
            <w:tcW w:type="dxa" w:w="4195"/>
          </w:tcPr>
          <w:p>
            <w:r/>
            <w:r>
              <w:rPr>
                <w:rFonts w:ascii="Arial" w:hAnsi="Arial" w:eastAsia="Arial"/>
                <w:b w:val="0"/>
                <w:i w:val="0"/>
                <w:sz w:val="20"/>
              </w:rPr>
              <w:t>Open software and data release with documentation</w:t>
            </w:r>
          </w:p>
        </w:tc>
        <w:tc>
          <w:tcPr>
            <w:tcW w:type="dxa" w:w="2835"/>
          </w:tcPr>
          <w:p>
            <w:r/>
            <w:r>
              <w:rPr>
                <w:rFonts w:ascii="Arial" w:hAnsi="Arial" w:eastAsia="Arial"/>
                <w:b w:val="0"/>
                <w:i w:val="0"/>
                <w:sz w:val="20"/>
              </w:rPr>
              <w:t>1 release with a persistent identifier (D6.1)</w:t>
            </w:r>
          </w:p>
        </w:tc>
        <w:tc>
          <w:tcPr>
            <w:tcW w:type="dxa" w:w="2608"/>
          </w:tcPr>
          <w:p>
            <w:r/>
            <w:r>
              <w:rPr>
                <w:rFonts w:ascii="Arial" w:hAnsi="Arial" w:eastAsia="Arial"/>
                <w:b w:val="0"/>
                <w:i w:val="0"/>
                <w:sz w:val="20"/>
              </w:rPr>
              <w:t>Repository</w:t>
            </w:r>
          </w:p>
        </w:tc>
      </w:tr>
      <w:tr>
        <w:trPr>
          <w:cantSplit/>
        </w:trPr>
        <w:tc>
          <w:tcPr>
            <w:tcW w:type="dxa" w:w="4195"/>
          </w:tcPr>
          <w:p>
            <w:r/>
            <w:r>
              <w:rPr>
                <w:rFonts w:ascii="Arial" w:hAnsi="Arial" w:eastAsia="Arial"/>
                <w:b w:val="0"/>
                <w:i w:val="0"/>
                <w:sz w:val="20"/>
              </w:rPr>
              <w:t>Groups testing the software on another coast</w:t>
            </w:r>
          </w:p>
        </w:tc>
        <w:tc>
          <w:tcPr>
            <w:tcW w:type="dxa" w:w="2835"/>
          </w:tcPr>
          <w:p>
            <w:r/>
            <w:r>
              <w:rPr>
                <w:rFonts w:ascii="Arial" w:hAnsi="Arial" w:eastAsia="Arial"/>
                <w:b w:val="0"/>
                <w:i w:val="0"/>
                <w:sz w:val="20"/>
              </w:rPr>
              <w:t>At least 2</w:t>
            </w:r>
          </w:p>
        </w:tc>
        <w:tc>
          <w:tcPr>
            <w:tcW w:type="dxa" w:w="2608"/>
          </w:tcPr>
          <w:p>
            <w:r/>
            <w:r>
              <w:rPr>
                <w:rFonts w:ascii="Arial" w:hAnsi="Arial" w:eastAsia="Arial"/>
                <w:b w:val="0"/>
                <w:i w:val="0"/>
                <w:sz w:val="20"/>
              </w:rPr>
              <w:t>Transfer workshop; repository records</w:t>
            </w:r>
          </w:p>
        </w:tc>
      </w:tr>
      <w:tr>
        <w:trPr>
          <w:cantSplit/>
        </w:trPr>
        <w:tc>
          <w:tcPr>
            <w:tcW w:type="dxa" w:w="4195"/>
          </w:tcPr>
          <w:p>
            <w:r/>
            <w:r>
              <w:rPr>
                <w:rFonts w:ascii="Arial" w:hAnsi="Arial" w:eastAsia="Arial"/>
                <w:b w:val="0"/>
                <w:i w:val="0"/>
                <w:sz w:val="20"/>
              </w:rPr>
              <w:t>Operator and civil-protection staff trained</w:t>
            </w:r>
          </w:p>
        </w:tc>
        <w:tc>
          <w:tcPr>
            <w:tcW w:type="dxa" w:w="2835"/>
          </w:tcPr>
          <w:p>
            <w:r/>
            <w:r>
              <w:rPr>
                <w:rFonts w:ascii="Arial" w:hAnsi="Arial" w:eastAsia="Arial"/>
                <w:b w:val="0"/>
                <w:i w:val="0"/>
                <w:sz w:val="20"/>
              </w:rPr>
              <w:t>At least 20</w:t>
            </w:r>
          </w:p>
        </w:tc>
        <w:tc>
          <w:tcPr>
            <w:tcW w:type="dxa" w:w="2608"/>
          </w:tcPr>
          <w:p>
            <w:r/>
            <w:r>
              <w:rPr>
                <w:rFonts w:ascii="Arial" w:hAnsi="Arial" w:eastAsia="Arial"/>
                <w:b w:val="0"/>
                <w:i w:val="0"/>
                <w:sz w:val="20"/>
              </w:rPr>
              <w:t>Training records</w:t>
            </w:r>
          </w:p>
        </w:tc>
      </w:tr>
      <w:tr>
        <w:trPr>
          <w:cantSplit/>
        </w:trPr>
        <w:tc>
          <w:tcPr>
            <w:tcW w:type="dxa" w:w="4195"/>
          </w:tcPr>
          <w:p>
            <w:r/>
            <w:r>
              <w:rPr>
                <w:rFonts w:ascii="Arial" w:hAnsi="Arial" w:eastAsia="Arial"/>
                <w:b w:val="0"/>
                <w:i w:val="0"/>
                <w:sz w:val="20"/>
              </w:rPr>
              <w:t>Early-career researchers trained</w:t>
            </w:r>
          </w:p>
        </w:tc>
        <w:tc>
          <w:tcPr>
            <w:tcW w:type="dxa" w:w="2835"/>
          </w:tcPr>
          <w:p>
            <w:r/>
            <w:r>
              <w:rPr>
                <w:rFonts w:ascii="Arial" w:hAnsi="Arial" w:eastAsia="Arial"/>
                <w:b w:val="0"/>
                <w:i w:val="0"/>
                <w:sz w:val="20"/>
              </w:rPr>
              <w:t>At least 6</w:t>
            </w:r>
          </w:p>
        </w:tc>
        <w:tc>
          <w:tcPr>
            <w:tcW w:type="dxa" w:w="2608"/>
          </w:tcPr>
          <w:p>
            <w:r/>
            <w:r>
              <w:rPr>
                <w:rFonts w:ascii="Arial" w:hAnsi="Arial" w:eastAsia="Arial"/>
                <w:b w:val="0"/>
                <w:i w:val="0"/>
                <w:sz w:val="20"/>
              </w:rPr>
              <w:t>Training records</w:t>
            </w:r>
          </w:p>
        </w:tc>
      </w:tr>
      <w:tr>
        <w:trPr>
          <w:cantSplit/>
        </w:trPr>
        <w:tc>
          <w:tcPr>
            <w:tcW w:type="dxa" w:w="4195"/>
          </w:tcPr>
          <w:p>
            <w:r/>
            <w:r>
              <w:rPr>
                <w:rFonts w:ascii="Arial" w:hAnsi="Arial" w:eastAsia="Arial"/>
                <w:b w:val="0"/>
                <w:i w:val="0"/>
                <w:sz w:val="20"/>
              </w:rPr>
              <w:t>Operating procedures adopted</w:t>
            </w:r>
          </w:p>
        </w:tc>
        <w:tc>
          <w:tcPr>
            <w:tcW w:type="dxa" w:w="2835"/>
          </w:tcPr>
          <w:p>
            <w:r/>
            <w:r>
              <w:rPr>
                <w:rFonts w:ascii="Arial" w:hAnsi="Arial" w:eastAsia="Arial"/>
                <w:b w:val="0"/>
                <w:i w:val="0"/>
                <w:sz w:val="20"/>
              </w:rPr>
              <w:t>At least 1 per asset</w:t>
            </w:r>
          </w:p>
        </w:tc>
        <w:tc>
          <w:tcPr>
            <w:tcW w:type="dxa" w:w="2608"/>
          </w:tcPr>
          <w:p>
            <w:r/>
            <w:r>
              <w:rPr>
                <w:rFonts w:ascii="Arial" w:hAnsi="Arial" w:eastAsia="Arial"/>
                <w:b w:val="0"/>
                <w:i w:val="0"/>
                <w:sz w:val="20"/>
              </w:rPr>
              <w:t>D6.2</w:t>
            </w:r>
          </w:p>
        </w:tc>
      </w:tr>
      <w:tr>
        <w:trPr>
          <w:cantSplit/>
        </w:trPr>
        <w:tc>
          <w:tcPr>
            <w:tcW w:type="dxa" w:w="4195"/>
          </w:tcPr>
          <w:p>
            <w:r/>
            <w:r>
              <w:rPr>
                <w:rFonts w:ascii="Arial" w:hAnsi="Arial" w:eastAsia="Arial"/>
                <w:b w:val="0"/>
                <w:i w:val="0"/>
                <w:sz w:val="20"/>
              </w:rPr>
              <w:t>Stakeholder workshops</w:t>
            </w:r>
          </w:p>
        </w:tc>
        <w:tc>
          <w:tcPr>
            <w:tcW w:type="dxa" w:w="2835"/>
          </w:tcPr>
          <w:p>
            <w:r/>
            <w:r>
              <w:rPr>
                <w:rFonts w:ascii="Arial" w:hAnsi="Arial" w:eastAsia="Arial"/>
                <w:b w:val="0"/>
                <w:i w:val="0"/>
                <w:sz w:val="20"/>
              </w:rPr>
              <w:t>3, plus 1 transfer workshop</w:t>
            </w:r>
          </w:p>
        </w:tc>
        <w:tc>
          <w:tcPr>
            <w:tcW w:type="dxa" w:w="2608"/>
          </w:tcPr>
          <w:p>
            <w:r/>
            <w:r>
              <w:rPr>
                <w:rFonts w:ascii="Arial" w:hAnsi="Arial" w:eastAsia="Arial"/>
                <w:b w:val="0"/>
                <w:i w:val="0"/>
                <w:sz w:val="20"/>
              </w:rPr>
              <w:t>Agendas and participant lists</w:t>
            </w:r>
          </w:p>
        </w:tc>
      </w:tr>
      <w:tr>
        <w:trPr>
          <w:cantSplit/>
        </w:trPr>
        <w:tc>
          <w:tcPr>
            <w:tcW w:type="dxa" w:w="4195"/>
          </w:tcPr>
          <w:p>
            <w:pPr>
              <w:keepNext/>
            </w:pPr>
            <w:r/>
            <w:r>
              <w:rPr>
                <w:rFonts w:ascii="Arial" w:hAnsi="Arial" w:eastAsia="Arial"/>
                <w:b w:val="0"/>
                <w:i w:val="0"/>
                <w:sz w:val="20"/>
              </w:rPr>
              <w:t>Policy brief delivered to national authorities</w:t>
            </w:r>
          </w:p>
        </w:tc>
        <w:tc>
          <w:tcPr>
            <w:tcW w:type="dxa" w:w="2835"/>
          </w:tcPr>
          <w:p>
            <w:pPr>
              <w:keepNext/>
            </w:pPr>
            <w:r/>
            <w:r>
              <w:rPr>
                <w:rFonts w:ascii="Arial" w:hAnsi="Arial" w:eastAsia="Arial"/>
                <w:b w:val="0"/>
                <w:i w:val="0"/>
                <w:sz w:val="20"/>
              </w:rPr>
              <w:t>Delivered (D6.2)</w:t>
            </w:r>
          </w:p>
        </w:tc>
        <w:tc>
          <w:tcPr>
            <w:tcW w:type="dxa" w:w="2608"/>
          </w:tcPr>
          <w:p>
            <w:pPr>
              <w:keepNext/>
            </w:pPr>
            <w:r/>
            <w:r>
              <w:rPr>
                <w:rFonts w:ascii="Arial" w:hAnsi="Arial" w:eastAsia="Arial"/>
                <w:b w:val="0"/>
                <w:i w:val="0"/>
                <w:sz w:val="20"/>
              </w:rPr>
              <w:t>Delivery record</w:t>
            </w:r>
          </w:p>
        </w:tc>
      </w:tr>
      <w:tr>
        <w:trPr>
          <w:cantSplit/>
        </w:trPr>
        <w:tc>
          <w:tcPr>
            <w:tcW w:type="dxa" w:w="4195"/>
          </w:tcPr>
          <w:p>
            <w:r/>
            <w:r>
              <w:rPr>
                <w:rFonts w:ascii="Arial" w:hAnsi="Arial" w:eastAsia="Arial"/>
                <w:b w:val="0"/>
                <w:i w:val="0"/>
                <w:sz w:val="20"/>
              </w:rPr>
              <w:t>Outputs screened before release</w:t>
            </w:r>
          </w:p>
        </w:tc>
        <w:tc>
          <w:tcPr>
            <w:tcW w:type="dxa" w:w="2835"/>
          </w:tcPr>
          <w:p>
            <w:r/>
            <w:r>
              <w:rPr>
                <w:rFonts w:ascii="Arial" w:hAnsi="Arial" w:eastAsia="Arial"/>
                <w:b w:val="0"/>
                <w:i w:val="0"/>
                <w:sz w:val="20"/>
              </w:rPr>
              <w:t>100%; no sensitive disclosure</w:t>
            </w:r>
          </w:p>
        </w:tc>
        <w:tc>
          <w:tcPr>
            <w:tcW w:type="dxa" w:w="2608"/>
          </w:tcPr>
          <w:p>
            <w:r/>
            <w:r>
              <w:rPr>
                <w:rFonts w:ascii="Arial" w:hAnsi="Arial" w:eastAsia="Arial"/>
                <w:b w:val="0"/>
                <w:i w:val="0"/>
                <w:sz w:val="20"/>
              </w:rPr>
              <w:t>Release log</w:t>
            </w:r>
          </w:p>
        </w:tc>
      </w:tr>
    </w:tbl>
    <w:p>
      <w:pPr>
        <w:spacing w:after="80" w:before="0"/>
      </w:pPr>
    </w:p>
    <w:p>
      <w:pPr>
        <w:keepNext/>
        <w:spacing w:after="120" w:before="160"/>
      </w:pPr>
      <w:r>
        <w:rPr>
          <w:rFonts w:ascii="Arial" w:hAnsi="Arial" w:eastAsia="Arial"/>
          <w:b/>
          <w:i w:val="0"/>
          <w:color w:val="1F3864"/>
          <w:sz w:val="27"/>
        </w:rPr>
        <w:t>7. Acknowledgement, licences and ownership</w:t>
      </w:r>
    </w:p>
    <w:p>
      <w:pPr>
        <w:spacing w:after="60" w:before="0"/>
        <w:ind w:left="283"/>
      </w:pPr>
      <w:r>
        <w:rPr>
          <w:rFonts w:ascii="Arial" w:hAnsi="Arial" w:eastAsia="Arial"/>
          <w:b/>
          <w:i w:val="0"/>
          <w:sz w:val="22"/>
        </w:rPr>
        <w:t xml:space="preserve">• </w:t>
      </w:r>
      <w:r>
        <w:rPr>
          <w:rFonts w:ascii="Arial" w:hAnsi="Arial" w:eastAsia="Arial"/>
          <w:b/>
          <w:i w:val="0"/>
          <w:sz w:val="22"/>
        </w:rPr>
        <w:t>Acknowledgement.</w:t>
      </w:r>
      <w:r>
        <w:rPr>
          <w:rFonts w:ascii="Arial" w:hAnsi="Arial" w:eastAsia="Arial"/>
          <w:b w:val="0"/>
          <w:i w:val="0"/>
          <w:sz w:val="22"/>
        </w:rPr>
        <w:t xml:space="preserve"> Every output acknowledges the support of the NATO Science for Peace and Security Programme, as the grant requires.</w:t>
      </w:r>
    </w:p>
    <w:p>
      <w:pPr>
        <w:spacing w:after="60" w:before="0"/>
        <w:ind w:left="283"/>
      </w:pPr>
      <w:r>
        <w:rPr>
          <w:rFonts w:ascii="Arial" w:hAnsi="Arial" w:eastAsia="Arial"/>
          <w:b/>
          <w:i w:val="0"/>
          <w:sz w:val="22"/>
        </w:rPr>
        <w:t xml:space="preserve">• </w:t>
      </w:r>
      <w:r>
        <w:rPr>
          <w:rFonts w:ascii="Arial" w:hAnsi="Arial" w:eastAsia="Arial"/>
          <w:b/>
          <w:i w:val="0"/>
          <w:sz w:val="22"/>
        </w:rPr>
        <w:t>Licences.</w:t>
      </w:r>
      <w:r>
        <w:rPr>
          <w:rFonts w:ascii="Arial" w:hAnsi="Arial" w:eastAsia="Arial"/>
          <w:b w:val="0"/>
          <w:i w:val="0"/>
          <w:sz w:val="22"/>
        </w:rPr>
        <w:t xml:space="preserve"> Software under an OSI-approved open-source licence (for example Apache-2.0); open data under CC BY 4.0; papers open access.</w:t>
      </w:r>
    </w:p>
    <w:p>
      <w:pPr>
        <w:spacing w:after="60" w:before="0"/>
        <w:ind w:left="283"/>
      </w:pPr>
      <w:r>
        <w:rPr>
          <w:rFonts w:ascii="Arial" w:hAnsi="Arial" w:eastAsia="Arial"/>
          <w:b/>
          <w:i w:val="0"/>
          <w:sz w:val="22"/>
        </w:rPr>
        <w:t xml:space="preserve">• </w:t>
      </w:r>
      <w:r>
        <w:rPr>
          <w:rFonts w:ascii="Arial" w:hAnsi="Arial" w:eastAsia="Arial"/>
          <w:b/>
          <w:i w:val="0"/>
          <w:sz w:val="22"/>
        </w:rPr>
        <w:t>Ownership.</w:t>
      </w:r>
      <w:r>
        <w:rPr>
          <w:rFonts w:ascii="Arial" w:hAnsi="Arial" w:eastAsia="Arial"/>
          <w:b w:val="0"/>
          <w:i w:val="0"/>
          <w:sz w:val="22"/>
        </w:rPr>
        <w:t xml:space="preserve"> Operator data remain the property of the operators and are used under the access agreements of T7.2.</w:t>
      </w:r>
    </w:p>
    <w:p>
      <w:pPr>
        <w:spacing w:after="60" w:before="0"/>
        <w:ind w:left="283"/>
      </w:pPr>
      <w:r>
        <w:rPr>
          <w:rFonts w:ascii="Arial" w:hAnsi="Arial" w:eastAsia="Arial"/>
          <w:b/>
          <w:i w:val="0"/>
          <w:sz w:val="22"/>
        </w:rPr>
        <w:t xml:space="preserve">• </w:t>
      </w:r>
      <w:r>
        <w:rPr>
          <w:rFonts w:ascii="Arial" w:hAnsi="Arial" w:eastAsia="Arial"/>
          <w:b/>
          <w:i w:val="0"/>
          <w:sz w:val="22"/>
        </w:rPr>
        <w:t>Publication rules.</w:t>
      </w:r>
      <w:r>
        <w:rPr>
          <w:rFonts w:ascii="Arial" w:hAnsi="Arial" w:eastAsia="Arial"/>
          <w:b w:val="0"/>
          <w:i w:val="0"/>
          <w:sz w:val="22"/>
        </w:rPr>
        <w:t xml:space="preserve"> The consortium agreement sets the review period and limits review to sensitive content and confidential data.</w:t>
      </w:r>
    </w:p>
    <w:p>
      <w:pPr>
        <w:spacing w:after="60" w:before="0"/>
        <w:ind w:left="283"/>
      </w:pPr>
      <w:r>
        <w:rPr>
          <w:rFonts w:ascii="Arial" w:hAnsi="Arial" w:eastAsia="Arial"/>
          <w:b/>
          <w:i w:val="0"/>
          <w:sz w:val="22"/>
        </w:rPr>
        <w:t xml:space="preserve">• </w:t>
      </w:r>
      <w:r>
        <w:rPr>
          <w:rFonts w:ascii="Arial" w:hAnsi="Arial" w:eastAsia="Arial"/>
          <w:b/>
          <w:i w:val="0"/>
          <w:sz w:val="22"/>
        </w:rPr>
        <w:t>Languages.</w:t>
      </w:r>
      <w:r>
        <w:rPr>
          <w:rFonts w:ascii="Arial" w:hAnsi="Arial" w:eastAsia="Arial"/>
          <w:b w:val="0"/>
          <w:i w:val="0"/>
          <w:sz w:val="22"/>
        </w:rPr>
        <w:t xml:space="preserve"> Public and operator materials in Albanian and English; scientific outputs in English.</w:t>
      </w:r>
    </w:p>
    <w:p>
      <w:pPr>
        <w:keepNext/>
        <w:spacing w:after="120" w:before="160"/>
      </w:pPr>
      <w:r>
        <w:rPr>
          <w:rFonts w:ascii="Arial" w:hAnsi="Arial" w:eastAsia="Arial"/>
          <w:b/>
          <w:i w:val="0"/>
          <w:color w:val="1F3864"/>
          <w:sz w:val="27"/>
        </w:rPr>
        <w:t>8. What is new in this dissemination plan</w:t>
      </w:r>
    </w:p>
    <w:p>
      <w:pPr>
        <w:spacing w:after="60" w:before="0"/>
        <w:ind w:left="283"/>
      </w:pPr>
      <w:r>
        <w:rPr>
          <w:rFonts w:ascii="Arial" w:hAnsi="Arial" w:eastAsia="Arial"/>
          <w:b/>
          <w:i w:val="0"/>
          <w:sz w:val="22"/>
        </w:rPr>
        <w:t xml:space="preserve">• </w:t>
      </w:r>
      <w:r>
        <w:rPr>
          <w:rFonts w:ascii="Arial" w:hAnsi="Arial" w:eastAsia="Arial"/>
          <w:b/>
          <w:i w:val="0"/>
          <w:sz w:val="22"/>
        </w:rPr>
        <w:t>Open verification of a restricted service.</w:t>
      </w:r>
      <w:r>
        <w:rPr>
          <w:rFonts w:ascii="Arial" w:hAnsi="Arial" w:eastAsia="Arial"/>
          <w:b w:val="0"/>
          <w:i w:val="0"/>
          <w:sz w:val="22"/>
        </w:rPr>
        <w:t xml:space="preserve"> The observed miss and false-alarm rates of the live warnings are published with their confidence intervals, so anyone can check the certified guarantee without seeing a single vulnerable location.</w:t>
      </w:r>
    </w:p>
    <w:p>
      <w:pPr>
        <w:spacing w:after="60" w:before="0"/>
        <w:ind w:left="283"/>
      </w:pPr>
      <w:r>
        <w:rPr>
          <w:rFonts w:ascii="Arial" w:hAnsi="Arial" w:eastAsia="Arial"/>
          <w:b/>
          <w:i w:val="0"/>
          <w:sz w:val="22"/>
        </w:rPr>
        <w:t xml:space="preserve">• </w:t>
      </w:r>
      <w:r>
        <w:rPr>
          <w:rFonts w:ascii="Arial" w:hAnsi="Arial" w:eastAsia="Arial"/>
          <w:b/>
          <w:i w:val="0"/>
          <w:sz w:val="22"/>
        </w:rPr>
        <w:t>Security-screened open science.</w:t>
      </w:r>
      <w:r>
        <w:rPr>
          <w:rFonts w:ascii="Arial" w:hAnsi="Arial" w:eastAsia="Arial"/>
          <w:b w:val="0"/>
          <w:i w:val="0"/>
          <w:sz w:val="22"/>
        </w:rPr>
        <w:t xml:space="preserve"> A two-tier plan and a release gate make the methods fully open and keep asset-level vulnerability closed, so openness and protection of critical infrastructure do not conflict.</w:t>
      </w:r>
    </w:p>
    <w:p>
      <w:pPr>
        <w:spacing w:after="60" w:before="0"/>
        <w:ind w:left="283"/>
      </w:pPr>
      <w:r>
        <w:rPr>
          <w:rFonts w:ascii="Arial" w:hAnsi="Arial" w:eastAsia="Arial"/>
          <w:b/>
          <w:i w:val="0"/>
          <w:sz w:val="22"/>
        </w:rPr>
        <w:t xml:space="preserve">• </w:t>
      </w:r>
      <w:r>
        <w:rPr>
          <w:rFonts w:ascii="Arial" w:hAnsi="Arial" w:eastAsia="Arial"/>
          <w:b/>
          <w:i w:val="0"/>
          <w:sz w:val="22"/>
        </w:rPr>
        <w:t>Uncertainty as a number each audience can act on.</w:t>
      </w:r>
      <w:r>
        <w:rPr>
          <w:rFonts w:ascii="Arial" w:hAnsi="Arial" w:eastAsia="Arial"/>
          <w:b w:val="0"/>
          <w:i w:val="0"/>
          <w:sz w:val="22"/>
        </w:rPr>
        <w:t xml:space="preserve"> Operators receive a miss rate with every bulletin; planners receive relative sea level at each asset instead of a regional trend; the public receives plain-language summaries.</w:t>
      </w:r>
    </w:p>
    <w:p>
      <w:pPr>
        <w:spacing w:after="60" w:before="0"/>
        <w:ind w:left="283"/>
      </w:pPr>
      <w:r>
        <w:rPr>
          <w:rFonts w:ascii="Arial" w:hAnsi="Arial" w:eastAsia="Arial"/>
          <w:b/>
          <w:i w:val="0"/>
          <w:sz w:val="22"/>
        </w:rPr>
        <w:t xml:space="preserve">• </w:t>
      </w:r>
      <w:r>
        <w:rPr>
          <w:rFonts w:ascii="Arial" w:hAnsi="Arial" w:eastAsia="Arial"/>
          <w:b/>
          <w:i w:val="0"/>
          <w:sz w:val="22"/>
        </w:rPr>
        <w:t>A coast kit, not only papers.</w:t>
      </w:r>
      <w:r>
        <w:rPr>
          <w:rFonts w:ascii="Arial" w:hAnsi="Arial" w:eastAsia="Arial"/>
          <w:b w:val="0"/>
          <w:i w:val="0"/>
          <w:sz w:val="22"/>
        </w:rPr>
        <w:t xml:space="preserve"> Software, a synthetic test coast and training material let another coast repeat the analysis without the project team.</w:t>
      </w:r>
    </w:p>
    <w:p>
      <w:pPr>
        <w:spacing w:after="60" w:before="0"/>
        <w:ind w:left="283"/>
      </w:pPr>
      <w:r>
        <w:rPr>
          <w:rFonts w:ascii="Arial" w:hAnsi="Arial" w:eastAsia="Arial"/>
          <w:b/>
          <w:i w:val="0"/>
          <w:sz w:val="22"/>
        </w:rPr>
        <w:t xml:space="preserve">• </w:t>
      </w:r>
      <w:r>
        <w:rPr>
          <w:rFonts w:ascii="Arial" w:hAnsi="Arial" w:eastAsia="Arial"/>
          <w:b/>
          <w:i w:val="0"/>
          <w:sz w:val="22"/>
        </w:rPr>
        <w:t>Products timed to decisions.</w:t>
      </w:r>
      <w:r>
        <w:rPr>
          <w:rFonts w:ascii="Arial" w:hAnsi="Arial" w:eastAsia="Arial"/>
          <w:b w:val="0"/>
          <w:i w:val="0"/>
          <w:sz w:val="22"/>
        </w:rPr>
        <w:t xml:space="preserve"> Workshops, training and live bulletins follow the project's decision points: thresholds before design, a dry run before operation, procedures before hand-over.</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