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2"/>
        </w:rPr>
        <w:t>Objectives</w:t>
      </w:r>
    </w:p>
    <w:p>
      <w:pPr>
        <w:spacing w:after="120"/>
      </w:pPr>
      <w:r>
        <w:rPr>
          <w:rFonts w:ascii="Arial" w:hAnsi="Arial"/>
          <w:b/>
          <w:sz w:val="22"/>
        </w:rPr>
        <w:t xml:space="preserve">Overall aim: </w:t>
      </w:r>
      <w:r>
        <w:rPr>
          <w:rFonts w:ascii="Arial" w:hAnsi="Arial"/>
          <w:sz w:val="22"/>
        </w:rPr>
        <w:t>give stakeholders a certified, computable rule for pumping, chloride sampling and well siting that keeps coastal supply wells below 250 mg/L chloride in normal and extreme conditions.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O1. Assemble and solve the coupled system. </w:t>
      </w:r>
      <w:r>
        <w:rPr>
          <w:rFonts w:ascii="Arial" w:hAnsi="Arial"/>
          <w:sz w:val="22"/>
        </w:rPr>
        <w:t>Build and verify a variable-density flow, salt and ion model of the Fushë-Kuqe aquifer, solved by a coupled Newton method with an exact adjoint, fast enough to test each decision over many storylines.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O2. Certify the chloride alarm. </w:t>
      </w:r>
      <w:r>
        <w:rPr>
          <w:rFonts w:ascii="Arial" w:hAnsi="Arial"/>
          <w:sz w:val="22"/>
        </w:rPr>
        <w:t>Predict chloride at the supply screen from heads, rainfall and pumping records with a certified margin, so that the alarm under-warns in at most 10% of seasons, and keep it valid after decisions with yearly chloride samples.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O3. Prepare for extremes and hidden feedback. </w:t>
      </w:r>
      <w:r>
        <w:rPr>
          <w:rFonts w:ascii="Arial" w:hAnsi="Arial"/>
          <w:sz w:val="22"/>
        </w:rPr>
        <w:t>Test every rule under ordinary weather, intense rainfall, record-shattering drought, changed farmer behaviour and compound events, and bound the effect of unregistered private pumping.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O4. Design the monitoring. </w:t>
      </w:r>
      <w:r>
        <w:rPr>
          <w:rFonts w:ascii="Arial" w:hAnsi="Arial"/>
          <w:sz w:val="22"/>
        </w:rPr>
        <w:t>Decide where piezometers go and when to take extra chloride samples, within a fixed sampling budget.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O5. Optimise the stakeholder decision. </w:t>
      </w:r>
      <w:r>
        <w:rPr>
          <w:rFonts w:ascii="Arial" w:hAnsi="Arial"/>
          <w:sz w:val="22"/>
        </w:rPr>
        <w:t>Choose well sites, the pumping rule and drought caps on private abstraction that deliver the most water in the worst storyline while keeping the share of seasons above 250 mg/L below a level agreed with stakeholders, and show who bears the water cost.</w:t>
      </w:r>
    </w:p>
    <w:p>
      <w:pPr>
        <w:spacing w:after="80"/>
      </w:pPr>
      <w:r>
        <w:rPr>
          <w:rFonts w:ascii="Arial" w:hAnsi="Arial"/>
          <w:b/>
          <w:sz w:val="22"/>
        </w:rPr>
        <w:t xml:space="preserve">O6. Validate and transfer. </w:t>
      </w:r>
      <w:r>
        <w:rPr>
          <w:rFonts w:ascii="Arial" w:hAnsi="Arial"/>
          <w:sz w:val="22"/>
        </w:rPr>
        <w:t>Calibrate and validate the model with Fushë-Kuqe field data, extend it to 3-D, publish open code and diagrams, and transfer the method to other coastal and karst aquifers.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