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110y8f_tytglgovsuhcwk">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with the geolocated boundary: results, fields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g ≥ 0 between them (negative gaps, where the polygon extends up to 1.35 km beyond the GLOBE coast within the resolution of the mask, are set to zero) gives the conductance of the Robin link, Δx/(g + Δx/2) per unit thickness. Table S2 summarizes the contact by latitude band. All 92 contact cells lie north of y = 29 km;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y ≥ 24 km).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y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y = 30–40 km and 0.5–2.5 km from the shore; central band, y = 30–40 km and 3–6 km; NE band, y = 36–46 km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Cl &gt; 250 mg/L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2.9e-65 / 1.1e-6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9.8e-10 / 3.7e-4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9.1e-194 / 5.0e-13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7.1e-19 / 5.3e-7 / 2.3e-4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4.4e-8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7.5e-26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2.3e-133 / 3.2e-6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4.5e-8 / 4.5e-4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&gt;250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&gt;250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h</w:t>
            </w:r>
            <w:r>
              <w:rPr>
                <w:b/>
                <w:bCs/>
                <w:sz w:val="15"/>
                <w:szCs w:val="15"/>
                <w:vertAlign w:val="subscript"/>
              </w:rPr>
              <w:t xml:space="preserve">lit</w:t>
            </w:r>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mid,SW</w:t>
            </w:r>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mid,c</w:t>
            </w:r>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f = 1.86 %.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Γ</w:t>
      </w:r>
      <w:r>
        <w:rPr>
          <w:vertAlign w:val="subscript"/>
        </w:rPr>
        <w:t xml:space="preserve">F</w:t>
      </w:r>
      <w:r>
        <w:t xml:space="preserve"> at ρ</w:t>
      </w:r>
      <w:r>
        <w:rPr>
          <w:vertAlign w:val="subscript"/>
        </w:rPr>
        <w:t xml:space="preserve">F</w:t>
      </w:r>
      <w:r>
        <w:t xml:space="preserve"> = 0.805.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θ</w:t>
      </w:r>
      <w:r>
        <w:rPr>
          <w:sz w:val="20"/>
          <w:szCs w:val="20"/>
          <w:vertAlign w:val="subscript"/>
        </w:rPr>
        <w:t xml:space="preserve">z</w:t>
      </w:r>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D</w:t>
      </w:r>
      <w:r>
        <w:rPr>
          <w:vertAlign w:val="subscript"/>
        </w:rPr>
        <w:t xml:space="preserve">xx</w:t>
      </w:r>
      <w:r>
        <w:t xml:space="preserve"> = nD_m + (α</w:t>
      </w:r>
      <w:r>
        <w:rPr>
          <w:vertAlign w:val="subscript"/>
        </w:rPr>
        <w:t xml:space="preserve">L</w:t>
      </w:r>
      <w:r>
        <w:t xml:space="preserve"> q</w:t>
      </w:r>
      <w:r>
        <w:rPr>
          <w:vertAlign w:val="subscript"/>
        </w:rPr>
        <w:t xml:space="preserve">x</w:t>
      </w:r>
      <w:r>
        <w:t xml:space="preserve">² + α</w:t>
      </w:r>
      <w:r>
        <w:rPr>
          <w:vertAlign w:val="subscript"/>
        </w:rPr>
        <w:t xml:space="preserve">T</w:t>
      </w:r>
      <w:r>
        <w:t xml:space="preserve"> q</w:t>
      </w:r>
      <w:r>
        <w:rPr>
          <w:vertAlign w:val="subscript"/>
        </w:rPr>
        <w:t xml:space="preserve">z</w:t>
      </w:r>
      <w:r>
        <w:t xml:space="preserve">²)/|q| on vertical faces and D</w:t>
      </w:r>
      <w:r>
        <w:rPr>
          <w:vertAlign w:val="subscript"/>
        </w:rPr>
        <w:t xml:space="preserve">zz</w:t>
      </w:r>
      <w:r>
        <w:t xml:space="preserve"> = nD_m + (α</w:t>
      </w:r>
      <w:r>
        <w:rPr>
          <w:vertAlign w:val="subscript"/>
        </w:rPr>
        <w:t xml:space="preserve">T</w:t>
      </w:r>
      <w:r>
        <w:t xml:space="preserve"> q</w:t>
      </w:r>
      <w:r>
        <w:rPr>
          <w:vertAlign w:val="subscript"/>
        </w:rPr>
        <w:t xml:space="preserve">x</w:t>
      </w:r>
      <w:r>
        <w:t xml:space="preserve">² + α</w:t>
      </w:r>
      <w:r>
        <w:rPr>
          <w:vertAlign w:val="subscript"/>
        </w:rPr>
        <w:t xml:space="preserve">L</w:t>
      </w:r>
      <w:r>
        <w:t xml:space="preserve"> q</w:t>
      </w:r>
      <w:r>
        <w:rPr>
          <w:vertAlign w:val="subscript"/>
        </w:rPr>
        <w:t xml:space="preserve">z</w:t>
      </w:r>
      <w:r>
        <w:t xml:space="preserve">²)/|q| on horizontal faces, with the transverse velocity component averaged from the neighbouring faces; the cross terms are omitted. The sea face carries a hydrostatic equivalent freshwater head h</w:t>
      </w:r>
      <w:r>
        <w:rPr>
          <w:vertAlign w:val="subscript"/>
        </w:rPr>
        <w:t xml:space="preserve">f</w:t>
      </w:r>
      <w:r>
        <w:t xml:space="preserve"> = ε z over half a cell; seawater enters with c = 1 (advective and dispersive flux) and outflow carries the cell concentration. The inland face receives the member's freshwater discharge with c = 0, distributed in proportion to K</w:t>
      </w:r>
      <w:r>
        <w:rPr>
          <w:vertAlign w:val="subscript"/>
        </w:rPr>
        <w:t xml:space="preserve">x</w:t>
      </w:r>
      <w:r>
        <w:t xml:space="preserve"> Δz. The steady state is reached by implicit Euler steps whose flow–transport coupling is converged by inner Picard iterations (tolerance 10⁻⁸);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10⁻⁶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(c = 0.5) then matches that solver on the refinement ladder: 1.4226, 1.3971, 1.3918 and 1.3864 m at 16 × 8, 32 × 16, 41 × 21 and 61 × 31 cells (fkcl_henry_check.m; self-test 4).</w:t>
      </w:r>
    </w:p>
    <w:p>
      <w:pPr>
        <w:keepNext/>
        <w:spacing w:after="80" w:before="200" w:line="276"/>
      </w:pPr>
      <w:r>
        <w:rPr>
          <w:b/>
          <w:bCs/>
          <w:sz w:val="20"/>
          <w:szCs w:val="20"/>
        </w:rPr>
        <w:t xml:space="preserve">Table S6.</w:t>
      </w:r>
      <w:r>
        <w:rPr>
          <w:sz w:val="20"/>
          <w:szCs w:val="20"/>
        </w:rPr>
        <w:t xml:space="preserve"> Variable-density runs on section A–A′ (y = 36.5 km). Toe: c = 0.5 at the aquifer base, from the shoreline; w</w:t>
      </w:r>
      <w:r>
        <w:rPr>
          <w:sz w:val="20"/>
          <w:szCs w:val="20"/>
          <w:vertAlign w:val="subscript"/>
        </w:rPr>
        <w:t xml:space="preserve">sim</w:t>
      </w:r>
      <w:r>
        <w:rPr>
          <w:sz w:val="20"/>
          <w:szCs w:val="20"/>
        </w:rPr>
        <w:t xml:space="preserve">: median over columns of half the vertical distance between c = 0.16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α</w:t>
            </w:r>
            <w:r>
              <w:rPr>
                <w:b/>
                <w:bCs/>
                <w:sz w:val="15"/>
                <w:szCs w:val="15"/>
                <w:vertAlign w:val="subscript"/>
              </w:rPr>
              <w:t xml:space="preserve">T</w:t>
            </w:r>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w:t>
            </w:r>
            <w:r>
              <w:rPr>
                <w:b/>
                <w:bCs/>
                <w:sz w:val="15"/>
                <w:szCs w:val="15"/>
                <w:vertAlign w:val="subscript"/>
              </w:rPr>
              <w:t xml:space="preserve">in</w:t>
            </w:r>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w:t>
            </w:r>
            <w:r>
              <w:rPr>
                <w:b/>
                <w:bCs/>
                <w:sz w:val="15"/>
                <w:szCs w:val="15"/>
                <w:vertAlign w:val="subscript"/>
              </w:rPr>
              <w:t xml:space="preserve">sim</w:t>
            </w:r>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 4</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0.1 m</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9.4e-7</w:t>
            </w:r>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3 m</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9.5e-7</w:t>
            </w:r>
          </w:p>
        </w:tc>
      </w:tr>
    </w:tbl>
    <w:p>
      <w:pPr>
        <w:spacing w:after="240" w:before="60" w:line="240"/>
      </w:pPr>
      <w:r>
        <w:rPr>
          <w:sz w:val="14"/>
          <w:szCs w:val="14"/>
        </w:rPr>
        <w:t xml:space="preserve">Member: 0-based index in the posterior ensemble; P5, P50 and P95 are the members at those percentiles of the wedge area. All runs: α</w:t>
      </w:r>
      <w:r>
        <w:rPr>
          <w:sz w:val="14"/>
          <w:szCs w:val="14"/>
          <w:vertAlign w:val="subscript"/>
        </w:rPr>
        <w:t xml:space="preserve">L</w:t>
      </w:r>
      <w:r>
        <w:rPr>
          <w:sz w:val="14"/>
          <w:szCs w:val="14"/>
        </w:rPr>
        <w:t xml:space="preserve"> = max(10 α</w:t>
      </w:r>
      <w:r>
        <w:rPr>
          <w:sz w:val="14"/>
          <w:szCs w:val="14"/>
          <w:vertAlign w:val="subscript"/>
        </w:rPr>
        <w:t xml:space="preserve">T</w:t>
      </w:r>
      <w:r>
        <w:rPr>
          <w:sz w:val="14"/>
          <w:szCs w:val="14"/>
        </w:rPr>
        <w:t xml:space="preserve">, 10 m), n = 0.25, K</w:t>
      </w:r>
      <w:r>
        <w:rPr>
          <w:sz w:val="14"/>
          <w:szCs w:val="14"/>
          <w:vertAlign w:val="subscript"/>
        </w:rPr>
        <w:t xml:space="preserve">z</w:t>
      </w:r>
      <w:r>
        <w:rPr>
          <w:sz w:val="14"/>
          <w:szCs w:val="14"/>
        </w:rPr>
        <w:t xml:space="preserve">/K_x = 0.1, D</w:t>
      </w:r>
      <w:r>
        <w:rPr>
          <w:sz w:val="14"/>
          <w:szCs w:val="14"/>
          <w:vertAlign w:val="subscript"/>
        </w:rPr>
        <w:t xml:space="preserve">m</w:t>
      </w:r>
      <w:r>
        <w:rPr>
          <w:sz w:val="14"/>
          <w:szCs w:val="14"/>
        </w:rPr>
        <w:t xml:space="preserve"> = 8.64 × 10⁻⁵ m²/d.</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a and b with correlations r</w:t>
      </w:r>
      <w:r>
        <w:rPr>
          <w:vertAlign w:val="subscript"/>
        </w:rPr>
        <w:t xml:space="preserve">a</w:t>
      </w:r>
      <w:r>
        <w:t xml:space="preserve"> and r</w:t>
      </w:r>
      <w:r>
        <w:rPr>
          <w:vertAlign w:val="subscript"/>
        </w:rPr>
        <w:t xml:space="preserve">b</w:t>
      </w:r>
      <w:r>
        <w:t xml:space="preserve"> with the goal Q (including the observation noise) and correlation ρ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R²</w:t>
      </w:r>
      <w:r>
        <w:rPr>
          <w:vertAlign w:val="subscript"/>
        </w:rPr>
        <w:t xml:space="preserve">Q</w:t>
      </w:r>
      <w:r>
        <w:t xml:space="preserve">({a, b}) &gt; r²_a + r²_b,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ρ and r</w:t>
      </w:r>
      <w:r>
        <w:rPr>
          <w:vertAlign w:val="subscript"/>
        </w:rPr>
        <w:t xml:space="preserve">a</w:t>
      </w:r>
      <w:r>
        <w:t xml:space="preserve"> r</w:t>
      </w:r>
      <w:r>
        <w:rPr>
          <w:vertAlign w:val="subscript"/>
        </w:rPr>
        <w:t xml:space="preserve">b</w:t>
      </w:r>
      <w:r>
        <w:t xml:space="preserve"> have opposite signs (a sample corrects the other's error), or when |ρ| is large and r</w:t>
      </w:r>
      <w:r>
        <w:rPr>
          <w:vertAlign w:val="subscript"/>
        </w:rPr>
        <w:t xml:space="preserve">a</w:t>
      </w:r>
      <w:r>
        <w:t xml:space="preserve">, r</w:t>
      </w:r>
      <w:r>
        <w:rPr>
          <w:vertAlign w:val="subscript"/>
        </w:rPr>
        <w:t xml:space="preserve">b</w:t>
      </w:r>
      <w:r>
        <w:t xml:space="preserve"> differ. Because the linear EIG is a monotone function of R²</w:t>
      </w:r>
      <w:r>
        <w:rPr>
          <w:vertAlign w:val="subscript"/>
        </w:rPr>
        <w:t xml:space="preserve">Q</w:t>
      </w:r>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k</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x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y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The tests use simplified models parameterized for Fushë-Kuqe with a known truth. PRAG-GO used the companion field model with its full-margin sea boundary (see Section 5.2 of the main text), so its site-specific numbers illustrate the method. PRAG-MAR is reported with that boundary (S7.2) and recomputed with the geolocated sea contact of Section 2.3 (S7.2a, Fig. S1, Tables S10–S11).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41×21 grid, toe 1.3918 m; ε = 0.025, φ = 0.35, φD = 6.6e-6 m²/s, inflow 6.6e-5 m²/s. Priors: gauss per-cell log-K, exponential covariance σ = 0.5, lengths 0.5 m (x) / 0.2 m (z); local σ = 0.7, 0.2/0.1 m; facies mean log-K ±0.5 w.p. ½. Supply wells A (0.61, 0.12) m, B (0.80, 0.60) m; τ = 0.01 (1% seawater); 32 candidates (x ∈ {0.32…1.68}, z ∈ {0.12, 0.31, 0.50, 0.69} m), noise sd 0.01, 3 wells/design → 4 960 designs; salt-mass window 1.0 &lt; x &lt; 1.6 m. Ensemble 12 000 inner + 2 000 outer. Prior P(A) = 0.35, P(A or B) = 0.38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b = 30 m, base 40 m, R = 5e-4 m/d, δ = 0.025, intrusion if h &lt; h</w:t>
      </w:r>
      <w:r>
        <w:rPr>
          <w:vertAlign w:val="subscript"/>
        </w:rPr>
        <w:t xml:space="preserve">c</w:t>
      </w:r>
      <w:r>
        <w:t xml:space="preserve"> = δ·base = 1.0 m; 12 pilot zones, Lc = 8 km, facies sd 0.30/0.45/0.60, ρ</w:t>
      </w:r>
      <w:r>
        <w:rPr>
          <w:vertAlign w:val="subscript"/>
        </w:rPr>
        <w:t xml:space="preserve">F</w:t>
      </w:r>
      <w:r>
        <w:t xml:space="preserve"> = 0.6; head noise 0.2 m. Alternative priors rho805 (ρ</w:t>
      </w:r>
      <w:r>
        <w:rPr>
          <w:vertAlign w:val="subscript"/>
        </w:rPr>
        <w:t xml:space="preserve">F</w:t>
      </w:r>
      <w:r>
        <w:t xml:space="preserve"> = 0.805) and fine (50 zones, Lc = 3 km). Supply wells A = A23 (north), B = R16 (south), chosen by a pre-declared rule (inside well with prior P closest to ½ per sector, outside the published design); 30 candidates → 4 060 three-well and 142 506 five-well designs. Ensemble 12 000 + 2 000; 5-well picks re-checked with 48 000. Prior P(A) = 0.52, P(A or B) = 0.80, P(area &gt; 100 km²) = 0.44.</w:t>
      </w:r>
    </w:p>
    <w:p>
      <w:pPr>
        <w:spacing w:after="120" w:line="360"/>
        <w:jc w:val="both"/>
      </w:pPr>
      <w:r>
        <w:rPr>
          <w:b/>
          <w:bCs/>
        </w:rPr>
        <w:t xml:space="preserve">3. Criterion.</w:t>
      </w:r>
      <w:r>
        <w:t xml:space="preserve"> Linear-Gaussian moments; for one well, with t = (τ − μ</w:t>
      </w:r>
      <w:r>
        <w:rPr>
          <w:vertAlign w:val="subscript"/>
        </w:rPr>
        <w:t xml:space="preserve">z</w:t>
      </w:r>
      <w:r>
        <w:t xml:space="preserve">)/σ_z and R²(d) = c</w:t>
      </w:r>
      <w:r>
        <w:rPr>
          <w:vertAlign w:val="subscript"/>
        </w:rPr>
        <w:t xml:space="preserve">d</w:t>
      </w:r>
      <w:r>
        <w:t xml:space="preserve">ᵀ(A</w:t>
      </w:r>
      <w:r>
        <w:rPr>
          <w:vertAlign w:val="subscript"/>
        </w:rPr>
        <w:t xml:space="preserve">dd</w:t>
      </w:r>
      <w:r>
        <w:t xml:space="preserve"> + σ</w:t>
      </w:r>
      <w:r>
        <w:rPr>
          <w:vertAlign w:val="subscript"/>
        </w:rPr>
        <w:t xml:space="preserve">ε</w:t>
      </w:r>
      <w:r>
        <w:t xml:space="preserve">²I)⁻¹c</w:t>
      </w:r>
      <w:r>
        <w:rPr>
          <w:vertAlign w:val="subscript"/>
        </w:rPr>
        <w:t xml:space="preserve">d</w:t>
      </w:r>
      <w:r>
        <w:t xml:space="preserve">/σ_z²:</w:t>
      </w:r>
    </w:p>
    <w:p>
      <w:pPr>
        <w:spacing w:after="120" w:line="360"/>
        <w:jc w:val="both"/>
      </w:pPr>
      <w:r>
        <w:t xml:space="preserve">EIG(d) = h(1 − Φ(t)) − E</w:t>
      </w:r>
      <w:r>
        <w:rPr>
          <w:vertAlign w:val="subscript"/>
        </w:rPr>
        <w:t xml:space="preserve">u~N(0,1)</w:t>
      </w:r>
      <w:r>
        <w:t xml:space="preserve"> h(1 − Φ((t − √R² u)/√(1 − R²))).</w:t>
      </w:r>
    </w:p>
    <w:p>
      <w:pPr>
        <w:spacing w:after="120" w:line="360"/>
        <w:jc w:val="both"/>
      </w:pPr>
      <w:r>
        <w:t xml:space="preserve">For "A or B": EIG(d) = h(p₀) − E</w:t>
      </w:r>
      <w:r>
        <w:rPr>
          <w:vertAlign w:val="subscript"/>
        </w:rPr>
        <w:t xml:space="preserve">m~N(0,K_d)</w:t>
      </w:r>
      <w:r>
        <w:t xml:space="preserve"> h(1 − Φ₂((τ</w:t>
      </w:r>
      <w:r>
        <w:rPr>
          <w:vertAlign w:val="subscript"/>
        </w:rPr>
        <w:t xml:space="preserve">A</w:t>
      </w:r>
      <w:r>
        <w:t xml:space="preserve"> − μ</w:t>
      </w:r>
      <w:r>
        <w:rPr>
          <w:vertAlign w:val="subscript"/>
        </w:rPr>
        <w:t xml:space="preserve">A</w:t>
      </w:r>
      <w:r>
        <w:t xml:space="preserve"> − m₁)/s_A, (τ</w:t>
      </w:r>
      <w:r>
        <w:rPr>
          <w:vertAlign w:val="subscript"/>
        </w:rPr>
        <w:t xml:space="preserve">B</w:t>
      </w:r>
      <w:r>
        <w:t xml:space="preserve"> − μ</w:t>
      </w:r>
      <w:r>
        <w:rPr>
          <w:vertAlign w:val="subscript"/>
        </w:rPr>
        <w:t xml:space="preserve">B</w:t>
      </w:r>
      <w:r>
        <w:t xml:space="preserve"> − m₂)/s_B; r)), K</w:t>
      </w:r>
      <w:r>
        <w:rPr>
          <w:vertAlign w:val="subscript"/>
        </w:rPr>
        <w:t xml:space="preserve">d</w:t>
      </w:r>
      <w:r>
        <w:t xml:space="preserve"> = C(A</w:t>
      </w:r>
      <w:r>
        <w:rPr>
          <w:vertAlign w:val="subscript"/>
        </w:rPr>
        <w:t xml:space="preserve">dd</w:t>
      </w:r>
      <w:r>
        <w:t xml:space="preserve"> + σ²I)⁻¹Cᵀ, (s, r) from Σ</w:t>
      </w:r>
      <w:r>
        <w:rPr>
          <w:vertAlign w:val="subscript"/>
        </w:rPr>
        <w:t xml:space="preserve">z</w:t>
      </w:r>
      <w:r>
        <w:t xml:space="preserve"> − K</w:t>
      </w:r>
      <w:r>
        <w:rPr>
          <w:vertAlign w:val="subscript"/>
        </w:rPr>
        <w:t xml:space="preserve">d</w:t>
      </w:r>
      <w:r>
        <w:t xml:space="preserve">; 24×24 Gauss–Hermite (designs.py: prag). Moments from the discrete adjoint (pragAdj), the ensemble (pragEns), or normal-score-transformed ensemble (pragNS). Truth: exact non-linear EIG by likelihood re-weighting, EIG(d) = h(q̄) − N</w:t>
      </w:r>
      <w:r>
        <w:rPr>
          <w:vertAlign w:val="subscript"/>
        </w:rPr>
        <w:t xml:space="preserve">y</w:t>
      </w:r>
      <w:r>
        <w:t xml:space="preserve">⁻¹Σ</w:t>
      </w:r>
      <w:r>
        <w:rPr>
          <w:vertAlign w:val="subscript"/>
        </w:rPr>
        <w:t xml:space="preserve">j</w:t>
      </w:r>
      <w:r>
        <w:t xml:space="preserve"> h(p</w:t>
      </w:r>
      <w:r>
        <w:rPr>
          <w:vertAlign w:val="subscript"/>
        </w:rPr>
        <w:t xml:space="preserve">j</w:t>
      </w:r>
      <w:r>
        <w:t xml:space="preserve">), p</w:t>
      </w:r>
      <w:r>
        <w:rPr>
          <w:vertAlign w:val="subscript"/>
        </w:rPr>
        <w:t xml:space="preserve">j</w:t>
      </w:r>
      <w:r>
        <w:t xml:space="preserve"> = Σ</w:t>
      </w:r>
      <w:r>
        <w:rPr>
          <w:vertAlign w:val="subscript"/>
        </w:rPr>
        <w:t xml:space="preserve">i</w:t>
      </w:r>
      <w:r>
        <w:t xml:space="preserve"> w</w:t>
      </w:r>
      <w:r>
        <w:rPr>
          <w:vertAlign w:val="subscript"/>
        </w:rPr>
        <w:t xml:space="preserve">ij</w:t>
      </w:r>
      <w:r>
        <w:t xml:space="preserve"> q</w:t>
      </w:r>
      <w:r>
        <w:rPr>
          <w:vertAlign w:val="subscript"/>
        </w:rPr>
        <w:t xml:space="preserve">i</w:t>
      </w:r>
      <w:r>
        <w:t xml:space="preserve">/Σ_i w</w:t>
      </w:r>
      <w:r>
        <w:rPr>
          <w:vertAlign w:val="subscript"/>
        </w:rPr>
        <w:t xml:space="preserve">ij</w:t>
      </w:r>
      <w:r>
        <w:t xml:space="preserve">, w</w:t>
      </w:r>
      <w:r>
        <w:rPr>
          <w:vertAlign w:val="subscript"/>
        </w:rPr>
        <w:t xml:space="preserve">ij</w:t>
      </w:r>
      <w:r>
        <w:t xml:space="preserve"> = exp(−‖y</w:t>
      </w:r>
      <w:r>
        <w:rPr>
          <w:vertAlign w:val="subscript"/>
        </w:rPr>
        <w:t xml:space="preserve">j</w:t>
      </w:r>
      <w:r>
        <w:t xml:space="preserve"> − g</w:t>
      </w:r>
      <w:r>
        <w:rPr>
          <w:vertAlign w:val="subscript"/>
        </w:rPr>
        <w:t xml:space="preserve">d</w:t>
      </w:r>
      <w:r>
        <w:t xml:space="preserve">(θ</w:t>
      </w:r>
      <w:r>
        <w:rPr>
          <w:vertAlign w:val="subscript"/>
        </w:rPr>
        <w:t xml:space="preserve">i</w:t>
      </w:r>
      <w:r>
        <w:t xml:space="preserve">)‖²/2σ_ε²).</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c</w:t>
      </w:r>
      <w:r>
        <w:rPr>
          <w:vertAlign w:val="subscript"/>
        </w:rPr>
        <w:t xml:space="preserve">A</w:t>
      </w:r>
      <w:r>
        <w:t xml:space="preserve"> / h</w:t>
      </w:r>
      <w:r>
        <w:rPr>
          <w:vertAlign w:val="subscript"/>
        </w:rPr>
        <w:t xml:space="preserve">A</w:t>
      </w:r>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 linear EIG of c</w:t>
      </w:r>
      <w:r>
        <w:rPr>
          <w:vertAlign w:val="subscript"/>
        </w:rPr>
        <w:t xml:space="preserve">A</w:t>
      </w:r>
      <w:r>
        <w:t xml:space="preserve">) on risk A: 98.5, 98.7, 99.4. Spearman, mass criterion vs exact EIG (A-or-B): 0.53/0.52/0.59. Half-ensemble re-estimation moved percentages ≤ ~1.5 points.</w:t>
      </w:r>
    </w:p>
    <w:p>
      <w:pPr>
        <w:pStyle w:val="ListParagraph"/>
        <w:numPr>
          <w:ilvl w:val="0"/>
          <w:numId w:val="2"/>
        </w:numPr>
        <w:spacing w:after="60" w:line="360"/>
        <w:jc w:val="both"/>
      </w:pPr>
      <w:r>
        <w:t xml:space="preserve">Field, 3 wells, area design (P21 A3 A18) on risk A: 32.3 (base), 36.1 (rho805), 23.4 (fine); on A-or-B: 80.2, 81.3, 46.5; on area &gt; 100 km²: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b, base, R; A23/R16 are rule-chosen stand-ins for the Gorre/Fushë-Kuqe pumping stations (coordinates unavailable); re-weighting overestimates EIG at small ESS (facies prior ESS 67–120; ≥ 200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h</w:t>
      </w:r>
      <w:r>
        <w:rPr>
          <w:vertAlign w:val="subscript"/>
        </w:rPr>
        <w:t xml:space="preserve">c</w:t>
      </w:r>
      <w:r>
        <w:t xml:space="preserve"> = 1.0 m; Q = 2 500, 5 000 (reference), 10 000 m³/d per site; 5 000 m³/d/site ≈ 9% of natural recharge of the polygon; published selection rule (top 3, ≥ 6 km apart in northing, snapped to wells); exact check on 2 000 prior realizations. Prior linear moments: μ</w:t>
      </w:r>
      <w:r>
        <w:rPr>
          <w:vertAlign w:val="subscript"/>
        </w:rPr>
        <w:t xml:space="preserve">A</w:t>
      </w:r>
      <w:r>
        <w:t xml:space="preserve"> = 0.98 m, μ</w:t>
      </w:r>
      <w:r>
        <w:rPr>
          <w:vertAlign w:val="subscript"/>
        </w:rPr>
        <w:t xml:space="preserve">B</w:t>
      </w:r>
      <w:r>
        <w:t xml:space="preserve"> = 0.88 m, s</w:t>
      </w:r>
      <w:r>
        <w:rPr>
          <w:vertAlign w:val="subscript"/>
        </w:rPr>
        <w:t xml:space="preserve">A</w:t>
      </w:r>
      <w:r>
        <w:t xml:space="preserve"> = s</w:t>
      </w:r>
      <w:r>
        <w:rPr>
          <w:vertAlign w:val="subscript"/>
        </w:rPr>
        <w:t xml:space="preserve">B</w:t>
      </w:r>
      <w:r>
        <w:t xml:space="preserve"> = 0.32 m, r = 0.18.</w:t>
      </w:r>
    </w:p>
    <w:p>
      <w:pPr>
        <w:spacing w:after="120" w:line="360"/>
        <w:jc w:val="both"/>
      </w:pPr>
      <w:r>
        <w:rPr>
          <w:b/>
          <w:bCs/>
        </w:rPr>
        <w:t xml:space="preserve">3. Criterion.</w:t>
      </w:r>
      <w:r>
        <w:t xml:space="preserve"> h(θ, Q) = h(θ) + Q g</w:t>
      </w:r>
      <w:r>
        <w:rPr>
          <w:vertAlign w:val="subscript"/>
        </w:rPr>
        <w:t xml:space="preserve">k</w:t>
      </w:r>
      <w:r>
        <w:t xml:space="preserve">(θ), g</w:t>
      </w:r>
      <w:r>
        <w:rPr>
          <w:vertAlign w:val="subscript"/>
        </w:rPr>
        <w:t xml:space="preserve">w</w:t>
      </w:r>
      <w:r>
        <w:t xml:space="preserve"> = −A⁻ᵀe</w:t>
      </w:r>
      <w:r>
        <w:rPr>
          <w:vertAlign w:val="subscript"/>
        </w:rPr>
        <w:t xml:space="preserve">w</w:t>
      </w:r>
      <w:r>
        <w:t xml:space="preserve"> (one transposed solve per well). P</w:t>
      </w:r>
      <w:r>
        <w:rPr>
          <w:vertAlign w:val="subscript"/>
        </w:rPr>
        <w:t xml:space="preserve">AB</w:t>
      </w:r>
      <w:r>
        <w:t xml:space="preserve"> = 1 − Φ₂(a, b; r), a = (μ</w:t>
      </w:r>
      <w:r>
        <w:rPr>
          <w:vertAlign w:val="subscript"/>
        </w:rPr>
        <w:t xml:space="preserve">A</w:t>
      </w:r>
      <w:r>
        <w:t xml:space="preserve"> − h</w:t>
      </w:r>
      <w:r>
        <w:rPr>
          <w:vertAlign w:val="subscript"/>
        </w:rPr>
        <w:t xml:space="preserve">c</w:t>
      </w:r>
      <w:r>
        <w:t xml:space="preserve">)/s_A, b = (μ</w:t>
      </w:r>
      <w:r>
        <w:rPr>
          <w:vertAlign w:val="subscript"/>
        </w:rPr>
        <w:t xml:space="preserve">B</w:t>
      </w:r>
      <w:r>
        <w:t xml:space="preserve"> − h</w:t>
      </w:r>
      <w:r>
        <w:rPr>
          <w:vertAlign w:val="subscript"/>
        </w:rPr>
        <w:t xml:space="preserve">c</w:t>
      </w:r>
      <w:r>
        <w:t xml:space="preserve">)/s_B;</w:t>
      </w:r>
    </w:p>
    <w:p>
      <w:pPr>
        <w:spacing w:after="120" w:line="360"/>
        <w:jc w:val="both"/>
      </w:pPr>
      <w:r>
        <w:t xml:space="preserve">−∂P</w:t>
      </w:r>
      <w:r>
        <w:rPr>
          <w:vertAlign w:val="subscript"/>
        </w:rPr>
        <w:t xml:space="preserve">AB</w:t>
      </w:r>
      <w:r>
        <w:t xml:space="preserve">/∂Q</w:t>
      </w:r>
      <w:r>
        <w:rPr>
          <w:vertAlign w:val="subscript"/>
        </w:rPr>
        <w:t xml:space="preserve">k</w:t>
      </w:r>
      <w:r>
        <w:t xml:space="preserve"> = φ(a)Φ((b − ra)/√(1−r²)) g</w:t>
      </w:r>
      <w:r>
        <w:rPr>
          <w:vertAlign w:val="subscript"/>
        </w:rPr>
        <w:t xml:space="preserve">A,k</w:t>
      </w:r>
      <w:r>
        <w:t xml:space="preserve">/s_A + φ(b)Φ((a − rb)/√(1−r²)) g</w:t>
      </w:r>
      <w:r>
        <w:rPr>
          <w:vertAlign w:val="subscript"/>
        </w:rPr>
        <w:t xml:space="preserve">B,k</w:t>
      </w:r>
      <w:r>
        <w:t xml:space="preserve">/s_B.</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Q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 or 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h = 0 at the shoreline over the GLOBE gap, the model covers the coastal sector y ≥ 24 km (221.6 km²) and every other margin, including the southern cut, is no-flow. Confined flow with T = K b (b = 30 m), recharge 5 × 10⁻⁴ m/d, the 12 pilot zones with the facies prior (ρ</w:t>
      </w:r>
      <w:r>
        <w:rPr>
          <w:vertAlign w:val="subscript"/>
        </w:rPr>
        <w:t xml:space="preserve">F</w:t>
      </w:r>
      <w:r>
        <w:t xml:space="preserve"> = 0.6) and the Ghyben–Herzberg criterion h &lt; δ base = 1.0 m are unchanged. With this boundary the intruded area at the prior mean is 10.1 km² (92.7 km² with the full-margin boundary),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(y = 36.5 km, through the Fushë-Kuqe well field), and in each half the supply well is the inside K-well with the lowest prior-mean head, outside the published monitoring design: A = A1 (3.0, 36.5) and B = P10 (4.0, 35.0). The old pair A23/R16 does not fit, because R16 lies in the southern plain, outside the sector. (ii) Pumping: the companion rule chose wells whose prior intrusion probability was closest to ½; since no well is at risk here without pumping, the pumping takes that role, and Q</w:t>
      </w:r>
      <w:r>
        <w:rPr>
          <w:vertAlign w:val="subscript"/>
        </w:rPr>
        <w:t xml:space="preserve">A</w:t>
      </w:r>
      <w:r>
        <w:t xml:space="preserve">, Q</w:t>
      </w:r>
      <w:r>
        <w:rPr>
          <w:vertAlign w:val="subscript"/>
        </w:rPr>
        <w:t xml:space="preserve">B</w:t>
      </w:r>
      <w:r>
        <w:t xml:space="preserve"> are set so that each well's own prior intrusion probability is ½ with both wells pumping (calibration ensemble of 2000 draws, independent of the evaluation ensemble). This gives Q</w:t>
      </w:r>
      <w:r>
        <w:rPr>
          <w:vertAlign w:val="subscript"/>
        </w:rPr>
        <w:t xml:space="preserve">A</w:t>
      </w:r>
      <w:r>
        <w:t xml:space="preserve"> = 3757 and Q</w:t>
      </w:r>
      <w:r>
        <w:rPr>
          <w:vertAlign w:val="subscript"/>
        </w:rPr>
        <w:t xml:space="preserve">B</w:t>
      </w:r>
      <w:r>
        <w:t xml:space="preserve"> = 17183 m³/d,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S10, Fig. S1).</w:t>
      </w:r>
    </w:p>
    <w:p>
      <w:pPr>
        <w:keepNext/>
        <w:spacing w:after="80" w:before="200" w:line="276"/>
      </w:pPr>
      <w:r>
        <w:rPr>
          <w:b/>
          <w:bCs/>
          <w:sz w:val="20"/>
          <w:szCs w:val="20"/>
        </w:rPr>
        <w:t xml:space="preserve">Table S10.</w:t>
      </w:r>
      <w:r>
        <w:rPr>
          <w:sz w:val="20"/>
          <w:szCs w:val="20"/>
        </w:rPr>
        <w:t xml:space="preserve"> PRAG-MAR with the geolocated sea boundary: probability that supply well A, B, or either is intruded, and mean intruded area, for recharge Q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P(B)</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 or B)</w:t>
            </w:r>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½ (Table S10); dashed: one pumping rate at both wells with P(A or B) = ½ (Table S11).</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S11):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S11.</w:t>
      </w:r>
      <w:r>
        <w:rPr>
          <w:sz w:val="20"/>
          <w:szCs w:val="20"/>
        </w:rPr>
        <w:t xml:space="preserve"> Sensitivity to the pumping rule: one rate at both wells (Q</w:t>
      </w:r>
      <w:r>
        <w:rPr>
          <w:sz w:val="20"/>
          <w:szCs w:val="20"/>
          <w:vertAlign w:val="subscript"/>
        </w:rPr>
        <w:t xml:space="preserve">A</w:t>
      </w:r>
      <w:r>
        <w:rPr>
          <w:sz w:val="20"/>
          <w:szCs w:val="20"/>
        </w:rPr>
        <w:t xml:space="preserve"> = Q</w:t>
      </w:r>
      <w:r>
        <w:rPr>
          <w:sz w:val="20"/>
          <w:szCs w:val="20"/>
          <w:vertAlign w:val="subscript"/>
        </w:rPr>
        <w:t xml:space="preserve">B</w:t>
      </w:r>
      <w:r>
        <w:rPr>
          <w:sz w:val="20"/>
          <w:szCs w:val="20"/>
        </w:rPr>
        <w:t xml:space="preserve"> = 5638 m³/d) with P(A or B intruded) = ½.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2500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5000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10000</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(b = 30 m, base 40 m), not the calibrated chloride model of the main text; the supply wells stand in for the Gorre and Fushë-Kuqe pumping stations, whose coordinates are not in the data; and the pumping rates follow the ½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Q</w:t>
      </w:r>
      <w:r>
        <w:rPr>
          <w:vertAlign w:val="subscript"/>
        </w:rPr>
        <w:t xml:space="preserve">c</w:t>
      </w:r>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K = 100 m/d, B = 30 m, δ = 0.025, q0 = 1.5 m²/d, d = 2 000 m, base depth D = 40 m; Q</w:t>
      </w:r>
      <w:r>
        <w:rPr>
          <w:vertAlign w:val="subscript"/>
        </w:rPr>
        <w:t xml:space="preserve">c</w:t>
      </w:r>
      <w:r>
        <w:t xml:space="preserve"> = 3 651 m³/d. Toe relaxation τ = 2 yr; recharge anomaly OU with sd 0.20, correlation time 0.5 yr; mixing width 150 m; salinity noise 0.02; head noise 0.05 m (kritik.py) / 0.02 m (kritik2 head logger at 1 000 m); prior CV 30% on K, 20% on q0 (lognormal), draws rejected if already beyond 80% of their own Q</w:t>
      </w:r>
      <w:r>
        <w:rPr>
          <w:vertAlign w:val="subscript"/>
        </w:rPr>
        <w:t xml:space="preserve">c</w:t>
      </w:r>
      <w:r>
        <w:t xml:space="preserve">. kritik.py: 400 ramp runs (0.5 → 1.3 Q</w:t>
      </w:r>
      <w:r>
        <w:rPr>
          <w:vertAlign w:val="subscript"/>
        </w:rPr>
        <w:t xml:space="preserve">c</w:t>
      </w:r>
      <w:r>
        <w:t xml:space="preserve"> over 40 yr) + 400 null runs, seed 2026, tipping = X ≥ 0.95. kritik2.py: criteria from 200 draws × 5 states in [0.85, 0.95] Q</w:t>
      </w:r>
      <w:r>
        <w:rPr>
          <w:vertAlign w:val="subscript"/>
        </w:rPr>
        <w:t xml:space="preserve">c</w:t>
      </w:r>
      <w:r>
        <w:t xml:space="preserve">; validation 300 draws (214 non-tipping used), 10 yr weekly data, near 0.85 Q</w:t>
      </w:r>
      <w:r>
        <w:rPr>
          <w:vertAlign w:val="subscript"/>
        </w:rPr>
        <w:t xml:space="preserve">c</w:t>
      </w:r>
      <w:r>
        <w:t xml:space="preserve"> / far 0.6 Q</w:t>
      </w:r>
      <w:r>
        <w:rPr>
          <w:vertAlign w:val="subscript"/>
        </w:rPr>
        <w:t xml:space="preserve">c</w:t>
      </w:r>
      <w:r>
        <w:t xml:space="preserve">, seed 7. 16 positions, 400–1 900 m.</w:t>
      </w:r>
    </w:p>
    <w:p>
      <w:pPr>
        <w:spacing w:after="120" w:line="360"/>
        <w:jc w:val="both"/>
      </w:pPr>
      <w:r>
        <w:rPr>
          <w:b/>
          <w:bCs/>
        </w:rPr>
        <w:t xml:space="preserve">3. Criterion.</w:t>
      </w:r>
      <w:r>
        <w:t xml:space="preserve"> F(X; λ) = X + (λ/2) ln((1−X)/(1+X)) = μ, μ = KδB²/(2q0d), λ = Q/(πq0d); saddle-node when F(√(1−λ); λ) = μ; recovery rate k = F′(X*)/τ → 0 (critical slowing down). KRITIK-GO: J</w:t>
      </w:r>
      <w:r>
        <w:rPr>
          <w:vertAlign w:val="subscript"/>
        </w:rPr>
        <w:t xml:space="preserve">IO</w:t>
      </w:r>
      <w:r>
        <w:t xml:space="preserve">(s) = Σ_prior,states N a(s)² (e₂₂ − e₁₂²/e₁₁)/σ_c², the Fisher information on ln k from paired head (input) and salinity (output) loggers with the gain as nuisance; a(s) = probit slope of base salinity at s. Status criterion J0(s) = Σ φ((x</w:t>
      </w:r>
      <w:r>
        <w:rPr>
          <w:vertAlign w:val="subscript"/>
        </w:rPr>
        <w:t xml:space="preserve">toe</w:t>
      </w:r>
      <w:r>
        <w:t xml:space="preserve"> − s)/w)²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 realized median relative error of k̂ (input–output WLS estimator) at 0.85 Q</w:t>
      </w:r>
      <w:r>
        <w:rPr>
          <w:vertAlign w:val="subscript"/>
        </w:rPr>
        <w:t xml:space="preserve">c</w:t>
      </w:r>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 2 yr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 950 m.</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k at 0.85 Q</w:t>
      </w:r>
      <w:r>
        <w:rPr>
          <w:vertAlign w:val="subscript"/>
        </w:rPr>
        <w:t xml:space="preserve">c</w:t>
      </w:r>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T?</w:t>
      </w:r>
    </w:p>
    <w:p>
      <w:pPr>
        <w:spacing w:after="120" w:line="360"/>
        <w:jc w:val="both"/>
      </w:pPr>
      <w:r>
        <w:rPr>
          <w:b/>
          <w:bCs/>
        </w:rPr>
        <w:t xml:space="preserve">2. Model and parameters.</w:t>
      </w:r>
      <w:r>
        <w:t xml:space="preserve"> Strack toe as §3; K = 100 m/d, q0 = 1.5 m²/d, B = 30 m, δ = 0.025, d = 2 km, τ = 2 yr; recharge factor r = exp(ε − s²/2), ε OU with s = 0.2, θ = 0.5 yr; escape X ≥ 0.98, reflecting floor X = 0.15. E1: 2 000 Euler–Maruyama paths, horizon 6 000 yr, dt 0.005 yr; 2D grid 720 × 481. E2: f = 0.55…0.975, grid 720 × 241. E3: 60 prior draws (K CV 30%, q0 CV 20%). E4: one-at-a-time ±20% on s, θ, τ, K, q0.</w:t>
      </w:r>
    </w:p>
    <w:p>
      <w:pPr>
        <w:spacing w:after="120" w:line="360"/>
        <w:jc w:val="both"/>
      </w:pPr>
      <w:r>
        <w:rPr>
          <w:b/>
          <w:bCs/>
        </w:rPr>
        <w:t xml:space="preserve">3. Criterion.</w:t>
      </w:r>
      <w:r>
        <w:t xml:space="preserve"> Mean first-passage time T(X, ε) from the backward Kolmogorov equation A ∂_X T − (ε/θ)∂_ε T + (s²/θ)∂²_ε T = −1, T(X</w:t>
      </w:r>
      <w:r>
        <w:rPr>
          <w:vertAlign w:val="subscript"/>
        </w:rPr>
        <w:t xml:space="preserve">esc</w:t>
      </w:r>
      <w:r>
        <w:t xml:space="preserve">,·) = 0; Q</w:t>
      </w:r>
      <w:r>
        <w:rPr>
          <w:vertAlign w:val="subscript"/>
        </w:rPr>
        <w:t xml:space="preserve">T</w:t>
      </w:r>
      <w:r>
        <w:t xml:space="preserve"> = pumping with MFPT = T. Compared with the Kramers rule T = (2π/k) exp(gap²/(6 Var)) and a 1D Stratonovich reduction.</w:t>
      </w:r>
    </w:p>
    <w:p>
      <w:pPr>
        <w:spacing w:after="120" w:line="360"/>
        <w:jc w:val="both"/>
      </w:pPr>
      <w:r>
        <w:rPr>
          <w:b/>
          <w:bCs/>
        </w:rPr>
        <w:t xml:space="preserve">4. Design.</w:t>
      </w:r>
      <w:r>
        <w:t xml:space="preserve"> Simulation (truth) vs 2D Kolmogorov vs 1D reduction vs Kramers rule at Q/Q_c = 0.65…0.95.</w:t>
      </w:r>
    </w:p>
    <w:p>
      <w:pPr>
        <w:spacing w:after="120" w:line="360"/>
        <w:jc w:val="both"/>
      </w:pPr>
      <w:r>
        <w:rPr>
          <w:b/>
          <w:bCs/>
        </w:rPr>
        <w:t xml:space="preserve">5. Key results.</w:t>
      </w:r>
    </w:p>
    <w:p>
      <w:pPr>
        <w:pStyle w:val="ListParagraph"/>
        <w:numPr>
          <w:ilvl w:val="0"/>
          <w:numId w:val="2"/>
        </w:numPr>
        <w:spacing w:after="60" w:line="360"/>
        <w:jc w:val="both"/>
      </w:pPr>
      <w:r>
        <w:t xml:space="preserve">At 0.80 Q</w:t>
      </w:r>
      <w:r>
        <w:rPr>
          <w:vertAlign w:val="subscript"/>
        </w:rPr>
        <w:t xml:space="preserve">c</w:t>
      </w:r>
      <w:r>
        <w:t xml:space="preserve">: T</w:t>
      </w:r>
      <w:r>
        <w:rPr>
          <w:vertAlign w:val="subscript"/>
        </w:rPr>
        <w:t xml:space="preserve">sim</w:t>
      </w:r>
      <w:r>
        <w:t xml:space="preserve"> = 132.3 yr, T</w:t>
      </w:r>
      <w:r>
        <w:rPr>
          <w:vertAlign w:val="subscript"/>
        </w:rPr>
        <w:t xml:space="preserve">2D</w:t>
      </w:r>
      <w:r>
        <w:t xml:space="preserve"> = 132.3 yr, T</w:t>
      </w:r>
      <w:r>
        <w:rPr>
          <w:vertAlign w:val="subscript"/>
        </w:rPr>
        <w:t xml:space="preserve">1D</w:t>
      </w:r>
      <w:r>
        <w:t xml:space="preserve"> = 142.2 yr, T_Kramers = 1 482 yr. At 0.65 Q</w:t>
      </w:r>
      <w:r>
        <w:rPr>
          <w:vertAlign w:val="subscript"/>
        </w:rPr>
        <w:t xml:space="preserve">c</w:t>
      </w:r>
      <w:r>
        <w:t xml:space="preserve"> only 66% of paths escaped (1 320/2 000). Kramers overestimates 3.7–84×.</w:t>
      </w:r>
    </w:p>
    <w:p>
      <w:pPr>
        <w:pStyle w:val="ListParagraph"/>
        <w:numPr>
          <w:ilvl w:val="0"/>
          <w:numId w:val="2"/>
        </w:numPr>
        <w:spacing w:after="60" w:line="360"/>
        <w:jc w:val="both"/>
      </w:pPr>
      <w:r>
        <w:t xml:space="preserve">Nominal Q</w:t>
      </w:r>
      <w:r>
        <w:rPr>
          <w:vertAlign w:val="subscript"/>
        </w:rPr>
        <w:t xml:space="preserve">c</w:t>
      </w:r>
      <w:r>
        <w:t xml:space="preserve"> = 3 651 m³/d; Q</w:t>
      </w:r>
      <w:r>
        <w:rPr>
          <w:vertAlign w:val="subscript"/>
        </w:rPr>
        <w:t xml:space="preserve">50</w:t>
      </w:r>
      <w:r>
        <w:t xml:space="preserve"> = 0.862 Q</w:t>
      </w:r>
      <w:r>
        <w:rPr>
          <w:vertAlign w:val="subscript"/>
        </w:rPr>
        <w:t xml:space="preserve">c</w:t>
      </w:r>
      <w:r>
        <w:t xml:space="preserve">, Q</w:t>
      </w:r>
      <w:r>
        <w:rPr>
          <w:vertAlign w:val="subscript"/>
        </w:rPr>
        <w:t xml:space="preserve">100</w:t>
      </w:r>
      <w:r>
        <w:t xml:space="preserve"> = 0.815 Q</w:t>
      </w:r>
      <w:r>
        <w:rPr>
          <w:vertAlign w:val="subscript"/>
        </w:rPr>
        <w:t xml:space="preserve">c</w:t>
      </w:r>
      <w:r>
        <w:t xml:space="preserve"> (= 2 977 m³/d).</w:t>
      </w:r>
    </w:p>
    <w:p>
      <w:pPr>
        <w:pStyle w:val="ListParagraph"/>
        <w:numPr>
          <w:ilvl w:val="0"/>
          <w:numId w:val="2"/>
        </w:numPr>
        <w:spacing w:after="60" w:line="360"/>
        <w:jc w:val="both"/>
      </w:pPr>
      <w:r>
        <w:t xml:space="preserve">Under the prior: Q</w:t>
      </w:r>
      <w:r>
        <w:rPr>
          <w:vertAlign w:val="subscript"/>
        </w:rPr>
        <w:t xml:space="preserve">100</w:t>
      </w:r>
      <w:r>
        <w:t xml:space="preserve">/Q_c 10–90% = 0.618–0.888; Q</w:t>
      </w:r>
      <w:r>
        <w:rPr>
          <w:vertAlign w:val="subscript"/>
        </w:rPr>
        <w:t xml:space="preserve">100</w:t>
      </w:r>
      <w:r>
        <w:t xml:space="preserve"> = 1 004–5 050 m³/d.</w:t>
      </w:r>
    </w:p>
    <w:p>
      <w:pPr>
        <w:pStyle w:val="ListParagraph"/>
        <w:numPr>
          <w:ilvl w:val="0"/>
          <w:numId w:val="2"/>
        </w:numPr>
        <w:spacing w:after="60" w:line="360"/>
        <w:jc w:val="both"/>
      </w:pPr>
      <w:r>
        <w:t xml:space="preserve">Elasticities are </w:t>
      </w:r>
      <w:r>
        <w:rPr>
          <w:b/>
          <w:bCs/>
        </w:rPr>
        <w:t xml:space="preserve">of the absolute safe pumping rate Q</w:t>
      </w:r>
      <w:r>
        <w:rPr>
          <w:b/>
          <w:bCs/>
          <w:vertAlign w:val="subscript"/>
        </w:rPr>
        <w:t xml:space="preserve">100</w:t>
      </w:r>
      <w:r>
        <w:rPr>
          <w:b/>
          <w:bCs/>
        </w:rPr>
        <w:t xml:space="preserve"> (m³/d) = f</w:t>
      </w:r>
      <w:r>
        <w:rPr>
          <w:b/>
          <w:bCs/>
          <w:vertAlign w:val="subscript"/>
        </w:rPr>
        <w:t xml:space="preserve">100</w:t>
      </w:r>
      <w:r>
        <w:rPr>
          <w:b/>
          <w:bCs/>
        </w:rPr>
        <w:t xml:space="preserve">·Q</w:t>
      </w:r>
      <w:r>
        <w:rPr>
          <w:b/>
          <w:bCs/>
          <w:vertAlign w:val="subscript"/>
        </w:rPr>
        <w:t xml:space="preserve">c</w:t>
      </w:r>
      <w:r>
        <w:rPr>
          <w:b/>
          <w:bCs/>
        </w:rPr>
        <w:t xml:space="preserve"/>
      </w:r>
      <w:r>
        <w:t xml:space="preserve">, i.e. d ln Q</w:t>
      </w:r>
      <w:r>
        <w:rPr>
          <w:vertAlign w:val="subscript"/>
        </w:rPr>
        <w:t xml:space="preserve">100</w:t>
      </w:r>
      <w:r>
        <w:t xml:space="preserve">/d ln p, estimated as/[ln 1.2 − ln 0.8] (kramers_figs.py: el()): s −0.40, θ −0.10, τ +0.17, K −1.20, q0 +2.29. Of Q</w:t>
      </w:r>
      <w:r>
        <w:rPr>
          <w:vertAlign w:val="subscript"/>
        </w:rPr>
        <w:t xml:space="preserve">c</w:t>
      </w:r>
      <w:r>
        <w:t xml:space="preserve">: K −0.91, q0 +1.97, s/θ/τ 0; of the ratio Q</w:t>
      </w:r>
      <w:r>
        <w:rPr>
          <w:vertAlign w:val="subscript"/>
        </w:rPr>
        <w:t xml:space="preserve">100</w:t>
      </w:r>
      <w:r>
        <w:t xml:space="preserve">/Q_c: K −0.29, q0 +0.32.</w:t>
      </w:r>
    </w:p>
    <w:p>
      <w:pPr>
        <w:spacing w:after="120" w:line="360"/>
        <w:jc w:val="both"/>
      </w:pPr>
      <w:r>
        <w:rPr>
          <w:b/>
          <w:bCs/>
        </w:rPr>
        <w:t xml:space="preserve">6. Limitations.</w:t>
      </w:r>
      <w:r>
        <w:t xml:space="preserve"> README: Q</w:t>
      </w:r>
      <w:r>
        <w:rPr>
          <w:vertAlign w:val="subscript"/>
        </w:rPr>
        <w:t xml:space="preserve">c</w:t>
      </w:r>
      <w:r>
        <w:t xml:space="preserve"> does not depend on s, θ, τ, so static calibration cannot set a return-period-safe rate; agreement 2D vs simulation within 8% only where ≥ 99%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(Φ = 0 at x = 0)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d = 2 km, Q = 2 600 m³/d, δ = 0.025, B = 30 m (Φ</w:t>
      </w:r>
      <w:r>
        <w:rPr>
          <w:vertAlign w:val="subscript"/>
        </w:rPr>
        <w:t xml:space="preserve">toe</w:t>
      </w:r>
      <w:r>
        <w:t xml:space="preserve"> = 11.25 m²); K = 100·e</w:t>
      </w:r>
      <w:r>
        <w:rPr>
          <w:vertAlign w:val="superscript"/>
        </w:rPr>
        <w:t xml:space="preserve">0.3z</w:t>
      </w:r>
      <w:r>
        <w:t xml:space="preserve"> m/d, q0 = 1.5·e</w:t>
      </w:r>
      <w:r>
        <w:rPr>
          <w:vertAlign w:val="superscript"/>
        </w:rPr>
        <w:t xml:space="preserve">0.2z</w:t>
      </w:r>
      <w:r>
        <w:t xml:space="preserve"> m²/d; truths kept if toe ∈ [600, 1 600] m. Model: Legendre polynomial degree ≤ 12, conjugate normal–inverse-gamma prior, BMA over degree, homoscedastic noise. Data: 30 inland wells at 100–1 800 m, noise sd 0.7 m² (σ² = 0.49), plus n</w:t>
      </w:r>
      <w:r>
        <w:rPr>
          <w:vertAlign w:val="subscript"/>
        </w:rPr>
        <w:t xml:space="preserve">e</w:t>
      </w:r>
      <w:r>
        <w:t xml:space="preserve"> ∈ {0, 15, 30, 60, 120, 240} exact coastal readings; η grid 1…2⁻⁶ (13 values). 200 truths, seeds 1000–1199.</w:t>
      </w:r>
    </w:p>
    <w:p>
      <w:pPr>
        <w:spacing w:after="120" w:line="360"/>
        <w:jc w:val="both"/>
      </w:pPr>
      <w:r>
        <w:rPr>
          <w:b/>
          <w:bCs/>
        </w:rPr>
        <w:t xml:space="preserve">3. Criterion.</w:t>
      </w:r>
      <w:r>
        <w:t xml:space="preserve"> η-posterior π</w:t>
      </w:r>
      <w:r>
        <w:rPr>
          <w:vertAlign w:val="subscript"/>
        </w:rPr>
        <w:t xml:space="preserve">η</w:t>
      </w:r>
      <w:r>
        <w:t xml:space="preserve">(β | y) ∝ p(y | β)^η π(β); η chosen by R-log SafeBayes; SAFE-GO = SafeBayes averaged over 10 random orders, first 10 losses skipped. Goal: 90% interval of the toe.</w:t>
      </w:r>
    </w:p>
    <w:p>
      <w:pPr>
        <w:spacing w:after="120" w:line="360"/>
        <w:jc w:val="both"/>
      </w:pPr>
      <w:r>
        <w:rPr>
          <w:b/>
          <w:bCs/>
        </w:rPr>
        <w:t xml:space="preserve">4. Design.</w:t>
      </w:r>
      <w:r>
        <w:t xml:space="preserve"> Bayes (η = 1), SafeBayes (1 order), SAFE-GO, oracle (coastal readings used as one exact constraint, weight 1e4). E2: baseline 60 coastal + 30 inland, three additions: +120 coastal readings (code; the docstring says +90), +6 wells near the SAFE-GO toe estimate (±40,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η where given):</w:t>
      </w:r>
    </w:p>
    <w:p>
      <w:pPr>
        <w:pStyle w:val="ListParagraph"/>
        <w:numPr>
          <w:ilvl w:val="0"/>
          <w:numId w:val="2"/>
        </w:numPr>
        <w:spacing w:after="60" w:line="360"/>
        <w:jc w:val="both"/>
      </w:pPr>
      <w:r>
        <w:t xml:space="preserve">n</w:t>
      </w:r>
      <w:r>
        <w:rPr>
          <w:vertAlign w:val="subscript"/>
        </w:rPr>
        <w:t xml:space="preserve">e</w:t>
      </w:r>
      <w:r>
        <w:t xml:space="preserve"> = 0: Bayes 0.905/72.9 m; SAFE-GO 0.905/80.7 m.</w:t>
      </w:r>
    </w:p>
    <w:p>
      <w:pPr>
        <w:pStyle w:val="ListParagraph"/>
        <w:numPr>
          <w:ilvl w:val="0"/>
          <w:numId w:val="2"/>
        </w:numPr>
        <w:spacing w:after="60" w:line="360"/>
        <w:jc w:val="both"/>
      </w:pPr>
      <w:r>
        <w:t xml:space="preserve">n</w:t>
      </w:r>
      <w:r>
        <w:rPr>
          <w:vertAlign w:val="subscript"/>
        </w:rPr>
        <w:t xml:space="preserve">e</w:t>
      </w:r>
      <w:r>
        <w:t xml:space="preserve"> = 240: Bayes 0.475/31.4 m/19.3 m/9.47; SAFE-GO 0.97/95.2 m/13.9 m/2.73/η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15.0 → 18.2 m. SAFE-GO width with coastal addition 88.4 → 99.5 m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&gt; 90% and width ≫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η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B = 60 bootstrap resamples; η grid {1, 2^−½, …, 2⁻⁶}; level 0.90.</w:t>
      </w:r>
    </w:p>
    <w:p>
      <w:pPr>
        <w:spacing w:after="120" w:line="360"/>
        <w:jc w:val="both"/>
      </w:pPr>
      <w:r>
        <w:rPr>
          <w:b/>
          <w:bCs/>
        </w:rPr>
        <w:t xml:space="preserve">3. Criterion.</w:t>
      </w:r>
      <w:r>
        <w:t xml:space="preserve"> ĉ(η) = bootstrap coverage of the full-data toe estimate by the η-posterior 90% interval; η_KALIB = largest η with ĉ(η) ≥ 0.90, interpolated in log η (Syring &amp; Martin 2019). BayesBag (bagged η = 1)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η):</w:t>
      </w:r>
    </w:p>
    <w:p>
      <w:pPr>
        <w:pStyle w:val="ListParagraph"/>
        <w:numPr>
          <w:ilvl w:val="0"/>
          <w:numId w:val="2"/>
        </w:numPr>
        <w:spacing w:after="60" w:line="360"/>
        <w:jc w:val="both"/>
      </w:pPr>
      <w:r>
        <w:t xml:space="preserve">n</w:t>
      </w:r>
      <w:r>
        <w:rPr>
          <w:vertAlign w:val="subscript"/>
        </w:rPr>
        <w:t xml:space="preserve">e</w:t>
      </w:r>
      <w:r>
        <w:t xml:space="preserve"> = 240: Bayes 0.485/31.2 m/19.2 m; BayesBag 0.94/128.3 m/20.5 m; SAFE-GO 0.965/95.0 m/14.3 m/0.18; KALIB-GO 0.87/67.5 m/13.8 m/0.25; oracle 0.905/69.1 m/13.8 m. KALIB-GO coverage 0.87–0.91 for all n</w:t>
      </w:r>
      <w:r>
        <w:rPr>
          <w:vertAlign w:val="subscript"/>
        </w:rPr>
        <w:t xml:space="preserve">e</w:t>
      </w:r>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(τ = 2 yr, s = 0.2, θ = 0.5 yr), Q</w:t>
      </w:r>
      <w:r>
        <w:rPr>
          <w:vertAlign w:val="subscript"/>
        </w:rPr>
        <w:t xml:space="preserve">c</w:t>
      </w:r>
      <w:r>
        <w:t xml:space="preserve"> = 3 651 m³/d; pumping raised from Q0 to Q1 at t = 0 with toe at its Q0 equilibrium; event = X ≥ 0.98 within H = 30 yr; dt = 0.02 yr. A1: 200 000 OU paths, seed 2026. A2: increase 0.80 → 0.90 Q</w:t>
      </w:r>
      <w:r>
        <w:rPr>
          <w:vertAlign w:val="subscript"/>
        </w:rPr>
        <w:t xml:space="preserve">c</w:t>
      </w:r>
      <w:r>
        <w:t xml:space="preserve">, 300 test events, 1 500 posterior recharge paths per event, date tolerance 1 yr; recharge block means with noise sd 0.10/0.05/0.02 (annual) and 0.02 (quarterly) in units of ε;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PN(D) = P(N = 1 | E₁ = 1, D) with N = 1 − E₀; population PN = 1 − p₀/p₁ under monotonicity. Design worth W(D) = h(PN) − E[h(PN(D))] (bits).</w:t>
      </w:r>
    </w:p>
    <w:p>
      <w:pPr>
        <w:spacing w:after="120" w:line="360"/>
        <w:jc w:val="both"/>
      </w:pPr>
      <w:r>
        <w:rPr>
          <w:b/>
          <w:bCs/>
        </w:rPr>
        <w:t xml:space="preserve">4. Design.</w:t>
      </w:r>
      <w:r>
        <w:t xml:space="preserve"> Population p₁, p₀, PN, PS for four increases; event-level PN under designs: event only, + date, + annual toe (50/100 m), + recharge records; truth = twin-world N of each test event; confident = PN ≥ 0.9 or ≤ 0.1.</w:t>
      </w:r>
    </w:p>
    <w:p>
      <w:pPr>
        <w:spacing w:after="120" w:line="360"/>
        <w:jc w:val="both"/>
      </w:pPr>
      <w:r>
        <w:rPr>
          <w:b/>
          <w:bCs/>
        </w:rPr>
        <w:t xml:space="preserve">5. Key results.</w:t>
      </w:r>
    </w:p>
    <w:p>
      <w:pPr>
        <w:pStyle w:val="ListParagraph"/>
        <w:numPr>
          <w:ilvl w:val="0"/>
          <w:numId w:val="2"/>
        </w:numPr>
        <w:spacing w:after="60" w:line="360"/>
        <w:jc w:val="both"/>
      </w:pPr>
      <w:r>
        <w:t xml:space="preserve">0.80 → 0.90 Q</w:t>
      </w:r>
      <w:r>
        <w:rPr>
          <w:vertAlign w:val="subscript"/>
        </w:rPr>
        <w:t xml:space="preserve">c</w:t>
      </w:r>
      <w:r>
        <w:t xml:space="preserve">: p₁ = 0.582, p₀ = 0.165, PN = 0.716, PS = 0.500; no monotonicity violations. Other increases: PN 0.948 (0.70→0.85), 0.895 (0.75→0.90), 0.551 (0.85→0.95).</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ESS ≈ 3)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s = 0.30, θ = 0.5 yr, τ = 2 yr; high/low pumping 0.95/0.80 Q</w:t>
      </w:r>
      <w:r>
        <w:rPr>
          <w:vertAlign w:val="subscript"/>
        </w:rPr>
        <w:t xml:space="preserve">c</w:t>
      </w:r>
      <w:r>
        <w:t xml:space="preserve">, pre-period 0.85 Q</w:t>
      </w:r>
      <w:r>
        <w:rPr>
          <w:vertAlign w:val="subscript"/>
        </w:rPr>
        <w:t xml:space="preserve">c</w:t>
      </w:r>
      <w:r>
        <w:t xml:space="preserve">; Y = 1{X ≥ 0.98 within H = 8 yr}; reviews Poisson rate 1/yr (+ t = 0), max 16; toe reading noise 0.02·d = 40 m (precise sensor 10 m); drought index = mean ε over last 0.5 yr; operator logit P(A</w:t>
      </w:r>
      <w:r>
        <w:rPr>
          <w:vertAlign w:val="subscript"/>
        </w:rPr>
        <w:t xml:space="preserve">j</w:t>
      </w:r>
      <w:r>
        <w:t xml:space="preserve"> = 1) = B0 + B1(2A</w:t>
      </w:r>
      <w:r>
        <w:rPr>
          <w:vertAlign w:val="subscript"/>
        </w:rPr>
        <w:t xml:space="preserve">j−1</w:t>
      </w:r>
      <w:r>
        <w:t xml:space="preserve"> − 1) − B2(R</w:t>
      </w:r>
      <w:r>
        <w:rPr>
          <w:vertAlign w:val="subscript"/>
        </w:rPr>
        <w:t xml:space="preserve">j</w:t>
      </w:r>
      <w:r>
        <w:t xml:space="preserve"> − 0.65)/0.05 − B3 D</w:t>
      </w:r>
      <w:r>
        <w:rPr>
          <w:vertAlign w:val="subscript"/>
        </w:rPr>
        <w:t xml:space="preserve">j</w:t>
      </w:r>
      <w:r>
        <w:t xml:space="preserve">/s + BW·W with (0, 2.2, 0.4, 0.8, 0.3); drop-out logit (−3.5, 0.5); dynamic threshold X* = 0.72. T1: 500 data sets × 2 000 wells (seeds 10000+); T2: 200 data sets at 500–8 000 wells; truth from 400 000 wells per regime (seed 20261016).</w:t>
      </w:r>
    </w:p>
    <w:p>
      <w:pPr>
        <w:spacing w:after="120" w:line="360"/>
        <w:jc w:val="both"/>
      </w:pPr>
      <w:r>
        <w:rPr>
          <w:b/>
          <w:bCs/>
        </w:rPr>
        <w:t xml:space="preserve">3. Criterion.</w:t>
      </w:r>
      <w:r>
        <w:t xml:space="preserve"> ψ</w:t>
      </w:r>
      <w:r>
        <w:rPr>
          <w:vertAlign w:val="subscript"/>
        </w:rPr>
        <w:t xml:space="preserve">d</w:t>
      </w:r>
      <w:r>
        <w:t xml:space="preserve"> = E[Y^d] by sequential regression over the review index (Rytgaard, Gerds &amp; van der Laan 2022), targeting with weighted logistic fluctuation, cumulative weights 1/G_j,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X*, then low"). T2: TMLE of ψ</w:t>
      </w:r>
      <w:r>
        <w:rPr>
          <w:vertAlign w:val="subscript"/>
        </w:rPr>
        <w:t xml:space="preserve">hi</w:t>
      </w:r>
      <w:r>
        <w:t xml:space="preserve"> − ψ</w:t>
      </w:r>
      <w:r>
        <w:rPr>
          <w:vertAlign w:val="subscript"/>
        </w:rPr>
        <w:t xml:space="preserve">lo</w:t>
      </w:r>
      <w:r>
        <w:t xml:space="preserve"> with four record designs: operator reading, precise sensor, each ±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1/G_j: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x in the rule d</w:t>
      </w:r>
      <w:r>
        <w:rPr>
          <w:vertAlign w:val="subscript"/>
        </w:rPr>
        <w:t xml:space="preserve">x</w:t>
      </w:r>
      <w:r>
        <w:t xml:space="preserve"> ("pump high until a toe reading exceeds x, then low") whose 8-year risk stays ≤ α, chosen without breaking the constraint through selection error?</w:t>
      </w:r>
    </w:p>
    <w:p>
      <w:pPr>
        <w:spacing w:after="120" w:line="360"/>
        <w:jc w:val="both"/>
      </w:pPr>
      <w:r>
        <w:rPr>
          <w:b/>
          <w:bCs/>
        </w:rPr>
        <w:t xml:space="preserve">2. Model and parameters.</w:t>
      </w:r>
      <w:r>
        <w:t xml:space="preserve"> TMLE-GO well field (extended copy of tmle_go.py); grid x = 0.62…0.80 (10 values); α ∈ {0.35, 0.38}; 300 data sets at 1 000, 2 000, 4 000 wells, with (op+D) and without (op) drought index; truth from 400 000 wells per regime.</w:t>
      </w:r>
    </w:p>
    <w:p>
      <w:pPr>
        <w:spacing w:after="120" w:line="360"/>
        <w:jc w:val="both"/>
      </w:pPr>
      <w:r>
        <w:rPr>
          <w:b/>
          <w:bCs/>
        </w:rPr>
        <w:t xml:space="preserve">3. Criterion.</w:t>
      </w:r>
      <w:r>
        <w:t xml:space="preserve"> Select largest x with U(x) ≤ α, else fall back to always-low. U: naive; TMLE plug-in; pointwise one-sided 95% bound; simultaneous one-sided 95% band (critical value = 95% quantile of max_k Z</w:t>
      </w:r>
      <w:r>
        <w:rPr>
          <w:vertAlign w:val="subscript"/>
        </w:rPr>
        <w:t xml:space="preserve">k</w:t>
      </w:r>
      <w:r>
        <w:t xml:space="preserve">, Z ~ N(0, corr of influence curves)); first-crossing band; MSM band (logit ψ(x) = b0 + b1(x − 0.71)/0.1,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ψ(x) rises 0.289 → 0.431; always-low 0.257; optimum x = 0.68 (α = 0.35), 0.72 (α = 0.38). Violation = chosen x has true risk &gt; α. Gain = (supply − supply_lo)/(supply_opt − supply_lo) (kufi_figs.py).</w:t>
      </w:r>
    </w:p>
    <w:p>
      <w:pPr>
        <w:spacing w:after="120" w:line="360"/>
        <w:jc w:val="both"/>
      </w:pPr>
      <w:r>
        <w:rPr>
          <w:b/>
          <w:bCs/>
        </w:rPr>
        <w:t xml:space="preserve">5. Key results</w:t>
      </w:r>
      <w:r>
        <w:t xml:space="preserve"> (α = 0.35;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(~⅓ of gain, not improving with n);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s = 0.30, θ = 0.5, τ = 2 yr; high/low 0.95/0.80 Q</w:t>
      </w:r>
      <w:r>
        <w:rPr>
          <w:vertAlign w:val="subscript"/>
        </w:rPr>
        <w:t xml:space="preserve">c</w:t>
      </w:r>
      <w:r>
        <w:t xml:space="preserve">; 200 000 wells × 10 yr; alarm R = reading (noise 0.02) in 4 classes (edges 0.60, 0.64, 0.68), drought D in 3 classes, ΔX in 3 classes; logit P(A = 1) = b1(2A_prev − 1) + bR[R] + bD[D], b1 = 2.0, bR = (0.6, 0, −1, −2), bD = (1.2, 0, −0.8). E2: 200 data sets at 200, 800, 3 200 wells, 200 bootstrap resamples; seeds 20261016 (E1/E2), 20261017 (E3).</w:t>
      </w:r>
    </w:p>
    <w:p>
      <w:pPr>
        <w:spacing w:after="120" w:line="360"/>
        <w:jc w:val="both"/>
      </w:pPr>
      <w:r>
        <w:rPr>
          <w:b/>
          <w:bCs/>
        </w:rPr>
        <w:t xml:space="preserve">3. Criterion.</w:t>
      </w:r>
      <w:r>
        <w:t xml:space="preserve"> TE</w:t>
      </w:r>
      <w:r>
        <w:rPr>
          <w:vertAlign w:val="subscript"/>
        </w:rPr>
        <w:t xml:space="preserve">obs</w:t>
      </w:r>
      <w:r>
        <w:t xml:space="preserve"> = I(ΔX; A | R);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π(a|r) KL(P(ΔX | do a, r) ‖ Σ</w:t>
      </w:r>
      <w:r>
        <w:rPr>
          <w:vertAlign w:val="subscript"/>
        </w:rPr>
        <w:t xml:space="preserve">a</w:t>
      </w:r>
      <w:r>
        <w:t xml:space="preserve">′ π(a′|r) P(ΔX | do a′, r)) (Ay–Polani type; estimand, exact via twin worlds); TE</w:t>
      </w:r>
      <w:r>
        <w:rPr>
          <w:vertAlign w:val="subscript"/>
        </w:rPr>
        <w:t xml:space="preserve">adj</w:t>
      </w:r>
      <w:r>
        <w:t xml:space="preserve"> = TE</w:t>
      </w:r>
      <w:r>
        <w:rPr>
          <w:vertAlign w:val="subscript"/>
        </w:rPr>
        <w:t xml:space="preserve">do</w:t>
      </w:r>
      <w:r>
        <w:t xml:space="preserve"> with back-door adjustment for (D, A</w:t>
      </w:r>
      <w:r>
        <w:rPr>
          <w:vertAlign w:val="subscript"/>
        </w:rPr>
        <w:t xml:space="preserve">prev</w:t>
      </w:r>
      <w:r>
        <w:t xml:space="preserve">); _bc = bootstrap bias correction 2θ̂ − mean θ̂*. PID of I(ΔX; A, D) by I</w:t>
      </w:r>
      <w:r>
        <w:rPr>
          <w:vertAlign w:val="subscript"/>
        </w:rPr>
        <w:t xml:space="preserve">min</w:t>
      </w:r>
      <w:r>
        <w:t xml:space="preserve"> and BROJA.</w:t>
      </w:r>
    </w:p>
    <w:p>
      <w:pPr>
        <w:spacing w:after="120" w:line="360"/>
        <w:jc w:val="both"/>
      </w:pPr>
      <w:r>
        <w:rPr>
          <w:b/>
          <w:bCs/>
        </w:rPr>
        <w:t xml:space="preserve">4. Design.</w:t>
      </w:r>
      <w:r>
        <w:t xml:space="preserve"> Population values; estimators from records vs truth TE</w:t>
      </w:r>
      <w:r>
        <w:rPr>
          <w:vertAlign w:val="subscript"/>
        </w:rPr>
        <w:t xml:space="preserve">do</w:t>
      </w:r>
      <w:r>
        <w:t xml:space="preserve">; E3 randomized rotation: A drawn from π(a|R) independently of D and A</w:t>
      </w:r>
      <w:r>
        <w:rPr>
          <w:vertAlign w:val="subscript"/>
        </w:rPr>
        <w:t xml:space="preserve">prev</w:t>
      </w:r>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w:r>
        <w:t xml:space="preserve">TE</w:t>
      </w:r>
      <w:r>
        <w:rPr>
          <w:vertAlign w:val="subscript"/>
        </w:rPr>
        <w:t xml:space="preserve">do</w:t>
      </w:r>
      <w:r>
        <w:t xml:space="preserve"> 13.0, TE</w:t>
      </w:r>
      <w:r>
        <w:rPr>
          <w:vertAlign w:val="subscript"/>
        </w:rPr>
        <w:t xml:space="preserve">obs</w:t>
      </w:r>
      <w:r>
        <w:t xml:space="preserve"> 24.9 (ratio 1.92), TE</w:t>
      </w:r>
      <w:r>
        <w:rPr>
          <w:vertAlign w:val="subscript"/>
        </w:rPr>
        <w:t xml:space="preserve">cond</w:t>
      </w:r>
      <w:r>
        <w:t xml:space="preserve"> 6.8, TE</w:t>
      </w:r>
      <w:r>
        <w:rPr>
          <w:vertAlign w:val="subscript"/>
        </w:rPr>
        <w:t xml:space="preserve">adj</w:t>
      </w:r>
      <w:r>
        <w:t xml:space="preserve"> 12.5, TE_adj_noD 35.9.</w:t>
      </w:r>
    </w:p>
    <w:p>
      <w:pPr>
        <w:pStyle w:val="ListParagraph"/>
        <w:numPr>
          <w:ilvl w:val="0"/>
          <w:numId w:val="2"/>
        </w:numPr>
        <w:spacing w:after="60" w:line="360"/>
        <w:jc w:val="both"/>
      </w:pPr>
      <w:r>
        <w:t xml:space="preserve">PID unique of pumping: I</w:t>
      </w:r>
      <w:r>
        <w:rPr>
          <w:vertAlign w:val="subscript"/>
        </w:rPr>
        <w:t xml:space="preserve">min</w:t>
      </w:r>
      <w:r>
        <w:t xml:space="preserve"> 0.0 (operator and random); BROJA 1.8 (operator), 0.2 (random); I(ΔX; A) under random pumping 14.8.</w:t>
      </w:r>
    </w:p>
    <w:p>
      <w:pPr>
        <w:pStyle w:val="ListParagraph"/>
        <w:numPr>
          <w:ilvl w:val="0"/>
          <w:numId w:val="2"/>
        </w:numPr>
        <w:spacing w:after="60" w:line="360"/>
        <w:jc w:val="both"/>
      </w:pPr>
      <w:r>
        <w:t xml:space="preserve">Bias / coverage at 200, 800, 3 200 wells: TE</w:t>
      </w:r>
      <w:r>
        <w:rPr>
          <w:vertAlign w:val="subscript"/>
        </w:rPr>
        <w:t xml:space="preserve">obs</w:t>
      </w:r>
      <w:r>
        <w:t xml:space="preserve"> 15.4/13%, 12.9/0.5%, 12.2/0%; TE_adj_bc 4.1/93%, 1.9/92%, 0.4/96%; rotation TE_obs_bc 0.6/95%, −0.1/93%, −0.1/93%.</w:t>
      </w:r>
    </w:p>
    <w:p>
      <w:pPr>
        <w:pStyle w:val="ListParagraph"/>
        <w:numPr>
          <w:ilvl w:val="0"/>
          <w:numId w:val="2"/>
        </w:numPr>
        <w:spacing w:after="60" w:line="360"/>
        <w:jc w:val="both"/>
      </w:pPr>
      <w:r>
        <w:t xml:space="preserve">SD at 800 wells: rotation TE_obs_bc 2.4 vs observational TE_adj_bc 5.5.</w:t>
      </w:r>
    </w:p>
    <w:p>
      <w:pPr>
        <w:spacing w:after="120" w:line="360"/>
        <w:jc w:val="both"/>
      </w:pPr>
      <w:r>
        <w:rPr>
          <w:b/>
          <w:bCs/>
        </w:rPr>
        <w:t xml:space="preserve">6. Limitations (README).</w:t>
      </w:r>
      <w:r>
        <w:t xml:space="preserve"> TE conditioned on the decision log answers a different question; adjusting for A</w:t>
      </w:r>
      <w:r>
        <w:rPr>
          <w:vertAlign w:val="subscript"/>
        </w:rPr>
        <w:t xml:space="preserve">prev</w:t>
      </w:r>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TE(π) of a pumping rule most precisely?</w:t>
      </w:r>
    </w:p>
    <w:p>
      <w:pPr>
        <w:spacing w:after="120" w:line="360"/>
        <w:jc w:val="both"/>
      </w:pPr>
      <w:r>
        <w:rPr>
          <w:b/>
          <w:bCs/>
        </w:rPr>
        <w:t xml:space="preserve">2. Model and parameters.</w:t>
      </w:r>
      <w:r>
        <w:t xml:space="preserve"> RRJEDHA-GO field, 200 000 wells × 10 yr (seed 20261016); rules π(1|r): operator (0.448, 0.455, 0.337, 0.254), cautious (0.9, 0.6, 0.2, 0.05), balanced ½; designs: natural (q = π), balanced (q = ½), capped (½, but 0.254 at highest alarm), obs (records + back-door); 400 data sets of 500, 2 000, 8 000 well-years, 300 bootstrap resamples.</w:t>
      </w:r>
    </w:p>
    <w:p>
      <w:pPr>
        <w:spacing w:after="120" w:line="360"/>
        <w:jc w:val="both"/>
      </w:pPr>
      <w:r>
        <w:rPr>
          <w:b/>
          <w:bCs/>
        </w:rPr>
        <w:t xml:space="preserve">3. Criterion (small effects).</w:t>
      </w:r>
      <w:r>
        <w:t xml:space="preserve"> TE</w:t>
      </w:r>
      <w:r>
        <w:rPr>
          <w:vertAlign w:val="subscript"/>
        </w:rPr>
        <w:t xml:space="preserve">r</w:t>
      </w:r>
      <w:r>
        <w:t xml:space="preserve">(π) ≈ 4π(1 − π)C</w:t>
      </w:r>
      <w:r>
        <w:rPr>
          <w:vertAlign w:val="subscript"/>
        </w:rPr>
        <w:t xml:space="preserve">r</w:t>
      </w:r>
      <w:r>
        <w:t xml:space="preserve">, C</w:t>
      </w:r>
      <w:r>
        <w:rPr>
          <w:vertAlign w:val="subscript"/>
        </w:rPr>
        <w:t xml:space="preserve">r</w:t>
      </w:r>
      <w:r>
        <w:t xml:space="preserve"> ≈ χ²_r/(8 ln 2), χ²_r = Σ</w:t>
      </w:r>
      <w:r>
        <w:rPr>
          <w:vertAlign w:val="subscript"/>
        </w:rPr>
        <w:t xml:space="preserve">k</w:t>
      </w:r>
      <w:r>
        <w:t xml:space="preserve"> Δ_k²/P̄_k, Δ_k = P(k|do 1, r) − P(k|do 0, r); Neyman allocation q</w:t>
      </w:r>
      <w:r>
        <w:rPr>
          <w:i/>
          <w:iCs/>
        </w:rPr>
        <w:t xml:space="preserve">(a|r) ∝ π(a|r)·sd_{a,r} with sd_{a,r} ∝ π(1−a|r) ⇒ q</w:t>
      </w:r>
      <w:r>
        <w:t xml:space="preserve"> = ½; variance ratio (follow-the-rule / 50:50) = 1/(4π(1−π)) per level.</w:t>
      </w:r>
    </w:p>
    <w:p>
      <w:pPr>
        <w:spacing w:after="120" w:line="360"/>
        <w:jc w:val="both"/>
      </w:pPr>
      <w:r>
        <w:rPr>
          <w:b/>
          <w:bCs/>
        </w:rPr>
        <w:t xml:space="preserve">4. Design.</w:t>
      </w:r>
      <w:r>
        <w:t xml:space="preserve"> Bias, SD, coverage of bias-corrected plug-in TE for each design and goal; truth = exact TE from twin worlds.</w:t>
      </w:r>
    </w:p>
    <w:p>
      <w:pPr>
        <w:spacing w:after="120" w:line="360"/>
        <w:jc w:val="both"/>
      </w:pPr>
      <w:r>
        <w:rPr>
          <w:b/>
          <w:bCs/>
        </w:rPr>
        <w:t xml:space="preserve">5. Key results.</w:t>
      </w:r>
    </w:p>
    <w:p>
      <w:pPr>
        <w:pStyle w:val="ListParagraph"/>
        <w:numPr>
          <w:ilvl w:val="0"/>
          <w:numId w:val="2"/>
        </w:numPr>
        <w:spacing w:after="60" w:line="360"/>
        <w:jc w:val="both"/>
      </w:pPr>
      <w:r>
        <w:t xml:space="preserve">C</w:t>
      </w:r>
      <w:r>
        <w:rPr>
          <w:vertAlign w:val="subscript"/>
        </w:rPr>
        <w:t xml:space="preserve">r</w:t>
      </w:r>
      <w:r>
        <w:t xml:space="preserve"> = 11.5, 13.4, 15.2, 18.4 mbit; capacity-achieving p* = 0.4985–0.5005.</w:t>
      </w:r>
    </w:p>
    <w:p>
      <w:pPr>
        <w:pStyle w:val="ListParagraph"/>
        <w:numPr>
          <w:ilvl w:val="0"/>
          <w:numId w:val="2"/>
        </w:numPr>
        <w:spacing w:after="60" w:line="360"/>
        <w:jc w:val="both"/>
      </w:pPr>
      <w:r>
        <w:t xml:space="preserve">TE exact vs 4π(1−π)C: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(s = 0.30), 200 000 wells × 10 yr; logit P(A = 1) = b0 + B1(2A_prev − 1) + κ·BR[R] + BD[D]; σ ∈ {0, 0.01, 0.02, 0.04, 0.08, 0.16}, κ ∈ {0.5, 1, 2, 3} (24 designs) + no monitoring (R independent of X); b0 calibrated (30 000 wells, common random numbers) so mean pumping equals the reference (σ = 0.02, κ = 1), target 0.366; seeds 1 (reference), 1000+10i+j, 999 (no monitoring).</w:t>
      </w:r>
    </w:p>
    <w:p>
      <w:pPr>
        <w:spacing w:after="120" w:line="360"/>
        <w:jc w:val="both"/>
      </w:pPr>
      <w:r>
        <w:rPr>
          <w:b/>
          <w:bCs/>
        </w:rPr>
        <w:t xml:space="preserve">3. Criterion.</w:t>
      </w:r>
      <w:r>
        <w:t xml:space="preserve"> Massey decomposition I(A^n; X^n) = forward + feedback; per-decision feedback I(X; A | A</w:t>
      </w:r>
      <w:r>
        <w:rPr>
          <w:vertAlign w:val="subscript"/>
        </w:rPr>
        <w:t xml:space="preserve">prev</w:t>
      </w:r>
      <w:r>
        <w:t xml:space="preserve">, D) = H(A | A</w:t>
      </w:r>
      <w:r>
        <w:rPr>
          <w:vertAlign w:val="subscript"/>
        </w:rPr>
        <w:t xml:space="preserve">prev</w:t>
      </w:r>
      <w:r>
        <w:t xml:space="preserve">, D) − E; sensor information I(X; R). Goal: P(toe reaches escape point within 10 yr)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(σ = 0, κ = 3)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σ = 0.02, κ = 1: 3.3/65; σ = 0.02, κ = 3: 7.6/265; σ = 0, κ = 1: 3.7/68; σ = 0, κ = 0.5: 1.7/19; σ = 0, κ = 3: 7.7/295. Equal feedback ≠ equal risk: σ = 0.16, κ = 3: 72 mbit, risk 0.401 vs σ = 0, κ = 1: 68 mbit, 0.416.</w:t>
      </w:r>
    </w:p>
    <w:p>
      <w:pPr>
        <w:pStyle w:val="ListParagraph"/>
        <w:numPr>
          <w:ilvl w:val="0"/>
          <w:numId w:val="2"/>
        </w:numPr>
        <w:spacing w:after="60" w:line="360"/>
        <w:jc w:val="both"/>
      </w:pPr>
      <w:r>
        <w:t xml:space="preserve">Risk SE ≈ 0.0011.</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32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S11.</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S9.</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S10–S11)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10y8f_tytglgovsuhcwk"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2026-10-18T12:23:16.763Z</dcterms:created>
  <dcterms:modified xsi:type="dcterms:W3CDTF">2026-10-18T12:23:16.763Z</dcterms:modified>
</cp:coreProperties>
</file>

<file path=docProps/custom.xml><?xml version="1.0" encoding="utf-8"?>
<Properties xmlns="http://schemas.openxmlformats.org/officeDocument/2006/custom-properties" xmlns:vt="http://schemas.openxmlformats.org/officeDocument/2006/docPropsVTypes"/>
</file>