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pPr>
      <w:r>
        <w:rPr>
          <w:rFonts w:ascii="Arial" w:hAnsi="Arial"/>
          <w:b/>
          <w:i w:val="0"/>
          <w:sz w:val="26"/>
        </w:rPr>
        <w:t>References</w:t>
      </w:r>
    </w:p>
    <w:p>
      <w:pPr>
        <w:spacing w:after="120" w:before="0"/>
      </w:pPr>
      <w:r>
        <w:rPr>
          <w:rFonts w:ascii="Arial" w:hAnsi="Arial"/>
          <w:b/>
          <w:i w:val="0"/>
          <w:sz w:val="22"/>
        </w:rPr>
        <w:t>A. Scientific literature</w:t>
      </w:r>
    </w:p>
    <w:p>
      <w:pPr>
        <w:spacing w:after="80" w:before="0"/>
        <w:ind w:left="425" w:hanging="425"/>
      </w:pPr>
      <w:r>
        <w:rPr>
          <w:rFonts w:ascii="Arial" w:hAnsi="Arial"/>
          <w:b w:val="0"/>
          <w:i w:val="0"/>
          <w:sz w:val="22"/>
        </w:rPr>
        <w:t>Abarca, E., Carrera, J., Sánchez-Vila, X. and Dentz, M. (2007). Anisotropic dispersive Henry problem. Advances in Water Resources 30(4), 913–926. doi:10.1016/j.advwatres.2006.08.005</w:t>
      </w:r>
    </w:p>
    <w:p>
      <w:pPr>
        <w:spacing w:after="80" w:before="0"/>
        <w:ind w:left="425" w:hanging="425"/>
      </w:pPr>
      <w:r>
        <w:rPr>
          <w:rFonts w:ascii="Arial" w:hAnsi="Arial"/>
          <w:b w:val="0"/>
          <w:i w:val="0"/>
          <w:sz w:val="22"/>
        </w:rPr>
        <w:t>Alexanderian, A., Gloor, P.J. and Ghattas, O. (2016a). On Bayesian A- and D-optimal experimental designs in infinite dimensions. Bayesian Analysis 11(3), 671–695. doi:10.1214/15-BA969</w:t>
      </w:r>
    </w:p>
    <w:p>
      <w:pPr>
        <w:spacing w:after="80" w:before="0"/>
        <w:ind w:left="425" w:hanging="425"/>
      </w:pPr>
      <w:r>
        <w:rPr>
          <w:rFonts w:ascii="Arial" w:hAnsi="Arial"/>
          <w:b w:val="0"/>
          <w:i w:val="0"/>
          <w:sz w:val="22"/>
        </w:rPr>
        <w:t>Alexanderian, A., Petra, N., Stadler, G. and Ghattas, O. (2016b). A fast and scalable method for A-optimal design of experiments for infinite-dimensional Bayesian nonlinear inverse problems. SIAM Journal on Scientific Computing 38(1), A243–A272. doi:10.1137/140992564</w:t>
      </w:r>
    </w:p>
    <w:p>
      <w:pPr>
        <w:spacing w:after="80" w:before="0"/>
        <w:ind w:left="425" w:hanging="425"/>
      </w:pPr>
      <w:r>
        <w:rPr>
          <w:rFonts w:ascii="Arial" w:hAnsi="Arial"/>
          <w:b w:val="0"/>
          <w:i w:val="0"/>
          <w:sz w:val="22"/>
        </w:rPr>
        <w:t>Alexanderian, A. (2021). Optimal experimental design for infinite-dimensional Bayesian inverse problems governed by PDEs: a review. Inverse Problems 37(4), 043001. doi:10.1088/1361-6420/abe10c</w:t>
      </w:r>
    </w:p>
    <w:p>
      <w:pPr>
        <w:spacing w:after="80" w:before="0"/>
        <w:ind w:left="425" w:hanging="425"/>
      </w:pPr>
      <w:r>
        <w:rPr>
          <w:rFonts w:ascii="Arial" w:hAnsi="Arial"/>
          <w:b w:val="0"/>
          <w:i w:val="0"/>
          <w:sz w:val="22"/>
        </w:rPr>
        <w:t>Appelo, C.A.J. and Postma, D. (2005). Geochemistry, Groundwater and Pollution, 2nd edition. A.A. Balkema, Leiden. doi:10.1201/9781439833544</w:t>
      </w:r>
    </w:p>
    <w:p>
      <w:pPr>
        <w:spacing w:after="80" w:before="0"/>
        <w:ind w:left="425" w:hanging="425"/>
      </w:pPr>
      <w:r>
        <w:rPr>
          <w:rFonts w:ascii="Arial" w:hAnsi="Arial"/>
          <w:b w:val="0"/>
          <w:i w:val="0"/>
          <w:sz w:val="22"/>
        </w:rPr>
        <w:t>Attia, A., Alexanderian, A. and Saibaba, A.K. (2018). Goal-oriented optimal design of experiments for large-scale Bayesian linear inverse problems. Inverse Problems 34(9), 095009. doi:10.1088/1361-6420/aad210</w:t>
      </w:r>
    </w:p>
    <w:p>
      <w:pPr>
        <w:spacing w:after="80" w:before="0"/>
        <w:ind w:left="425" w:hanging="425"/>
      </w:pPr>
      <w:r>
        <w:rPr>
          <w:rFonts w:ascii="Arial" w:hAnsi="Arial"/>
          <w:b w:val="0"/>
          <w:i w:val="0"/>
          <w:sz w:val="22"/>
        </w:rPr>
        <w:t>Barber, D. and Agakov, F. (2003). Information maximization in noisy channels: a variational approach. Advances in Neural Information Processing Systems 16, 201–208.</w:t>
      </w:r>
    </w:p>
    <w:p>
      <w:pPr>
        <w:spacing w:after="80" w:before="0"/>
        <w:ind w:left="425" w:hanging="425"/>
      </w:pPr>
      <w:r>
        <w:rPr>
          <w:rFonts w:ascii="Arial" w:hAnsi="Arial"/>
          <w:b w:val="0"/>
          <w:i w:val="0"/>
          <w:sz w:val="22"/>
        </w:rPr>
        <w:t>Boudreau, B.P., Meysman, F.J.R. and Middelburg, J.J. (2004). Multicomponent ionic diffusion in porewaters: Coulombic effects revisited. Earth and Planetary Science Letters 222(2), 653–666. doi:10.1016/j.epsl.2004.02.034</w:t>
      </w:r>
    </w:p>
    <w:p>
      <w:pPr>
        <w:spacing w:after="80" w:before="0"/>
        <w:ind w:left="425" w:hanging="425"/>
      </w:pPr>
      <w:r>
        <w:rPr>
          <w:rFonts w:ascii="Arial" w:hAnsi="Arial"/>
          <w:b w:val="0"/>
          <w:i w:val="0"/>
          <w:sz w:val="22"/>
        </w:rPr>
        <w:t>Diersch, H.-J.G. and Kolditz, O. (2002). Variable-density flow and transport in porous media: approaches and challenges. Advances in Water Resources 25(8–12), 899–944. doi:10.1016/S0309-1708(02)00063-5</w:t>
      </w:r>
    </w:p>
    <w:p>
      <w:pPr>
        <w:spacing w:after="80" w:before="0"/>
        <w:ind w:left="425" w:hanging="425"/>
      </w:pPr>
      <w:r>
        <w:rPr>
          <w:rFonts w:ascii="Arial" w:hAnsi="Arial"/>
          <w:b w:val="0"/>
          <w:i w:val="0"/>
          <w:sz w:val="22"/>
        </w:rPr>
        <w:t>Foster, A., Jankowiak, M., Bingham, E., Horsfall, P., Teh, Y.W., Rainforth, T. and Goodman, N. (2019). Variational Bayesian optimal experimental design. Advances in Neural Information Processing Systems 32, 14036–14047.</w:t>
      </w:r>
    </w:p>
    <w:p>
      <w:pPr>
        <w:spacing w:after="80" w:before="0"/>
        <w:ind w:left="425" w:hanging="425"/>
      </w:pPr>
      <w:r>
        <w:rPr>
          <w:rFonts w:ascii="Arial" w:hAnsi="Arial"/>
          <w:b w:val="0"/>
          <w:i w:val="0"/>
          <w:sz w:val="22"/>
        </w:rPr>
        <w:t>Frind, E.O. (1982). Simulation of long-term transient density-dependent transport in groundwater. Advances in Water Resources 5(2), 73–88. doi:10.1016/0309-1708(82)90049-5</w:t>
      </w:r>
    </w:p>
    <w:p>
      <w:pPr>
        <w:spacing w:after="80" w:before="0"/>
        <w:ind w:left="425" w:hanging="425"/>
      </w:pPr>
      <w:r>
        <w:rPr>
          <w:rFonts w:ascii="Arial" w:hAnsi="Arial"/>
          <w:b w:val="0"/>
          <w:i w:val="0"/>
          <w:sz w:val="22"/>
        </w:rPr>
        <w:t>Huan, X., Jagalur, J. and Marzouk, Y. (2024). Optimal experimental design: formulations and computations. Acta Numerica 33, 715–840. doi:10.1017/S0962492924000023</w:t>
      </w:r>
    </w:p>
    <w:p>
      <w:pPr>
        <w:spacing w:after="80" w:before="0"/>
        <w:ind w:left="425" w:hanging="425"/>
      </w:pPr>
      <w:r>
        <w:rPr>
          <w:rFonts w:ascii="Arial" w:hAnsi="Arial"/>
          <w:b w:val="0"/>
          <w:i w:val="0"/>
          <w:sz w:val="22"/>
        </w:rPr>
        <w:t>Huyakorn, P.S., Andersen, P.F., Mercer, J.W. and White, H.O., Jr. (1987). Saltwater intrusion in aquifers: development and testing of a three-dimensional finite element model. Water Resources Research 23(2), 293–312. doi:10.1029/WR023i002p00293</w:t>
      </w:r>
    </w:p>
    <w:p>
      <w:pPr>
        <w:spacing w:after="80" w:before="0"/>
        <w:ind w:left="425" w:hanging="425"/>
      </w:pPr>
      <w:r>
        <w:rPr>
          <w:rFonts w:ascii="Arial" w:hAnsi="Arial"/>
          <w:b w:val="0"/>
          <w:i w:val="0"/>
          <w:sz w:val="22"/>
        </w:rPr>
        <w:t>Kourakos, G. and Mantoglou, A. (2009). Pumping optimization of coastal aquifers based on evolutionary algorithms and surrogate modular neural network models. Advances in Water Resources 32(4), 507–521. doi:10.1016/j.advwatres.2009.01.001</w:t>
      </w:r>
    </w:p>
    <w:p>
      <w:pPr>
        <w:spacing w:after="80" w:before="0"/>
        <w:ind w:left="425" w:hanging="425"/>
      </w:pPr>
      <w:r>
        <w:rPr>
          <w:rFonts w:ascii="Arial" w:hAnsi="Arial"/>
          <w:b w:val="0"/>
          <w:i w:val="0"/>
          <w:sz w:val="22"/>
        </w:rPr>
        <w:t>Koval, K., Herzog, R. and Scheichl, R. (2024). Tractable optimal experimental design using transport maps. Inverse Problems 40(12), 125002. doi:10.1088/1361-6420/ad8260</w:t>
      </w:r>
    </w:p>
    <w:p>
      <w:pPr>
        <w:spacing w:after="80" w:before="0"/>
        <w:ind w:left="425" w:hanging="425"/>
      </w:pPr>
      <w:r>
        <w:rPr>
          <w:rFonts w:ascii="Arial" w:hAnsi="Arial"/>
          <w:b w:val="0"/>
          <w:i w:val="0"/>
          <w:sz w:val="22"/>
        </w:rPr>
        <w:t>Krause, A., Singh, A. and Guestrin, C. (2008). Near-optimal sensor placements in Gaussian processes: theory, efficient algorithms and empirical studies. Journal of Machine Learning Research 9, 235–284.</w:t>
      </w:r>
    </w:p>
    <w:p>
      <w:pPr>
        <w:spacing w:after="80" w:before="0"/>
        <w:ind w:left="425" w:hanging="425"/>
      </w:pPr>
      <w:r>
        <w:rPr>
          <w:rFonts w:ascii="Arial" w:hAnsi="Arial"/>
          <w:b w:val="0"/>
          <w:i w:val="0"/>
          <w:sz w:val="22"/>
        </w:rPr>
        <w:t>Lal, A. and Datta, B. (2019). Application of monitoring network design and feedback information for adaptive management of coastal groundwater resources. International Journal of Environmental Research and Public Health 16(22), 4365. doi:10.3390/ijerph16224365</w:t>
      </w:r>
    </w:p>
    <w:p>
      <w:pPr>
        <w:spacing w:after="80" w:before="0"/>
        <w:ind w:left="425" w:hanging="425"/>
      </w:pPr>
      <w:r>
        <w:rPr>
          <w:rFonts w:ascii="Arial" w:hAnsi="Arial"/>
          <w:b w:val="0"/>
          <w:i w:val="0"/>
          <w:sz w:val="22"/>
        </w:rPr>
        <w:t>Leube, P.C., Geiges, A. and Nowak, W. (2012). Bayesian assessment of the expected data impact on prediction confidence in optimal sampling design. Water Resources Research 48(2), W02501. doi:10.1029/2010WR010137</w:t>
      </w:r>
    </w:p>
    <w:p>
      <w:pPr>
        <w:spacing w:after="80" w:before="0"/>
        <w:ind w:left="425" w:hanging="425"/>
      </w:pPr>
      <w:r>
        <w:rPr>
          <w:rFonts w:ascii="Arial" w:hAnsi="Arial"/>
          <w:b w:val="0"/>
          <w:i w:val="0"/>
          <w:sz w:val="22"/>
        </w:rPr>
        <w:t>Lichtner, P.C. (1985). Continuum model for simultaneous chemical reactions and mass transport in hydrothermal systems. Geochimica et Cosmochimica Acta 49(3), 779–800. doi:10.1016/0016-7037(85)90172-3</w:t>
      </w:r>
    </w:p>
    <w:p>
      <w:pPr>
        <w:spacing w:after="80" w:before="0"/>
        <w:ind w:left="425" w:hanging="425"/>
      </w:pPr>
      <w:r>
        <w:rPr>
          <w:rFonts w:ascii="Arial" w:hAnsi="Arial"/>
          <w:b w:val="0"/>
          <w:i w:val="0"/>
          <w:sz w:val="22"/>
        </w:rPr>
        <w:t>Lykkegaard, M.B. and Dodwell, T.J. (2022). Where to drill next? A dual-weighted approach to adaptive optimal design of groundwater surveys. Advances in Water Resources 164, 104219. doi:10.1016/j.advwatres.2022.104219</w:t>
      </w:r>
    </w:p>
    <w:p>
      <w:pPr>
        <w:spacing w:after="80" w:before="0"/>
        <w:ind w:left="425" w:hanging="425"/>
      </w:pPr>
      <w:r>
        <w:rPr>
          <w:rFonts w:ascii="Arial" w:hAnsi="Arial"/>
          <w:b w:val="0"/>
          <w:i w:val="0"/>
          <w:sz w:val="22"/>
        </w:rPr>
        <w:t>Nemhauser, G.L., Wolsey, L.A. and Fisher, M.L. (1978). An analysis of approximations for maximizing submodular set functions—I. Mathematical Programming 14, 265–294. doi:10.1007/BF01588971</w:t>
      </w:r>
    </w:p>
    <w:p>
      <w:pPr>
        <w:spacing w:after="80" w:before="0"/>
        <w:ind w:left="425" w:hanging="425"/>
      </w:pPr>
      <w:r>
        <w:rPr>
          <w:rFonts w:ascii="Arial" w:hAnsi="Arial"/>
          <w:b w:val="0"/>
          <w:i w:val="0"/>
          <w:sz w:val="22"/>
        </w:rPr>
        <w:t>Neuberger, J.N., Alexanderian, A. and van Bloemen Waanders, B. (2025). Goal oriented optimal design of infinite-dimensional Bayesian inverse problems using quadratic approximations. Journal of Scientific Computing 105(2), 55. doi:10.1007/s10915-025-03073-y</w:t>
      </w:r>
    </w:p>
    <w:p>
      <w:pPr>
        <w:spacing w:after="80" w:before="0"/>
        <w:ind w:left="425" w:hanging="425"/>
      </w:pPr>
      <w:r>
        <w:rPr>
          <w:rFonts w:ascii="Arial" w:hAnsi="Arial"/>
          <w:b w:val="0"/>
          <w:i w:val="0"/>
          <w:sz w:val="22"/>
        </w:rPr>
        <w:t>Nowak, W., de Barros, F.P.J. and Rubin, Y. (2010). Bayesian geostatistical design: task-driven optimal site investigation when the geostatistical model is uncertain. Water Resources Research 46(3), W03535. doi:10.1029/2009WR008312</w:t>
      </w:r>
    </w:p>
    <w:p>
      <w:pPr>
        <w:spacing w:after="80" w:before="0"/>
        <w:ind w:left="425" w:hanging="425"/>
      </w:pPr>
      <w:r>
        <w:rPr>
          <w:rFonts w:ascii="Arial" w:hAnsi="Arial"/>
          <w:b w:val="0"/>
          <w:i w:val="0"/>
          <w:sz w:val="22"/>
        </w:rPr>
        <w:t>Pauw, P.S., van Baaren, E.S., Visser, M., de Louw, P.G.B. and Oude Essink, G.H.P. (2015). Increasing a freshwater lens below a creek ridge using a controlled artificial recharge and drainage system: a case study in the Netherlands. Hydrogeology Journal 23(7), 1415–1430. doi:10.1007/s10040-015-1264-z</w:t>
      </w:r>
    </w:p>
    <w:p>
      <w:pPr>
        <w:spacing w:after="80" w:before="0"/>
        <w:ind w:left="425" w:hanging="425"/>
      </w:pPr>
      <w:r>
        <w:rPr>
          <w:rFonts w:ascii="Arial" w:hAnsi="Arial"/>
          <w:b w:val="0"/>
          <w:i w:val="0"/>
          <w:sz w:val="22"/>
        </w:rPr>
        <w:t>Plummer, M. (2015). Cuts in Bayesian graphical models. Statistics and Computing 25(1), 37–43. doi:10.1007/s11222-014-9503-z</w:t>
      </w:r>
    </w:p>
    <w:p>
      <w:pPr>
        <w:spacing w:after="80" w:before="0"/>
        <w:ind w:left="425" w:hanging="425"/>
      </w:pPr>
      <w:r>
        <w:rPr>
          <w:rFonts w:ascii="Arial" w:hAnsi="Arial"/>
          <w:b w:val="0"/>
          <w:i w:val="0"/>
          <w:sz w:val="22"/>
        </w:rPr>
        <w:t>Pool, M. and Carrera, J. (2010). Dynamics of negative hydraulic barriers to prevent seawater intrusion. Hydrogeology Journal 18(1), 95–105. doi:10.1007/s10040-009-0516-1</w:t>
      </w:r>
    </w:p>
    <w:p>
      <w:pPr>
        <w:spacing w:after="80" w:before="0"/>
        <w:ind w:left="425" w:hanging="425"/>
      </w:pPr>
      <w:r>
        <w:rPr>
          <w:rFonts w:ascii="Arial" w:hAnsi="Arial"/>
          <w:b w:val="0"/>
          <w:i w:val="0"/>
          <w:sz w:val="22"/>
        </w:rPr>
        <w:t>Rainforth, T., Foster, A., Ivanova, D.R. and Bickford Smith, F. (2024). Modern Bayesian experimental design. Statistical Science 39(1), 100–114. doi:10.1214/23-STS915</w:t>
      </w:r>
    </w:p>
    <w:p>
      <w:pPr>
        <w:spacing w:after="80" w:before="0"/>
        <w:ind w:left="425" w:hanging="425"/>
      </w:pPr>
      <w:r>
        <w:rPr>
          <w:rFonts w:ascii="Arial" w:hAnsi="Arial"/>
          <w:b w:val="0"/>
          <w:i w:val="0"/>
          <w:sz w:val="22"/>
        </w:rPr>
        <w:t>Rashidinejad, P., Zhu, B., Ma, C., Jiao, J. and Russell, S. (2022). Bridging offline reinforcement learning and imitation learning: a tale of pessimism. IEEE Transactions on Information Theory 68(12), 8156–8196. doi:10.1109/TIT.2022.3185139</w:t>
      </w:r>
    </w:p>
    <w:p>
      <w:pPr>
        <w:spacing w:after="80" w:before="0"/>
        <w:ind w:left="425" w:hanging="425"/>
      </w:pPr>
      <w:r>
        <w:rPr>
          <w:rFonts w:ascii="Arial" w:hAnsi="Arial"/>
          <w:b w:val="0"/>
          <w:i w:val="0"/>
          <w:sz w:val="22"/>
        </w:rPr>
        <w:t>Rolle, M., Muniruzzaman, M., Haberer, C.M. and Grathwohl, P. (2013). Coulombic effects in advection-dominated transport of electrolytes in porous media: multicomponent ionic dispersion. Geochimica et Cosmochimica Acta 120, 195–205. doi:10.1016/j.gca.2013.06.031</w:t>
      </w:r>
    </w:p>
    <w:p>
      <w:pPr>
        <w:spacing w:after="80" w:before="0"/>
        <w:ind w:left="425" w:hanging="425"/>
      </w:pPr>
      <w:r>
        <w:rPr>
          <w:rFonts w:ascii="Arial" w:hAnsi="Arial"/>
          <w:b w:val="0"/>
          <w:i w:val="0"/>
          <w:sz w:val="22"/>
        </w:rPr>
        <w:t>Saaltink, M.W., Ayora, C. and Carrera, J. (1998). A mathematical formulation for reactive transport that eliminates mineral concentrations. Water Resources Research 34(7), 1649–1656. doi:10.1029/98WR00552</w:t>
      </w:r>
    </w:p>
    <w:p>
      <w:pPr>
        <w:spacing w:after="80" w:before="0"/>
        <w:ind w:left="425" w:hanging="425"/>
      </w:pPr>
      <w:r>
        <w:rPr>
          <w:rFonts w:ascii="Arial" w:hAnsi="Arial"/>
          <w:b w:val="0"/>
          <w:i w:val="0"/>
          <w:sz w:val="22"/>
        </w:rPr>
        <w:t>Simpson, M.J. and Clement, T.P. (2004). Improving the worthiness of the Henry problem as a benchmark for density-dependent groundwater flow models. Water Resources Research 40(1), W01504. doi:10.1029/2003WR002199</w:t>
      </w:r>
    </w:p>
    <w:p>
      <w:pPr>
        <w:spacing w:after="80" w:before="0"/>
        <w:ind w:left="425" w:hanging="425"/>
      </w:pPr>
      <w:r>
        <w:rPr>
          <w:rFonts w:ascii="Arial" w:hAnsi="Arial"/>
          <w:b w:val="0"/>
          <w:i w:val="0"/>
          <w:sz w:val="22"/>
        </w:rPr>
        <w:t>Sreekanth, J. and Datta, B. (2010). Multi-objective management of saltwater intrusion in coastal aquifers using genetic programming and modular neural network based surrogate models. Journal of Hydrology 393(3–4), 245–256. doi:10.1016/j.jhydrol.2010.08.023</w:t>
      </w:r>
    </w:p>
    <w:p>
      <w:pPr>
        <w:spacing w:after="80" w:before="0"/>
        <w:ind w:left="425" w:hanging="425"/>
      </w:pPr>
      <w:r>
        <w:rPr>
          <w:rFonts w:ascii="Arial" w:hAnsi="Arial"/>
          <w:b w:val="0"/>
          <w:i w:val="0"/>
          <w:sz w:val="22"/>
        </w:rPr>
        <w:t>Wagenmaker, A.J., Simchowitz, M. and Jamieson, K. (2021). Task-optimal exploration in linear dynamical systems. Proceedings of the 38th International Conference on Machine Learning, PMLR 139, 10641–10652.</w:t>
      </w:r>
    </w:p>
    <w:p>
      <w:pPr>
        <w:spacing w:after="80" w:before="0"/>
        <w:ind w:left="425" w:hanging="425"/>
      </w:pPr>
      <w:r>
        <w:rPr>
          <w:rFonts w:ascii="Arial" w:hAnsi="Arial"/>
          <w:b w:val="0"/>
          <w:i w:val="0"/>
          <w:sz w:val="22"/>
        </w:rPr>
        <w:t>Wöhling, T., Geiges, A. and Nowak, W. (2016). Optimal design of multitype groundwater monitoring networks using easily accessible tools. Groundwater 54(6), 861–870. doi:10.1111/gwat.12430</w:t>
      </w:r>
    </w:p>
    <w:p>
      <w:pPr>
        <w:spacing w:after="80" w:before="0"/>
        <w:ind w:left="425" w:hanging="425"/>
      </w:pPr>
      <w:r>
        <w:rPr>
          <w:rFonts w:ascii="Arial" w:hAnsi="Arial"/>
          <w:b w:val="0"/>
          <w:i w:val="0"/>
          <w:sz w:val="22"/>
        </w:rPr>
        <w:t>Yoon, S., Lee, S., Williams, J.R. and Kang, P.K. (2020). Effects of variable-density flow on the value-of-information of pressure and concentration data for aquifer characterization. Advances in Water Resources 135, 103468. doi:10.1016/j.advwatres.2019.103468</w:t>
      </w:r>
    </w:p>
    <w:p>
      <w:pPr>
        <w:spacing w:after="80" w:before="0"/>
        <w:ind w:left="425" w:hanging="425"/>
      </w:pPr>
      <w:r>
        <w:rPr>
          <w:rFonts w:ascii="Arial" w:hAnsi="Arial"/>
          <w:b w:val="0"/>
          <w:i w:val="0"/>
          <w:sz w:val="22"/>
        </w:rPr>
        <w:t>Ziemann, I. and Sandberg, H. (2021). On uninformative optimal policies in adaptive LQR with unknown B-matrix. Proceedings of the 3rd Conference on Learning for Dynamics and Control, PMLR 144, 213–226.</w:t>
      </w:r>
    </w:p>
    <w:p>
      <w:pPr>
        <w:spacing w:after="120" w:before="160"/>
      </w:pPr>
      <w:r>
        <w:rPr>
          <w:rFonts w:ascii="Arial" w:hAnsi="Arial"/>
          <w:b/>
          <w:i w:val="0"/>
          <w:sz w:val="22"/>
        </w:rPr>
        <w:t>B. European law, policy and standards</w:t>
      </w:r>
    </w:p>
    <w:p>
      <w:pPr>
        <w:spacing w:after="80" w:before="0"/>
        <w:ind w:left="425" w:hanging="425"/>
      </w:pPr>
      <w:r>
        <w:rPr>
          <w:rFonts w:ascii="Arial" w:hAnsi="Arial"/>
          <w:b w:val="0"/>
          <w:i w:val="0"/>
          <w:sz w:val="22"/>
        </w:rPr>
        <w:t>Directive 2000/60/EC of the European Parliament and of the Council of 23 October 2000 establishing a framework for Community action in the field of water policy. Official Journal of the European Communities L 327, 22.12.2000, 1–73.</w:t>
      </w:r>
    </w:p>
    <w:p>
      <w:pPr>
        <w:spacing w:after="80" w:before="0"/>
        <w:ind w:left="425" w:hanging="425"/>
      </w:pPr>
      <w:r>
        <w:rPr>
          <w:rFonts w:ascii="Arial" w:hAnsi="Arial"/>
          <w:b w:val="0"/>
          <w:i w:val="0"/>
          <w:sz w:val="22"/>
        </w:rPr>
        <w:t>Directive (EU) 2026/805 of the European Parliament and of the Council of 30 March 2026 amending Directive 2000/60/EC establishing a framework for Community action in the field of water policy, Directive 2006/118/EC on the protection of groundwater against pollution and deterioration and Directive 2008/105/EC on environmental quality standards in the field of water policy. Official Journal of the European Union L, 2026/805, 20.4.2026. http://data.europa.eu/eli/dir/2026/805/oj</w:t>
      </w:r>
    </w:p>
    <w:p>
      <w:pPr>
        <w:spacing w:after="80" w:before="0"/>
        <w:ind w:left="425" w:hanging="425"/>
      </w:pPr>
      <w:r>
        <w:rPr>
          <w:rFonts w:ascii="Arial" w:hAnsi="Arial"/>
          <w:b w:val="0"/>
          <w:i w:val="0"/>
          <w:sz w:val="22"/>
        </w:rPr>
        <w:t>European Commission (2025). European Water Resilience Strategy. Communication from the Commission to the European Parliament, the Council, the European Economic and Social Committee and the Committee of the Regions, COM(2025) 280 final, Brussels, 4.6.2025.</w:t>
      </w:r>
    </w:p>
    <w:p>
      <w:pPr>
        <w:spacing w:after="80" w:before="0"/>
        <w:ind w:left="425" w:hanging="425"/>
      </w:pPr>
      <w:r>
        <w:rPr>
          <w:rFonts w:ascii="Arial" w:hAnsi="Arial"/>
          <w:b w:val="0"/>
          <w:i w:val="0"/>
          <w:sz w:val="22"/>
        </w:rPr>
        <w:t>Directive 2007/2/EC of the European Parliament and of the Council of 14 March 2007 establishing an Infrastructure for Spatial Information in the European Community (INSPIRE). Official Journal of the European Union L 108, 25.4.2007, 1–14.</w:t>
      </w:r>
    </w:p>
    <w:p>
      <w:pPr>
        <w:spacing w:after="80" w:before="0"/>
        <w:ind w:left="425" w:hanging="425"/>
      </w:pPr>
      <w:r>
        <w:rPr>
          <w:rFonts w:ascii="Arial" w:hAnsi="Arial"/>
          <w:b w:val="0"/>
          <w:i w:val="0"/>
          <w:sz w:val="22"/>
        </w:rPr>
        <w:t>INSPIRE Thematic Working Group Geology (2013). D2.8.II.4 Data Specification on Geology – Technical Guidelines, version 3.0. European Commission Joint Research Centre.</w:t>
      </w:r>
    </w:p>
    <w:p>
      <w:pPr>
        <w:spacing w:after="80" w:before="0"/>
        <w:ind w:left="425" w:hanging="425"/>
      </w:pPr>
      <w:r>
        <w:rPr>
          <w:rFonts w:ascii="Arial" w:hAnsi="Arial"/>
          <w:b w:val="0"/>
          <w:i w:val="0"/>
          <w:sz w:val="22"/>
        </w:rPr>
        <w:t>INSPIRE Thematic Working Group Environmental Monitoring Facilities (2013). D2.8.III.7 Data Specification on Environmental Monitoring Facilities – Technical Guidelines, version 3.0. European Commission Joint Research Centre.</w:t>
      </w:r>
    </w:p>
    <w:p>
      <w:pPr>
        <w:spacing w:after="80" w:before="0"/>
        <w:ind w:left="425" w:hanging="425"/>
      </w:pPr>
      <w:r>
        <w:rPr>
          <w:rFonts w:ascii="Arial" w:hAnsi="Arial"/>
          <w:b w:val="0"/>
          <w:i w:val="0"/>
          <w:sz w:val="22"/>
        </w:rPr>
        <w:t>Brodaric, B. (ed.) (2017). OGC WaterML 2: Part 4 – GroundWaterML 2 (GWML2), version 2.2. OGC Implementation Standard 16-032r2. Open Geospatial Consortium.</w:t>
      </w:r>
    </w:p>
    <w:p>
      <w:pPr>
        <w:spacing w:after="80" w:before="0"/>
        <w:ind w:left="425" w:hanging="425"/>
      </w:pPr>
      <w:r>
        <w:rPr>
          <w:rFonts w:ascii="Arial" w:hAnsi="Arial"/>
          <w:b w:val="0"/>
          <w:i w:val="0"/>
          <w:sz w:val="22"/>
        </w:rPr>
        <w:t>IGRAC, International Groundwater Resources Assessment Centre. Global Inventory of Managed Aquifer Recharge (MAR) Schemes, MAR Portal of the Global Groundwater Information System. https://ggis.un-igrac.org/view/marportal</w:t>
      </w:r>
    </w:p>
    <w:p>
      <w:pPr>
        <w:spacing w:after="120" w:before="160"/>
      </w:pPr>
      <w:r>
        <w:rPr>
          <w:rFonts w:ascii="Arial" w:hAnsi="Arial"/>
          <w:b/>
          <w:i w:val="0"/>
          <w:sz w:val="22"/>
        </w:rPr>
        <w:t>C. Related COST Actions</w:t>
      </w:r>
    </w:p>
    <w:p>
      <w:pPr>
        <w:spacing w:after="80" w:before="0"/>
        <w:ind w:left="425" w:hanging="425"/>
      </w:pPr>
      <w:r>
        <w:rPr>
          <w:rFonts w:ascii="Arial" w:hAnsi="Arial"/>
          <w:b w:val="0"/>
          <w:i w:val="0"/>
          <w:sz w:val="22"/>
        </w:rPr>
        <w:t>COST Action CA21112 OFF-SOURCE (2022–2026). Offshore freshened groundwater: an unconventional water resource in coastal regions? https://www.cost.eu/actions/CA21112/</w:t>
      </w:r>
    </w:p>
    <w:p>
      <w:pPr>
        <w:spacing w:after="80" w:before="0"/>
        <w:ind w:left="425" w:hanging="425"/>
      </w:pPr>
      <w:r>
        <w:rPr>
          <w:rFonts w:ascii="Arial" w:hAnsi="Arial"/>
          <w:b w:val="0"/>
          <w:i w:val="0"/>
          <w:sz w:val="22"/>
        </w:rPr>
        <w:t>COST Action CA19120 WATSON (2020–2024). WATer isotopeS in the critical zONe: from groundwater recharge to plant transpiration. https://www.cost.eu/actions/CA19120/</w:t>
      </w:r>
    </w:p>
    <w:p>
      <w:pPr>
        <w:spacing w:after="80" w:before="0"/>
        <w:ind w:left="425" w:hanging="425"/>
      </w:pPr>
      <w:r>
        <w:rPr>
          <w:rFonts w:ascii="Arial" w:hAnsi="Arial"/>
          <w:b w:val="0"/>
          <w:i w:val="0"/>
          <w:sz w:val="22"/>
        </w:rPr>
        <w:t>COST Action CA22144 SUSTAIN (2023–2027). Sustainable use of salt-affected lands. https://www.cost.eu/actions/CA22144/</w:t>
      </w:r>
    </w:p>
    <w:p>
      <w:pPr>
        <w:spacing w:after="80" w:before="0"/>
        <w:ind w:left="425" w:hanging="425"/>
      </w:pPr>
      <w:r>
        <w:rPr>
          <w:rFonts w:ascii="Arial" w:hAnsi="Arial"/>
          <w:b w:val="0"/>
          <w:i w:val="0"/>
          <w:sz w:val="22"/>
        </w:rPr>
        <w:t>Tulipano, L., Fidelibus, M.D. and Panagopoulos, A. (eds) (2005). COST Action 621: Groundwater management of coastal karstic aquifers. Final report, EUR 21366. Office for Official Publications of the European Communities, Luxembourg.</w:t>
      </w:r>
    </w:p>
    <w:p>
      <w:pPr>
        <w:spacing w:after="120" w:before="200"/>
      </w:pPr>
      <w:r>
        <w:rPr>
          <w:rFonts w:ascii="Arial" w:hAnsi="Arial"/>
          <w:b/>
          <w:i w:val="0"/>
          <w:sz w:val="22"/>
        </w:rPr>
        <w:t>Notes for the applicant (delete before submission)</w:t>
      </w:r>
    </w:p>
    <w:p>
      <w:pPr>
        <w:spacing w:after="80" w:before="0"/>
        <w:ind w:left="425" w:hanging="425"/>
      </w:pPr>
      <w:r>
        <w:rPr>
          <w:rFonts w:ascii="Arial" w:hAnsi="Arial"/>
          <w:b w:val="0"/>
          <w:i/>
          <w:sz w:val="20"/>
        </w:rPr>
        <w:t>• Directive (EU) 2026/805: number, date, title, Official Journal reference and the transposition date (21 December 2027) are confirmed. The annex also says the new Annex V section 2.3.2 keeps the saline-intrusion condition and the conductivity parameter; that wording could not be read in the full text. Open EUR-Lex CELEX:32026L0805, Annex I, and check it before submitting.</w:t>
      </w:r>
    </w:p>
    <w:p>
      <w:pPr>
        <w:spacing w:after="80" w:before="0"/>
        <w:ind w:left="425" w:hanging="425"/>
      </w:pPr>
      <w:r>
        <w:rPr>
          <w:rFonts w:ascii="Arial" w:hAnsi="Arial"/>
          <w:b w:val="0"/>
          <w:i/>
          <w:sz w:val="20"/>
        </w:rPr>
        <w:t>• Three small wording fixes in the annex text so it matches the official names: WATSON (CA19120) "traced groundwater recharge with water isotopes" -&gt; "used water isotopes to follow water through the critical zone, from groundwater recharge to plant transpiration"; SUSTAIN (CA22144) "addresses the agricultural use of salt-affected land" -&gt; "addresses the sustainable use of salt-affected lands, including saline agriculture"; "the Global MAR Inventory of the International Groundwater Resources Assessment Centre" -&gt; "the Global Inventory of Managed Aquifer Recharge Schemes of the International Groundwater Resources Assessment Centre (IGRAC)".</w:t>
      </w:r>
    </w:p>
    <w:p>
      <w:pPr>
        <w:spacing w:after="80" w:before="0"/>
        <w:ind w:left="425" w:hanging="425"/>
      </w:pPr>
      <w:r>
        <w:rPr>
          <w:rFonts w:ascii="Arial" w:hAnsi="Arial"/>
          <w:b w:val="0"/>
          <w:i/>
          <w:sz w:val="20"/>
        </w:rPr>
        <w:t>• Barber and Agakov (2003) is listed under its official NeurIPS title; the same paper is often cited as "The IM algorithm: a variational approach to information maximization".</w:t>
      </w:r>
    </w:p>
    <w:p>
      <w:pPr>
        <w:spacing w:after="80" w:before="0"/>
        <w:ind w:left="425" w:hanging="425"/>
      </w:pPr>
      <w:r>
        <w:rPr>
          <w:rFonts w:ascii="Arial" w:hAnsi="Arial"/>
          <w:b w:val="0"/>
          <w:i/>
          <w:sz w:val="20"/>
        </w:rPr>
        <w:t>• Alexanderian et al. (2016a) and (2016b) are lettered by the second author (Gloor before Petra); the annex cites both together, so the text needs no change.</w:t>
      </w:r>
    </w:p>
    <w:p>
      <w:pPr>
        <w:spacing w:after="80" w:before="0"/>
        <w:ind w:left="425" w:hanging="425"/>
      </w:pPr>
      <w:r>
        <w:rPr>
          <w:rFonts w:ascii="Arial" w:hAnsi="Arial"/>
          <w:b w:val="0"/>
          <w:i/>
          <w:sz w:val="20"/>
        </w:rPr>
        <w:t>• Pauw et al. (2015) is the freshwater-lens paper and Pool and Carrera (2010) the negative-barrier paper; together they support the annex sentence on "barriers and freshwater lenses".</w:t>
      </w:r>
    </w:p>
    <w:p>
      <w:pPr>
        <w:spacing w:after="80" w:before="0"/>
        <w:ind w:left="425" w:hanging="425"/>
      </w:pPr>
      <w:r>
        <w:rPr>
          <w:rFonts w:ascii="Arial" w:hAnsi="Arial"/>
          <w:b w:val="0"/>
          <w:i/>
          <w:sz w:val="20"/>
        </w:rPr>
        <w:t>• Every entry was checked against the publisher or official record through web search; where sources disagreed on a detail (the issue number of Nemhauser et al. 1978), it is left out.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