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sz w:val="22"/>
        </w:rPr>
        <w:t>Summary</w:t>
      </w:r>
    </w:p>
    <w:p>
      <w:pPr>
        <w:spacing w:line="276" w:lineRule="auto"/>
      </w:pPr>
      <w:r>
        <w:rPr>
          <w:rFonts w:ascii="Arial" w:hAnsi="Arial"/>
          <w:sz w:val="22"/>
        </w:rPr>
        <w:t>Seawater intrusion threatens coastal supply wells, and stakeholders must decide how much to pump, where to site wells and when to sample chloride, including under intense rainfall, drought and behavioural change. This note assembles the governing equations into one system and gives its solution algorithm, with a coupling diagram and a flowchart. The physical core couples variable-density groundwater flow with hydraulic memory, Darcy flux with buoyancy, and salt transport with two immobile zones; dispersion, major-ion exchange, boundary conditions at the sea and inland faces, wells and a steady initial state complete the system. Each half-year season is discretised by finite volumes and implicit Euler, the memory states are eliminated exactly, and the coupled step is solved by a chord Newton method with an exact Jacobian; a discrete adjoint gives the gradient of the goal with respect to the well site. The goal is the chloride concentration at the supply screen against the 250 mg/L standard. A decision layer closes the loop within each season: a certified chloride alarm (SPIRANCA-GO), a watch that takes an extra sample when an extreme leaves the record (ROJA-GO), and a rule that cuts pumping after an alarm. The objective maximises the water delivered in the worst storyline, subject to a limit on the share of seasons above the standard. On a 780-cell section, one season costs 30 ms and about six Newton iterations. In tests on 20 synthetic aquifers, the rule kept exceedance below 10% in every storyline, whereas a static alarm reached 21%.</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