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863059" cy="61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LOMAR_Main_Challeng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63059" cy="61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i/>
          <w:sz w:val="22"/>
        </w:rPr>
        <w:t>Figure. The main challenge: the pressure on coastal aquifers, four decisions taken separately and their consequences (relevance); the amended Annex V and the 2031 and 2033 milestones of the Water Framework Directive cycle (timeliness); and the main aim of the Action.</w:t>
      </w:r>
    </w:p>
    <w:sectPr w:rsidR="00FC693F" w:rsidRPr="0006063C" w:rsidSect="00034616">
      <w:pgSz w:w="16838" w:h="11906" w:orient="landscape"/>
      <w:pgMar w:top="567" w:right="794" w:bottom="56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