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0" w:before="0"/>
        <w:jc w:val="center"/>
      </w:pPr>
      <w:r>
        <w:rPr>
          <w:rFonts w:ascii="Arial" w:hAnsi="Arial" w:eastAsia="Arial"/>
          <w:b/>
          <w:i w:val="0"/>
          <w:color w:val="1F3864"/>
          <w:sz w:val="36"/>
        </w:rPr>
        <w:t>CERTAIN-COAST — Work Plan</w:t>
      </w:r>
    </w:p>
    <w:p>
      <w:pPr>
        <w:spacing w:after="200" w:before="0"/>
        <w:jc w:val="center"/>
      </w:pPr>
      <w:r>
        <w:rPr>
          <w:rFonts w:ascii="Arial" w:hAnsi="Arial" w:eastAsia="Arial"/>
          <w:b/>
          <w:i w:val="0"/>
          <w:color w:val="1F3864"/>
          <w:sz w:val="24"/>
        </w:rPr>
        <w:t>Certified early warning for seawater intrusion, liquefaction and extreme sea levels at the wellfields, port and energy landfall of a subsiding Adriatic coast</w:t>
      </w:r>
    </w:p>
    <w:p>
      <w:pPr>
        <w:keepNext/>
        <w:spacing w:after="120" w:before="80"/>
      </w:pPr>
      <w:r>
        <w:rPr>
          <w:rFonts w:ascii="Arial" w:hAnsi="Arial" w:eastAsia="Arial"/>
          <w:b/>
          <w:i w:val="0"/>
          <w:color w:val="1F3864"/>
          <w:sz w:val="28"/>
        </w:rPr>
        <w:t>1. Structure and logic</w:t>
      </w:r>
    </w:p>
    <w:p>
      <w:pPr>
        <w:spacing w:after="120" w:before="0"/>
      </w:pPr>
      <w:r>
        <w:rPr>
          <w:rFonts w:ascii="Arial" w:hAnsi="Arial" w:eastAsia="Arial"/>
          <w:b w:val="0"/>
          <w:i w:val="0"/>
          <w:sz w:val="22"/>
        </w:rPr>
        <w:t>The project runs for 36 months in seven work packages. WP1 to WP6 deliver objectives O1 to O6 one to one, so the deliverable codes of the objectives are kept; WP7 manages the whole. The logic runs in three phases:</w:t>
      </w:r>
    </w:p>
    <w:p>
      <w:pPr>
        <w:spacing w:after="60" w:before="0"/>
        <w:ind w:left="283"/>
      </w:pPr>
      <w:r>
        <w:rPr>
          <w:rFonts w:ascii="Arial" w:hAnsi="Arial" w:eastAsia="Arial"/>
          <w:b/>
          <w:i w:val="0"/>
          <w:sz w:val="22"/>
        </w:rPr>
        <w:t xml:space="preserve">• </w:t>
      </w:r>
      <w:r>
        <w:rPr>
          <w:rFonts w:ascii="Arial" w:hAnsi="Arial" w:eastAsia="Arial"/>
          <w:b/>
          <w:i w:val="0"/>
          <w:sz w:val="22"/>
        </w:rPr>
        <w:t>Measure and design (Months 1–12).</w:t>
      </w:r>
      <w:r>
        <w:rPr>
          <w:rFonts w:ascii="Arial" w:hAnsi="Arial" w:eastAsia="Arial"/>
          <w:b w:val="0"/>
          <w:i w:val="0"/>
          <w:sz w:val="22"/>
        </w:rPr>
        <w:t xml:space="preserve"> WP1 measures the coastal motion and WP4 designs and installs the monitoring network; both start at once because the network design needs only existing and remote-sensing data.</w:t>
      </w:r>
    </w:p>
    <w:p>
      <w:pPr>
        <w:spacing w:after="60" w:before="0"/>
        <w:ind w:left="283"/>
      </w:pPr>
      <w:r>
        <w:rPr>
          <w:rFonts w:ascii="Arial" w:hAnsi="Arial" w:eastAsia="Arial"/>
          <w:b/>
          <w:i w:val="0"/>
          <w:sz w:val="22"/>
        </w:rPr>
        <w:t xml:space="preserve">• </w:t>
      </w:r>
      <w:r>
        <w:rPr>
          <w:rFonts w:ascii="Arial" w:hAnsi="Arial" w:eastAsia="Arial"/>
          <w:b/>
          <w:i w:val="0"/>
          <w:sz w:val="22"/>
        </w:rPr>
        <w:t>Model and certify (Months 4–30).</w:t>
      </w:r>
      <w:r>
        <w:rPr>
          <w:rFonts w:ascii="Arial" w:hAnsi="Arial" w:eastAsia="Arial"/>
          <w:b w:val="0"/>
          <w:i w:val="0"/>
          <w:sz w:val="22"/>
        </w:rPr>
        <w:t xml:space="preserve"> WP2 builds and calibrates the coupled model and its fast surrogate on the data of WP1 and WP4; WP3 turns the forecasts into certified alarms and tests them on the historical record and on storylines beyond it.</w:t>
      </w:r>
    </w:p>
    <w:p>
      <w:pPr>
        <w:spacing w:after="60" w:before="0"/>
        <w:ind w:left="283"/>
      </w:pPr>
      <w:r>
        <w:rPr>
          <w:rFonts w:ascii="Arial" w:hAnsi="Arial" w:eastAsia="Arial"/>
          <w:b/>
          <w:i w:val="0"/>
          <w:sz w:val="22"/>
        </w:rPr>
        <w:t xml:space="preserve">• </w:t>
      </w:r>
      <w:r>
        <w:rPr>
          <w:rFonts w:ascii="Arial" w:hAnsi="Arial" w:eastAsia="Arial"/>
          <w:b/>
          <w:i w:val="0"/>
          <w:sz w:val="22"/>
        </w:rPr>
        <w:t>Operate and hand over (Months 22–36).</w:t>
      </w:r>
      <w:r>
        <w:rPr>
          <w:rFonts w:ascii="Arial" w:hAnsi="Arial" w:eastAsia="Arial"/>
          <w:b w:val="0"/>
          <w:i w:val="0"/>
          <w:sz w:val="22"/>
        </w:rPr>
        <w:t xml:space="preserve"> After the go/no-go milestone MS4, WP5 runs the system live for twelve months with the operators; WP6 trains the people who will run it after the project and releases the software and procedures.</w:t>
      </w:r>
    </w:p>
    <w:p>
      <w:pPr>
        <w:spacing w:after="120" w:before="80"/>
      </w:pPr>
      <w:r>
        <w:rPr>
          <w:rFonts w:ascii="Arial" w:hAnsi="Arial" w:eastAsia="Arial"/>
          <w:b w:val="0"/>
          <w:i w:val="0"/>
          <w:sz w:val="22"/>
        </w:rPr>
        <w:t xml:space="preserve">Data flow between the work packages: </w:t>
      </w:r>
      <w:r>
        <w:rPr>
          <w:rFonts w:ascii="Arial" w:hAnsi="Arial" w:eastAsia="Arial"/>
          <w:b/>
          <w:i w:val="0"/>
          <w:sz w:val="22"/>
        </w:rPr>
        <w:t>WP1 → WP2</w:t>
      </w:r>
      <w:r>
        <w:rPr>
          <w:rFonts w:ascii="Arial" w:hAnsi="Arial" w:eastAsia="Arial"/>
          <w:b w:val="0"/>
          <w:i w:val="0"/>
          <w:sz w:val="22"/>
        </w:rPr>
        <w:t xml:space="preserve"> (relative sea level R(t), compaction parameters); </w:t>
      </w:r>
      <w:r>
        <w:rPr>
          <w:rFonts w:ascii="Arial" w:hAnsi="Arial" w:eastAsia="Arial"/>
          <w:b/>
          <w:i w:val="0"/>
          <w:sz w:val="22"/>
        </w:rPr>
        <w:t>WP4 → WP2, WP3</w:t>
      </w:r>
      <w:r>
        <w:rPr>
          <w:rFonts w:ascii="Arial" w:hAnsi="Arial" w:eastAsia="Arial"/>
          <w:b w:val="0"/>
          <w:i w:val="0"/>
          <w:sz w:val="22"/>
        </w:rPr>
        <w:t xml:space="preserve"> (heads, chloride, seismic velocity in real time); </w:t>
      </w:r>
      <w:r>
        <w:rPr>
          <w:rFonts w:ascii="Arial" w:hAnsi="Arial" w:eastAsia="Arial"/>
          <w:b/>
          <w:i w:val="0"/>
          <w:sz w:val="22"/>
        </w:rPr>
        <w:t>WP2 → WP3</w:t>
      </w:r>
      <w:r>
        <w:rPr>
          <w:rFonts w:ascii="Arial" w:hAnsi="Arial" w:eastAsia="Arial"/>
          <w:b w:val="0"/>
          <w:i w:val="0"/>
          <w:sz w:val="22"/>
        </w:rPr>
        <w:t xml:space="preserve"> (forecasts and their error bounds); </w:t>
      </w:r>
      <w:r>
        <w:rPr>
          <w:rFonts w:ascii="Arial" w:hAnsi="Arial" w:eastAsia="Arial"/>
          <w:b/>
          <w:i w:val="0"/>
          <w:sz w:val="22"/>
        </w:rPr>
        <w:t>WP3 → WP5</w:t>
      </w:r>
      <w:r>
        <w:rPr>
          <w:rFonts w:ascii="Arial" w:hAnsi="Arial" w:eastAsia="Arial"/>
          <w:b w:val="0"/>
          <w:i w:val="0"/>
          <w:sz w:val="22"/>
        </w:rPr>
        <w:t xml:space="preserve"> (alarms with margins); </w:t>
      </w:r>
      <w:r>
        <w:rPr>
          <w:rFonts w:ascii="Arial" w:hAnsi="Arial" w:eastAsia="Arial"/>
          <w:b/>
          <w:i w:val="0"/>
          <w:sz w:val="22"/>
        </w:rPr>
        <w:t>WP5 → WP3, WP6</w:t>
      </w:r>
      <w:r>
        <w:rPr>
          <w:rFonts w:ascii="Arial" w:hAnsi="Arial" w:eastAsia="Arial"/>
          <w:b w:val="0"/>
          <w:i w:val="0"/>
          <w:sz w:val="22"/>
        </w:rPr>
        <w:t xml:space="preserve"> (verified outcomes, operating experience). WP4 also receives from WP3 the value of each sensor for the warnings, so the network can be refined in Year 2.</w:t>
      </w:r>
    </w:p>
    <w:p>
      <w:pPr>
        <w:keepNext/>
        <w:spacing w:after="120" w:before="200"/>
      </w:pPr>
      <w:r>
        <w:rPr>
          <w:rFonts w:ascii="Arial" w:hAnsi="Arial" w:eastAsia="Arial"/>
          <w:b/>
          <w:i w:val="0"/>
          <w:color w:val="1F3864"/>
          <w:sz w:val="28"/>
        </w:rPr>
        <w:t>2. Work packages</w:t>
      </w:r>
    </w:p>
    <w:p>
      <w:pPr>
        <w:keepNext/>
        <w:spacing w:after="120" w:before="160"/>
      </w:pPr>
      <w:r>
        <w:rPr>
          <w:rFonts w:ascii="Arial" w:hAnsi="Arial" w:eastAsia="Arial"/>
          <w:b/>
          <w:i w:val="0"/>
          <w:color w:val="2E6DB4"/>
          <w:sz w:val="25"/>
        </w:rPr>
        <w:t>WP1. Coastal motion and relative sea level   (Months 1–36; objective O1)</w:t>
      </w:r>
    </w:p>
    <w:p>
      <w:pPr>
        <w:spacing w:after="80" w:before="0"/>
      </w:pPr>
      <w:r>
        <w:rPr>
          <w:rFonts w:ascii="Arial" w:hAnsi="Arial" w:eastAsia="Arial"/>
          <w:b/>
          <w:i w:val="0"/>
          <w:sz w:val="22"/>
        </w:rPr>
        <w:t xml:space="preserve">Objective: </w:t>
      </w:r>
      <w:r>
        <w:rPr>
          <w:rFonts w:ascii="Arial" w:hAnsi="Arial" w:eastAsia="Arial"/>
          <w:b w:val="0"/>
          <w:i w:val="0"/>
          <w:sz w:val="22"/>
        </w:rPr>
        <w:t>Measure the vertical motion of the land at the wellfields, the port and the landfall, separate what pumping can reverse from what it cannot, and deliver the relative sea level R(t) that drives every hazard model.</w:t>
      </w:r>
    </w:p>
    <w:tbl>
      <w:tblPr>
        <w:tblStyle w:val="TableGrid"/>
        <w:tblW w:type="auto" w:w="0"/>
        <w:jc w:val="center"/>
        <w:tblLayout w:type="fixed"/>
        <w:tblLook w:firstColumn="1" w:firstRow="1" w:lastColumn="0" w:lastRow="0" w:noHBand="0" w:noVBand="1" w:val="04A0"/>
        <w:tblLayout w:type="fixed"/>
      </w:tblPr>
      <w:tblGrid>
        <w:gridCol w:w="794"/>
        <w:gridCol w:w="7143"/>
        <w:gridCol w:w="1701"/>
      </w:tblGrid>
      <w:tr>
        <w:tc>
          <w:tcPr>
            <w:tcW w:type="dxa" w:w="794"/>
            <w:shd w:val="clear" w:color="auto" w:fill="1F3864"/>
          </w:tcPr>
          <w:p>
            <w:r/>
            <w:r>
              <w:rPr>
                <w:rFonts w:ascii="Arial" w:hAnsi="Arial" w:eastAsia="Arial"/>
                <w:b/>
                <w:i w:val="0"/>
                <w:color w:val="FFFFFF"/>
                <w:sz w:val="20"/>
              </w:rPr>
              <w:t>Task</w:t>
            </w:r>
          </w:p>
        </w:tc>
        <w:tc>
          <w:tcPr>
            <w:tcW w:type="dxa" w:w="7143"/>
            <w:shd w:val="clear" w:color="auto" w:fill="1F3864"/>
          </w:tcPr>
          <w:p>
            <w:r/>
            <w:r>
              <w:rPr>
                <w:rFonts w:ascii="Arial" w:hAnsi="Arial" w:eastAsia="Arial"/>
                <w:b/>
                <w:i w:val="0"/>
                <w:color w:val="FFFFFF"/>
                <w:sz w:val="20"/>
              </w:rPr>
              <w:t>Description</w:t>
            </w:r>
          </w:p>
        </w:tc>
        <w:tc>
          <w:tcPr>
            <w:tcW w:type="dxa" w:w="1701"/>
            <w:shd w:val="clear" w:color="auto" w:fill="1F3864"/>
          </w:tcPr>
          <w:p>
            <w:r/>
            <w:r>
              <w:rPr>
                <w:rFonts w:ascii="Arial" w:hAnsi="Arial" w:eastAsia="Arial"/>
                <w:b/>
                <w:i w:val="0"/>
                <w:color w:val="FFFFFF"/>
                <w:sz w:val="20"/>
              </w:rPr>
              <w:t>Months</w:t>
            </w:r>
          </w:p>
        </w:tc>
      </w:tr>
      <w:tr>
        <w:tc>
          <w:tcPr>
            <w:tcW w:type="dxa" w:w="794"/>
          </w:tcPr>
          <w:p>
            <w:r/>
            <w:r>
              <w:rPr>
                <w:rFonts w:ascii="Arial" w:hAnsi="Arial" w:eastAsia="Arial"/>
                <w:b w:val="0"/>
                <w:i w:val="0"/>
                <w:sz w:val="20"/>
              </w:rPr>
              <w:t>T1.1</w:t>
            </w:r>
          </w:p>
        </w:tc>
        <w:tc>
          <w:tcPr>
            <w:tcW w:type="dxa" w:w="7143"/>
          </w:tcPr>
          <w:p>
            <w:r/>
            <w:r>
              <w:rPr>
                <w:rFonts w:ascii="Arial" w:hAnsi="Arial" w:eastAsia="Arial"/>
                <w:b w:val="0"/>
                <w:i w:val="0"/>
                <w:sz w:val="20"/>
              </w:rPr>
              <w:t>Sentinel-1 InSAR time series (2014 onwards) over the three asset areas</w:t>
            </w:r>
          </w:p>
        </w:tc>
        <w:tc>
          <w:tcPr>
            <w:tcW w:type="dxa" w:w="1701"/>
          </w:tcPr>
          <w:p>
            <w:r/>
            <w:r>
              <w:rPr>
                <w:rFonts w:ascii="Arial" w:hAnsi="Arial" w:eastAsia="Arial"/>
                <w:b w:val="0"/>
                <w:i w:val="0"/>
                <w:sz w:val="20"/>
              </w:rPr>
              <w:t>M1–M9</w:t>
            </w:r>
          </w:p>
        </w:tc>
      </w:tr>
      <w:tr>
        <w:tc>
          <w:tcPr>
            <w:tcW w:type="dxa" w:w="794"/>
          </w:tcPr>
          <w:p>
            <w:r/>
            <w:r>
              <w:rPr>
                <w:rFonts w:ascii="Arial" w:hAnsi="Arial" w:eastAsia="Arial"/>
                <w:b w:val="0"/>
                <w:i w:val="0"/>
                <w:sz w:val="20"/>
              </w:rPr>
              <w:t>T1.2</w:t>
            </w:r>
          </w:p>
        </w:tc>
        <w:tc>
          <w:tcPr>
            <w:tcW w:type="dxa" w:w="7143"/>
          </w:tcPr>
          <w:p>
            <w:r/>
            <w:r>
              <w:rPr>
                <w:rFonts w:ascii="Arial" w:hAnsi="Arial" w:eastAsia="Arial"/>
                <w:b w:val="0"/>
                <w:i w:val="0"/>
                <w:sz w:val="20"/>
              </w:rPr>
              <w:t>GNSS station(s) and corner reflectors at the assets; tie to the tide gauge</w:t>
            </w:r>
          </w:p>
        </w:tc>
        <w:tc>
          <w:tcPr>
            <w:tcW w:type="dxa" w:w="1701"/>
          </w:tcPr>
          <w:p>
            <w:r/>
            <w:r>
              <w:rPr>
                <w:rFonts w:ascii="Arial" w:hAnsi="Arial" w:eastAsia="Arial"/>
                <w:b w:val="0"/>
                <w:i w:val="0"/>
                <w:sz w:val="20"/>
              </w:rPr>
              <w:t>M3–M36</w:t>
            </w:r>
          </w:p>
        </w:tc>
      </w:tr>
      <w:tr>
        <w:tc>
          <w:tcPr>
            <w:tcW w:type="dxa" w:w="794"/>
          </w:tcPr>
          <w:p>
            <w:r/>
            <w:r>
              <w:rPr>
                <w:rFonts w:ascii="Arial" w:hAnsi="Arial" w:eastAsia="Arial"/>
                <w:b w:val="0"/>
                <w:i w:val="0"/>
                <w:sz w:val="20"/>
              </w:rPr>
              <w:t>T1.3</w:t>
            </w:r>
          </w:p>
        </w:tc>
        <w:tc>
          <w:tcPr>
            <w:tcW w:type="dxa" w:w="7143"/>
          </w:tcPr>
          <w:p>
            <w:r/>
            <w:r>
              <w:rPr>
                <w:rFonts w:ascii="Arial" w:hAnsi="Arial" w:eastAsia="Arial"/>
                <w:b w:val="0"/>
                <w:i w:val="0"/>
                <w:sz w:val="20"/>
              </w:rPr>
              <w:t>Elastic and inelastic compaction separated; pumping limit without inelastic compaction; 2019 coseismic and postseismic motion</w:t>
            </w:r>
          </w:p>
        </w:tc>
        <w:tc>
          <w:tcPr>
            <w:tcW w:type="dxa" w:w="1701"/>
          </w:tcPr>
          <w:p>
            <w:r/>
            <w:r>
              <w:rPr>
                <w:rFonts w:ascii="Arial" w:hAnsi="Arial" w:eastAsia="Arial"/>
                <w:b w:val="0"/>
                <w:i w:val="0"/>
                <w:sz w:val="20"/>
              </w:rPr>
              <w:t>M6–M12</w:t>
            </w:r>
          </w:p>
        </w:tc>
      </w:tr>
      <w:tr>
        <w:tc>
          <w:tcPr>
            <w:tcW w:type="dxa" w:w="794"/>
          </w:tcPr>
          <w:p>
            <w:r/>
            <w:r>
              <w:rPr>
                <w:rFonts w:ascii="Arial" w:hAnsi="Arial" w:eastAsia="Arial"/>
                <w:b w:val="0"/>
                <w:i w:val="0"/>
                <w:sz w:val="20"/>
              </w:rPr>
              <w:t>T1.4</w:t>
            </w:r>
          </w:p>
        </w:tc>
        <w:tc>
          <w:tcPr>
            <w:tcW w:type="dxa" w:w="7143"/>
          </w:tcPr>
          <w:p>
            <w:r/>
            <w:r>
              <w:rPr>
                <w:rFonts w:ascii="Arial" w:hAnsi="Arial" w:eastAsia="Arial"/>
                <w:b w:val="0"/>
                <w:i w:val="0"/>
                <w:sz w:val="20"/>
              </w:rPr>
              <w:t>R(t) series with uncertainty at each asset, updated through the demonstration</w:t>
            </w:r>
          </w:p>
        </w:tc>
        <w:tc>
          <w:tcPr>
            <w:tcW w:type="dxa" w:w="1701"/>
          </w:tcPr>
          <w:p>
            <w:r/>
            <w:r>
              <w:rPr>
                <w:rFonts w:ascii="Arial" w:hAnsi="Arial" w:eastAsia="Arial"/>
                <w:b w:val="0"/>
                <w:i w:val="0"/>
                <w:sz w:val="20"/>
              </w:rPr>
              <w:t>M10–M36</w:t>
            </w:r>
          </w:p>
        </w:tc>
      </w:tr>
    </w:tbl>
    <w:p>
      <w:pPr>
        <w:spacing w:after="120" w:before="80"/>
      </w:pPr>
      <w:r>
        <w:rPr>
          <w:rFonts w:ascii="Arial" w:hAnsi="Arial" w:eastAsia="Arial"/>
          <w:b/>
          <w:i w:val="0"/>
          <w:sz w:val="21"/>
        </w:rPr>
        <w:t xml:space="preserve">Deliverables: </w:t>
      </w:r>
      <w:r>
        <w:rPr>
          <w:rFonts w:ascii="Arial" w:hAnsi="Arial" w:eastAsia="Arial"/>
          <w:b w:val="0"/>
          <w:i w:val="0"/>
          <w:sz w:val="21"/>
        </w:rPr>
        <w:t>D1.1 Coastal motion atlas and R(t) series (Month 12)</w:t>
      </w:r>
    </w:p>
    <w:p>
      <w:pPr>
        <w:keepNext/>
        <w:spacing w:after="120" w:before="160"/>
      </w:pPr>
      <w:r>
        <w:rPr>
          <w:rFonts w:ascii="Arial" w:hAnsi="Arial" w:eastAsia="Arial"/>
          <w:b/>
          <w:i w:val="0"/>
          <w:color w:val="6A4FB3"/>
          <w:sz w:val="25"/>
        </w:rPr>
        <w:t>WP2. One coupled model of the coast and its certified fast copy   (Months 4–24; objective O2)</w:t>
      </w:r>
    </w:p>
    <w:p>
      <w:pPr>
        <w:spacing w:after="80" w:before="0"/>
      </w:pPr>
      <w:r>
        <w:rPr>
          <w:rFonts w:ascii="Arial" w:hAnsi="Arial" w:eastAsia="Arial"/>
          <w:b/>
          <w:i w:val="0"/>
          <w:sz w:val="22"/>
        </w:rPr>
        <w:t xml:space="preserve">Objective: </w:t>
      </w:r>
      <w:r>
        <w:rPr>
          <w:rFonts w:ascii="Arial" w:hAnsi="Arial" w:eastAsia="Arial"/>
          <w:b w:val="0"/>
          <w:i w:val="0"/>
          <w:sz w:val="22"/>
        </w:rPr>
        <w:t>Build and calibrate one physical model that gives, from the same forcing, the chloride at the wells, the liquefaction factor of safety at the port and the landfall, and the extreme water level at all three; and a fast surrogate with an error bound on every forecast.</w:t>
      </w:r>
    </w:p>
    <w:tbl>
      <w:tblPr>
        <w:tblStyle w:val="TableGrid"/>
        <w:tblW w:type="auto" w:w="0"/>
        <w:jc w:val="center"/>
        <w:tblLayout w:type="fixed"/>
        <w:tblLook w:firstColumn="1" w:firstRow="1" w:lastColumn="0" w:lastRow="0" w:noHBand="0" w:noVBand="1" w:val="04A0"/>
        <w:tblLayout w:type="fixed"/>
      </w:tblPr>
      <w:tblGrid>
        <w:gridCol w:w="794"/>
        <w:gridCol w:w="7143"/>
        <w:gridCol w:w="1701"/>
      </w:tblGrid>
      <w:tr>
        <w:tc>
          <w:tcPr>
            <w:tcW w:type="dxa" w:w="794"/>
            <w:shd w:val="clear" w:color="auto" w:fill="1F3864"/>
          </w:tcPr>
          <w:p>
            <w:r/>
            <w:r>
              <w:rPr>
                <w:rFonts w:ascii="Arial" w:hAnsi="Arial" w:eastAsia="Arial"/>
                <w:b/>
                <w:i w:val="0"/>
                <w:color w:val="FFFFFF"/>
                <w:sz w:val="20"/>
              </w:rPr>
              <w:t>Task</w:t>
            </w:r>
          </w:p>
        </w:tc>
        <w:tc>
          <w:tcPr>
            <w:tcW w:type="dxa" w:w="7143"/>
            <w:shd w:val="clear" w:color="auto" w:fill="1F3864"/>
          </w:tcPr>
          <w:p>
            <w:r/>
            <w:r>
              <w:rPr>
                <w:rFonts w:ascii="Arial" w:hAnsi="Arial" w:eastAsia="Arial"/>
                <w:b/>
                <w:i w:val="0"/>
                <w:color w:val="FFFFFF"/>
                <w:sz w:val="20"/>
              </w:rPr>
              <w:t>Description</w:t>
            </w:r>
          </w:p>
        </w:tc>
        <w:tc>
          <w:tcPr>
            <w:tcW w:type="dxa" w:w="1701"/>
            <w:shd w:val="clear" w:color="auto" w:fill="1F3864"/>
          </w:tcPr>
          <w:p>
            <w:r/>
            <w:r>
              <w:rPr>
                <w:rFonts w:ascii="Arial" w:hAnsi="Arial" w:eastAsia="Arial"/>
                <w:b/>
                <w:i w:val="0"/>
                <w:color w:val="FFFFFF"/>
                <w:sz w:val="20"/>
              </w:rPr>
              <w:t>Months</w:t>
            </w:r>
          </w:p>
        </w:tc>
      </w:tr>
      <w:tr>
        <w:tc>
          <w:tcPr>
            <w:tcW w:type="dxa" w:w="794"/>
          </w:tcPr>
          <w:p>
            <w:r/>
            <w:r>
              <w:rPr>
                <w:rFonts w:ascii="Arial" w:hAnsi="Arial" w:eastAsia="Arial"/>
                <w:b w:val="0"/>
                <w:i w:val="0"/>
                <w:sz w:val="20"/>
              </w:rPr>
              <w:t>T2.1</w:t>
            </w:r>
          </w:p>
        </w:tc>
        <w:tc>
          <w:tcPr>
            <w:tcW w:type="dxa" w:w="7143"/>
          </w:tcPr>
          <w:p>
            <w:r/>
            <w:r>
              <w:rPr>
                <w:rFonts w:ascii="Arial" w:hAnsi="Arial" w:eastAsia="Arial"/>
                <w:b w:val="0"/>
                <w:i w:val="0"/>
                <w:sz w:val="20"/>
              </w:rPr>
              <w:t>Conceptual model and data assembly: geology, wells, port and landfall geotechnical data</w:t>
            </w:r>
          </w:p>
        </w:tc>
        <w:tc>
          <w:tcPr>
            <w:tcW w:type="dxa" w:w="1701"/>
          </w:tcPr>
          <w:p>
            <w:r/>
            <w:r>
              <w:rPr>
                <w:rFonts w:ascii="Arial" w:hAnsi="Arial" w:eastAsia="Arial"/>
                <w:b w:val="0"/>
                <w:i w:val="0"/>
                <w:sz w:val="20"/>
              </w:rPr>
              <w:t>M4–M9</w:t>
            </w:r>
          </w:p>
        </w:tc>
      </w:tr>
      <w:tr>
        <w:tc>
          <w:tcPr>
            <w:tcW w:type="dxa" w:w="794"/>
          </w:tcPr>
          <w:p>
            <w:r/>
            <w:r>
              <w:rPr>
                <w:rFonts w:ascii="Arial" w:hAnsi="Arial" w:eastAsia="Arial"/>
                <w:b w:val="0"/>
                <w:i w:val="0"/>
                <w:sz w:val="20"/>
              </w:rPr>
              <w:t>T2.2</w:t>
            </w:r>
          </w:p>
        </w:tc>
        <w:tc>
          <w:tcPr>
            <w:tcW w:type="dxa" w:w="7143"/>
          </w:tcPr>
          <w:p>
            <w:r/>
            <w:r>
              <w:rPr>
                <w:rFonts w:ascii="Arial" w:hAnsi="Arial" w:eastAsia="Arial"/>
                <w:b w:val="0"/>
                <w:i w:val="0"/>
                <w:sz w:val="20"/>
              </w:rPr>
              <w:t>Coupled model: variable-density flow, salt memory, compaction, FS(x,t) = CRR/CSR(z_w), coastal water level on R(t)</w:t>
            </w:r>
          </w:p>
        </w:tc>
        <w:tc>
          <w:tcPr>
            <w:tcW w:type="dxa" w:w="1701"/>
          </w:tcPr>
          <w:p>
            <w:r/>
            <w:r>
              <w:rPr>
                <w:rFonts w:ascii="Arial" w:hAnsi="Arial" w:eastAsia="Arial"/>
                <w:b w:val="0"/>
                <w:i w:val="0"/>
                <w:sz w:val="20"/>
              </w:rPr>
              <w:t>M7–M15</w:t>
            </w:r>
          </w:p>
        </w:tc>
      </w:tr>
      <w:tr>
        <w:tc>
          <w:tcPr>
            <w:tcW w:type="dxa" w:w="794"/>
          </w:tcPr>
          <w:p>
            <w:r/>
            <w:r>
              <w:rPr>
                <w:rFonts w:ascii="Arial" w:hAnsi="Arial" w:eastAsia="Arial"/>
                <w:b w:val="0"/>
                <w:i w:val="0"/>
                <w:sz w:val="20"/>
              </w:rPr>
              <w:t>T2.3</w:t>
            </w:r>
          </w:p>
        </w:tc>
        <w:tc>
          <w:tcPr>
            <w:tcW w:type="dxa" w:w="7143"/>
          </w:tcPr>
          <w:p>
            <w:r/>
            <w:r>
              <w:rPr>
                <w:rFonts w:ascii="Arial" w:hAnsi="Arial" w:eastAsia="Arial"/>
                <w:b w:val="0"/>
                <w:i w:val="0"/>
                <w:sz w:val="20"/>
              </w:rPr>
              <w:t>Calibration on heads, conductivity, chloride, InSAR and seismic velocity</w:t>
            </w:r>
          </w:p>
        </w:tc>
        <w:tc>
          <w:tcPr>
            <w:tcW w:type="dxa" w:w="1701"/>
          </w:tcPr>
          <w:p>
            <w:r/>
            <w:r>
              <w:rPr>
                <w:rFonts w:ascii="Arial" w:hAnsi="Arial" w:eastAsia="Arial"/>
                <w:b w:val="0"/>
                <w:i w:val="0"/>
                <w:sz w:val="20"/>
              </w:rPr>
              <w:t>M12–M18</w:t>
            </w:r>
          </w:p>
        </w:tc>
      </w:tr>
      <w:tr>
        <w:tc>
          <w:tcPr>
            <w:tcW w:type="dxa" w:w="794"/>
          </w:tcPr>
          <w:p>
            <w:r/>
            <w:r>
              <w:rPr>
                <w:rFonts w:ascii="Arial" w:hAnsi="Arial" w:eastAsia="Arial"/>
                <w:b w:val="0"/>
                <w:i w:val="0"/>
                <w:sz w:val="20"/>
              </w:rPr>
              <w:t>T2.4</w:t>
            </w:r>
          </w:p>
        </w:tc>
        <w:tc>
          <w:tcPr>
            <w:tcW w:type="dxa" w:w="7143"/>
          </w:tcPr>
          <w:p>
            <w:r/>
            <w:r>
              <w:rPr>
                <w:rFonts w:ascii="Arial" w:hAnsi="Arial" w:eastAsia="Arial"/>
                <w:b w:val="0"/>
                <w:i w:val="0"/>
                <w:sz w:val="20"/>
              </w:rPr>
              <w:t>Neural or kernel operator surrogate with a-posteriori error bound</w:t>
            </w:r>
          </w:p>
        </w:tc>
        <w:tc>
          <w:tcPr>
            <w:tcW w:type="dxa" w:w="1701"/>
          </w:tcPr>
          <w:p>
            <w:r/>
            <w:r>
              <w:rPr>
                <w:rFonts w:ascii="Arial" w:hAnsi="Arial" w:eastAsia="Arial"/>
                <w:b w:val="0"/>
                <w:i w:val="0"/>
                <w:sz w:val="20"/>
              </w:rPr>
              <w:t>M15–M22</w:t>
            </w:r>
          </w:p>
        </w:tc>
      </w:tr>
    </w:tbl>
    <w:p>
      <w:pPr>
        <w:spacing w:after="120" w:before="80"/>
      </w:pPr>
      <w:r>
        <w:rPr>
          <w:rFonts w:ascii="Arial" w:hAnsi="Arial" w:eastAsia="Arial"/>
          <w:b/>
          <w:i w:val="0"/>
          <w:sz w:val="21"/>
        </w:rPr>
        <w:t xml:space="preserve">Deliverables: </w:t>
      </w:r>
      <w:r>
        <w:rPr>
          <w:rFonts w:ascii="Arial" w:hAnsi="Arial" w:eastAsia="Arial"/>
          <w:b w:val="0"/>
          <w:i w:val="0"/>
          <w:sz w:val="21"/>
        </w:rPr>
        <w:t>D2.1 Calibrated coupled model (Month 18); D2.2 Certified surrogate (Month 22)</w:t>
      </w:r>
    </w:p>
    <w:p>
      <w:pPr>
        <w:keepNext/>
        <w:spacing w:after="120" w:before="160"/>
      </w:pPr>
      <w:r>
        <w:rPr>
          <w:rFonts w:ascii="Arial" w:hAnsi="Arial" w:eastAsia="Arial"/>
          <w:b/>
          <w:i w:val="0"/>
          <w:color w:val="B03A3A"/>
          <w:sz w:val="25"/>
        </w:rPr>
        <w:t>WP3. Certified multi-hazard alarm   (Months 13–34; objective O3)</w:t>
      </w:r>
    </w:p>
    <w:p>
      <w:pPr>
        <w:spacing w:after="80" w:before="0"/>
      </w:pPr>
      <w:r>
        <w:rPr>
          <w:rFonts w:ascii="Arial" w:hAnsi="Arial" w:eastAsia="Arial"/>
          <w:b/>
          <w:i w:val="0"/>
          <w:sz w:val="22"/>
        </w:rPr>
        <w:t xml:space="preserve">Objective: </w:t>
      </w:r>
      <w:r>
        <w:rPr>
          <w:rFonts w:ascii="Arial" w:hAnsi="Arial" w:eastAsia="Arial"/>
          <w:b w:val="0"/>
          <w:i w:val="0"/>
          <w:sz w:val="22"/>
        </w:rPr>
        <w:t>Turn the forecasts into alarms whose miss rates are bounded: a margin made of the surrogate error bound, an online conformal risk-control term and an extreme-aware term; a joint guarantee over the three hazards.</w:t>
      </w:r>
    </w:p>
    <w:tbl>
      <w:tblPr>
        <w:tblStyle w:val="TableGrid"/>
        <w:tblW w:type="auto" w:w="0"/>
        <w:jc w:val="center"/>
        <w:tblLayout w:type="fixed"/>
        <w:tblLook w:firstColumn="1" w:firstRow="1" w:lastColumn="0" w:lastRow="0" w:noHBand="0" w:noVBand="1" w:val="04A0"/>
        <w:tblLayout w:type="fixed"/>
      </w:tblPr>
      <w:tblGrid>
        <w:gridCol w:w="794"/>
        <w:gridCol w:w="7143"/>
        <w:gridCol w:w="1701"/>
      </w:tblGrid>
      <w:tr>
        <w:tc>
          <w:tcPr>
            <w:tcW w:type="dxa" w:w="794"/>
            <w:shd w:val="clear" w:color="auto" w:fill="1F3864"/>
          </w:tcPr>
          <w:p>
            <w:r/>
            <w:r>
              <w:rPr>
                <w:rFonts w:ascii="Arial" w:hAnsi="Arial" w:eastAsia="Arial"/>
                <w:b/>
                <w:i w:val="0"/>
                <w:color w:val="FFFFFF"/>
                <w:sz w:val="20"/>
              </w:rPr>
              <w:t>Task</w:t>
            </w:r>
          </w:p>
        </w:tc>
        <w:tc>
          <w:tcPr>
            <w:tcW w:type="dxa" w:w="7143"/>
            <w:shd w:val="clear" w:color="auto" w:fill="1F3864"/>
          </w:tcPr>
          <w:p>
            <w:r/>
            <w:r>
              <w:rPr>
                <w:rFonts w:ascii="Arial" w:hAnsi="Arial" w:eastAsia="Arial"/>
                <w:b/>
                <w:i w:val="0"/>
                <w:color w:val="FFFFFF"/>
                <w:sz w:val="20"/>
              </w:rPr>
              <w:t>Description</w:t>
            </w:r>
          </w:p>
        </w:tc>
        <w:tc>
          <w:tcPr>
            <w:tcW w:type="dxa" w:w="1701"/>
            <w:shd w:val="clear" w:color="auto" w:fill="1F3864"/>
          </w:tcPr>
          <w:p>
            <w:r/>
            <w:r>
              <w:rPr>
                <w:rFonts w:ascii="Arial" w:hAnsi="Arial" w:eastAsia="Arial"/>
                <w:b/>
                <w:i w:val="0"/>
                <w:color w:val="FFFFFF"/>
                <w:sz w:val="20"/>
              </w:rPr>
              <w:t>Months</w:t>
            </w:r>
          </w:p>
        </w:tc>
      </w:tr>
      <w:tr>
        <w:tc>
          <w:tcPr>
            <w:tcW w:type="dxa" w:w="794"/>
          </w:tcPr>
          <w:p>
            <w:r/>
            <w:r>
              <w:rPr>
                <w:rFonts w:ascii="Arial" w:hAnsi="Arial" w:eastAsia="Arial"/>
                <w:b w:val="0"/>
                <w:i w:val="0"/>
                <w:sz w:val="20"/>
              </w:rPr>
              <w:t>T3.1</w:t>
            </w:r>
          </w:p>
        </w:tc>
        <w:tc>
          <w:tcPr>
            <w:tcW w:type="dxa" w:w="7143"/>
          </w:tcPr>
          <w:p>
            <w:r/>
            <w:r>
              <w:rPr>
                <w:rFonts w:ascii="Arial" w:hAnsi="Arial" w:eastAsia="Arial"/>
                <w:b w:val="0"/>
                <w:i w:val="0"/>
                <w:sz w:val="20"/>
              </w:rPr>
              <w:t>Hazard indicators and thresholds agreed with the operators (chloride limit, FS &lt; 1, design water level)</w:t>
            </w:r>
          </w:p>
        </w:tc>
        <w:tc>
          <w:tcPr>
            <w:tcW w:type="dxa" w:w="1701"/>
          </w:tcPr>
          <w:p>
            <w:r/>
            <w:r>
              <w:rPr>
                <w:rFonts w:ascii="Arial" w:hAnsi="Arial" w:eastAsia="Arial"/>
                <w:b w:val="0"/>
                <w:i w:val="0"/>
                <w:sz w:val="20"/>
              </w:rPr>
              <w:t>M13–M15</w:t>
            </w:r>
          </w:p>
        </w:tc>
      </w:tr>
      <w:tr>
        <w:tc>
          <w:tcPr>
            <w:tcW w:type="dxa" w:w="794"/>
          </w:tcPr>
          <w:p>
            <w:r/>
            <w:r>
              <w:rPr>
                <w:rFonts w:ascii="Arial" w:hAnsi="Arial" w:eastAsia="Arial"/>
                <w:b w:val="0"/>
                <w:i w:val="0"/>
                <w:sz w:val="20"/>
              </w:rPr>
              <w:t>T3.2</w:t>
            </w:r>
          </w:p>
        </w:tc>
        <w:tc>
          <w:tcPr>
            <w:tcW w:type="dxa" w:w="7143"/>
          </w:tcPr>
          <w:p>
            <w:r/>
            <w:r>
              <w:rPr>
                <w:rFonts w:ascii="Arial" w:hAnsi="Arial" w:eastAsia="Arial"/>
                <w:b w:val="0"/>
                <w:i w:val="0"/>
                <w:sz w:val="20"/>
              </w:rPr>
              <w:t>Margin construction and proofs: error bound + online conformal risk control + extreme-aware term</w:t>
            </w:r>
          </w:p>
        </w:tc>
        <w:tc>
          <w:tcPr>
            <w:tcW w:type="dxa" w:w="1701"/>
          </w:tcPr>
          <w:p>
            <w:r/>
            <w:r>
              <w:rPr>
                <w:rFonts w:ascii="Arial" w:hAnsi="Arial" w:eastAsia="Arial"/>
                <w:b w:val="0"/>
                <w:i w:val="0"/>
                <w:sz w:val="20"/>
              </w:rPr>
              <w:t>M15–M24</w:t>
            </w:r>
          </w:p>
        </w:tc>
      </w:tr>
      <w:tr>
        <w:tc>
          <w:tcPr>
            <w:tcW w:type="dxa" w:w="794"/>
          </w:tcPr>
          <w:p>
            <w:r/>
            <w:r>
              <w:rPr>
                <w:rFonts w:ascii="Arial" w:hAnsi="Arial" w:eastAsia="Arial"/>
                <w:b w:val="0"/>
                <w:i w:val="0"/>
                <w:sz w:val="20"/>
              </w:rPr>
              <w:t>T3.3</w:t>
            </w:r>
          </w:p>
        </w:tc>
        <w:tc>
          <w:tcPr>
            <w:tcW w:type="dxa" w:w="7143"/>
          </w:tcPr>
          <w:p>
            <w:r/>
            <w:r>
              <w:rPr>
                <w:rFonts w:ascii="Arial" w:hAnsi="Arial" w:eastAsia="Arial"/>
                <w:b w:val="0"/>
                <w:i w:val="0"/>
                <w:sz w:val="20"/>
              </w:rPr>
              <w:t>Joint guarantee over the three alarms; tolerances α_k allocated by consequence</w:t>
            </w:r>
          </w:p>
        </w:tc>
        <w:tc>
          <w:tcPr>
            <w:tcW w:type="dxa" w:w="1701"/>
          </w:tcPr>
          <w:p>
            <w:r/>
            <w:r>
              <w:rPr>
                <w:rFonts w:ascii="Arial" w:hAnsi="Arial" w:eastAsia="Arial"/>
                <w:b w:val="0"/>
                <w:i w:val="0"/>
                <w:sz w:val="20"/>
              </w:rPr>
              <w:t>M18–M24</w:t>
            </w:r>
          </w:p>
        </w:tc>
      </w:tr>
      <w:tr>
        <w:tc>
          <w:tcPr>
            <w:tcW w:type="dxa" w:w="794"/>
          </w:tcPr>
          <w:p>
            <w:r/>
            <w:r>
              <w:rPr>
                <w:rFonts w:ascii="Arial" w:hAnsi="Arial" w:eastAsia="Arial"/>
                <w:b w:val="0"/>
                <w:i w:val="0"/>
                <w:sz w:val="20"/>
              </w:rPr>
              <w:t>T3.4</w:t>
            </w:r>
          </w:p>
        </w:tc>
        <w:tc>
          <w:tcPr>
            <w:tcW w:type="dxa" w:w="7143"/>
          </w:tcPr>
          <w:p>
            <w:r/>
            <w:r>
              <w:rPr>
                <w:rFonts w:ascii="Arial" w:hAnsi="Arial" w:eastAsia="Arial"/>
                <w:b w:val="0"/>
                <w:i w:val="0"/>
                <w:sz w:val="20"/>
              </w:rPr>
              <w:t>Back-testing on the historical record and on storylines beyond it</w:t>
            </w:r>
          </w:p>
        </w:tc>
        <w:tc>
          <w:tcPr>
            <w:tcW w:type="dxa" w:w="1701"/>
          </w:tcPr>
          <w:p>
            <w:r/>
            <w:r>
              <w:rPr>
                <w:rFonts w:ascii="Arial" w:hAnsi="Arial" w:eastAsia="Arial"/>
                <w:b w:val="0"/>
                <w:i w:val="0"/>
                <w:sz w:val="20"/>
              </w:rPr>
              <w:t>M22–M27</w:t>
            </w:r>
          </w:p>
        </w:tc>
      </w:tr>
      <w:tr>
        <w:tc>
          <w:tcPr>
            <w:tcW w:type="dxa" w:w="794"/>
          </w:tcPr>
          <w:p>
            <w:r/>
            <w:r>
              <w:rPr>
                <w:rFonts w:ascii="Arial" w:hAnsi="Arial" w:eastAsia="Arial"/>
                <w:b w:val="0"/>
                <w:i w:val="0"/>
                <w:sz w:val="20"/>
              </w:rPr>
              <w:t>T3.5</w:t>
            </w:r>
          </w:p>
        </w:tc>
        <w:tc>
          <w:tcPr>
            <w:tcW w:type="dxa" w:w="7143"/>
          </w:tcPr>
          <w:p>
            <w:r/>
            <w:r>
              <w:rPr>
                <w:rFonts w:ascii="Arial" w:hAnsi="Arial" w:eastAsia="Arial"/>
                <w:b w:val="0"/>
                <w:i w:val="0"/>
                <w:sz w:val="20"/>
              </w:rPr>
              <w:t>Alarm refinement with the outcomes of the live operation</w:t>
            </w:r>
          </w:p>
        </w:tc>
        <w:tc>
          <w:tcPr>
            <w:tcW w:type="dxa" w:w="1701"/>
          </w:tcPr>
          <w:p>
            <w:r/>
            <w:r>
              <w:rPr>
                <w:rFonts w:ascii="Arial" w:hAnsi="Arial" w:eastAsia="Arial"/>
                <w:b w:val="0"/>
                <w:i w:val="0"/>
                <w:sz w:val="20"/>
              </w:rPr>
              <w:t>M28–M34</w:t>
            </w:r>
          </w:p>
        </w:tc>
      </w:tr>
    </w:tbl>
    <w:p>
      <w:pPr>
        <w:spacing w:after="120" w:before="80"/>
      </w:pPr>
      <w:r>
        <w:rPr>
          <w:rFonts w:ascii="Arial" w:hAnsi="Arial" w:eastAsia="Arial"/>
          <w:b/>
          <w:i w:val="0"/>
          <w:sz w:val="21"/>
        </w:rPr>
        <w:t xml:space="preserve">Deliverables: </w:t>
      </w:r>
      <w:r>
        <w:rPr>
          <w:rFonts w:ascii="Arial" w:hAnsi="Arial" w:eastAsia="Arial"/>
          <w:b w:val="0"/>
          <w:i w:val="0"/>
          <w:sz w:val="21"/>
        </w:rPr>
        <w:t>D3.1 Certified alarm algorithms and proofs (Month 24); D3.2 Back-testing report (Month 27)</w:t>
      </w:r>
    </w:p>
    <w:p>
      <w:pPr>
        <w:keepNext/>
        <w:spacing w:after="120" w:before="160"/>
      </w:pPr>
      <w:r>
        <w:rPr>
          <w:rFonts w:ascii="Arial" w:hAnsi="Arial" w:eastAsia="Arial"/>
          <w:b/>
          <w:i w:val="0"/>
          <w:color w:val="1E8A5A"/>
          <w:sz w:val="25"/>
        </w:rPr>
        <w:t>WP4. Monitoring network designed for the warnings   (Months 1–36; objective O4)</w:t>
      </w:r>
    </w:p>
    <w:p>
      <w:pPr>
        <w:spacing w:after="80" w:before="0"/>
      </w:pPr>
      <w:r>
        <w:rPr>
          <w:rFonts w:ascii="Arial" w:hAnsi="Arial" w:eastAsia="Arial"/>
          <w:b/>
          <w:i w:val="0"/>
          <w:sz w:val="22"/>
        </w:rPr>
        <w:t xml:space="preserve">Objective: </w:t>
      </w:r>
      <w:r>
        <w:rPr>
          <w:rFonts w:ascii="Arial" w:hAnsi="Arial" w:eastAsia="Arial"/>
          <w:b w:val="0"/>
          <w:i w:val="0"/>
          <w:sz w:val="22"/>
        </w:rPr>
        <w:t>Choose the sensors jointly for their value to the three warnings, install them, keep them running and feed them into the model.</w:t>
      </w:r>
    </w:p>
    <w:tbl>
      <w:tblPr>
        <w:tblStyle w:val="TableGrid"/>
        <w:tblW w:type="auto" w:w="0"/>
        <w:jc w:val="center"/>
        <w:tblLayout w:type="fixed"/>
        <w:tblLook w:firstColumn="1" w:firstRow="1" w:lastColumn="0" w:lastRow="0" w:noHBand="0" w:noVBand="1" w:val="04A0"/>
        <w:tblLayout w:type="fixed"/>
      </w:tblPr>
      <w:tblGrid>
        <w:gridCol w:w="794"/>
        <w:gridCol w:w="7143"/>
        <w:gridCol w:w="1701"/>
      </w:tblGrid>
      <w:tr>
        <w:tc>
          <w:tcPr>
            <w:tcW w:type="dxa" w:w="794"/>
            <w:shd w:val="clear" w:color="auto" w:fill="1F3864"/>
          </w:tcPr>
          <w:p>
            <w:r/>
            <w:r>
              <w:rPr>
                <w:rFonts w:ascii="Arial" w:hAnsi="Arial" w:eastAsia="Arial"/>
                <w:b/>
                <w:i w:val="0"/>
                <w:color w:val="FFFFFF"/>
                <w:sz w:val="20"/>
              </w:rPr>
              <w:t>Task</w:t>
            </w:r>
          </w:p>
        </w:tc>
        <w:tc>
          <w:tcPr>
            <w:tcW w:type="dxa" w:w="7143"/>
            <w:shd w:val="clear" w:color="auto" w:fill="1F3864"/>
          </w:tcPr>
          <w:p>
            <w:r/>
            <w:r>
              <w:rPr>
                <w:rFonts w:ascii="Arial" w:hAnsi="Arial" w:eastAsia="Arial"/>
                <w:b/>
                <w:i w:val="0"/>
                <w:color w:val="FFFFFF"/>
                <w:sz w:val="20"/>
              </w:rPr>
              <w:t>Description</w:t>
            </w:r>
          </w:p>
        </w:tc>
        <w:tc>
          <w:tcPr>
            <w:tcW w:type="dxa" w:w="1701"/>
            <w:shd w:val="clear" w:color="auto" w:fill="1F3864"/>
          </w:tcPr>
          <w:p>
            <w:r/>
            <w:r>
              <w:rPr>
                <w:rFonts w:ascii="Arial" w:hAnsi="Arial" w:eastAsia="Arial"/>
                <w:b/>
                <w:i w:val="0"/>
                <w:color w:val="FFFFFF"/>
                <w:sz w:val="20"/>
              </w:rPr>
              <w:t>Months</w:t>
            </w:r>
          </w:p>
        </w:tc>
      </w:tr>
      <w:tr>
        <w:tc>
          <w:tcPr>
            <w:tcW w:type="dxa" w:w="794"/>
          </w:tcPr>
          <w:p>
            <w:r/>
            <w:r>
              <w:rPr>
                <w:rFonts w:ascii="Arial" w:hAnsi="Arial" w:eastAsia="Arial"/>
                <w:b w:val="0"/>
                <w:i w:val="0"/>
                <w:sz w:val="20"/>
              </w:rPr>
              <w:t>T4.1</w:t>
            </w:r>
          </w:p>
        </w:tc>
        <w:tc>
          <w:tcPr>
            <w:tcW w:type="dxa" w:w="7143"/>
          </w:tcPr>
          <w:p>
            <w:r/>
            <w:r>
              <w:rPr>
                <w:rFonts w:ascii="Arial" w:hAnsi="Arial" w:eastAsia="Arial"/>
                <w:b w:val="0"/>
                <w:i w:val="0"/>
                <w:sz w:val="20"/>
              </w:rPr>
              <w:t>Goal-oriented design across sensor types: piezometers with conductivity, chloride sampling, GNSS, seismic noise, nodes, fibre</w:t>
            </w:r>
          </w:p>
        </w:tc>
        <w:tc>
          <w:tcPr>
            <w:tcW w:type="dxa" w:w="1701"/>
          </w:tcPr>
          <w:p>
            <w:r/>
            <w:r>
              <w:rPr>
                <w:rFonts w:ascii="Arial" w:hAnsi="Arial" w:eastAsia="Arial"/>
                <w:b w:val="0"/>
                <w:i w:val="0"/>
                <w:sz w:val="20"/>
              </w:rPr>
              <w:t>M1–M6</w:t>
            </w:r>
          </w:p>
        </w:tc>
      </w:tr>
      <w:tr>
        <w:tc>
          <w:tcPr>
            <w:tcW w:type="dxa" w:w="794"/>
          </w:tcPr>
          <w:p>
            <w:r/>
            <w:r>
              <w:rPr>
                <w:rFonts w:ascii="Arial" w:hAnsi="Arial" w:eastAsia="Arial"/>
                <w:b w:val="0"/>
                <w:i w:val="0"/>
                <w:sz w:val="20"/>
              </w:rPr>
              <w:t>T4.2</w:t>
            </w:r>
          </w:p>
        </w:tc>
        <w:tc>
          <w:tcPr>
            <w:tcW w:type="dxa" w:w="7143"/>
          </w:tcPr>
          <w:p>
            <w:r/>
            <w:r>
              <w:rPr>
                <w:rFonts w:ascii="Arial" w:hAnsi="Arial" w:eastAsia="Arial"/>
                <w:b w:val="0"/>
                <w:i w:val="0"/>
                <w:sz w:val="20"/>
              </w:rPr>
              <w:t>Procurement and installation</w:t>
            </w:r>
          </w:p>
        </w:tc>
        <w:tc>
          <w:tcPr>
            <w:tcW w:type="dxa" w:w="1701"/>
          </w:tcPr>
          <w:p>
            <w:r/>
            <w:r>
              <w:rPr>
                <w:rFonts w:ascii="Arial" w:hAnsi="Arial" w:eastAsia="Arial"/>
                <w:b w:val="0"/>
                <w:i w:val="0"/>
                <w:sz w:val="20"/>
              </w:rPr>
              <w:t>M4–M12</w:t>
            </w:r>
          </w:p>
        </w:tc>
      </w:tr>
      <w:tr>
        <w:tc>
          <w:tcPr>
            <w:tcW w:type="dxa" w:w="794"/>
          </w:tcPr>
          <w:p>
            <w:r/>
            <w:r>
              <w:rPr>
                <w:rFonts w:ascii="Arial" w:hAnsi="Arial" w:eastAsia="Arial"/>
                <w:b w:val="0"/>
                <w:i w:val="0"/>
                <w:sz w:val="20"/>
              </w:rPr>
              <w:t>T4.3</w:t>
            </w:r>
          </w:p>
        </w:tc>
        <w:tc>
          <w:tcPr>
            <w:tcW w:type="dxa" w:w="7143"/>
          </w:tcPr>
          <w:p>
            <w:r/>
            <w:r>
              <w:rPr>
                <w:rFonts w:ascii="Arial" w:hAnsi="Arial" w:eastAsia="Arial"/>
                <w:b w:val="0"/>
                <w:i w:val="0"/>
                <w:sz w:val="20"/>
              </w:rPr>
              <w:t>Operation, quality control, data streaming and assimilation</w:t>
            </w:r>
          </w:p>
        </w:tc>
        <w:tc>
          <w:tcPr>
            <w:tcW w:type="dxa" w:w="1701"/>
          </w:tcPr>
          <w:p>
            <w:r/>
            <w:r>
              <w:rPr>
                <w:rFonts w:ascii="Arial" w:hAnsi="Arial" w:eastAsia="Arial"/>
                <w:b w:val="0"/>
                <w:i w:val="0"/>
                <w:sz w:val="20"/>
              </w:rPr>
              <w:t>M12–M36</w:t>
            </w:r>
          </w:p>
        </w:tc>
      </w:tr>
      <w:tr>
        <w:tc>
          <w:tcPr>
            <w:tcW w:type="dxa" w:w="794"/>
          </w:tcPr>
          <w:p>
            <w:r/>
            <w:r>
              <w:rPr>
                <w:rFonts w:ascii="Arial" w:hAnsi="Arial" w:eastAsia="Arial"/>
                <w:b w:val="0"/>
                <w:i w:val="0"/>
                <w:sz w:val="20"/>
              </w:rPr>
              <w:t>T4.4</w:t>
            </w:r>
          </w:p>
        </w:tc>
        <w:tc>
          <w:tcPr>
            <w:tcW w:type="dxa" w:w="7143"/>
          </w:tcPr>
          <w:p>
            <w:r/>
            <w:r>
              <w:rPr>
                <w:rFonts w:ascii="Arial" w:hAnsi="Arial" w:eastAsia="Arial"/>
                <w:b w:val="0"/>
                <w:i w:val="0"/>
                <w:sz w:val="20"/>
              </w:rPr>
              <w:t>Seismic velocity calibrated against the water table at the port or landfall</w:t>
            </w:r>
          </w:p>
        </w:tc>
        <w:tc>
          <w:tcPr>
            <w:tcW w:type="dxa" w:w="1701"/>
          </w:tcPr>
          <w:p>
            <w:r/>
            <w:r>
              <w:rPr>
                <w:rFonts w:ascii="Arial" w:hAnsi="Arial" w:eastAsia="Arial"/>
                <w:b w:val="0"/>
                <w:i w:val="0"/>
                <w:sz w:val="20"/>
              </w:rPr>
              <w:t>M12–M24</w:t>
            </w:r>
          </w:p>
        </w:tc>
      </w:tr>
    </w:tbl>
    <w:p>
      <w:pPr>
        <w:spacing w:after="120" w:before="80"/>
      </w:pPr>
      <w:r>
        <w:rPr>
          <w:rFonts w:ascii="Arial" w:hAnsi="Arial" w:eastAsia="Arial"/>
          <w:b/>
          <w:i w:val="0"/>
          <w:sz w:val="21"/>
        </w:rPr>
        <w:t xml:space="preserve">Deliverables: </w:t>
      </w:r>
      <w:r>
        <w:rPr>
          <w:rFonts w:ascii="Arial" w:hAnsi="Arial" w:eastAsia="Arial"/>
          <w:b w:val="0"/>
          <w:i w:val="0"/>
          <w:sz w:val="21"/>
        </w:rPr>
        <w:t>D4.1 Network design report (Month 6); D4.2 Network installed and streaming (Month 12)</w:t>
      </w:r>
    </w:p>
    <w:p>
      <w:pPr>
        <w:keepNext/>
        <w:spacing w:after="120" w:before="160"/>
      </w:pPr>
      <w:r>
        <w:rPr>
          <w:rFonts w:ascii="Arial" w:hAnsi="Arial" w:eastAsia="Arial"/>
          <w:b/>
          <w:i w:val="0"/>
          <w:color w:val="C27C12"/>
          <w:sz w:val="25"/>
        </w:rPr>
        <w:t>WP5. Live demonstration at the wellfields, port and landfall   (Months 22–36; objective O5)</w:t>
      </w:r>
    </w:p>
    <w:p>
      <w:pPr>
        <w:spacing w:after="80" w:before="0"/>
      </w:pPr>
      <w:r>
        <w:rPr>
          <w:rFonts w:ascii="Arial" w:hAnsi="Arial" w:eastAsia="Arial"/>
          <w:b/>
          <w:i w:val="0"/>
          <w:sz w:val="22"/>
        </w:rPr>
        <w:t xml:space="preserve">Objective: </w:t>
      </w:r>
      <w:r>
        <w:rPr>
          <w:rFonts w:ascii="Arial" w:hAnsi="Arial" w:eastAsia="Arial"/>
          <w:b w:val="0"/>
          <w:i w:val="0"/>
          <w:sz w:val="22"/>
        </w:rPr>
        <w:t>Run the system live for twelve months with the operators and civil protection, evaluate every operating decision against all three hazards, and execute the post-event protocol whenever it is triggered.</w:t>
      </w:r>
    </w:p>
    <w:tbl>
      <w:tblPr>
        <w:tblStyle w:val="TableGrid"/>
        <w:tblW w:type="auto" w:w="0"/>
        <w:jc w:val="center"/>
        <w:tblLayout w:type="fixed"/>
        <w:tblLook w:firstColumn="1" w:firstRow="1" w:lastColumn="0" w:lastRow="0" w:noHBand="0" w:noVBand="1" w:val="04A0"/>
        <w:tblLayout w:type="fixed"/>
      </w:tblPr>
      <w:tblGrid>
        <w:gridCol w:w="794"/>
        <w:gridCol w:w="7143"/>
        <w:gridCol w:w="1701"/>
      </w:tblGrid>
      <w:tr>
        <w:tc>
          <w:tcPr>
            <w:tcW w:type="dxa" w:w="794"/>
            <w:shd w:val="clear" w:color="auto" w:fill="1F3864"/>
          </w:tcPr>
          <w:p>
            <w:r/>
            <w:r>
              <w:rPr>
                <w:rFonts w:ascii="Arial" w:hAnsi="Arial" w:eastAsia="Arial"/>
                <w:b/>
                <w:i w:val="0"/>
                <w:color w:val="FFFFFF"/>
                <w:sz w:val="20"/>
              </w:rPr>
              <w:t>Task</w:t>
            </w:r>
          </w:p>
        </w:tc>
        <w:tc>
          <w:tcPr>
            <w:tcW w:type="dxa" w:w="7143"/>
            <w:shd w:val="clear" w:color="auto" w:fill="1F3864"/>
          </w:tcPr>
          <w:p>
            <w:r/>
            <w:r>
              <w:rPr>
                <w:rFonts w:ascii="Arial" w:hAnsi="Arial" w:eastAsia="Arial"/>
                <w:b/>
                <w:i w:val="0"/>
                <w:color w:val="FFFFFF"/>
                <w:sz w:val="20"/>
              </w:rPr>
              <w:t>Description</w:t>
            </w:r>
          </w:p>
        </w:tc>
        <w:tc>
          <w:tcPr>
            <w:tcW w:type="dxa" w:w="1701"/>
            <w:shd w:val="clear" w:color="auto" w:fill="1F3864"/>
          </w:tcPr>
          <w:p>
            <w:r/>
            <w:r>
              <w:rPr>
                <w:rFonts w:ascii="Arial" w:hAnsi="Arial" w:eastAsia="Arial"/>
                <w:b/>
                <w:i w:val="0"/>
                <w:color w:val="FFFFFF"/>
                <w:sz w:val="20"/>
              </w:rPr>
              <w:t>Months</w:t>
            </w:r>
          </w:p>
        </w:tc>
      </w:tr>
      <w:tr>
        <w:tc>
          <w:tcPr>
            <w:tcW w:type="dxa" w:w="794"/>
          </w:tcPr>
          <w:p>
            <w:r/>
            <w:r>
              <w:rPr>
                <w:rFonts w:ascii="Arial" w:hAnsi="Arial" w:eastAsia="Arial"/>
                <w:b w:val="0"/>
                <w:i w:val="0"/>
                <w:sz w:val="20"/>
              </w:rPr>
              <w:t>T5.1</w:t>
            </w:r>
          </w:p>
        </w:tc>
        <w:tc>
          <w:tcPr>
            <w:tcW w:type="dxa" w:w="7143"/>
          </w:tcPr>
          <w:p>
            <w:r/>
            <w:r>
              <w:rPr>
                <w:rFonts w:ascii="Arial" w:hAnsi="Arial" w:eastAsia="Arial"/>
                <w:b w:val="0"/>
                <w:i w:val="0"/>
                <w:sz w:val="20"/>
              </w:rPr>
              <w:t>Bulletin protocol and decision interfaces with the operators and civil protection</w:t>
            </w:r>
          </w:p>
        </w:tc>
        <w:tc>
          <w:tcPr>
            <w:tcW w:type="dxa" w:w="1701"/>
          </w:tcPr>
          <w:p>
            <w:r/>
            <w:r>
              <w:rPr>
                <w:rFonts w:ascii="Arial" w:hAnsi="Arial" w:eastAsia="Arial"/>
                <w:b w:val="0"/>
                <w:i w:val="0"/>
                <w:sz w:val="20"/>
              </w:rPr>
              <w:t>M22–M23</w:t>
            </w:r>
          </w:p>
        </w:tc>
      </w:tr>
      <w:tr>
        <w:tc>
          <w:tcPr>
            <w:tcW w:type="dxa" w:w="794"/>
          </w:tcPr>
          <w:p>
            <w:r/>
            <w:r>
              <w:rPr>
                <w:rFonts w:ascii="Arial" w:hAnsi="Arial" w:eastAsia="Arial"/>
                <w:b w:val="0"/>
                <w:i w:val="0"/>
                <w:sz w:val="20"/>
              </w:rPr>
              <w:t>T5.2</w:t>
            </w:r>
          </w:p>
        </w:tc>
        <w:tc>
          <w:tcPr>
            <w:tcW w:type="dxa" w:w="7143"/>
          </w:tcPr>
          <w:p>
            <w:r/>
            <w:r>
              <w:rPr>
                <w:rFonts w:ascii="Arial" w:hAnsi="Arial" w:eastAsia="Arial"/>
                <w:b w:val="0"/>
                <w:i w:val="0"/>
                <w:sz w:val="20"/>
              </w:rPr>
              <w:t>Twelve months of live operation, bulletins logged and outcomes verified</w:t>
            </w:r>
          </w:p>
        </w:tc>
        <w:tc>
          <w:tcPr>
            <w:tcW w:type="dxa" w:w="1701"/>
          </w:tcPr>
          <w:p>
            <w:r/>
            <w:r>
              <w:rPr>
                <w:rFonts w:ascii="Arial" w:hAnsi="Arial" w:eastAsia="Arial"/>
                <w:b w:val="0"/>
                <w:i w:val="0"/>
                <w:sz w:val="20"/>
              </w:rPr>
              <w:t>M23–M34</w:t>
            </w:r>
          </w:p>
        </w:tc>
      </w:tr>
      <w:tr>
        <w:tc>
          <w:tcPr>
            <w:tcW w:type="dxa" w:w="794"/>
          </w:tcPr>
          <w:p>
            <w:r/>
            <w:r>
              <w:rPr>
                <w:rFonts w:ascii="Arial" w:hAnsi="Arial" w:eastAsia="Arial"/>
                <w:b w:val="0"/>
                <w:i w:val="0"/>
                <w:sz w:val="20"/>
              </w:rPr>
              <w:t>T5.3</w:t>
            </w:r>
          </w:p>
        </w:tc>
        <w:tc>
          <w:tcPr>
            <w:tcW w:type="dxa" w:w="7143"/>
          </w:tcPr>
          <w:p>
            <w:r/>
            <w:r>
              <w:rPr>
                <w:rFonts w:ascii="Arial" w:hAnsi="Arial" w:eastAsia="Arial"/>
                <w:b w:val="0"/>
                <w:i w:val="0"/>
                <w:sz w:val="20"/>
              </w:rPr>
              <w:t>Pumping rule evaluated against the three hazards together and agreed with the water utility</w:t>
            </w:r>
          </w:p>
        </w:tc>
        <w:tc>
          <w:tcPr>
            <w:tcW w:type="dxa" w:w="1701"/>
          </w:tcPr>
          <w:p>
            <w:r/>
            <w:r>
              <w:rPr>
                <w:rFonts w:ascii="Arial" w:hAnsi="Arial" w:eastAsia="Arial"/>
                <w:b w:val="0"/>
                <w:i w:val="0"/>
                <w:sz w:val="20"/>
              </w:rPr>
              <w:t>M24–M33</w:t>
            </w:r>
          </w:p>
        </w:tc>
      </w:tr>
      <w:tr>
        <w:tc>
          <w:tcPr>
            <w:tcW w:type="dxa" w:w="794"/>
          </w:tcPr>
          <w:p>
            <w:r/>
            <w:r>
              <w:rPr>
                <w:rFonts w:ascii="Arial" w:hAnsi="Arial" w:eastAsia="Arial"/>
                <w:b w:val="0"/>
                <w:i w:val="0"/>
                <w:sz w:val="20"/>
              </w:rPr>
              <w:t>T5.4</w:t>
            </w:r>
          </w:p>
        </w:tc>
        <w:tc>
          <w:tcPr>
            <w:tcW w:type="dxa" w:w="7143"/>
          </w:tcPr>
          <w:p>
            <w:r/>
            <w:r>
              <w:rPr>
                <w:rFonts w:ascii="Arial" w:hAnsi="Arial" w:eastAsia="Arial"/>
                <w:b w:val="0"/>
                <w:i w:val="0"/>
                <w:sz w:val="20"/>
              </w:rPr>
              <w:t>Post-event protocol after strong earthquakes or surges (on trigger)</w:t>
            </w:r>
          </w:p>
        </w:tc>
        <w:tc>
          <w:tcPr>
            <w:tcW w:type="dxa" w:w="1701"/>
          </w:tcPr>
          <w:p>
            <w:r/>
            <w:r>
              <w:rPr>
                <w:rFonts w:ascii="Arial" w:hAnsi="Arial" w:eastAsia="Arial"/>
                <w:b w:val="0"/>
                <w:i w:val="0"/>
                <w:sz w:val="20"/>
              </w:rPr>
              <w:t>M12–M36</w:t>
            </w:r>
          </w:p>
        </w:tc>
      </w:tr>
    </w:tbl>
    <w:p>
      <w:pPr>
        <w:spacing w:after="120" w:before="80"/>
      </w:pPr>
      <w:r>
        <w:rPr>
          <w:rFonts w:ascii="Arial" w:hAnsi="Arial" w:eastAsia="Arial"/>
          <w:b/>
          <w:i w:val="0"/>
          <w:sz w:val="21"/>
        </w:rPr>
        <w:t xml:space="preserve">Deliverables: </w:t>
      </w:r>
      <w:r>
        <w:rPr>
          <w:rFonts w:ascii="Arial" w:hAnsi="Arial" w:eastAsia="Arial"/>
          <w:b w:val="0"/>
          <w:i w:val="0"/>
          <w:sz w:val="21"/>
        </w:rPr>
        <w:t>D5.1 Live demonstration report (Month 34)</w:t>
      </w:r>
    </w:p>
    <w:p>
      <w:pPr>
        <w:keepNext/>
        <w:spacing w:after="120" w:before="160"/>
      </w:pPr>
      <w:r>
        <w:rPr>
          <w:rFonts w:ascii="Arial" w:hAnsi="Arial" w:eastAsia="Arial"/>
          <w:b/>
          <w:i w:val="0"/>
          <w:color w:val="0E7490"/>
          <w:sz w:val="25"/>
        </w:rPr>
        <w:t>WP6. Training, transfer and dissemination   (Months 1–36; objective O6)</w:t>
      </w:r>
    </w:p>
    <w:p>
      <w:pPr>
        <w:spacing w:after="80" w:before="0"/>
      </w:pPr>
      <w:r>
        <w:rPr>
          <w:rFonts w:ascii="Arial" w:hAnsi="Arial" w:eastAsia="Arial"/>
          <w:b/>
          <w:i w:val="0"/>
          <w:sz w:val="22"/>
        </w:rPr>
        <w:t xml:space="preserve">Objective: </w:t>
      </w:r>
      <w:r>
        <w:rPr>
          <w:rFonts w:ascii="Arial" w:hAnsi="Arial" w:eastAsia="Arial"/>
          <w:b w:val="0"/>
          <w:i w:val="0"/>
          <w:sz w:val="22"/>
        </w:rPr>
        <w:t>Build lasting capacity: early-career researchers trained by doing, operator staff trained to run the system unaided, open software and data, and procedures the operators and authorities can adopt.</w:t>
      </w:r>
    </w:p>
    <w:tbl>
      <w:tblPr>
        <w:tblStyle w:val="TableGrid"/>
        <w:tblW w:type="auto" w:w="0"/>
        <w:jc w:val="center"/>
        <w:tblLayout w:type="fixed"/>
        <w:tblLook w:firstColumn="1" w:firstRow="1" w:lastColumn="0" w:lastRow="0" w:noHBand="0" w:noVBand="1" w:val="04A0"/>
        <w:tblLayout w:type="fixed"/>
      </w:tblPr>
      <w:tblGrid>
        <w:gridCol w:w="794"/>
        <w:gridCol w:w="7143"/>
        <w:gridCol w:w="1701"/>
      </w:tblGrid>
      <w:tr>
        <w:tc>
          <w:tcPr>
            <w:tcW w:type="dxa" w:w="794"/>
            <w:shd w:val="clear" w:color="auto" w:fill="1F3864"/>
          </w:tcPr>
          <w:p>
            <w:r/>
            <w:r>
              <w:rPr>
                <w:rFonts w:ascii="Arial" w:hAnsi="Arial" w:eastAsia="Arial"/>
                <w:b/>
                <w:i w:val="0"/>
                <w:color w:val="FFFFFF"/>
                <w:sz w:val="20"/>
              </w:rPr>
              <w:t>Task</w:t>
            </w:r>
          </w:p>
        </w:tc>
        <w:tc>
          <w:tcPr>
            <w:tcW w:type="dxa" w:w="7143"/>
            <w:shd w:val="clear" w:color="auto" w:fill="1F3864"/>
          </w:tcPr>
          <w:p>
            <w:r/>
            <w:r>
              <w:rPr>
                <w:rFonts w:ascii="Arial" w:hAnsi="Arial" w:eastAsia="Arial"/>
                <w:b/>
                <w:i w:val="0"/>
                <w:color w:val="FFFFFF"/>
                <w:sz w:val="20"/>
              </w:rPr>
              <w:t>Description</w:t>
            </w:r>
          </w:p>
        </w:tc>
        <w:tc>
          <w:tcPr>
            <w:tcW w:type="dxa" w:w="1701"/>
            <w:shd w:val="clear" w:color="auto" w:fill="1F3864"/>
          </w:tcPr>
          <w:p>
            <w:r/>
            <w:r>
              <w:rPr>
                <w:rFonts w:ascii="Arial" w:hAnsi="Arial" w:eastAsia="Arial"/>
                <w:b/>
                <w:i w:val="0"/>
                <w:color w:val="FFFFFF"/>
                <w:sz w:val="20"/>
              </w:rPr>
              <w:t>Months</w:t>
            </w:r>
          </w:p>
        </w:tc>
      </w:tr>
      <w:tr>
        <w:tc>
          <w:tcPr>
            <w:tcW w:type="dxa" w:w="794"/>
          </w:tcPr>
          <w:p>
            <w:r/>
            <w:r>
              <w:rPr>
                <w:rFonts w:ascii="Arial" w:hAnsi="Arial" w:eastAsia="Arial"/>
                <w:b w:val="0"/>
                <w:i w:val="0"/>
                <w:sz w:val="20"/>
              </w:rPr>
              <w:t>T6.1</w:t>
            </w:r>
          </w:p>
        </w:tc>
        <w:tc>
          <w:tcPr>
            <w:tcW w:type="dxa" w:w="7143"/>
          </w:tcPr>
          <w:p>
            <w:r/>
            <w:r>
              <w:rPr>
                <w:rFonts w:ascii="Arial" w:hAnsi="Arial" w:eastAsia="Arial"/>
                <w:b w:val="0"/>
                <w:i w:val="0"/>
                <w:sz w:val="20"/>
              </w:rPr>
              <w:t>Early-career researchers: exchanges, schools and supervised work in WP1–WP5</w:t>
            </w:r>
          </w:p>
        </w:tc>
        <w:tc>
          <w:tcPr>
            <w:tcW w:type="dxa" w:w="1701"/>
          </w:tcPr>
          <w:p>
            <w:r/>
            <w:r>
              <w:rPr>
                <w:rFonts w:ascii="Arial" w:hAnsi="Arial" w:eastAsia="Arial"/>
                <w:b w:val="0"/>
                <w:i w:val="0"/>
                <w:sz w:val="20"/>
              </w:rPr>
              <w:t>M3–M36</w:t>
            </w:r>
          </w:p>
        </w:tc>
      </w:tr>
      <w:tr>
        <w:tc>
          <w:tcPr>
            <w:tcW w:type="dxa" w:w="794"/>
          </w:tcPr>
          <w:p>
            <w:r/>
            <w:r>
              <w:rPr>
                <w:rFonts w:ascii="Arial" w:hAnsi="Arial" w:eastAsia="Arial"/>
                <w:b w:val="0"/>
                <w:i w:val="0"/>
                <w:sz w:val="20"/>
              </w:rPr>
              <w:t>T6.2</w:t>
            </w:r>
          </w:p>
        </w:tc>
        <w:tc>
          <w:tcPr>
            <w:tcW w:type="dxa" w:w="7143"/>
          </w:tcPr>
          <w:p>
            <w:r/>
            <w:r>
              <w:rPr>
                <w:rFonts w:ascii="Arial" w:hAnsi="Arial" w:eastAsia="Arial"/>
                <w:b w:val="0"/>
                <w:i w:val="0"/>
                <w:sz w:val="20"/>
              </w:rPr>
              <w:t>Training of operator and civil-protection staff</w:t>
            </w:r>
          </w:p>
        </w:tc>
        <w:tc>
          <w:tcPr>
            <w:tcW w:type="dxa" w:w="1701"/>
          </w:tcPr>
          <w:p>
            <w:r/>
            <w:r>
              <w:rPr>
                <w:rFonts w:ascii="Arial" w:hAnsi="Arial" w:eastAsia="Arial"/>
                <w:b w:val="0"/>
                <w:i w:val="0"/>
                <w:sz w:val="20"/>
              </w:rPr>
              <w:t>M24–M36</w:t>
            </w:r>
          </w:p>
        </w:tc>
      </w:tr>
      <w:tr>
        <w:tc>
          <w:tcPr>
            <w:tcW w:type="dxa" w:w="794"/>
          </w:tcPr>
          <w:p>
            <w:r/>
            <w:r>
              <w:rPr>
                <w:rFonts w:ascii="Arial" w:hAnsi="Arial" w:eastAsia="Arial"/>
                <w:b w:val="0"/>
                <w:i w:val="0"/>
                <w:sz w:val="20"/>
              </w:rPr>
              <w:t>T6.3</w:t>
            </w:r>
          </w:p>
        </w:tc>
        <w:tc>
          <w:tcPr>
            <w:tcW w:type="dxa" w:w="7143"/>
          </w:tcPr>
          <w:p>
            <w:r/>
            <w:r>
              <w:rPr>
                <w:rFonts w:ascii="Arial" w:hAnsi="Arial" w:eastAsia="Arial"/>
                <w:b w:val="0"/>
                <w:i w:val="0"/>
                <w:sz w:val="20"/>
              </w:rPr>
              <w:t>Open software and data release with documentation</w:t>
            </w:r>
          </w:p>
        </w:tc>
        <w:tc>
          <w:tcPr>
            <w:tcW w:type="dxa" w:w="1701"/>
          </w:tcPr>
          <w:p>
            <w:r/>
            <w:r>
              <w:rPr>
                <w:rFonts w:ascii="Arial" w:hAnsi="Arial" w:eastAsia="Arial"/>
                <w:b w:val="0"/>
                <w:i w:val="0"/>
                <w:sz w:val="20"/>
              </w:rPr>
              <w:t>M30–M33</w:t>
            </w:r>
          </w:p>
        </w:tc>
      </w:tr>
      <w:tr>
        <w:tc>
          <w:tcPr>
            <w:tcW w:type="dxa" w:w="794"/>
          </w:tcPr>
          <w:p>
            <w:r/>
            <w:r>
              <w:rPr>
                <w:rFonts w:ascii="Arial" w:hAnsi="Arial" w:eastAsia="Arial"/>
                <w:b w:val="0"/>
                <w:i w:val="0"/>
                <w:sz w:val="20"/>
              </w:rPr>
              <w:t>T6.4</w:t>
            </w:r>
          </w:p>
        </w:tc>
        <w:tc>
          <w:tcPr>
            <w:tcW w:type="dxa" w:w="7143"/>
          </w:tcPr>
          <w:p>
            <w:r/>
            <w:r>
              <w:rPr>
                <w:rFonts w:ascii="Arial" w:hAnsi="Arial" w:eastAsia="Arial"/>
                <w:b w:val="0"/>
                <w:i w:val="0"/>
                <w:sz w:val="20"/>
              </w:rPr>
              <w:t>Operating procedures and policy brief</w:t>
            </w:r>
          </w:p>
        </w:tc>
        <w:tc>
          <w:tcPr>
            <w:tcW w:type="dxa" w:w="1701"/>
          </w:tcPr>
          <w:p>
            <w:r/>
            <w:r>
              <w:rPr>
                <w:rFonts w:ascii="Arial" w:hAnsi="Arial" w:eastAsia="Arial"/>
                <w:b w:val="0"/>
                <w:i w:val="0"/>
                <w:sz w:val="20"/>
              </w:rPr>
              <w:t>M30–M36</w:t>
            </w:r>
          </w:p>
        </w:tc>
      </w:tr>
    </w:tbl>
    <w:p>
      <w:pPr>
        <w:spacing w:after="120" w:before="80"/>
      </w:pPr>
      <w:r>
        <w:rPr>
          <w:rFonts w:ascii="Arial" w:hAnsi="Arial" w:eastAsia="Arial"/>
          <w:b/>
          <w:i w:val="0"/>
          <w:sz w:val="21"/>
        </w:rPr>
        <w:t xml:space="preserve">Deliverables: </w:t>
      </w:r>
      <w:r>
        <w:rPr>
          <w:rFonts w:ascii="Arial" w:hAnsi="Arial" w:eastAsia="Arial"/>
          <w:b w:val="0"/>
          <w:i w:val="0"/>
          <w:sz w:val="21"/>
        </w:rPr>
        <w:t>D6.1 Software and data release (Month 33); D6.2 Operating procedures and policy brief (Month 36)</w:t>
      </w:r>
    </w:p>
    <w:p>
      <w:pPr>
        <w:keepNext/>
        <w:spacing w:after="120" w:before="160"/>
      </w:pPr>
      <w:r>
        <w:rPr>
          <w:rFonts w:ascii="Arial" w:hAnsi="Arial" w:eastAsia="Arial"/>
          <w:b/>
          <w:i w:val="0"/>
          <w:color w:val="52606D"/>
          <w:sz w:val="25"/>
        </w:rPr>
        <w:t>WP7. Management, data and risk   (Months 1–36; objective all)</w:t>
      </w:r>
    </w:p>
    <w:p>
      <w:pPr>
        <w:spacing w:after="80" w:before="0"/>
      </w:pPr>
      <w:r>
        <w:rPr>
          <w:rFonts w:ascii="Arial" w:hAnsi="Arial" w:eastAsia="Arial"/>
          <w:b/>
          <w:i w:val="0"/>
          <w:sz w:val="22"/>
        </w:rPr>
        <w:t xml:space="preserve">Objective: </w:t>
      </w:r>
      <w:r>
        <w:rPr>
          <w:rFonts w:ascii="Arial" w:hAnsi="Arial" w:eastAsia="Arial"/>
          <w:b w:val="0"/>
          <w:i w:val="0"/>
          <w:sz w:val="22"/>
        </w:rPr>
        <w:t>Coordinate the consortium, secure data access from the operators, manage risks and report.</w:t>
      </w:r>
    </w:p>
    <w:tbl>
      <w:tblPr>
        <w:tblStyle w:val="TableGrid"/>
        <w:tblW w:type="auto" w:w="0"/>
        <w:jc w:val="center"/>
        <w:tblLayout w:type="fixed"/>
        <w:tblLook w:firstColumn="1" w:firstRow="1" w:lastColumn="0" w:lastRow="0" w:noHBand="0" w:noVBand="1" w:val="04A0"/>
        <w:tblLayout w:type="fixed"/>
      </w:tblPr>
      <w:tblGrid>
        <w:gridCol w:w="794"/>
        <w:gridCol w:w="7143"/>
        <w:gridCol w:w="1701"/>
      </w:tblGrid>
      <w:tr>
        <w:tc>
          <w:tcPr>
            <w:tcW w:type="dxa" w:w="794"/>
            <w:shd w:val="clear" w:color="auto" w:fill="1F3864"/>
          </w:tcPr>
          <w:p>
            <w:r/>
            <w:r>
              <w:rPr>
                <w:rFonts w:ascii="Arial" w:hAnsi="Arial" w:eastAsia="Arial"/>
                <w:b/>
                <w:i w:val="0"/>
                <w:color w:val="FFFFFF"/>
                <w:sz w:val="20"/>
              </w:rPr>
              <w:t>Task</w:t>
            </w:r>
          </w:p>
        </w:tc>
        <w:tc>
          <w:tcPr>
            <w:tcW w:type="dxa" w:w="7143"/>
            <w:shd w:val="clear" w:color="auto" w:fill="1F3864"/>
          </w:tcPr>
          <w:p>
            <w:r/>
            <w:r>
              <w:rPr>
                <w:rFonts w:ascii="Arial" w:hAnsi="Arial" w:eastAsia="Arial"/>
                <w:b/>
                <w:i w:val="0"/>
                <w:color w:val="FFFFFF"/>
                <w:sz w:val="20"/>
              </w:rPr>
              <w:t>Description</w:t>
            </w:r>
          </w:p>
        </w:tc>
        <w:tc>
          <w:tcPr>
            <w:tcW w:type="dxa" w:w="1701"/>
            <w:shd w:val="clear" w:color="auto" w:fill="1F3864"/>
          </w:tcPr>
          <w:p>
            <w:r/>
            <w:r>
              <w:rPr>
                <w:rFonts w:ascii="Arial" w:hAnsi="Arial" w:eastAsia="Arial"/>
                <w:b/>
                <w:i w:val="0"/>
                <w:color w:val="FFFFFF"/>
                <w:sz w:val="20"/>
              </w:rPr>
              <w:t>Months</w:t>
            </w:r>
          </w:p>
        </w:tc>
      </w:tr>
      <w:tr>
        <w:tc>
          <w:tcPr>
            <w:tcW w:type="dxa" w:w="794"/>
          </w:tcPr>
          <w:p>
            <w:r/>
            <w:r>
              <w:rPr>
                <w:rFonts w:ascii="Arial" w:hAnsi="Arial" w:eastAsia="Arial"/>
                <w:b w:val="0"/>
                <w:i w:val="0"/>
                <w:sz w:val="20"/>
              </w:rPr>
              <w:t>T7.1</w:t>
            </w:r>
          </w:p>
        </w:tc>
        <w:tc>
          <w:tcPr>
            <w:tcW w:type="dxa" w:w="7143"/>
          </w:tcPr>
          <w:p>
            <w:r/>
            <w:r>
              <w:rPr>
                <w:rFonts w:ascii="Arial" w:hAnsi="Arial" w:eastAsia="Arial"/>
                <w:b w:val="0"/>
                <w:i w:val="0"/>
                <w:sz w:val="20"/>
              </w:rPr>
              <w:t>Coordination, steering committee, reporting</w:t>
            </w:r>
          </w:p>
        </w:tc>
        <w:tc>
          <w:tcPr>
            <w:tcW w:type="dxa" w:w="1701"/>
          </w:tcPr>
          <w:p>
            <w:r/>
            <w:r>
              <w:rPr>
                <w:rFonts w:ascii="Arial" w:hAnsi="Arial" w:eastAsia="Arial"/>
                <w:b w:val="0"/>
                <w:i w:val="0"/>
                <w:sz w:val="20"/>
              </w:rPr>
              <w:t>M1–M36</w:t>
            </w:r>
          </w:p>
        </w:tc>
      </w:tr>
      <w:tr>
        <w:tc>
          <w:tcPr>
            <w:tcW w:type="dxa" w:w="794"/>
          </w:tcPr>
          <w:p>
            <w:r/>
            <w:r>
              <w:rPr>
                <w:rFonts w:ascii="Arial" w:hAnsi="Arial" w:eastAsia="Arial"/>
                <w:b w:val="0"/>
                <w:i w:val="0"/>
                <w:sz w:val="20"/>
              </w:rPr>
              <w:t>T7.2</w:t>
            </w:r>
          </w:p>
        </w:tc>
        <w:tc>
          <w:tcPr>
            <w:tcW w:type="dxa" w:w="7143"/>
          </w:tcPr>
          <w:p>
            <w:r/>
            <w:r>
              <w:rPr>
                <w:rFonts w:ascii="Arial" w:hAnsi="Arial" w:eastAsia="Arial"/>
                <w:b w:val="0"/>
                <w:i w:val="0"/>
                <w:sz w:val="20"/>
              </w:rPr>
              <w:t>Data management and access agreements with the water utility, port and landfall operators</w:t>
            </w:r>
          </w:p>
        </w:tc>
        <w:tc>
          <w:tcPr>
            <w:tcW w:type="dxa" w:w="1701"/>
          </w:tcPr>
          <w:p>
            <w:r/>
            <w:r>
              <w:rPr>
                <w:rFonts w:ascii="Arial" w:hAnsi="Arial" w:eastAsia="Arial"/>
                <w:b w:val="0"/>
                <w:i w:val="0"/>
                <w:sz w:val="20"/>
              </w:rPr>
              <w:t>M1–M3</w:t>
            </w:r>
          </w:p>
        </w:tc>
      </w:tr>
      <w:tr>
        <w:tc>
          <w:tcPr>
            <w:tcW w:type="dxa" w:w="794"/>
          </w:tcPr>
          <w:p>
            <w:r/>
            <w:r>
              <w:rPr>
                <w:rFonts w:ascii="Arial" w:hAnsi="Arial" w:eastAsia="Arial"/>
                <w:b w:val="0"/>
                <w:i w:val="0"/>
                <w:sz w:val="20"/>
              </w:rPr>
              <w:t>T7.3</w:t>
            </w:r>
          </w:p>
        </w:tc>
        <w:tc>
          <w:tcPr>
            <w:tcW w:type="dxa" w:w="7143"/>
          </w:tcPr>
          <w:p>
            <w:r/>
            <w:r>
              <w:rPr>
                <w:rFonts w:ascii="Arial" w:hAnsi="Arial" w:eastAsia="Arial"/>
                <w:b w:val="0"/>
                <w:i w:val="0"/>
                <w:sz w:val="20"/>
              </w:rPr>
              <w:t>Risk and quality management</w:t>
            </w:r>
          </w:p>
        </w:tc>
        <w:tc>
          <w:tcPr>
            <w:tcW w:type="dxa" w:w="1701"/>
          </w:tcPr>
          <w:p>
            <w:r/>
            <w:r>
              <w:rPr>
                <w:rFonts w:ascii="Arial" w:hAnsi="Arial" w:eastAsia="Arial"/>
                <w:b w:val="0"/>
                <w:i w:val="0"/>
                <w:sz w:val="20"/>
              </w:rPr>
              <w:t>M1–M36</w:t>
            </w:r>
          </w:p>
        </w:tc>
      </w:tr>
    </w:tbl>
    <w:p>
      <w:pPr>
        <w:spacing w:after="120" w:before="80"/>
      </w:pPr>
      <w:r>
        <w:rPr>
          <w:rFonts w:ascii="Arial" w:hAnsi="Arial" w:eastAsia="Arial"/>
          <w:b/>
          <w:i w:val="0"/>
          <w:sz w:val="21"/>
        </w:rPr>
        <w:t xml:space="preserve">Deliverables: </w:t>
      </w:r>
      <w:r>
        <w:rPr>
          <w:rFonts w:ascii="Arial" w:hAnsi="Arial" w:eastAsia="Arial"/>
          <w:b w:val="0"/>
          <w:i w:val="0"/>
          <w:sz w:val="21"/>
        </w:rPr>
        <w:t>D7.1 Data management plan and access agreements (Month 3); D7.2 Progress reports (Month 12); D7.2 Progress reports (Month 24); D7.3 Final report (Month 36)</w:t>
      </w:r>
    </w:p>
    <w:p>
      <w:pPr>
        <w:keepNext/>
        <w:spacing w:after="120" w:before="200"/>
      </w:pPr>
      <w:r>
        <w:rPr>
          <w:rFonts w:ascii="Arial" w:hAnsi="Arial" w:eastAsia="Arial"/>
          <w:b/>
          <w:i w:val="0"/>
          <w:color w:val="1F3864"/>
          <w:sz w:val="28"/>
        </w:rPr>
        <w:t>3. Milestones</w:t>
      </w:r>
    </w:p>
    <w:tbl>
      <w:tblPr>
        <w:tblStyle w:val="TableGrid"/>
        <w:tblW w:type="auto" w:w="0"/>
        <w:jc w:val="center"/>
        <w:tblLayout w:type="fixed"/>
        <w:tblLook w:firstColumn="1" w:firstRow="1" w:lastColumn="0" w:lastRow="0" w:noHBand="0" w:noVBand="1" w:val="04A0"/>
        <w:tblLayout w:type="fixed"/>
      </w:tblPr>
      <w:tblGrid>
        <w:gridCol w:w="737"/>
        <w:gridCol w:w="850"/>
        <w:gridCol w:w="3061"/>
        <w:gridCol w:w="4989"/>
      </w:tblGrid>
      <w:tr>
        <w:tc>
          <w:tcPr>
            <w:tcW w:type="dxa" w:w="737"/>
            <w:shd w:val="clear" w:color="auto" w:fill="1F3864"/>
          </w:tcPr>
          <w:p>
            <w:r/>
            <w:r>
              <w:rPr>
                <w:rFonts w:ascii="Arial" w:hAnsi="Arial" w:eastAsia="Arial"/>
                <w:b/>
                <w:i w:val="0"/>
                <w:color w:val="FFFFFF"/>
                <w:sz w:val="20"/>
              </w:rPr>
            </w:r>
          </w:p>
        </w:tc>
        <w:tc>
          <w:tcPr>
            <w:tcW w:type="dxa" w:w="850"/>
            <w:shd w:val="clear" w:color="auto" w:fill="1F3864"/>
          </w:tcPr>
          <w:p>
            <w:r/>
            <w:r>
              <w:rPr>
                <w:rFonts w:ascii="Arial" w:hAnsi="Arial" w:eastAsia="Arial"/>
                <w:b/>
                <w:i w:val="0"/>
                <w:color w:val="FFFFFF"/>
                <w:sz w:val="20"/>
              </w:rPr>
              <w:t>Month</w:t>
            </w:r>
          </w:p>
        </w:tc>
        <w:tc>
          <w:tcPr>
            <w:tcW w:type="dxa" w:w="3061"/>
            <w:shd w:val="clear" w:color="auto" w:fill="1F3864"/>
          </w:tcPr>
          <w:p>
            <w:r/>
            <w:r>
              <w:rPr>
                <w:rFonts w:ascii="Arial" w:hAnsi="Arial" w:eastAsia="Arial"/>
                <w:b/>
                <w:i w:val="0"/>
                <w:color w:val="FFFFFF"/>
                <w:sz w:val="20"/>
              </w:rPr>
              <w:t>Milestone</w:t>
            </w:r>
          </w:p>
        </w:tc>
        <w:tc>
          <w:tcPr>
            <w:tcW w:type="dxa" w:w="4989"/>
            <w:shd w:val="clear" w:color="auto" w:fill="1F3864"/>
          </w:tcPr>
          <w:p>
            <w:r/>
            <w:r>
              <w:rPr>
                <w:rFonts w:ascii="Arial" w:hAnsi="Arial" w:eastAsia="Arial"/>
                <w:b/>
                <w:i w:val="0"/>
                <w:color w:val="FFFFFF"/>
                <w:sz w:val="20"/>
              </w:rPr>
              <w:t>Means of verification</w:t>
            </w:r>
          </w:p>
        </w:tc>
      </w:tr>
      <w:tr>
        <w:tc>
          <w:tcPr>
            <w:tcW w:type="dxa" w:w="737"/>
          </w:tcPr>
          <w:p>
            <w:r/>
            <w:r>
              <w:rPr>
                <w:rFonts w:ascii="Arial" w:hAnsi="Arial" w:eastAsia="Arial"/>
                <w:b w:val="0"/>
                <w:i w:val="0"/>
                <w:sz w:val="20"/>
              </w:rPr>
              <w:t>MS1</w:t>
            </w:r>
          </w:p>
        </w:tc>
        <w:tc>
          <w:tcPr>
            <w:tcW w:type="dxa" w:w="850"/>
          </w:tcPr>
          <w:p>
            <w:r/>
            <w:r>
              <w:rPr>
                <w:rFonts w:ascii="Arial" w:hAnsi="Arial" w:eastAsia="Arial"/>
                <w:b w:val="0"/>
                <w:i w:val="0"/>
                <w:sz w:val="20"/>
              </w:rPr>
              <w:t>6</w:t>
            </w:r>
          </w:p>
        </w:tc>
        <w:tc>
          <w:tcPr>
            <w:tcW w:type="dxa" w:w="3061"/>
          </w:tcPr>
          <w:p>
            <w:r/>
            <w:r>
              <w:rPr>
                <w:rFonts w:ascii="Arial" w:hAnsi="Arial" w:eastAsia="Arial"/>
                <w:b w:val="0"/>
                <w:i w:val="0"/>
                <w:sz w:val="20"/>
              </w:rPr>
              <w:t>Network design agreed</w:t>
            </w:r>
          </w:p>
        </w:tc>
        <w:tc>
          <w:tcPr>
            <w:tcW w:type="dxa" w:w="4989"/>
          </w:tcPr>
          <w:p>
            <w:r/>
            <w:r>
              <w:rPr>
                <w:rFonts w:ascii="Arial" w:hAnsi="Arial" w:eastAsia="Arial"/>
                <w:b w:val="0"/>
                <w:i w:val="0"/>
                <w:sz w:val="20"/>
              </w:rPr>
              <w:t>D4.1 approved by the steering committee and the operators</w:t>
            </w:r>
          </w:p>
        </w:tc>
      </w:tr>
      <w:tr>
        <w:tc>
          <w:tcPr>
            <w:tcW w:type="dxa" w:w="737"/>
          </w:tcPr>
          <w:p>
            <w:r/>
            <w:r>
              <w:rPr>
                <w:rFonts w:ascii="Arial" w:hAnsi="Arial" w:eastAsia="Arial"/>
                <w:b w:val="0"/>
                <w:i w:val="0"/>
                <w:sz w:val="20"/>
              </w:rPr>
              <w:t>MS2</w:t>
            </w:r>
          </w:p>
        </w:tc>
        <w:tc>
          <w:tcPr>
            <w:tcW w:type="dxa" w:w="850"/>
          </w:tcPr>
          <w:p>
            <w:r/>
            <w:r>
              <w:rPr>
                <w:rFonts w:ascii="Arial" w:hAnsi="Arial" w:eastAsia="Arial"/>
                <w:b w:val="0"/>
                <w:i w:val="0"/>
                <w:sz w:val="20"/>
              </w:rPr>
              <w:t>12</w:t>
            </w:r>
          </w:p>
        </w:tc>
        <w:tc>
          <w:tcPr>
            <w:tcW w:type="dxa" w:w="3061"/>
          </w:tcPr>
          <w:p>
            <w:r/>
            <w:r>
              <w:rPr>
                <w:rFonts w:ascii="Arial" w:hAnsi="Arial" w:eastAsia="Arial"/>
                <w:b w:val="0"/>
                <w:i w:val="0"/>
                <w:sz w:val="20"/>
              </w:rPr>
              <w:t>Network streaming; coastal motion known</w:t>
            </w:r>
          </w:p>
        </w:tc>
        <w:tc>
          <w:tcPr>
            <w:tcW w:type="dxa" w:w="4989"/>
          </w:tcPr>
          <w:p>
            <w:r/>
            <w:r>
              <w:rPr>
                <w:rFonts w:ascii="Arial" w:hAnsi="Arial" w:eastAsia="Arial"/>
                <w:b w:val="0"/>
                <w:i w:val="0"/>
                <w:sz w:val="20"/>
              </w:rPr>
              <w:t>D4.2 (≥ 90% data availability over the first month) and D1.1 delivered</w:t>
            </w:r>
          </w:p>
        </w:tc>
      </w:tr>
      <w:tr>
        <w:tc>
          <w:tcPr>
            <w:tcW w:type="dxa" w:w="737"/>
          </w:tcPr>
          <w:p>
            <w:r/>
            <w:r>
              <w:rPr>
                <w:rFonts w:ascii="Arial" w:hAnsi="Arial" w:eastAsia="Arial"/>
                <w:b w:val="0"/>
                <w:i w:val="0"/>
                <w:sz w:val="20"/>
              </w:rPr>
              <w:t>MS3</w:t>
            </w:r>
          </w:p>
        </w:tc>
        <w:tc>
          <w:tcPr>
            <w:tcW w:type="dxa" w:w="850"/>
          </w:tcPr>
          <w:p>
            <w:r/>
            <w:r>
              <w:rPr>
                <w:rFonts w:ascii="Arial" w:hAnsi="Arial" w:eastAsia="Arial"/>
                <w:b w:val="0"/>
                <w:i w:val="0"/>
                <w:sz w:val="20"/>
              </w:rPr>
              <w:t>18</w:t>
            </w:r>
          </w:p>
        </w:tc>
        <w:tc>
          <w:tcPr>
            <w:tcW w:type="dxa" w:w="3061"/>
          </w:tcPr>
          <w:p>
            <w:r/>
            <w:r>
              <w:rPr>
                <w:rFonts w:ascii="Arial" w:hAnsi="Arial" w:eastAsia="Arial"/>
                <w:b w:val="0"/>
                <w:i w:val="0"/>
                <w:sz w:val="20"/>
              </w:rPr>
              <w:t>Coupled model calibrated</w:t>
            </w:r>
          </w:p>
        </w:tc>
        <w:tc>
          <w:tcPr>
            <w:tcW w:type="dxa" w:w="4989"/>
          </w:tcPr>
          <w:p>
            <w:r/>
            <w:r>
              <w:rPr>
                <w:rFonts w:ascii="Arial" w:hAnsi="Arial" w:eastAsia="Arial"/>
                <w:b w:val="0"/>
                <w:i w:val="0"/>
                <w:sz w:val="20"/>
              </w:rPr>
              <w:t>D2.1: held-out observations reproduced within their stated uncertainty</w:t>
            </w:r>
          </w:p>
        </w:tc>
      </w:tr>
      <w:tr>
        <w:tc>
          <w:tcPr>
            <w:tcW w:type="dxa" w:w="737"/>
          </w:tcPr>
          <w:p>
            <w:r/>
            <w:r>
              <w:rPr>
                <w:rFonts w:ascii="Arial" w:hAnsi="Arial" w:eastAsia="Arial"/>
                <w:b w:val="0"/>
                <w:i w:val="0"/>
                <w:sz w:val="20"/>
              </w:rPr>
              <w:t>MS4</w:t>
            </w:r>
          </w:p>
        </w:tc>
        <w:tc>
          <w:tcPr>
            <w:tcW w:type="dxa" w:w="850"/>
          </w:tcPr>
          <w:p>
            <w:r/>
            <w:r>
              <w:rPr>
                <w:rFonts w:ascii="Arial" w:hAnsi="Arial" w:eastAsia="Arial"/>
                <w:b w:val="0"/>
                <w:i w:val="0"/>
                <w:sz w:val="20"/>
              </w:rPr>
              <w:t>22</w:t>
            </w:r>
          </w:p>
        </w:tc>
        <w:tc>
          <w:tcPr>
            <w:tcW w:type="dxa" w:w="3061"/>
          </w:tcPr>
          <w:p>
            <w:r/>
            <w:r>
              <w:rPr>
                <w:rFonts w:ascii="Arial" w:hAnsi="Arial" w:eastAsia="Arial"/>
                <w:b w:val="0"/>
                <w:i w:val="0"/>
                <w:sz w:val="20"/>
              </w:rPr>
              <w:t>Go/no-go for live operation</w:t>
            </w:r>
          </w:p>
        </w:tc>
        <w:tc>
          <w:tcPr>
            <w:tcW w:type="dxa" w:w="4989"/>
          </w:tcPr>
          <w:p>
            <w:r/>
            <w:r>
              <w:rPr>
                <w:rFonts w:ascii="Arial" w:hAnsi="Arial" w:eastAsia="Arial"/>
                <w:b w:val="0"/>
                <w:i w:val="0"/>
                <w:sz w:val="20"/>
              </w:rPr>
              <w:t>D2.2 surrogate error bound met on the test set; alarm prototype passes a dry run</w:t>
            </w:r>
          </w:p>
        </w:tc>
      </w:tr>
      <w:tr>
        <w:tc>
          <w:tcPr>
            <w:tcW w:type="dxa" w:w="737"/>
          </w:tcPr>
          <w:p>
            <w:r/>
            <w:r>
              <w:rPr>
                <w:rFonts w:ascii="Arial" w:hAnsi="Arial" w:eastAsia="Arial"/>
                <w:b w:val="0"/>
                <w:i w:val="0"/>
                <w:sz w:val="20"/>
              </w:rPr>
              <w:t>MS5</w:t>
            </w:r>
          </w:p>
        </w:tc>
        <w:tc>
          <w:tcPr>
            <w:tcW w:type="dxa" w:w="850"/>
          </w:tcPr>
          <w:p>
            <w:r/>
            <w:r>
              <w:rPr>
                <w:rFonts w:ascii="Arial" w:hAnsi="Arial" w:eastAsia="Arial"/>
                <w:b w:val="0"/>
                <w:i w:val="0"/>
                <w:sz w:val="20"/>
              </w:rPr>
              <w:t>27</w:t>
            </w:r>
          </w:p>
        </w:tc>
        <w:tc>
          <w:tcPr>
            <w:tcW w:type="dxa" w:w="3061"/>
          </w:tcPr>
          <w:p>
            <w:r/>
            <w:r>
              <w:rPr>
                <w:rFonts w:ascii="Arial" w:hAnsi="Arial" w:eastAsia="Arial"/>
                <w:b w:val="0"/>
                <w:i w:val="0"/>
                <w:sz w:val="20"/>
              </w:rPr>
              <w:t>Miss-rate targets confirmed in back-testing</w:t>
            </w:r>
          </w:p>
        </w:tc>
        <w:tc>
          <w:tcPr>
            <w:tcW w:type="dxa" w:w="4989"/>
          </w:tcPr>
          <w:p>
            <w:r/>
            <w:r>
              <w:rPr>
                <w:rFonts w:ascii="Arial" w:hAnsi="Arial" w:eastAsia="Arial"/>
                <w:b w:val="0"/>
                <w:i w:val="0"/>
                <w:sz w:val="20"/>
              </w:rPr>
              <w:t>D3.2: each miss rate ≤ α_k with its confidence interval reported</w:t>
            </w:r>
          </w:p>
        </w:tc>
      </w:tr>
      <w:tr>
        <w:tc>
          <w:tcPr>
            <w:tcW w:type="dxa" w:w="737"/>
          </w:tcPr>
          <w:p>
            <w:r/>
            <w:r>
              <w:rPr>
                <w:rFonts w:ascii="Arial" w:hAnsi="Arial" w:eastAsia="Arial"/>
                <w:b w:val="0"/>
                <w:i w:val="0"/>
                <w:sz w:val="20"/>
              </w:rPr>
              <w:t>MS6</w:t>
            </w:r>
          </w:p>
        </w:tc>
        <w:tc>
          <w:tcPr>
            <w:tcW w:type="dxa" w:w="850"/>
          </w:tcPr>
          <w:p>
            <w:r/>
            <w:r>
              <w:rPr>
                <w:rFonts w:ascii="Arial" w:hAnsi="Arial" w:eastAsia="Arial"/>
                <w:b w:val="0"/>
                <w:i w:val="0"/>
                <w:sz w:val="20"/>
              </w:rPr>
              <w:t>34</w:t>
            </w:r>
          </w:p>
        </w:tc>
        <w:tc>
          <w:tcPr>
            <w:tcW w:type="dxa" w:w="3061"/>
          </w:tcPr>
          <w:p>
            <w:r/>
            <w:r>
              <w:rPr>
                <w:rFonts w:ascii="Arial" w:hAnsi="Arial" w:eastAsia="Arial"/>
                <w:b w:val="0"/>
                <w:i w:val="0"/>
                <w:sz w:val="20"/>
              </w:rPr>
              <w:t>Twelve months of live operation completed</w:t>
            </w:r>
          </w:p>
        </w:tc>
        <w:tc>
          <w:tcPr>
            <w:tcW w:type="dxa" w:w="4989"/>
          </w:tcPr>
          <w:p>
            <w:r/>
            <w:r>
              <w:rPr>
                <w:rFonts w:ascii="Arial" w:hAnsi="Arial" w:eastAsia="Arial"/>
                <w:b w:val="0"/>
                <w:i w:val="0"/>
                <w:sz w:val="20"/>
              </w:rPr>
              <w:t>D5.1 with the bulletin log and verified outcomes</w:t>
            </w:r>
          </w:p>
        </w:tc>
      </w:tr>
      <w:tr>
        <w:tc>
          <w:tcPr>
            <w:tcW w:type="dxa" w:w="737"/>
          </w:tcPr>
          <w:p>
            <w:r/>
            <w:r>
              <w:rPr>
                <w:rFonts w:ascii="Arial" w:hAnsi="Arial" w:eastAsia="Arial"/>
                <w:b w:val="0"/>
                <w:i w:val="0"/>
                <w:sz w:val="20"/>
              </w:rPr>
              <w:t>MS7</w:t>
            </w:r>
          </w:p>
        </w:tc>
        <w:tc>
          <w:tcPr>
            <w:tcW w:type="dxa" w:w="850"/>
          </w:tcPr>
          <w:p>
            <w:r/>
            <w:r>
              <w:rPr>
                <w:rFonts w:ascii="Arial" w:hAnsi="Arial" w:eastAsia="Arial"/>
                <w:b w:val="0"/>
                <w:i w:val="0"/>
                <w:sz w:val="20"/>
              </w:rPr>
              <w:t>36</w:t>
            </w:r>
          </w:p>
        </w:tc>
        <w:tc>
          <w:tcPr>
            <w:tcW w:type="dxa" w:w="3061"/>
          </w:tcPr>
          <w:p>
            <w:r/>
            <w:r>
              <w:rPr>
                <w:rFonts w:ascii="Arial" w:hAnsi="Arial" w:eastAsia="Arial"/>
                <w:b w:val="0"/>
                <w:i w:val="0"/>
                <w:sz w:val="20"/>
              </w:rPr>
              <w:t>Hand-over to the operators</w:t>
            </w:r>
          </w:p>
        </w:tc>
        <w:tc>
          <w:tcPr>
            <w:tcW w:type="dxa" w:w="4989"/>
          </w:tcPr>
          <w:p>
            <w:r/>
            <w:r>
              <w:rPr>
                <w:rFonts w:ascii="Arial" w:hAnsi="Arial" w:eastAsia="Arial"/>
                <w:b w:val="0"/>
                <w:i w:val="0"/>
                <w:sz w:val="20"/>
              </w:rPr>
              <w:t>D6.2 procedures adopted; operator staff run the system unaided</w:t>
            </w:r>
          </w:p>
        </w:tc>
      </w:tr>
    </w:tbl>
    <w:p>
      <w:pPr>
        <w:spacing w:after="80" w:before="0"/>
      </w:pPr>
    </w:p>
    <w:p>
      <w:pPr>
        <w:keepNext/>
        <w:spacing w:after="120" w:before="200"/>
      </w:pPr>
      <w:r>
        <w:rPr>
          <w:rFonts w:ascii="Arial" w:hAnsi="Arial" w:eastAsia="Arial"/>
          <w:b/>
          <w:i w:val="0"/>
          <w:color w:val="1F3864"/>
          <w:sz w:val="28"/>
        </w:rPr>
        <w:t>4. Risks and mitigation</w:t>
      </w:r>
    </w:p>
    <w:tbl>
      <w:tblPr>
        <w:tblStyle w:val="TableGrid"/>
        <w:tblW w:type="auto" w:w="0"/>
        <w:jc w:val="center"/>
        <w:tblLayout w:type="fixed"/>
        <w:tblLook w:firstColumn="1" w:firstRow="1" w:lastColumn="0" w:lastRow="0" w:noHBand="0" w:noVBand="1" w:val="04A0"/>
        <w:tblLayout w:type="fixed"/>
      </w:tblPr>
      <w:tblGrid>
        <w:gridCol w:w="2608"/>
        <w:gridCol w:w="1361"/>
        <w:gridCol w:w="1077"/>
        <w:gridCol w:w="4592"/>
      </w:tblGrid>
      <w:tr>
        <w:tc>
          <w:tcPr>
            <w:tcW w:type="dxa" w:w="2608"/>
            <w:shd w:val="clear" w:color="auto" w:fill="1F3864"/>
          </w:tcPr>
          <w:p>
            <w:r/>
            <w:r>
              <w:rPr>
                <w:rFonts w:ascii="Arial" w:hAnsi="Arial" w:eastAsia="Arial"/>
                <w:b/>
                <w:i w:val="0"/>
                <w:color w:val="FFFFFF"/>
                <w:sz w:val="20"/>
              </w:rPr>
              <w:t>Risk</w:t>
            </w:r>
          </w:p>
        </w:tc>
        <w:tc>
          <w:tcPr>
            <w:tcW w:type="dxa" w:w="1361"/>
            <w:shd w:val="clear" w:color="auto" w:fill="1F3864"/>
          </w:tcPr>
          <w:p>
            <w:r/>
            <w:r>
              <w:rPr>
                <w:rFonts w:ascii="Arial" w:hAnsi="Arial" w:eastAsia="Arial"/>
                <w:b/>
                <w:i w:val="0"/>
                <w:color w:val="FFFFFF"/>
                <w:sz w:val="20"/>
              </w:rPr>
              <w:t>Likelihood</w:t>
            </w:r>
          </w:p>
        </w:tc>
        <w:tc>
          <w:tcPr>
            <w:tcW w:type="dxa" w:w="1077"/>
            <w:shd w:val="clear" w:color="auto" w:fill="1F3864"/>
          </w:tcPr>
          <w:p>
            <w:r/>
            <w:r>
              <w:rPr>
                <w:rFonts w:ascii="Arial" w:hAnsi="Arial" w:eastAsia="Arial"/>
                <w:b/>
                <w:i w:val="0"/>
                <w:color w:val="FFFFFF"/>
                <w:sz w:val="20"/>
              </w:rPr>
              <w:t>Impact</w:t>
            </w:r>
          </w:p>
        </w:tc>
        <w:tc>
          <w:tcPr>
            <w:tcW w:type="dxa" w:w="4592"/>
            <w:shd w:val="clear" w:color="auto" w:fill="1F3864"/>
          </w:tcPr>
          <w:p>
            <w:r/>
            <w:r>
              <w:rPr>
                <w:rFonts w:ascii="Arial" w:hAnsi="Arial" w:eastAsia="Arial"/>
                <w:b/>
                <w:i w:val="0"/>
                <w:color w:val="FFFFFF"/>
                <w:sz w:val="20"/>
              </w:rPr>
              <w:t>Mitigation</w:t>
            </w:r>
          </w:p>
        </w:tc>
      </w:tr>
      <w:tr>
        <w:tc>
          <w:tcPr>
            <w:tcW w:type="dxa" w:w="2608"/>
          </w:tcPr>
          <w:p>
            <w:r/>
            <w:r>
              <w:rPr>
                <w:rFonts w:ascii="Arial" w:hAnsi="Arial" w:eastAsia="Arial"/>
                <w:b w:val="0"/>
                <w:i w:val="0"/>
                <w:sz w:val="20"/>
              </w:rPr>
              <w:t>Operators delay access to well, port or landfall data</w:t>
            </w:r>
          </w:p>
        </w:tc>
        <w:tc>
          <w:tcPr>
            <w:tcW w:type="dxa" w:w="1361"/>
          </w:tcPr>
          <w:p>
            <w:r/>
            <w:r>
              <w:rPr>
                <w:rFonts w:ascii="Arial" w:hAnsi="Arial" w:eastAsia="Arial"/>
                <w:b w:val="0"/>
                <w:i w:val="0"/>
                <w:sz w:val="20"/>
              </w:rPr>
              <w:t>Medium</w:t>
            </w:r>
          </w:p>
        </w:tc>
        <w:tc>
          <w:tcPr>
            <w:tcW w:type="dxa" w:w="1077"/>
          </w:tcPr>
          <w:p>
            <w:r/>
            <w:r>
              <w:rPr>
                <w:rFonts w:ascii="Arial" w:hAnsi="Arial" w:eastAsia="Arial"/>
                <w:b w:val="0"/>
                <w:i w:val="0"/>
                <w:sz w:val="20"/>
              </w:rPr>
              <w:t>High</w:t>
            </w:r>
          </w:p>
        </w:tc>
        <w:tc>
          <w:tcPr>
            <w:tcW w:type="dxa" w:w="4592"/>
          </w:tcPr>
          <w:p>
            <w:r/>
            <w:r>
              <w:rPr>
                <w:rFonts w:ascii="Arial" w:hAnsi="Arial" w:eastAsia="Arial"/>
                <w:b w:val="0"/>
                <w:i w:val="0"/>
                <w:sz w:val="20"/>
              </w:rPr>
              <w:t>Access agreements signed by Month 3 (D7.1); public and remote-sensing data allow WP1 and the design in WP4 to start regardless</w:t>
            </w:r>
          </w:p>
        </w:tc>
      </w:tr>
      <w:tr>
        <w:tc>
          <w:tcPr>
            <w:tcW w:type="dxa" w:w="2608"/>
          </w:tcPr>
          <w:p>
            <w:r/>
            <w:r>
              <w:rPr>
                <w:rFonts w:ascii="Arial" w:hAnsi="Arial" w:eastAsia="Arial"/>
                <w:b w:val="0"/>
                <w:i w:val="0"/>
                <w:sz w:val="20"/>
              </w:rPr>
              <w:t>InSAR loses coherence on vegetated plains or on new port works</w:t>
            </w:r>
          </w:p>
        </w:tc>
        <w:tc>
          <w:tcPr>
            <w:tcW w:type="dxa" w:w="1361"/>
          </w:tcPr>
          <w:p>
            <w:r/>
            <w:r>
              <w:rPr>
                <w:rFonts w:ascii="Arial" w:hAnsi="Arial" w:eastAsia="Arial"/>
                <w:b w:val="0"/>
                <w:i w:val="0"/>
                <w:sz w:val="20"/>
              </w:rPr>
              <w:t>Medium</w:t>
            </w:r>
          </w:p>
        </w:tc>
        <w:tc>
          <w:tcPr>
            <w:tcW w:type="dxa" w:w="1077"/>
          </w:tcPr>
          <w:p>
            <w:r/>
            <w:r>
              <w:rPr>
                <w:rFonts w:ascii="Arial" w:hAnsi="Arial" w:eastAsia="Arial"/>
                <w:b w:val="0"/>
                <w:i w:val="0"/>
                <w:sz w:val="20"/>
              </w:rPr>
              <w:t>Medium</w:t>
            </w:r>
          </w:p>
        </w:tc>
        <w:tc>
          <w:tcPr>
            <w:tcW w:type="dxa" w:w="4592"/>
          </w:tcPr>
          <w:p>
            <w:r/>
            <w:r>
              <w:rPr>
                <w:rFonts w:ascii="Arial" w:hAnsi="Arial" w:eastAsia="Arial"/>
                <w:b w:val="0"/>
                <w:i w:val="0"/>
                <w:sz w:val="20"/>
              </w:rPr>
              <w:t>Corner reflectors and GNSS at the assets (T1.2); persistent-scatterer processing on built structures</w:t>
            </w:r>
          </w:p>
        </w:tc>
      </w:tr>
      <w:tr>
        <w:tc>
          <w:tcPr>
            <w:tcW w:type="dxa" w:w="2608"/>
          </w:tcPr>
          <w:p>
            <w:r/>
            <w:r>
              <w:rPr>
                <w:rFonts w:ascii="Arial" w:hAnsi="Arial" w:eastAsia="Arial"/>
                <w:b w:val="0"/>
                <w:i w:val="0"/>
                <w:sz w:val="20"/>
              </w:rPr>
              <w:t>Fibre-optic access not granted</w:t>
            </w:r>
          </w:p>
        </w:tc>
        <w:tc>
          <w:tcPr>
            <w:tcW w:type="dxa" w:w="1361"/>
          </w:tcPr>
          <w:p>
            <w:r/>
            <w:r>
              <w:rPr>
                <w:rFonts w:ascii="Arial" w:hAnsi="Arial" w:eastAsia="Arial"/>
                <w:b w:val="0"/>
                <w:i w:val="0"/>
                <w:sz w:val="20"/>
              </w:rPr>
              <w:t>Medium</w:t>
            </w:r>
          </w:p>
        </w:tc>
        <w:tc>
          <w:tcPr>
            <w:tcW w:type="dxa" w:w="1077"/>
          </w:tcPr>
          <w:p>
            <w:r/>
            <w:r>
              <w:rPr>
                <w:rFonts w:ascii="Arial" w:hAnsi="Arial" w:eastAsia="Arial"/>
                <w:b w:val="0"/>
                <w:i w:val="0"/>
                <w:sz w:val="20"/>
              </w:rPr>
              <w:t>Low</w:t>
            </w:r>
          </w:p>
        </w:tc>
        <w:tc>
          <w:tcPr>
            <w:tcW w:type="dxa" w:w="4592"/>
          </w:tcPr>
          <w:p>
            <w:r/>
            <w:r>
              <w:rPr>
                <w:rFonts w:ascii="Arial" w:hAnsi="Arial" w:eastAsia="Arial"/>
                <w:b w:val="0"/>
                <w:i w:val="0"/>
                <w:sz w:val="20"/>
              </w:rPr>
              <w:t>Seismic noise from stations and temporary nodes gives the same velocity signal at lower resolution</w:t>
            </w:r>
          </w:p>
        </w:tc>
      </w:tr>
      <w:tr>
        <w:tc>
          <w:tcPr>
            <w:tcW w:type="dxa" w:w="2608"/>
          </w:tcPr>
          <w:p>
            <w:r/>
            <w:r>
              <w:rPr>
                <w:rFonts w:ascii="Arial" w:hAnsi="Arial" w:eastAsia="Arial"/>
                <w:b w:val="0"/>
                <w:i w:val="0"/>
                <w:sz w:val="20"/>
              </w:rPr>
              <w:t>No strong earthquake or surge during the demonstration</w:t>
            </w:r>
          </w:p>
        </w:tc>
        <w:tc>
          <w:tcPr>
            <w:tcW w:type="dxa" w:w="1361"/>
          </w:tcPr>
          <w:p>
            <w:r/>
            <w:r>
              <w:rPr>
                <w:rFonts w:ascii="Arial" w:hAnsi="Arial" w:eastAsia="Arial"/>
                <w:b w:val="0"/>
                <w:i w:val="0"/>
                <w:sz w:val="20"/>
              </w:rPr>
              <w:t>High</w:t>
            </w:r>
          </w:p>
        </w:tc>
        <w:tc>
          <w:tcPr>
            <w:tcW w:type="dxa" w:w="1077"/>
          </w:tcPr>
          <w:p>
            <w:r/>
            <w:r>
              <w:rPr>
                <w:rFonts w:ascii="Arial" w:hAnsi="Arial" w:eastAsia="Arial"/>
                <w:b w:val="0"/>
                <w:i w:val="0"/>
                <w:sz w:val="20"/>
              </w:rPr>
              <w:t>Medium</w:t>
            </w:r>
          </w:p>
        </w:tc>
        <w:tc>
          <w:tcPr>
            <w:tcW w:type="dxa" w:w="4592"/>
          </w:tcPr>
          <w:p>
            <w:r/>
            <w:r>
              <w:rPr>
                <w:rFonts w:ascii="Arial" w:hAnsi="Arial" w:eastAsia="Arial"/>
                <w:b w:val="0"/>
                <w:i w:val="0"/>
                <w:sz w:val="20"/>
              </w:rPr>
              <w:t>Guarantees are tested in back-testing over the historical record, including the 2019 earthquake, and on storylines beyond it (T3.4)</w:t>
            </w:r>
          </w:p>
        </w:tc>
      </w:tr>
      <w:tr>
        <w:tc>
          <w:tcPr>
            <w:tcW w:type="dxa" w:w="2608"/>
          </w:tcPr>
          <w:p>
            <w:r/>
            <w:r>
              <w:rPr>
                <w:rFonts w:ascii="Arial" w:hAnsi="Arial" w:eastAsia="Arial"/>
                <w:b w:val="0"/>
                <w:i w:val="0"/>
                <w:sz w:val="20"/>
              </w:rPr>
              <w:t>Surrogate fails its error bound in part of the domain</w:t>
            </w:r>
          </w:p>
        </w:tc>
        <w:tc>
          <w:tcPr>
            <w:tcW w:type="dxa" w:w="1361"/>
          </w:tcPr>
          <w:p>
            <w:r/>
            <w:r>
              <w:rPr>
                <w:rFonts w:ascii="Arial" w:hAnsi="Arial" w:eastAsia="Arial"/>
                <w:b w:val="0"/>
                <w:i w:val="0"/>
                <w:sz w:val="20"/>
              </w:rPr>
              <w:t>Low</w:t>
            </w:r>
          </w:p>
        </w:tc>
        <w:tc>
          <w:tcPr>
            <w:tcW w:type="dxa" w:w="1077"/>
          </w:tcPr>
          <w:p>
            <w:r/>
            <w:r>
              <w:rPr>
                <w:rFonts w:ascii="Arial" w:hAnsi="Arial" w:eastAsia="Arial"/>
                <w:b w:val="0"/>
                <w:i w:val="0"/>
                <w:sz w:val="20"/>
              </w:rPr>
              <w:t>Medium</w:t>
            </w:r>
          </w:p>
        </w:tc>
        <w:tc>
          <w:tcPr>
            <w:tcW w:type="dxa" w:w="4592"/>
          </w:tcPr>
          <w:p>
            <w:r/>
            <w:r>
              <w:rPr>
                <w:rFonts w:ascii="Arial" w:hAnsi="Arial" w:eastAsia="Arial"/>
                <w:b w:val="0"/>
                <w:i w:val="0"/>
                <w:sz w:val="20"/>
              </w:rPr>
              <w:t>Bound triggers fall-back to the full model on a reduced domain for those forecasts; the alarm margin widens automatically</w:t>
            </w:r>
          </w:p>
        </w:tc>
      </w:tr>
      <w:tr>
        <w:tc>
          <w:tcPr>
            <w:tcW w:type="dxa" w:w="2608"/>
          </w:tcPr>
          <w:p>
            <w:r/>
            <w:r>
              <w:rPr>
                <w:rFonts w:ascii="Arial" w:hAnsi="Arial" w:eastAsia="Arial"/>
                <w:b w:val="0"/>
                <w:i w:val="0"/>
                <w:sz w:val="20"/>
              </w:rPr>
              <w:t>Equipment procurement or customs delays</w:t>
            </w:r>
          </w:p>
        </w:tc>
        <w:tc>
          <w:tcPr>
            <w:tcW w:type="dxa" w:w="1361"/>
          </w:tcPr>
          <w:p>
            <w:r/>
            <w:r>
              <w:rPr>
                <w:rFonts w:ascii="Arial" w:hAnsi="Arial" w:eastAsia="Arial"/>
                <w:b w:val="0"/>
                <w:i w:val="0"/>
                <w:sz w:val="20"/>
              </w:rPr>
              <w:t>Medium</w:t>
            </w:r>
          </w:p>
        </w:tc>
        <w:tc>
          <w:tcPr>
            <w:tcW w:type="dxa" w:w="1077"/>
          </w:tcPr>
          <w:p>
            <w:r/>
            <w:r>
              <w:rPr>
                <w:rFonts w:ascii="Arial" w:hAnsi="Arial" w:eastAsia="Arial"/>
                <w:b w:val="0"/>
                <w:i w:val="0"/>
                <w:sz w:val="20"/>
              </w:rPr>
              <w:t>Medium</w:t>
            </w:r>
          </w:p>
        </w:tc>
        <w:tc>
          <w:tcPr>
            <w:tcW w:type="dxa" w:w="4592"/>
          </w:tcPr>
          <w:p>
            <w:r/>
            <w:r>
              <w:rPr>
                <w:rFonts w:ascii="Arial" w:hAnsi="Arial" w:eastAsia="Arial"/>
                <w:b w:val="0"/>
                <w:i w:val="0"/>
                <w:sz w:val="20"/>
              </w:rPr>
              <w:t>Orders placed in Month 4; installation window to Month 12 with priority given to the sensors ranked highest in D4.1</w:t>
            </w:r>
          </w:p>
        </w:tc>
      </w:tr>
      <w:tr>
        <w:tc>
          <w:tcPr>
            <w:tcW w:type="dxa" w:w="2608"/>
          </w:tcPr>
          <w:p>
            <w:r/>
            <w:r>
              <w:rPr>
                <w:rFonts w:ascii="Arial" w:hAnsi="Arial" w:eastAsia="Arial"/>
                <w:b w:val="0"/>
                <w:i w:val="0"/>
                <w:sz w:val="20"/>
              </w:rPr>
              <w:t>Loss of trained staff at the operators</w:t>
            </w:r>
          </w:p>
        </w:tc>
        <w:tc>
          <w:tcPr>
            <w:tcW w:type="dxa" w:w="1361"/>
          </w:tcPr>
          <w:p>
            <w:r/>
            <w:r>
              <w:rPr>
                <w:rFonts w:ascii="Arial" w:hAnsi="Arial" w:eastAsia="Arial"/>
                <w:b w:val="0"/>
                <w:i w:val="0"/>
                <w:sz w:val="20"/>
              </w:rPr>
              <w:t>Medium</w:t>
            </w:r>
          </w:p>
        </w:tc>
        <w:tc>
          <w:tcPr>
            <w:tcW w:type="dxa" w:w="1077"/>
          </w:tcPr>
          <w:p>
            <w:r/>
            <w:r>
              <w:rPr>
                <w:rFonts w:ascii="Arial" w:hAnsi="Arial" w:eastAsia="Arial"/>
                <w:b w:val="0"/>
                <w:i w:val="0"/>
                <w:sz w:val="20"/>
              </w:rPr>
              <w:t>Medium</w:t>
            </w:r>
          </w:p>
        </w:tc>
        <w:tc>
          <w:tcPr>
            <w:tcW w:type="dxa" w:w="4592"/>
          </w:tcPr>
          <w:p>
            <w:r/>
            <w:r>
              <w:rPr>
                <w:rFonts w:ascii="Arial" w:hAnsi="Arial" w:eastAsia="Arial"/>
                <w:b w:val="0"/>
                <w:i w:val="0"/>
                <w:sz w:val="20"/>
              </w:rPr>
              <w:t>Several staff trained per operator; procedures and software documented for use without the project team</w:t>
            </w:r>
          </w:p>
        </w:tc>
      </w:tr>
    </w:tbl>
    <w:p>
      <w:pPr>
        <w:sectPr>
          <w:pgSz w:w="11906" w:h="16838"/>
          <w:pgMar w:top="1020" w:right="1134" w:bottom="1020" w:left="1134" w:header="720" w:footer="720" w:gutter="0"/>
          <w:cols w:space="720"/>
          <w:docGrid w:linePitch="360"/>
        </w:sectPr>
      </w:pPr>
    </w:p>
    <w:p>
      <w:pPr>
        <w:spacing w:after="0" w:before="0"/>
        <w:jc w:val="center"/>
      </w:pPr>
      <w:r>
        <w:drawing>
          <wp:inline xmlns:a="http://schemas.openxmlformats.org/drawingml/2006/main" xmlns:pic="http://schemas.openxmlformats.org/drawingml/2006/picture">
            <wp:extent cx="9504000" cy="6396923"/>
            <wp:docPr id="1" name="Picture 1"/>
            <wp:cNvGraphicFramePr>
              <a:graphicFrameLocks noChangeAspect="1"/>
            </wp:cNvGraphicFramePr>
            <a:graphic>
              <a:graphicData uri="http://schemas.openxmlformats.org/drawingml/2006/picture">
                <pic:pic>
                  <pic:nvPicPr>
                    <pic:cNvPr id="0" name="certain_coast_gantt_a.png"/>
                    <pic:cNvPicPr/>
                  </pic:nvPicPr>
                  <pic:blipFill>
                    <a:blip r:embed="rId9"/>
                    <a:stretch>
                      <a:fillRect/>
                    </a:stretch>
                  </pic:blipFill>
                  <pic:spPr>
                    <a:xfrm>
                      <a:off x="0" y="0"/>
                      <a:ext cx="9504000" cy="6396923"/>
                    </a:xfrm>
                    <a:prstGeom prst="rect"/>
                  </pic:spPr>
                </pic:pic>
              </a:graphicData>
            </a:graphic>
          </wp:inline>
        </w:drawing>
      </w:r>
    </w:p>
    <w:p>
      <w:pPr>
        <w:pageBreakBefore/>
        <w:spacing w:after="0" w:before="0"/>
        <w:jc w:val="center"/>
      </w:pPr>
      <w:r>
        <w:drawing>
          <wp:inline xmlns:a="http://schemas.openxmlformats.org/drawingml/2006/main" xmlns:pic="http://schemas.openxmlformats.org/drawingml/2006/picture">
            <wp:extent cx="9504000" cy="6396923"/>
            <wp:docPr id="2" name="Picture 2"/>
            <wp:cNvGraphicFramePr>
              <a:graphicFrameLocks noChangeAspect="1"/>
            </wp:cNvGraphicFramePr>
            <a:graphic>
              <a:graphicData uri="http://schemas.openxmlformats.org/drawingml/2006/picture">
                <pic:pic>
                  <pic:nvPicPr>
                    <pic:cNvPr id="0" name="certain_coast_gantt_b.png"/>
                    <pic:cNvPicPr/>
                  </pic:nvPicPr>
                  <pic:blipFill>
                    <a:blip r:embed="rId10"/>
                    <a:stretch>
                      <a:fillRect/>
                    </a:stretch>
                  </pic:blipFill>
                  <pic:spPr>
                    <a:xfrm>
                      <a:off x="0" y="0"/>
                      <a:ext cx="9504000" cy="6396923"/>
                    </a:xfrm>
                    <a:prstGeom prst="rect"/>
                  </pic:spPr>
                </pic:pic>
              </a:graphicData>
            </a:graphic>
          </wp:inline>
        </w:drawing>
      </w:r>
    </w:p>
    <w:sectPr w:rsidR="00FC693F" w:rsidRPr="0006063C" w:rsidSect="00034616">
      <w:pgSz w:w="16838" w:h="11906" w:orient="landscape"/>
      <w:pgMar w:top="567" w:right="850" w:bottom="567" w:left="85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