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2"/>
        </w:rPr>
        <w:t>Main challenges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1. Extremes beyond the record. </w:t>
      </w:r>
      <w:r>
        <w:rPr>
          <w:rFonts w:ascii="Arial" w:hAnsi="Arial"/>
          <w:sz w:val="22"/>
        </w:rPr>
        <w:t>Record-shattering droughts and intense rainfall push the aquifer into states the monitoring record never contained; in our tests, an alarm built on the record alone failed after the pumping decision in 9 of 20 aquifers.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2. Hidden human feedback. </w:t>
      </w:r>
      <w:r>
        <w:rPr>
          <w:rFonts w:ascii="Arial" w:hAnsi="Arial"/>
          <w:sz w:val="22"/>
        </w:rPr>
        <w:t>Unregistered private wells pump more in a drought. This changes the causal mechanism, is not seen in the recorded rainfall and pumping data, and must therefore be bounded rather than estimated.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3. Coupled, slow physics at low cost. </w:t>
      </w:r>
      <w:r>
        <w:rPr>
          <w:rFonts w:ascii="Arial" w:hAnsi="Arial"/>
          <w:sz w:val="22"/>
        </w:rPr>
        <w:t>Density-driven flow, salt memory in clay and silt layers and ion exchange act over decades, yet every decision must be checked over many storylines and weather sequences; this needs a coupled Newton solver, an exact adjoint and goal-oriented simplification.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4. Sparse data. </w:t>
      </w:r>
      <w:r>
        <w:rPr>
          <w:rFonts w:ascii="Arial" w:hAnsi="Arial"/>
          <w:sz w:val="22"/>
        </w:rPr>
        <w:t>Chloride is sampled at few wells and rarely, piezometers are few, and sea level and recharge are uncertain; deciding where and when to sample is part of the problem.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5. From mathematics to decisions. </w:t>
      </w:r>
      <w:r>
        <w:rPr>
          <w:rFonts w:ascii="Arial" w:hAnsi="Arial"/>
          <w:sz w:val="22"/>
        </w:rPr>
        <w:t>Stakeholders must agree on the acceptable share of seasons above 250 mg/L, on who gives up water, the utility or the farmers, and on the rules that trigger pumping cuts. The trade-off is sharp: the safest tested rule delivers 71% of the planned water in the worst storyline.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6. Validation and transfer. </w:t>
      </w:r>
      <w:r>
        <w:rPr>
          <w:rFonts w:ascii="Arial" w:hAnsi="Arial"/>
          <w:sz w:val="22"/>
        </w:rPr>
        <w:t>Results come from synthetic aquifers on a 2-D section; they must be confirmed with Fushë-Kuqe field data, extended to 3-D and transferred to other coastal and karst aquifers.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