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3059" cy="61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Main_Challeng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059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The main challenge: the pressure on coastal aquifers, four decisions taken separately and their consequences (relevance); the amended Annex V and the 2031 and 2033 milestones of the Water Framework Directive cycle (timeliness); and the main aim of the Action.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