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Missing dynamics in coastal-aquifer flow and multi-species transport: 30 papers for a COST candidate system of equations</w:t>
      </w:r>
    </w:p>
    <w:p>
      <w:pPr>
        <w:spacing w:after="360"/>
      </w:pPr>
      <w:r>
        <w:rPr>
          <w:color w:val="3A4350"/>
          <w:sz w:val="26"/>
          <w:szCs w:val="26"/>
        </w:rPr>
        <w:t xml:space="preserve">The 30 best papers (2020–2026) from Oxford, Harvard, MIT and ETH Zürich, by leading authors and with deep mathematics, that make an augmented system of variable-density flow and multi-species reactive transport (learned closures with memory, confined by stoichiometry, assimilated from heads and hydrochemistry and reported robustly) a world-novel candidate for the COST paper, with a theoretical introduction and a numerically tested innovation on the Fushë-Kuqe chemistry</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propositions and short proofs: the classical variable-density system of the base paper; the flow equation with a learned closure and memory (proposal N1) and why heads cannot separate recharge from the closure; multi-species reactive transport and its reaction invariants; memory from mass transfer with the silt–clay layers; the stoichiometric learned closure; what chemistry identifies that heads cannot; the assimilation of the augmented state with a cut; the hybrid filter of proposal N2; robust status reporting (proposal N3); and the candidate system of equations for the COST paper. </w:t>
      </w:r>
      <w:r>
        <w:rPr>
          <w:b/>
          <w:bCs/>
        </w:rPr>
        <w:t xml:space="preserve">Part II:</w:t>
      </w:r>
      <w:r>
        <w:t xml:space="preserve"> 30 verified papers, none of them in earlier documents of the series, in the requested order: Oxford (O1–O8), Harvard (H1–H7), MIT (M1–M8) and ETH Zürich (E1–E7), each with the standing of its leading authors, a key equation in OMML and an innovation. </w:t>
      </w:r>
      <w:r>
        <w:rPr>
          <w:b/>
          <w:bCs/>
        </w:rPr>
        <w:t xml:space="preserve">Part III:</w:t>
      </w:r>
      <w:r>
        <w:t xml:space="preserve"> synthesis, why the system is new, further reading and the GJURMA-GO (</w:t>
      </w:r>
      <w:r>
        <w:rPr>
          <w:i/>
          <w:iCs/>
        </w:rPr>
        <w:t xml:space="preserve">gjurma</w:t>
      </w:r>
      <w:r>
        <w:t xml:space="preserve">: the trace) innovation: the departures of the Fushë-Kuqe major ions from mixing split into reaction extents, and a twin experiment on a coastal flow line in which a learned closure confined to the stoichiometric span, with a cut through chloride, beats a free learned closure and calibrates the chloride forecast.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results.</w:t>
      </w:r>
    </w:p>
    <w:p>
      <w:pPr>
        <w:pStyle w:val="ListParagraph"/>
        <w:numPr>
          <w:ilvl w:val="0"/>
          <w:numId w:val="2"/>
        </w:numPr>
        <w:spacing w:after="60"/>
        <w:jc w:val="both"/>
      </w:pPr>
      <w:r>
        <w:rPr>
          <w:b/>
          <w:bCs/>
        </w:rPr>
        <w:t xml:space="preserve">Key equation:</w:t>
      </w:r>
      <w:r>
        <w:t xml:space="preserve"> the central model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candidate system and to seawater intrusion</w:t>
      </w:r>
      <w:r>
        <w:t xml:space="preserve"> and </w:t>
      </w:r>
      <w:r>
        <w:rPr>
          <w:b/>
          <w:bCs/>
        </w:rPr>
        <w:t xml:space="preserve">Innovation:</w:t>
      </w:r>
      <w:r>
        <w:t xml:space="preserve"> which term of the system the paper supports (flow closure, transport closure, memory, stoichiometric constraint, assimilation, identifiability or robust reporting) and what it brings that is new.</w:t>
      </w:r>
    </w:p>
    <w:p>
      <w:pPr>
        <w:spacing w:before="360"/>
      </w:pPr>
      <w:r>
        <w:rPr>
          <w:color w:val="5B6573"/>
          <w:sz w:val="20"/>
          <w:szCs w:val="20"/>
        </w:rPr>
        <w:t xml:space="preserve">Search date: 23 October 2026  ·  Period covered: 2020–2026</w:t>
      </w:r>
    </w:p>
    <w:p>
      <w:pPr>
        <w:pStyle w:val="Heading1"/>
        <w:pageBreakBefore/>
      </w:pPr>
      <w:r>
        <w:rPr>
          <w:color w:val="1F3864"/>
        </w:rPr>
        <w:t xml:space="preserve">1. Theoretical introduction: flow and multi-species transport with learned closures and memory</w:t>
      </w:r>
    </w:p>
    <w:p>
      <w:pPr>
        <w:spacing w:after="120"/>
      </w:pPr>
      <w:r>
        <w:rPr>
          <w:i/>
          <w:iCs/>
          <w:color w:val="5B6573"/>
          <w:sz w:val="18"/>
          <w:szCs w:val="18"/>
        </w:rPr>
        <w:t xml:space="preserve">Theoretical introduction written for this document. It starts from the base paper [BA], which designs monitoring and managed recharge for steady variable-density flow coupled to one salt, and from three proposals in the author's notes on dynamic data assimilation: N1, a learned closure with memory inside the flow equation; N2, a hybrid filter that leaves the ensemble Kalman filter only where the forecast is far from Gaussian; and N3, robust reporting of aquifer status. This part adds what the notes asked for: the transport equation with the same kind of additions, for several species. Propositions are stated with short proofs; classical references are B1–B22. Section 1.10 collects the complete system that this document proposes as the candidate system of equations for the COST paper.</w:t>
      </w:r>
    </w:p>
    <w:p>
      <w:pPr>
        <w:pStyle w:val="Heading3"/>
      </w:pPr>
      <w:r>
        <w:rPr>
          <w:color w:val="1F3864"/>
        </w:rPr>
        <w:t xml:space="preserve">1.1 The classical system</w:t>
      </w:r>
    </w:p>
    <w:p>
      <w:pPr>
        <w:spacing w:after="120"/>
        <w:jc w:val="both"/>
      </w:pPr>
      <w:r>
        <w:t xml:space="preserve">In transient form, the system of the base paper [BA] is variable-density flow in the equivalent-freshwater head </w:t>
      </w:r>
      <m:oMath>
        <m:sSub>
          <m:e>
            <m:r>
              <m:t>h</m:t>
            </m:r>
          </m:e>
          <m:sub>
            <m:r>
              <m:t>f</m:t>
            </m:r>
          </m:sub>
        </m:sSub>
      </m:oMath>
      <w:r>
        <w:t xml:space="preserve"> and transport of one salt concentration </w:t>
      </w:r>
      <m:oMath>
        <m:r>
          <m:t>C</m:t>
        </m:r>
      </m:oMath>
      <w:r>
        <w:t xml:space="preserve">, coupled through the density [B12, B13]:</w:t>
      </w:r>
    </w:p>
    <w:p>
      <w:pPr>
        <w:pStyle w:val="Equation"/>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r>
            <m:t> </m:t>
          </m:r>
          <m:r>
            <m:t>δ</m:t>
          </m:r>
          <m:d>
            <m:dPr>
              <m:begChr m:val="("/>
              <m:sepChr m:val=""/>
              <m:endChr m:val=")"/>
              <m:grow/>
            </m:dPr>
            <m:e>
              <m:r>
                <m:rPr>
                  <m:sty m:val="b"/>
                </m:rPr>
                <m:t>x</m:t>
              </m:r>
              <m:r>
                <m:rPr>
                  <m:sty m:val="p"/>
                </m:rPr>
                <m:t>−</m:t>
              </m:r>
              <m:sSub>
                <m:e>
                  <m:r>
                    <m:rPr>
                      <m:sty m:val="b"/>
                    </m:rPr>
                    <m:t>x</m:t>
                  </m:r>
                </m:e>
                <m:sub>
                  <m:r>
                    <m:t>w</m:t>
                  </m:r>
                </m:sub>
              </m:sSub>
            </m:e>
          </m:d>
          <m:r>
            <m:rPr>
              <m:sty m:val="p"/>
            </m:rPr>
            <m:t>,</m:t>
          </m:r>
          <m:r>
            <m:t>  </m:t>
          </m:r>
          <m:r>
            <m:rPr>
              <m:sty m:val="b"/>
            </m:rPr>
            <m:t>q</m:t>
          </m:r>
          <m:r>
            <m:rPr>
              <m:sty m:val="p"/>
            </m:rPr>
            <m:t>=</m:t>
          </m:r>
          <m:r>
            <m:rPr>
              <m:sty m:val="p"/>
            </m:rPr>
            <m:t>−</m:t>
          </m:r>
          <m:sSub>
            <m:e>
              <m:r>
                <m:t>K</m:t>
              </m:r>
            </m:e>
            <m:sub>
              <m:r>
                <m:t>f</m:t>
              </m:r>
            </m:sub>
          </m:sSub>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rPr>
                  <m:sty m:val="p"/>
                </m:rPr>
                <m:t>∇</m:t>
              </m:r>
              <m:r>
                <m:t>z</m:t>
              </m:r>
            </m:e>
          </m:d>
        </m:oMath>
      </m:oMathPara>
    </w:p>
    <w:p>
      <w:pPr>
        <w:pStyle w:val="Equation"/>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t>ϕ</m:t>
              </m:r>
              <m:d>
                <m:dPr>
                  <m:begChr m:val="("/>
                  <m:sepChr m:val=""/>
                  <m:endChr m:val=")"/>
                  <m:grow/>
                </m:dPr>
                <m:e>
                  <m:sSub>
                    <m:e>
                      <m:r>
                        <m:t>D</m:t>
                      </m:r>
                    </m:e>
                    <m:sub>
                      <m:r>
                        <m:t>m</m:t>
                      </m:r>
                    </m:sub>
                  </m:sSub>
                  <m:r>
                    <m:rPr>
                      <m:sty m:val="b"/>
                    </m:rPr>
                    <m:t>I</m:t>
                  </m:r>
                  <m:r>
                    <m:rPr>
                      <m:sty m:val="p"/>
                    </m:rPr>
                    <m:t>+</m:t>
                  </m:r>
                  <m:r>
                    <m:rPr>
                      <m:sty m:val="b"/>
                    </m:rPr>
                    <m:t>D</m:t>
                  </m:r>
                  <m:d>
                    <m:dPr>
                      <m:begChr m:val="("/>
                      <m:sepChr m:val=""/>
                      <m:endChr m:val=")"/>
                      <m:grow/>
                    </m:dPr>
                    <m:e>
                      <m:r>
                        <m:rPr>
                          <m:sty m:val="b"/>
                        </m:rPr>
                        <m:t>q</m:t>
                      </m:r>
                    </m:e>
                  </m:d>
                </m:e>
              </m:d>
              <m:r>
                <m:rPr>
                  <m:sty m:val="p"/>
                </m:rPr>
                <m:t>∇</m:t>
              </m:r>
              <m:r>
                <m:t>C</m:t>
              </m:r>
            </m:e>
          </m:d>
          <m:r>
            <m:rPr>
              <m:sty m:val="p"/>
            </m:rPr>
            <m:t>=</m:t>
          </m:r>
          <m:sSub>
            <m:e>
              <m:r>
                <m:t>q</m:t>
              </m:r>
            </m:e>
            <m:sub>
              <m:r>
                <m:t>s</m:t>
              </m:r>
            </m:sub>
          </m:sSub>
          <m:sSub>
            <m:e>
              <m:r>
                <m:t>C</m:t>
              </m:r>
            </m:e>
            <m:sub>
              <m:r>
                <m:t>s</m:t>
              </m:r>
            </m:sub>
          </m:sSub>
          <m:r>
            <m:rPr>
              <m:sty m:val="p"/>
            </m:rPr>
            <m:t>,</m:t>
          </m:r>
          <m:r>
            <m:t>  </m:t>
          </m:r>
          <m:r>
            <m:t>ρ</m:t>
          </m:r>
          <m:r>
            <m:rPr>
              <m:sty m:val="p"/>
            </m:rPr>
            <m:t>=</m:t>
          </m:r>
          <m:sSub>
            <m:e>
              <m:r>
                <m:t>ρ</m:t>
              </m:r>
            </m:e>
            <m:sub>
              <m:r>
                <m:t>f</m:t>
              </m:r>
            </m:sub>
          </m:sSub>
          <m:r>
            <m:rPr>
              <m:sty m:val="p"/>
            </m:rPr>
            <m:t>+</m:t>
          </m:r>
          <m:f>
            <m:fPr>
              <m:type m:val="bar"/>
            </m:fPr>
            <m:num>
              <m:r>
                <m:rPr>
                  <m:sty m:val="p"/>
                </m:rPr>
                <m:t>∂</m:t>
              </m:r>
              <m:r>
                <m:t>ρ</m:t>
              </m:r>
            </m:num>
            <m:den>
              <m:r>
                <m:rPr>
                  <m:sty m:val="p"/>
                </m:rPr>
                <m:t>∂</m:t>
              </m:r>
              <m:r>
                <m:t>C</m:t>
              </m:r>
            </m:den>
          </m:f>
          <m:r>
            <m:t> </m:t>
          </m:r>
          <m:r>
            <m:t>C</m:t>
          </m:r>
        </m:oMath>
      </m:oMathPara>
    </w:p>
    <w:p>
      <w:pPr>
        <w:spacing w:after="120"/>
        <w:jc w:val="both"/>
      </w:pPr>
      <w:r>
        <w:t xml:space="preserve">The base paper solves the steady form, derives the adjoint of the coupled system and uses it for goal-oriented design; the transient extension is left to a companion paper. Everything below is about what this system leaves out: processes that are known to exist but are not resolved (delayed recharge, exchange with clay layers, reactions between the dissolved ions and the sediment), and the information that several dissolved species carry about them.</w:t>
      </w:r>
    </w:p>
    <w:p>
      <w:pPr>
        <w:spacing w:after="120"/>
        <w:jc w:val="both"/>
      </w:pPr>
      <w:r>
        <w:t xml:space="preserve">In Part II the classical operators are revisited: homogenisation of a random incompressible flow adds a transport-noise term to advection and dispersion [O1]; flows that switch between coherent states make dispersion non-local in space and time [M3]; and reactions limited by incomplete mixing are upscaled through an effective dispersion [E4]. The elliptic character of the head equation shapes how heads can be assimilated [M4].</w:t>
      </w:r>
    </w:p>
    <w:p>
      <w:pPr>
        <w:pStyle w:val="Heading3"/>
      </w:pPr>
      <w:r>
        <w:rPr>
          <w:color w:val="1F3864"/>
        </w:rPr>
        <w:t xml:space="preserve">1.2 Flow with a learned closure and memory (proposal N1)</w:t>
      </w:r>
    </w:p>
    <w:p>
      <w:pPr>
        <w:spacing w:after="120"/>
        <w:jc w:val="both"/>
      </w:pPr>
      <w:r>
        <w:t xml:space="preserve">Proposal N1 adds to the flow equation an unknown term expanded in a basis and a memory term, for delayed recharge through the unsaturated zone or for the exchange between channels and matrix in karst [B19, B20]:</w:t>
      </w:r>
    </w:p>
    <w:p>
      <w:pPr>
        <w:pStyle w:val="Equation"/>
      </w:pPr>
      <m:oMathPara>
        <m:oMathParaPr>
          <m:jc m:val="center"/>
        </m:oMathParaPr>
        <m:oMath>
          <m:r>
            <m:t>S</m:t>
          </m:r>
          <m:r>
            <m:t> </m:t>
          </m:r>
          <m:sSub>
            <m:e>
              <m:r>
                <m:rPr>
                  <m:sty m:val="p"/>
                </m:rPr>
                <m:t>∂</m:t>
              </m:r>
            </m:e>
            <m:sub>
              <m:r>
                <m:t>t</m:t>
              </m:r>
            </m:sub>
          </m:sSub>
          <m:r>
            <m:t>h</m:t>
          </m:r>
          <m:r>
            <m:rPr>
              <m:sty m:val="p"/>
            </m:rPr>
            <m:t>=</m:t>
          </m:r>
          <m:r>
            <m:rPr>
              <m:sty m:val="p"/>
            </m:rPr>
            <m:t>∇</m:t>
          </m:r>
          <m:r>
            <m:rPr>
              <m:sty m:val="p"/>
            </m:rPr>
            <m:t>⋅</m:t>
          </m:r>
          <m:d>
            <m:dPr>
              <m:begChr m:val="("/>
              <m:sepChr m:val=""/>
              <m:endChr m:val=")"/>
              <m:grow/>
            </m:dPr>
            <m:e>
              <m:r>
                <m:t>K</m:t>
              </m:r>
              <m:r>
                <m:rPr>
                  <m:sty m:val="p"/>
                </m:rPr>
                <m:t>∇</m:t>
              </m:r>
              <m:r>
                <m:t>h</m:t>
              </m:r>
            </m:e>
          </m:d>
          <m:r>
            <m:rPr>
              <m:sty m:val="p"/>
            </m:rPr>
            <m:t>+</m:t>
          </m:r>
          <m:r>
            <m:t>q</m:t>
          </m:r>
          <m:r>
            <m:rPr>
              <m:sty m:val="p"/>
            </m:rPr>
            <m:t>+</m:t>
          </m:r>
          <m:nary>
            <m:naryPr>
              <m:chr m:val="∑"/>
              <m:limLoc m:val="undOvr"/>
              <m:subHide m:val="off"/>
              <m:supHide m:val="off"/>
            </m:naryPr>
            <m:sub>
              <m:r>
                <m:t>k</m:t>
              </m:r>
              <m:r>
                <m:rPr>
                  <m:sty m:val="p"/>
                </m:rPr>
                <m:t>=</m:t>
              </m:r>
              <m:r>
                <m:t>1</m:t>
              </m:r>
            </m:sub>
            <m:sup>
              <m:r>
                <m:t>K</m:t>
              </m:r>
            </m:sup>
            <m:e>
              <m:sSub>
                <m:e>
                  <m:r>
                    <m:t>γ</m:t>
                  </m:r>
                </m:e>
                <m:sub>
                  <m:r>
                    <m:t>k</m:t>
                  </m:r>
                </m:sub>
              </m:sSub>
            </m:e>
          </m:nary>
          <m:sSub>
            <m:e>
              <m:r>
                <m:t>Ψ</m:t>
              </m:r>
            </m:e>
            <m:sub>
              <m:r>
                <m:t>k</m:t>
              </m:r>
            </m:sub>
          </m:sSub>
          <m:d>
            <m:dPr>
              <m:begChr m:val="("/>
              <m:sepChr m:val=""/>
              <m:endChr m:val=")"/>
              <m:grow/>
            </m:dPr>
            <m:e>
              <m:r>
                <m:t>h</m:t>
              </m:r>
              <m:r>
                <m:rPr>
                  <m:sty m:val="p"/>
                </m:rPr>
                <m:t>,</m:t>
              </m:r>
              <m:r>
                <m:rPr>
                  <m:sty m:val="b"/>
                </m:rPr>
                <m:t>x</m:t>
              </m:r>
            </m:e>
          </m:d>
          <m:r>
            <m:rPr>
              <m:sty m:val="p"/>
            </m:rPr>
            <m:t>+</m:t>
          </m:r>
          <m:nary>
            <m:naryPr>
              <m:chr m:val="∫"/>
              <m:limLoc m:val="subSup"/>
              <m:subHide m:val="off"/>
              <m:supHide m:val="off"/>
            </m:naryPr>
            <m:sub>
              <m:r>
                <m:t>0</m:t>
              </m:r>
            </m:sub>
            <m:sup>
              <m:r>
                <m:t>τ</m:t>
              </m:r>
            </m:sup>
            <m:e>
              <m:sSub>
                <m:e>
                  <m:r>
                    <m:t>κ</m:t>
                  </m:r>
                </m:e>
                <m:sub>
                  <m:r>
                    <m:t>φ</m:t>
                  </m:r>
                </m:sub>
              </m:sSub>
            </m:e>
          </m:nary>
          <m:d>
            <m:dPr>
              <m:begChr m:val="("/>
              <m:sepChr m:val=""/>
              <m:endChr m:val=")"/>
              <m:grow/>
            </m:dPr>
            <m:e>
              <m:r>
                <m:t>s</m:t>
              </m:r>
            </m:e>
          </m:d>
          <m:r>
            <m:t> </m:t>
          </m:r>
          <m:r>
            <m:t>h</m:t>
          </m:r>
          <m:d>
            <m:dPr>
              <m:begChr m:val="("/>
              <m:sepChr m:val=""/>
              <m:endChr m:val=")"/>
              <m:grow/>
            </m:dPr>
            <m:e>
              <m:r>
                <m:rPr>
                  <m:sty m:val="b"/>
                </m:rPr>
                <m:t>x</m:t>
              </m:r>
              <m:r>
                <m:rPr>
                  <m:sty m:val="p"/>
                </m:rPr>
                <m:t>,</m:t>
              </m:r>
              <m:r>
                <m:t>t</m:t>
              </m:r>
              <m:r>
                <m:rPr>
                  <m:sty m:val="p"/>
                </m:rPr>
                <m:t>−</m:t>
              </m:r>
              <m:r>
                <m:t>s</m:t>
              </m:r>
            </m:e>
          </m:d>
          <m:r>
            <m:t>d</m:t>
          </m:r>
          <m:r>
            <m:t>s</m:t>
          </m:r>
        </m:oMath>
      </m:oMathPara>
    </w:p>
    <w:p>
      <w:pPr>
        <w:spacing w:after="120"/>
        <w:jc w:val="both"/>
      </w:pPr>
      <w:r>
        <w:rPr>
          <w:b/>
          <w:bCs/>
        </w:rPr>
        <w:t xml:space="preserve">Proposition 1 (heads see only the total source).</w:t>
      </w:r>
      <w:r>
        <w:t xml:space="preserve"> Let </w:t>
      </w:r>
      <m:oMath>
        <m:r>
          <m:t>s</m:t>
        </m:r>
        <m:d>
          <m:dPr>
            <m:begChr m:val="("/>
            <m:sepChr m:val=""/>
            <m:endChr m:val=")"/>
            <m:grow/>
          </m:dPr>
          <m:e>
            <m:r>
              <m:rPr>
                <m:sty m:val="b"/>
              </m:rPr>
              <m:t>x</m:t>
            </m:r>
            <m:r>
              <m:rPr>
                <m:sty m:val="p"/>
              </m:rPr>
              <m:t>,</m:t>
            </m:r>
            <m:r>
              <m:t>t</m:t>
            </m:r>
          </m:e>
        </m:d>
      </m:oMath>
      <w:r>
        <w:t xml:space="preserve"> be the sum of the recharge </w:t>
      </w:r>
      <m:oMath>
        <m:r>
          <m:t>q</m:t>
        </m:r>
      </m:oMath>
      <w:r>
        <w:t xml:space="preserve">, the closure </w:t>
      </w:r>
      <m:oMath>
        <m:nary>
          <m:naryPr>
            <m:chr m:val="∑"/>
            <m:limLoc m:val="undOvr"/>
            <m:subHide m:val="off"/>
            <m:supHide m:val="on"/>
          </m:naryPr>
          <m:sub>
            <m:r>
              <m:t>k</m:t>
            </m:r>
          </m:sub>
          <m:sup>
            <m:r>
              <m:t>​</m:t>
            </m:r>
          </m:sup>
          <m:e>
            <m:sSub>
              <m:e>
                <m:r>
                  <m:t>γ</m:t>
                </m:r>
              </m:e>
              <m:sub>
                <m:r>
                  <m:t>k</m:t>
                </m:r>
              </m:sub>
            </m:sSub>
          </m:e>
        </m:nary>
        <m:sSub>
          <m:e>
            <m:r>
              <m:t>Ψ</m:t>
            </m:r>
          </m:e>
          <m:sub>
            <m:r>
              <m:t>k</m:t>
            </m:r>
          </m:sub>
        </m:sSub>
      </m:oMath>
      <w:r>
        <w:t xml:space="preserve"> and the memory term along the head trajectory. Two sets of recharge and closure parameters produce the same heads if and only if they produce the same </w:t>
      </w:r>
      <m:oMath>
        <m:r>
          <m:t>s</m:t>
        </m:r>
      </m:oMath>
      <w:r>
        <w:t xml:space="preserve">; in particular, a change </w:t>
      </w:r>
      <m:oMath>
        <m:r>
          <m:t>δ</m:t>
        </m:r>
        <m:r>
          <m:t>q</m:t>
        </m:r>
      </m:oMath>
      <w:r>
        <w:t xml:space="preserve"> of the recharge that lies in the span of the basis can be absorbed by a change </w:t>
      </w:r>
      <m:oMath>
        <m:nary>
          <m:naryPr>
            <m:chr m:val="∑"/>
            <m:limLoc m:val="undOvr"/>
            <m:subHide m:val="off"/>
            <m:supHide m:val="on"/>
          </m:naryPr>
          <m:sub>
            <m:r>
              <m:t>k</m:t>
            </m:r>
          </m:sub>
          <m:sup>
            <m:r>
              <m:t>​</m:t>
            </m:r>
          </m:sup>
          <m:e>
            <m:r>
              <m:t>δ</m:t>
            </m:r>
          </m:e>
        </m:nary>
        <m:sSub>
          <m:e>
            <m:r>
              <m:t>γ</m:t>
            </m:r>
          </m:e>
          <m:sub>
            <m:r>
              <m:t>k</m:t>
            </m:r>
          </m:sub>
        </m:sSub>
        <m:sSub>
          <m:e>
            <m:r>
              <m:t>Ψ</m:t>
            </m:r>
          </m:e>
          <m:sub>
            <m:r>
              <m:t>k</m:t>
            </m:r>
          </m:sub>
        </m:sSub>
        <m:r>
          <m:rPr>
            <m:sty m:val="p"/>
          </m:rPr>
          <m:t>=</m:t>
        </m:r>
        <m:r>
          <m:rPr>
            <m:sty m:val="p"/>
          </m:rPr>
          <m:t>−</m:t>
        </m:r>
        <m:r>
          <m:t>δ</m:t>
        </m:r>
        <m:r>
          <m:t>q</m:t>
        </m:r>
      </m:oMath>
      <w:r>
        <w:t xml:space="preserve"> of the closure without changing any head. </w:t>
      </w:r>
      <w:r>
        <w:rPr>
          <w:i/>
          <w:iCs/>
        </w:rPr>
        <w:t xml:space="preserve">Proof.</w:t>
      </w:r>
      <w:r>
        <w:t xml:space="preserve"> The head equation depends on the recharge and the closure only through </w:t>
      </w:r>
      <m:oMath>
        <m:r>
          <m:t>s</m:t>
        </m:r>
      </m:oMath>
      <w:r>
        <w:t xml:space="preserve">, and for given </w:t>
      </w:r>
      <m:oMath>
        <m:r>
          <m:t>s</m:t>
        </m:r>
      </m:oMath>
      <w:r>
        <w:t xml:space="preserve">, </w:t>
      </w:r>
      <m:oMath>
        <m:r>
          <m:t>K</m:t>
        </m:r>
      </m:oMath>
      <w:r>
        <w:t xml:space="preserve">, </w:t>
      </w:r>
      <m:oMath>
        <m:r>
          <m:t>S</m:t>
        </m:r>
      </m:oMath>
      <w:r>
        <w:t xml:space="preserve"> and boundary data its solution is unique. </w:t>
      </w:r>
      <m:oMath>
        <m:r>
          <m:rPr>
            <m:sty m:val="p"/>
          </m:rPr>
          <m:t>▫</m:t>
        </m:r>
      </m:oMath>
      <w:r>
        <w:t xml:space="preserve"> Heads alone therefore cannot separate recharge from the closure, which is the warning attached to N1 in the notes. Section 1.6 shows that the chemistry of the water can.</w:t>
      </w:r>
    </w:p>
    <w:p>
      <w:pPr>
        <w:spacing w:after="120"/>
        <w:jc w:val="both"/>
      </w:pPr>
      <w:r>
        <w:t xml:space="preserve">The flow closure of N1 has learned counterparts in Part II: delay closures justified by the Mori–Zwanzig formalism [M1], closures with a hard physical constraint [M5], memory operators that oscillator networks approximate universally [E1], and empirical response kernels estimated from records [E3]. The separability warning of Proposition 1 is quantified for sources and sinks by Bayesian inversion [H4] and made visible by identifiable surrogates [O6].</w:t>
      </w:r>
    </w:p>
    <w:p>
      <w:pPr>
        <w:pStyle w:val="Heading3"/>
      </w:pPr>
      <w:r>
        <w:rPr>
          <w:color w:val="1F3864"/>
        </w:rPr>
        <w:t xml:space="preserve">1.3 Multi-species reactive transport</w:t>
      </w:r>
    </w:p>
    <w:p>
      <w:pPr>
        <w:spacing w:after="120"/>
        <w:jc w:val="both"/>
      </w:pPr>
      <w:r>
        <w:t xml:space="preserve">With </w:t>
      </w:r>
      <m:oMath>
        <m:r>
          <m:t>n</m:t>
        </m:r>
      </m:oMath>
      <w:r>
        <w:t xml:space="preserve"> dissolved species </w:t>
      </w:r>
      <m:oMath>
        <m:r>
          <m:rPr>
            <m:sty m:val="b"/>
          </m:rPr>
          <m:t>c</m:t>
        </m:r>
        <m:r>
          <m:rPr>
            <m:sty m:val="p"/>
          </m:rPr>
          <m:t>=</m:t>
        </m:r>
        <m:d>
          <m:dPr>
            <m:begChr m:val="("/>
            <m:sepChr m:val=""/>
            <m:endChr m:val=")"/>
            <m:grow/>
          </m:dPr>
          <m:e>
            <m:sSub>
              <m:e>
                <m:r>
                  <m:t>c</m:t>
                </m:r>
              </m:e>
              <m:sub>
                <m:r>
                  <m:rPr>
                    <m:nor/>
                  </m:rPr>
                  <m:t>Cl</m:t>
                </m:r>
              </m:sub>
            </m:sSub>
            <m:r>
              <m:rPr>
                <m:sty m:val="p"/>
              </m:rPr>
              <m:t>,</m:t>
            </m:r>
            <m:sSub>
              <m:e>
                <m:r>
                  <m:t>c</m:t>
                </m:r>
              </m:e>
              <m:sub>
                <m:r>
                  <m:rPr>
                    <m:nor/>
                  </m:rPr>
                  <m:t>Na</m:t>
                </m:r>
              </m:sub>
            </m:sSub>
            <m:r>
              <m:rPr>
                <m:sty m:val="p"/>
              </m:rPr>
              <m:t>,</m:t>
            </m:r>
            <m:sSub>
              <m:e>
                <m:r>
                  <m:t>c</m:t>
                </m:r>
              </m:e>
              <m:sub>
                <m:r>
                  <m:rPr>
                    <m:nor/>
                  </m:rPr>
                  <m:t>K</m:t>
                </m:r>
              </m:sub>
            </m:sSub>
            <m:r>
              <m:rPr>
                <m:sty m:val="p"/>
              </m:rPr>
              <m:t>,</m:t>
            </m:r>
            <m:sSub>
              <m:e>
                <m:r>
                  <m:t>c</m:t>
                </m:r>
              </m:e>
              <m:sub>
                <m:r>
                  <m:rPr>
                    <m:nor/>
                  </m:rPr>
                  <m:t>Ca</m:t>
                </m:r>
              </m:sub>
            </m:sSub>
            <m:r>
              <m:rPr>
                <m:sty m:val="p"/>
              </m:rPr>
              <m:t>,</m:t>
            </m:r>
            <m:sSub>
              <m:e>
                <m:r>
                  <m:t>c</m:t>
                </m:r>
              </m:e>
              <m:sub>
                <m:r>
                  <m:rPr>
                    <m:nor/>
                  </m:rPr>
                  <m:t>Mg</m:t>
                </m:r>
              </m:sub>
            </m:sSub>
            <m:r>
              <m:rPr>
                <m:sty m:val="p"/>
              </m:rPr>
              <m:t>,</m:t>
            </m:r>
            <m:sSub>
              <m:e>
                <m:r>
                  <m:t>c</m:t>
                </m:r>
              </m:e>
              <m:sub>
                <m:r>
                  <m:rPr>
                    <m:nor/>
                  </m:rPr>
                  <m:t>SO4</m:t>
                </m:r>
              </m:sub>
            </m:sSub>
            <m:r>
              <m:rPr>
                <m:sty m:val="p"/>
              </m:rPr>
              <m:t>,</m:t>
            </m:r>
            <m:sSub>
              <m:e>
                <m:r>
                  <m:t>c</m:t>
                </m:r>
              </m:e>
              <m:sub>
                <m:r>
                  <m:rPr>
                    <m:nor/>
                  </m:rPr>
                  <m:t>HCO3</m:t>
                </m:r>
              </m:sub>
            </m:sSub>
          </m:e>
        </m:d>
      </m:oMath>
      <w:r>
        <w:t xml:space="preserve"> and </w:t>
      </w:r>
      <m:oMath>
        <m:r>
          <m:t>m</m:t>
        </m:r>
      </m:oMath>
      <w:r>
        <w:t xml:space="preserve"> reactions with stoichiometric matrix </w:t>
      </w:r>
      <m:oMath>
        <m:r>
          <m:t>N</m:t>
        </m:r>
        <m:r>
          <m:rPr>
            <m:sty m:val="p"/>
          </m:rPr>
          <m:t>∈</m:t>
        </m:r>
        <m:sSup>
          <m:e>
            <m:r>
              <m:rPr>
                <m:scr m:val="double-struck"/>
                <m:sty m:val="p"/>
              </m:rPr>
              <m:t>R</m:t>
            </m:r>
          </m:e>
          <m:sup>
            <m:r>
              <m:t>n</m:t>
            </m:r>
            <m:r>
              <m:rPr>
                <m:sty m:val="p"/>
              </m:rPr>
              <m:t>×</m:t>
            </m:r>
            <m:r>
              <m:t>m</m:t>
            </m:r>
          </m:sup>
        </m:sSup>
      </m:oMath>
      <w:r>
        <w:t xml:space="preserve"> and rates </w:t>
      </w:r>
      <m:oMath>
        <m:r>
          <m:rPr>
            <m:sty m:val="b"/>
          </m:rPr>
          <m:t>r</m:t>
        </m:r>
      </m:oMath>
      <w:r>
        <w:t xml:space="preserve">, the classical extension of the transport equation is [B1, B7, B8]</w:t>
      </w:r>
    </w:p>
    <w:p>
      <w:pPr>
        <w:pStyle w:val="Equation"/>
      </w:pPr>
      <m:oMathPara>
        <m:oMathParaPr>
          <m:jc m:val="center"/>
        </m:oMathParaPr>
        <m:oMath>
          <m:r>
            <m:t>ϕ</m:t>
          </m:r>
          <m:r>
            <m:t> </m:t>
          </m:r>
          <m:sSub>
            <m:e>
              <m:r>
                <m:rPr>
                  <m:sty m:val="p"/>
                </m:rPr>
                <m:t>∂</m:t>
              </m:r>
            </m:e>
            <m:sub>
              <m:r>
                <m:t>t</m:t>
              </m:r>
            </m:sub>
          </m:sSub>
          <m:r>
            <m:rPr>
              <m:sty m:val="b"/>
            </m:rPr>
            <m:t>c</m:t>
          </m:r>
          <m:r>
            <m:rPr>
              <m:sty m:val="p"/>
            </m:rPr>
            <m:t>+</m:t>
          </m:r>
          <m:r>
            <m:rPr>
              <m:sty m:val="p"/>
            </m:rPr>
            <m:t>∇</m:t>
          </m:r>
          <m:r>
            <m:rPr>
              <m:sty m:val="p"/>
            </m:rPr>
            <m:t>⋅</m:t>
          </m:r>
          <m:d>
            <m:dPr>
              <m:begChr m:val="("/>
              <m:sepChr m:val=""/>
              <m:endChr m:val=")"/>
              <m:grow/>
            </m:dPr>
            <m:e>
              <m:r>
                <m:rPr>
                  <m:sty m:val="b"/>
                </m:rPr>
                <m:t>q</m:t>
              </m:r>
              <m:r>
                <m:t> </m:t>
              </m:r>
              <m:r>
                <m:rPr>
                  <m:sty m:val="b"/>
                </m:rPr>
                <m:t>c</m:t>
              </m:r>
            </m:e>
          </m:d>
          <m:r>
            <m:rPr>
              <m:sty m:val="p"/>
            </m:rPr>
            <m:t>−</m:t>
          </m:r>
          <m:r>
            <m:rPr>
              <m:sty m:val="p"/>
            </m:rPr>
            <m:t>∇</m:t>
          </m:r>
          <m:r>
            <m:rPr>
              <m:sty m:val="p"/>
            </m:rPr>
            <m:t>⋅</m:t>
          </m:r>
          <m:d>
            <m:dPr>
              <m:begChr m:val="("/>
              <m:sepChr m:val=""/>
              <m:endChr m:val=")"/>
              <m:grow/>
            </m:dPr>
            <m:e>
              <m:r>
                <m:t>ϕ</m:t>
              </m:r>
              <m:r>
                <m:rPr>
                  <m:sty m:val="b"/>
                </m:rPr>
                <m:t>D</m:t>
              </m:r>
              <m:r>
                <m:rPr>
                  <m:sty m:val="p"/>
                </m:rPr>
                <m:t>∇</m:t>
              </m:r>
              <m:r>
                <m:rPr>
                  <m:sty m:val="b"/>
                </m:rPr>
                <m:t>c</m:t>
              </m:r>
            </m:e>
          </m:d>
          <m:r>
            <m:rPr>
              <m:sty m:val="p"/>
            </m:rPr>
            <m:t>=</m:t>
          </m:r>
          <m:r>
            <m:t>N</m:t>
          </m:r>
          <m:r>
            <m:t> </m:t>
          </m:r>
          <m:r>
            <m:rPr>
              <m:sty m:val="b"/>
            </m:rPr>
            <m:t>r</m:t>
          </m:r>
          <m:d>
            <m:dPr>
              <m:begChr m:val="("/>
              <m:sepChr m:val=""/>
              <m:endChr m:val=")"/>
              <m:grow/>
            </m:dPr>
            <m:e>
              <m:r>
                <m:rPr>
                  <m:sty m:val="b"/>
                </m:rPr>
                <m:t>c</m:t>
              </m:r>
            </m:e>
          </m:d>
          <m:r>
            <m:rPr>
              <m:sty m:val="p"/>
            </m:rPr>
            <m:t>+</m:t>
          </m:r>
          <m:sSub>
            <m:e>
              <m:r>
                <m:t>q</m:t>
              </m:r>
            </m:e>
            <m:sub>
              <m:r>
                <m:t>s</m:t>
              </m:r>
            </m:sub>
          </m:sSub>
          <m:sSup>
            <m:e>
              <m:r>
                <m:rPr>
                  <m:sty m:val="b"/>
                </m:rPr>
                <m:t>c</m:t>
              </m:r>
            </m:e>
            <m:sup>
              <m:r>
                <m:t>s</m:t>
              </m:r>
            </m:sup>
          </m:sSup>
        </m:oMath>
      </m:oMathPara>
    </w:p>
    <w:p>
      <w:pPr>
        <w:spacing w:after="120"/>
        <w:jc w:val="both"/>
      </w:pPr>
      <w:r>
        <w:t xml:space="preserve">The reactions that matter in a salinising alluvial aquifer are cation exchange on the clay minerals, in Gaines–Thomas form </w:t>
      </w:r>
      <m:oMath>
        <m:sSub>
          <m:e>
            <m:r>
              <m:t>K</m:t>
            </m:r>
          </m:e>
          <m:sub>
            <m:r>
              <m:rPr>
                <m:nor/>
              </m:rPr>
              <m:t>Na</m:t>
            </m:r>
            <m:r>
              <m:rPr>
                <m:sty m:val="p"/>
              </m:rPr>
              <m:t>∖</m:t>
            </m:r>
            <m:r>
              <m:t>I</m:t>
            </m:r>
          </m:sub>
        </m:sSub>
        <m:r>
          <m:rPr>
            <m:sty m:val="p"/>
          </m:rPr>
          <m:t>=</m:t>
        </m:r>
        <m:sSub>
          <m:e>
            <m:r>
              <m:t>β</m:t>
            </m:r>
          </m:e>
          <m:sub>
            <m:r>
              <m:rPr>
                <m:nor/>
              </m:rPr>
              <m:t>Na</m:t>
            </m:r>
          </m:sub>
        </m:sSub>
        <m:sSup>
          <m:e>
            <m:d>
              <m:dPr>
                <m:begChr m:val="["/>
                <m:sepChr m:val=""/>
                <m:endChr m:val="]"/>
                <m:grow/>
              </m:dPr>
              <m:e>
                <m:r>
                  <m:t>I</m:t>
                </m:r>
              </m:e>
            </m:d>
          </m:e>
          <m:sup>
            <m:r>
              <m:t>1</m:t>
            </m:r>
            <m:r>
              <m:rPr>
                <m:sty m:val="p"/>
              </m:rPr>
              <m:t>/</m:t>
            </m:r>
            <m:r>
              <m:t>i</m:t>
            </m:r>
          </m:sup>
        </m:sSup>
        <m:r>
          <m:rPr>
            <m:sty m:val="p"/>
          </m:rPr>
          <m:t>/</m:t>
        </m:r>
        <m:d>
          <m:dPr>
            <m:begChr m:val="("/>
            <m:sepChr m:val=""/>
            <m:endChr m:val=")"/>
            <m:grow/>
          </m:dPr>
          <m:e>
            <m:sSubSup>
              <m:e>
                <m:r>
                  <m:t>β</m:t>
                </m:r>
              </m:e>
              <m:sub>
                <m:r>
                  <m:t>I</m:t>
                </m:r>
              </m:sub>
              <m:sup>
                <m:r>
                  <m:t>1</m:t>
                </m:r>
                <m:r>
                  <m:rPr>
                    <m:sty m:val="p"/>
                  </m:rPr>
                  <m:t>/</m:t>
                </m:r>
                <m:r>
                  <m:t>i</m:t>
                </m:r>
              </m:sup>
            </m:sSubSup>
            <m:d>
              <m:dPr>
                <m:begChr m:val="["/>
                <m:sepChr m:val=""/>
                <m:endChr m:val="]"/>
                <m:grow/>
              </m:dPr>
              <m:e>
                <m:r>
                  <m:rPr>
                    <m:nor/>
                  </m:rPr>
                  <m:t>Na</m:t>
                </m:r>
              </m:e>
            </m:d>
          </m:e>
        </m:d>
      </m:oMath>
      <w:r>
        <w:t xml:space="preserve"> with equivalent fractions </w:t>
      </w:r>
      <m:oMath>
        <m:r>
          <m:t>β</m:t>
        </m:r>
      </m:oMath>
      <w:r>
        <w:t xml:space="preserve"> on the exchanger [B1, B15]; sulfate reduction by organic matter; and calcite dissolution or precipitation. The density now follows from the composition. </w:t>
      </w:r>
      <w:r>
        <w:rPr>
          <w:b/>
          <w:bCs/>
        </w:rPr>
        <w:t xml:space="preserve">Proposition 2 (reaction invariants [B7, B8]).</w:t>
      </w:r>
      <w:r>
        <w:t xml:space="preserve"> For every matrix </w:t>
      </w:r>
      <m:oMath>
        <m:r>
          <m:t>W</m:t>
        </m:r>
      </m:oMath>
      <w:r>
        <w:t xml:space="preserve"> with </w:t>
      </w:r>
      <m:oMath>
        <m:sSup>
          <m:e>
            <m:r>
              <m:t>W</m:t>
            </m:r>
          </m:e>
          <m:sup>
            <m:r>
              <m:rPr>
                <m:nor/>
              </m:rPr>
              <m:t>T</m:t>
            </m:r>
          </m:sup>
        </m:sSup>
        <m:r>
          <m:t>N</m:t>
        </m:r>
        <m:r>
          <m:rPr>
            <m:sty m:val="p"/>
          </m:rPr>
          <m:t>=</m:t>
        </m:r>
        <m:r>
          <m:t>0</m:t>
        </m:r>
      </m:oMath>
      <w:r>
        <w:t xml:space="preserve">, the components </w:t>
      </w:r>
      <m:oMath>
        <m:r>
          <m:rPr>
            <m:sty m:val="b"/>
          </m:rPr>
          <m:t>u</m:t>
        </m:r>
        <m:r>
          <m:rPr>
            <m:sty m:val="p"/>
          </m:rPr>
          <m:t>=</m:t>
        </m:r>
        <m:sSup>
          <m:e>
            <m:r>
              <m:t>W</m:t>
            </m:r>
          </m:e>
          <m:sup>
            <m:r>
              <m:rPr>
                <m:nor/>
              </m:rPr>
              <m:t>T</m:t>
            </m:r>
          </m:sup>
        </m:sSup>
        <m:r>
          <m:rPr>
            <m:sty m:val="b"/>
          </m:rPr>
          <m:t>c</m:t>
        </m:r>
      </m:oMath>
      <w:r>
        <w:t xml:space="preserve"> satisfy the conservative transport equation </w:t>
      </w:r>
      <m:oMath>
        <m:r>
          <m:t>ϕ</m:t>
        </m:r>
        <m:r>
          <m:t> </m:t>
        </m:r>
        <m:sSub>
          <m:e>
            <m:r>
              <m:rPr>
                <m:sty m:val="p"/>
              </m:rPr>
              <m:t>∂</m:t>
            </m:r>
          </m:e>
          <m:sub>
            <m:r>
              <m:t>t</m:t>
            </m:r>
          </m:sub>
        </m:sSub>
        <m:r>
          <m:rPr>
            <m:sty m:val="b"/>
          </m:rPr>
          <m:t>u</m:t>
        </m:r>
        <m:r>
          <m:rPr>
            <m:sty m:val="p"/>
          </m:rPr>
          <m:t>+</m:t>
        </m:r>
        <m:r>
          <m:rPr>
            <m:sty m:val="p"/>
          </m:rPr>
          <m:t>∇</m:t>
        </m:r>
        <m:r>
          <m:rPr>
            <m:sty m:val="p"/>
          </m:rPr>
          <m:t>⋅</m:t>
        </m:r>
        <m:d>
          <m:dPr>
            <m:begChr m:val="("/>
            <m:sepChr m:val=""/>
            <m:endChr m:val=")"/>
            <m:grow/>
          </m:dPr>
          <m:e>
            <m:r>
              <m:rPr>
                <m:sty m:val="b"/>
              </m:rPr>
              <m:t>q</m:t>
            </m:r>
            <m:r>
              <m:rPr>
                <m:sty m:val="b"/>
              </m:rPr>
              <m:t>u</m:t>
            </m:r>
          </m:e>
        </m:d>
        <m:r>
          <m:rPr>
            <m:sty m:val="p"/>
          </m:rPr>
          <m:t>−</m:t>
        </m:r>
        <m:r>
          <m:rPr>
            <m:sty m:val="p"/>
          </m:rPr>
          <m:t>∇</m:t>
        </m:r>
        <m:r>
          <m:rPr>
            <m:sty m:val="p"/>
          </m:rPr>
          <m:t>⋅</m:t>
        </m:r>
        <m:d>
          <m:dPr>
            <m:begChr m:val="("/>
            <m:sepChr m:val=""/>
            <m:endChr m:val=")"/>
            <m:grow/>
          </m:dPr>
          <m:e>
            <m:r>
              <m:t>ϕ</m:t>
            </m:r>
            <m:r>
              <m:rPr>
                <m:sty m:val="b"/>
              </m:rPr>
              <m:t>D</m:t>
            </m:r>
            <m:r>
              <m:rPr>
                <m:sty m:val="p"/>
              </m:rPr>
              <m:t>∇</m:t>
            </m:r>
            <m:r>
              <m:rPr>
                <m:sty m:val="b"/>
              </m:rPr>
              <m:t>u</m:t>
            </m:r>
          </m:e>
        </m:d>
        <m:r>
          <m:rPr>
            <m:sty m:val="p"/>
          </m:rPr>
          <m:t>=</m:t>
        </m:r>
        <m:sSub>
          <m:e>
            <m:r>
              <m:t>q</m:t>
            </m:r>
          </m:e>
          <m:sub>
            <m:r>
              <m:t>s</m:t>
            </m:r>
          </m:sub>
        </m:sSub>
        <m:sSup>
          <m:e>
            <m:r>
              <m:rPr>
                <m:sty m:val="b"/>
              </m:rPr>
              <m:t>u</m:t>
            </m:r>
          </m:e>
          <m:sup>
            <m:r>
              <m:t>s</m:t>
            </m:r>
          </m:sup>
        </m:sSup>
      </m:oMath>
      <w:r>
        <w:t xml:space="preserve">. </w:t>
      </w:r>
      <w:r>
        <w:rPr>
          <w:i/>
          <w:iCs/>
        </w:rPr>
        <w:t xml:space="preserve">Proof.</w:t>
      </w:r>
      <w:r>
        <w:t xml:space="preserve"> Multiply the system by </w:t>
      </w:r>
      <m:oMath>
        <m:sSup>
          <m:e>
            <m:r>
              <m:t>W</m:t>
            </m:r>
          </m:e>
          <m:sup>
            <m:r>
              <m:rPr>
                <m:nor/>
              </m:rPr>
              <m:t>T</m:t>
            </m:r>
          </m:sup>
        </m:sSup>
      </m:oMath>
      <w:r>
        <w:t xml:space="preserve">: advection, dispersion and storage act on every species in the same way, so they commute with </w:t>
      </w:r>
      <m:oMath>
        <m:sSup>
          <m:e>
            <m:r>
              <m:t>W</m:t>
            </m:r>
          </m:e>
          <m:sup>
            <m:r>
              <m:rPr>
                <m:nor/>
              </m:rPr>
              <m:t>T</m:t>
            </m:r>
          </m:sup>
        </m:sSup>
      </m:oMath>
      <w:r>
        <w:t xml:space="preserve">, and </w:t>
      </w:r>
      <m:oMath>
        <m:sSup>
          <m:e>
            <m:r>
              <m:t>W</m:t>
            </m:r>
          </m:e>
          <m:sup>
            <m:r>
              <m:rPr>
                <m:nor/>
              </m:rPr>
              <m:t>T</m:t>
            </m:r>
          </m:sup>
        </m:sSup>
        <m:r>
          <m:t>N</m:t>
        </m:r>
        <m:r>
          <m:rPr>
            <m:sty m:val="b"/>
          </m:rPr>
          <m:t>r</m:t>
        </m:r>
        <m:r>
          <m:rPr>
            <m:sty m:val="p"/>
          </m:rPr>
          <m:t>=</m:t>
        </m:r>
        <m:r>
          <m:t>0</m:t>
        </m:r>
      </m:oMath>
      <w:r>
        <w:t xml:space="preserve">. </w:t>
      </w:r>
      <m:oMath>
        <m:r>
          <m:rPr>
            <m:sty m:val="p"/>
          </m:rPr>
          <m:t>▫</m:t>
        </m:r>
      </m:oMath>
      <w:r>
        <w:t xml:space="preserve"> For the seven major ions and the five reactions used in section 9, the invariants are chloride and the charge balance: chloride carries the transport alone.</w:t>
      </w:r>
    </w:p>
    <w:p>
      <w:pPr>
        <w:spacing w:after="120"/>
        <w:jc w:val="both"/>
      </w:pPr>
      <w:r>
        <w:t xml:space="preserve">Multi-species reaction terms inside transport models are learned online [H1], stabilised and compressed [H2], reduced locally to the active reactions [H3], and learned by a network whose weights are stoichiometric coefficients [M7]; the upscaled rate of a mixing-controlled reaction depends on the gradient of a conservative mixing ratio [E4], which in a coastal aquifer is computed from chloride.</w:t>
      </w:r>
    </w:p>
    <w:p>
      <w:pPr>
        <w:pStyle w:val="Heading3"/>
      </w:pPr>
      <w:r>
        <w:rPr>
          <w:color w:val="1F3864"/>
        </w:rPr>
        <w:t xml:space="preserve">1.4 Memory from the silt–clay layers</w:t>
      </w:r>
    </w:p>
    <w:p>
      <w:pPr>
        <w:spacing w:after="120"/>
        <w:jc w:val="both"/>
      </w:pPr>
      <w:r>
        <w:rPr>
          <w:b/>
          <w:bCs/>
        </w:rPr>
        <w:t xml:space="preserve">Proposition 3 (mass transfer is a memory term [B3, B4]).</w:t>
      </w:r>
      <w:r>
        <w:t xml:space="preserve"> Let a mobile zone exchange with an immobile zone (silt–clay intercalations) of capacity ratio </w:t>
      </w:r>
      <m:oMath>
        <m:r>
          <m:t>β</m:t>
        </m:r>
      </m:oMath>
      <w:r>
        <w:t xml:space="preserve"> at rate </w:t>
      </w:r>
      <m:oMath>
        <m:r>
          <m:t>α</m:t>
        </m:r>
      </m:oMath>
      <w:r>
        <w:t xml:space="preserve">, </w:t>
      </w:r>
      <m:oMath>
        <m:sSub>
          <m:e>
            <m:r>
              <m:rPr>
                <m:sty m:val="p"/>
              </m:rPr>
              <m:t>∂</m:t>
            </m:r>
          </m:e>
          <m:sub>
            <m:r>
              <m:t>t</m:t>
            </m:r>
          </m:sub>
        </m:sSub>
        <m:sSub>
          <m:e>
            <m:r>
              <m:t>c</m:t>
            </m:r>
          </m:e>
          <m:sub>
            <m:r>
              <m:t>i</m:t>
            </m:r>
            <m:r>
              <m:t>m</m:t>
            </m:r>
          </m:sub>
        </m:sSub>
        <m:r>
          <m:rPr>
            <m:sty m:val="p"/>
          </m:rPr>
          <m:t>=</m:t>
        </m:r>
        <m:r>
          <m:t>α</m:t>
        </m:r>
        <m:d>
          <m:dPr>
            <m:begChr m:val="("/>
            <m:sepChr m:val=""/>
            <m:endChr m:val=")"/>
            <m:grow/>
          </m:dPr>
          <m:e>
            <m:sSub>
              <m:e>
                <m:r>
                  <m:t>c</m:t>
                </m:r>
              </m:e>
              <m:sub>
                <m:r>
                  <m:t>m</m:t>
                </m:r>
              </m:sub>
            </m:sSub>
            <m:r>
              <m:rPr>
                <m:sty m:val="p"/>
              </m:rPr>
              <m:t>−</m:t>
            </m:r>
            <m:sSub>
              <m:e>
                <m:r>
                  <m:t>c</m:t>
                </m:r>
              </m:e>
              <m:sub>
                <m:r>
                  <m:t>i</m:t>
                </m:r>
                <m:r>
                  <m:t>m</m:t>
                </m:r>
              </m:sub>
            </m:sSub>
          </m:e>
        </m:d>
      </m:oMath>
      <w:r>
        <w:t xml:space="preserve">. Then the mobile concentration obeys</w:t>
      </w:r>
    </w:p>
    <w:p>
      <w:pPr>
        <w:pStyle w:val="Equation"/>
      </w:pPr>
      <m:oMathPara>
        <m:oMathParaPr>
          <m:jc m:val="center"/>
        </m:oMathParaPr>
        <m:oMath>
          <m:r>
            <m:t>ϕ</m:t>
          </m:r>
          <m:r>
            <m:t> </m:t>
          </m:r>
          <m:sSub>
            <m:e>
              <m:r>
                <m:rPr>
                  <m:sty m:val="p"/>
                </m:rPr>
                <m:t>∂</m:t>
              </m:r>
            </m:e>
            <m:sub>
              <m:r>
                <m:t>t</m:t>
              </m:r>
            </m:sub>
          </m:sSub>
          <m:sSub>
            <m:e>
              <m:r>
                <m:t>c</m:t>
              </m:r>
            </m:e>
            <m:sub>
              <m:r>
                <m:t>m</m:t>
              </m:r>
            </m:sub>
          </m:sSub>
          <m:r>
            <m:rPr>
              <m:sty m:val="p"/>
            </m:rPr>
            <m:t>+</m:t>
          </m:r>
          <m:nary>
            <m:naryPr>
              <m:chr m:val="∫"/>
              <m:limLoc m:val="subSup"/>
              <m:subHide m:val="off"/>
              <m:supHide m:val="off"/>
            </m:naryPr>
            <m:sub>
              <m:r>
                <m:t>0</m:t>
              </m:r>
            </m:sub>
            <m:sup>
              <m:r>
                <m:t>t</m:t>
              </m:r>
            </m:sup>
            <m:e>
              <m:r>
                <m:t>κ</m:t>
              </m:r>
            </m:e>
          </m:nary>
          <m:d>
            <m:dPr>
              <m:begChr m:val="("/>
              <m:sepChr m:val=""/>
              <m:endChr m:val=")"/>
              <m:grow/>
            </m:dPr>
            <m:e>
              <m:r>
                <m:t>s</m:t>
              </m:r>
            </m:e>
          </m:d>
          <m:r>
            <m:t> </m:t>
          </m:r>
          <m:sSub>
            <m:e>
              <m:r>
                <m:rPr>
                  <m:sty m:val="p"/>
                </m:rPr>
                <m:t>∂</m:t>
              </m:r>
            </m:e>
            <m:sub>
              <m:r>
                <m:t>t</m:t>
              </m:r>
            </m:sub>
          </m:sSub>
          <m:sSub>
            <m:e>
              <m:r>
                <m:t>c</m:t>
              </m:r>
            </m:e>
            <m:sub>
              <m:r>
                <m:t>m</m:t>
              </m:r>
            </m:sub>
          </m:sSub>
          <m:d>
            <m:dPr>
              <m:begChr m:val="("/>
              <m:sepChr m:val=""/>
              <m:endChr m:val=")"/>
              <m:grow/>
            </m:dPr>
            <m:e>
              <m:r>
                <m:rPr>
                  <m:sty m:val="b"/>
                </m:rPr>
                <m:t>x</m:t>
              </m:r>
              <m:r>
                <m:rPr>
                  <m:sty m:val="p"/>
                </m:rPr>
                <m:t>,</m:t>
              </m:r>
              <m:r>
                <m:t>t</m:t>
              </m:r>
              <m:r>
                <m:rPr>
                  <m:sty m:val="p"/>
                </m:rPr>
                <m:t>−</m:t>
              </m:r>
              <m:r>
                <m:t>s</m:t>
              </m:r>
            </m:e>
          </m:d>
          <m:r>
            <m:t>d</m:t>
          </m:r>
          <m:r>
            <m:t>s</m:t>
          </m:r>
          <m:r>
            <m:rPr>
              <m:sty m:val="p"/>
            </m:rPr>
            <m:t>+</m:t>
          </m:r>
          <m:r>
            <m:rPr>
              <m:sty m:val="p"/>
            </m:rPr>
            <m:t>∇</m:t>
          </m:r>
          <m:r>
            <m:rPr>
              <m:sty m:val="p"/>
            </m:rPr>
            <m:t>⋅</m:t>
          </m:r>
          <m:d>
            <m:dPr>
              <m:begChr m:val="("/>
              <m:sepChr m:val=""/>
              <m:endChr m:val=")"/>
              <m:grow/>
            </m:dPr>
            <m:e>
              <m:r>
                <m:rPr>
                  <m:sty m:val="b"/>
                </m:rPr>
                <m:t>q</m:t>
              </m:r>
              <m:sSub>
                <m:e>
                  <m:r>
                    <m:t>c</m:t>
                  </m:r>
                </m:e>
                <m:sub>
                  <m:r>
                    <m:t>m</m:t>
                  </m:r>
                </m:sub>
              </m:sSub>
            </m:e>
          </m:d>
          <m:r>
            <m:rPr>
              <m:sty m:val="p"/>
            </m:rPr>
            <m:t>−</m:t>
          </m:r>
          <m:r>
            <m:rPr>
              <m:sty m:val="p"/>
            </m:rPr>
            <m:t>∇</m:t>
          </m:r>
          <m:r>
            <m:rPr>
              <m:sty m:val="p"/>
            </m:rPr>
            <m:t>⋅</m:t>
          </m:r>
          <m:d>
            <m:dPr>
              <m:begChr m:val="("/>
              <m:sepChr m:val=""/>
              <m:endChr m:val=")"/>
              <m:grow/>
            </m:dPr>
            <m:e>
              <m:r>
                <m:t>ϕ</m:t>
              </m:r>
              <m:r>
                <m:rPr>
                  <m:sty m:val="b"/>
                </m:rPr>
                <m:t>D</m:t>
              </m:r>
              <m:r>
                <m:rPr>
                  <m:sty m:val="p"/>
                </m:rPr>
                <m:t>∇</m:t>
              </m:r>
              <m:sSub>
                <m:e>
                  <m:r>
                    <m:t>c</m:t>
                  </m:r>
                </m:e>
                <m:sub>
                  <m:r>
                    <m:t>m</m:t>
                  </m:r>
                </m:sub>
              </m:sSub>
            </m:e>
          </m:d>
          <m:r>
            <m:rPr>
              <m:sty m:val="p"/>
            </m:rPr>
            <m:t>=</m:t>
          </m:r>
          <m:r>
            <m:t>N</m:t>
          </m:r>
          <m:r>
            <m:rPr>
              <m:sty m:val="b"/>
            </m:rPr>
            <m:t>r</m:t>
          </m:r>
          <m:r>
            <m:rPr>
              <m:sty m:val="p"/>
            </m:rPr>
            <m:t>+</m:t>
          </m:r>
          <m:sSub>
            <m:e>
              <m:r>
                <m:t>q</m:t>
              </m:r>
            </m:e>
            <m:sub>
              <m:r>
                <m:t>s</m:t>
              </m:r>
            </m:sub>
          </m:sSub>
          <m:sSup>
            <m:e>
              <m:r>
                <m:t>c</m:t>
              </m:r>
            </m:e>
            <m:sup>
              <m:r>
                <m:t>s</m:t>
              </m:r>
            </m:sup>
          </m:sSup>
          <m:r>
            <m:rPr>
              <m:sty m:val="p"/>
            </m:rPr>
            <m:t>−</m:t>
          </m:r>
          <m:r>
            <m:t>β</m:t>
          </m:r>
          <m:r>
            <m:t>α</m:t>
          </m:r>
          <m:sSup>
            <m:e>
              <m:r>
                <m:t>e</m:t>
              </m:r>
            </m:e>
            <m:sup>
              <m:r>
                <m:rPr>
                  <m:sty m:val="p"/>
                </m:rPr>
                <m:t>−</m:t>
              </m:r>
              <m:r>
                <m:t>α</m:t>
              </m:r>
              <m:r>
                <m:t>t</m:t>
              </m:r>
            </m:sup>
          </m:sSup>
          <m:d>
            <m:dPr>
              <m:begChr m:val="("/>
              <m:sepChr m:val=""/>
              <m:endChr m:val=")"/>
              <m:grow/>
            </m:dPr>
            <m:e>
              <m:sSub>
                <m:e>
                  <m:r>
                    <m:t>c</m:t>
                  </m:r>
                </m:e>
                <m:sub>
                  <m:r>
                    <m:t>m</m:t>
                  </m:r>
                </m:sub>
              </m:sSub>
              <m:d>
                <m:dPr>
                  <m:begChr m:val="("/>
                  <m:sepChr m:val=""/>
                  <m:endChr m:val=")"/>
                  <m:grow/>
                </m:dPr>
                <m:e>
                  <m:r>
                    <m:t>0</m:t>
                  </m:r>
                </m:e>
              </m:d>
              <m:r>
                <m:rPr>
                  <m:sty m:val="p"/>
                </m:rPr>
                <m:t>−</m:t>
              </m:r>
              <m:sSub>
                <m:e>
                  <m:r>
                    <m:t>c</m:t>
                  </m:r>
                </m:e>
                <m:sub>
                  <m:r>
                    <m:t>i</m:t>
                  </m:r>
                  <m:r>
                    <m:t>m</m:t>
                  </m:r>
                </m:sub>
              </m:sSub>
              <m:d>
                <m:dPr>
                  <m:begChr m:val="("/>
                  <m:sepChr m:val=""/>
                  <m:endChr m:val=")"/>
                  <m:grow/>
                </m:dPr>
                <m:e>
                  <m:r>
                    <m:t>0</m:t>
                  </m:r>
                </m:e>
              </m:d>
            </m:e>
          </m:d>
        </m:oMath>
      </m:oMathPara>
    </w:p>
    <w:p>
      <w:pPr>
        <w:spacing w:after="120"/>
        <w:jc w:val="both"/>
      </w:pPr>
      <w:r>
        <w:t xml:space="preserve">with </w:t>
      </w:r>
      <m:oMath>
        <m:r>
          <m:t>κ</m:t>
        </m:r>
        <m:d>
          <m:dPr>
            <m:begChr m:val="("/>
            <m:sepChr m:val=""/>
            <m:endChr m:val=")"/>
            <m:grow/>
          </m:dPr>
          <m:e>
            <m:r>
              <m:t>s</m:t>
            </m:r>
          </m:e>
        </m:d>
        <m:r>
          <m:rPr>
            <m:sty m:val="p"/>
          </m:rPr>
          <m:t>=</m:t>
        </m:r>
        <m:r>
          <m:t>β</m:t>
        </m:r>
        <m:r>
          <m:t>α</m:t>
        </m:r>
        <m:sSup>
          <m:e>
            <m:r>
              <m:t>e</m:t>
            </m:r>
          </m:e>
          <m:sup>
            <m:r>
              <m:rPr>
                <m:sty m:val="p"/>
              </m:rPr>
              <m:t>−</m:t>
            </m:r>
            <m:r>
              <m:t>α</m:t>
            </m:r>
            <m:r>
              <m:t>s</m:t>
            </m:r>
          </m:sup>
        </m:sSup>
      </m:oMath>
      <w:r>
        <w:t xml:space="preserve">. For a distribution </w:t>
      </w:r>
      <m:oMath>
        <m:r>
          <m:t>b</m:t>
        </m:r>
        <m:d>
          <m:dPr>
            <m:begChr m:val="("/>
            <m:sepChr m:val=""/>
            <m:endChr m:val=")"/>
            <m:grow/>
          </m:dPr>
          <m:e>
            <m:r>
              <m:t>α</m:t>
            </m:r>
          </m:e>
        </m:d>
      </m:oMath>
      <w:r>
        <w:t xml:space="preserve"> of rates the kernel is </w:t>
      </w:r>
      <m:oMath>
        <m:r>
          <m:t>κ</m:t>
        </m:r>
        <m:d>
          <m:dPr>
            <m:begChr m:val="("/>
            <m:sepChr m:val=""/>
            <m:endChr m:val=")"/>
            <m:grow/>
          </m:dPr>
          <m:e>
            <m:r>
              <m:t>s</m:t>
            </m:r>
          </m:e>
        </m:d>
        <m:r>
          <m:rPr>
            <m:sty m:val="p"/>
          </m:rPr>
          <m:t>=</m:t>
        </m:r>
        <m:r>
          <m:rPr>
            <m:sty m:val="p"/>
          </m:rPr>
          <m:t>∫</m:t>
        </m:r>
        <m:r>
          <m:t>β</m:t>
        </m:r>
        <m:r>
          <m:t>α</m:t>
        </m:r>
        <m:sSup>
          <m:e>
            <m:r>
              <m:t>e</m:t>
            </m:r>
          </m:e>
          <m:sup>
            <m:r>
              <m:rPr>
                <m:sty m:val="p"/>
              </m:rPr>
              <m:t>−</m:t>
            </m:r>
            <m:r>
              <m:t>α</m:t>
            </m:r>
            <m:r>
              <m:t>s</m:t>
            </m:r>
          </m:sup>
        </m:sSup>
        <m:r>
          <m:t>b</m:t>
        </m:r>
        <m:d>
          <m:dPr>
            <m:begChr m:val="("/>
            <m:sepChr m:val=""/>
            <m:endChr m:val=")"/>
            <m:grow/>
          </m:dPr>
          <m:e>
            <m:r>
              <m:t>α</m:t>
            </m:r>
          </m:e>
        </m:d>
        <m:r>
          <m:t> </m:t>
        </m:r>
        <m:r>
          <m:t>d</m:t>
        </m:r>
        <m:r>
          <m:t>α</m:t>
        </m:r>
      </m:oMath>
      <w:r>
        <w:t xml:space="preserve">, a completely monotone function, and by Bernstein's theorem every completely monotone kernel arises in this way [B16]. </w:t>
      </w:r>
      <w:r>
        <w:rPr>
          <w:i/>
          <w:iCs/>
        </w:rPr>
        <w:t xml:space="preserve">Proof.</w:t>
      </w:r>
      <w:r>
        <w:t xml:space="preserve"> Solving the linear equation of the immobile zone and integrating by parts gives</w:t>
      </w:r>
    </w:p>
    <w:p>
      <w:pPr>
        <w:pStyle w:val="Equation"/>
      </w:pPr>
      <m:oMathPara>
        <m:oMathParaPr>
          <m:jc m:val="center"/>
        </m:oMathParaPr>
        <m:oMath>
          <m:sSub>
            <m:e>
              <m:r>
                <m:rPr>
                  <m:sty m:val="p"/>
                </m:rPr>
                <m:t>∂</m:t>
              </m:r>
            </m:e>
            <m:sub>
              <m:r>
                <m:t>t</m:t>
              </m:r>
            </m:sub>
          </m:sSub>
          <m:sSub>
            <m:e>
              <m:r>
                <m:t>c</m:t>
              </m:r>
            </m:e>
            <m:sub>
              <m:r>
                <m:t>i</m:t>
              </m:r>
              <m:r>
                <m:t>m</m:t>
              </m:r>
            </m:sub>
          </m:sSub>
          <m:d>
            <m:dPr>
              <m:begChr m:val="("/>
              <m:sepChr m:val=""/>
              <m:endChr m:val=")"/>
              <m:grow/>
            </m:dPr>
            <m:e>
              <m:r>
                <m:t>t</m:t>
              </m:r>
            </m:e>
          </m:d>
          <m:r>
            <m:rPr>
              <m:sty m:val="p"/>
            </m:rPr>
            <m:t>=</m:t>
          </m:r>
          <m:nary>
            <m:naryPr>
              <m:chr m:val="∫"/>
              <m:limLoc m:val="subSup"/>
              <m:subHide m:val="off"/>
              <m:supHide m:val="off"/>
            </m:naryPr>
            <m:sub>
              <m:r>
                <m:t>0</m:t>
              </m:r>
            </m:sub>
            <m:sup>
              <m:r>
                <m:t>t</m:t>
              </m:r>
            </m:sup>
            <m:e>
              <m:r>
                <m:t>α</m:t>
              </m:r>
            </m:e>
          </m:nary>
          <m:sSup>
            <m:e>
              <m:r>
                <m:t>e</m:t>
              </m:r>
            </m:e>
            <m:sup>
              <m:r>
                <m:rPr>
                  <m:sty m:val="p"/>
                </m:rPr>
                <m:t>−</m:t>
              </m:r>
              <m:r>
                <m:t>α</m:t>
              </m:r>
              <m:r>
                <m:t>s</m:t>
              </m:r>
            </m:sup>
          </m:sSup>
          <m:r>
            <m:t> </m:t>
          </m:r>
          <m:sSub>
            <m:e>
              <m:r>
                <m:rPr>
                  <m:sty m:val="p"/>
                </m:rPr>
                <m:t>∂</m:t>
              </m:r>
            </m:e>
            <m:sub>
              <m:r>
                <m:t>t</m:t>
              </m:r>
            </m:sub>
          </m:sSub>
          <m:sSub>
            <m:e>
              <m:r>
                <m:t>c</m:t>
              </m:r>
            </m:e>
            <m:sub>
              <m:r>
                <m:t>m</m:t>
              </m:r>
            </m:sub>
          </m:sSub>
          <m:d>
            <m:dPr>
              <m:begChr m:val="("/>
              <m:sepChr m:val=""/>
              <m:endChr m:val=")"/>
              <m:grow/>
            </m:dPr>
            <m:e>
              <m:r>
                <m:t>t</m:t>
              </m:r>
              <m:r>
                <m:rPr>
                  <m:sty m:val="p"/>
                </m:rPr>
                <m:t>−</m:t>
              </m:r>
              <m:r>
                <m:t>s</m:t>
              </m:r>
            </m:e>
          </m:d>
          <m:r>
            <m:t> </m:t>
          </m:r>
          <m:r>
            <m:t>d</m:t>
          </m:r>
          <m:r>
            <m:t>s</m:t>
          </m:r>
          <m:r>
            <m:rPr>
              <m:sty m:val="p"/>
            </m:rPr>
            <m:t>+</m:t>
          </m:r>
          <m:r>
            <m:t>α</m:t>
          </m:r>
          <m:sSup>
            <m:e>
              <m:r>
                <m:t>e</m:t>
              </m:r>
            </m:e>
            <m:sup>
              <m:r>
                <m:rPr>
                  <m:sty m:val="p"/>
                </m:rPr>
                <m:t>−</m:t>
              </m:r>
              <m:r>
                <m:t>α</m:t>
              </m:r>
              <m:r>
                <m:t>t</m:t>
              </m:r>
            </m:sup>
          </m:sSup>
          <m:d>
            <m:dPr>
              <m:begChr m:val="("/>
              <m:sepChr m:val=""/>
              <m:endChr m:val=")"/>
              <m:grow/>
            </m:dPr>
            <m:e>
              <m:sSub>
                <m:e>
                  <m:r>
                    <m:t>c</m:t>
                  </m:r>
                </m:e>
                <m:sub>
                  <m:r>
                    <m:t>m</m:t>
                  </m:r>
                </m:sub>
              </m:sSub>
              <m:d>
                <m:dPr>
                  <m:begChr m:val="("/>
                  <m:sepChr m:val=""/>
                  <m:endChr m:val=")"/>
                  <m:grow/>
                </m:dPr>
                <m:e>
                  <m:r>
                    <m:t>0</m:t>
                  </m:r>
                </m:e>
              </m:d>
              <m:r>
                <m:rPr>
                  <m:sty m:val="p"/>
                </m:rPr>
                <m:t>−</m:t>
              </m:r>
              <m:sSub>
                <m:e>
                  <m:r>
                    <m:t>c</m:t>
                  </m:r>
                </m:e>
                <m:sub>
                  <m:r>
                    <m:t>i</m:t>
                  </m:r>
                  <m:r>
                    <m:t>m</m:t>
                  </m:r>
                </m:sub>
              </m:sSub>
              <m:d>
                <m:dPr>
                  <m:begChr m:val="("/>
                  <m:sepChr m:val=""/>
                  <m:endChr m:val=")"/>
                  <m:grow/>
                </m:dPr>
                <m:e>
                  <m:r>
                    <m:t>0</m:t>
                  </m:r>
                </m:e>
              </m:d>
            </m:e>
          </m:d>
        </m:oMath>
      </m:oMathPara>
    </w:p>
    <w:p>
      <w:pPr>
        <w:spacing w:after="120"/>
        <w:jc w:val="both"/>
      </w:pPr>
      <w:r>
        <w:t xml:space="preserve">Multiply by </w:t>
      </w:r>
      <m:oMath>
        <m:r>
          <m:t>β</m:t>
        </m:r>
      </m:oMath>
      <w:r>
        <w:t xml:space="preserve"> and add it to the storage of the mobile zone. </w:t>
      </w:r>
      <m:oMath>
        <m:r>
          <m:rPr>
            <m:sty m:val="p"/>
          </m:rPr>
          <m:t>▫</m:t>
        </m:r>
      </m:oMath>
      <w:r>
        <w:t xml:space="preserve"> The last term, the initial disequilibrium of the clays, is the term that the Mori–Zwanzig formalism attributes to the unresolved initial state [B5, B6]. A learned memory kernel should therefore be sought among completely monotone functions, non-negative mixtures of exponentials, which preserves mass balance and positivity; and it must be accompanied by a term for the initial state of whatever the closure does not resolve.</w:t>
      </w:r>
    </w:p>
    <w:p>
      <w:pPr>
        <w:spacing w:after="120"/>
        <w:jc w:val="both"/>
      </w:pPr>
      <w:r>
        <w:t xml:space="preserve">Memory also arises from homogenisation, as transport noise when the flow decorrelates fast [O1], and from flow regimes that switch as a Markov chain [M3]. Part II estimates memory kernels nonparametrically with posterior guarantees [O2], from noisy records [E3] and as neural delay equations [M1], and shows that oscillator networks approximate any causal memory operator [E1].</w:t>
      </w:r>
    </w:p>
    <w:p>
      <w:pPr>
        <w:pStyle w:val="Heading3"/>
      </w:pPr>
      <w:r>
        <w:rPr>
          <w:color w:val="1F3864"/>
        </w:rPr>
        <w:t xml:space="preserve">1.5 The stoichiometric learned closure</w:t>
      </w:r>
    </w:p>
    <w:p>
      <w:pPr>
        <w:spacing w:after="120"/>
        <w:jc w:val="both"/>
      </w:pPr>
      <w:r>
        <w:t xml:space="preserve">The candidate transport equation keeps the known physics, adds memory, and replaces the unknown reaction rates by learned rates that are confined to the span of the stoichiometric matrix:</w:t>
      </w:r>
    </w:p>
    <w:p>
      <w:pPr>
        <w:pStyle w:val="Equation"/>
      </w:pPr>
      <m:oMathPara>
        <m:oMathParaPr>
          <m:jc m:val="center"/>
        </m:oMathParaPr>
        <m:oMath>
          <m:r>
            <m:t>ϕ</m:t>
          </m:r>
          <m:r>
            <m:t> </m:t>
          </m:r>
          <m:sSub>
            <m:e>
              <m:r>
                <m:rPr>
                  <m:sty m:val="p"/>
                </m:rPr>
                <m:t>∂</m:t>
              </m:r>
            </m:e>
            <m:sub>
              <m:r>
                <m:t>t</m:t>
              </m:r>
            </m:sub>
          </m:sSub>
          <m:r>
            <m:rPr>
              <m:sty m:val="b"/>
            </m:rPr>
            <m:t>c</m:t>
          </m:r>
          <m:r>
            <m:rPr>
              <m:sty m:val="p"/>
            </m:rPr>
            <m:t>+</m:t>
          </m:r>
          <m:nary>
            <m:naryPr>
              <m:chr m:val="∫"/>
              <m:limLoc m:val="subSup"/>
              <m:subHide m:val="off"/>
              <m:supHide m:val="off"/>
            </m:naryPr>
            <m:sub>
              <m:r>
                <m:t>0</m:t>
              </m:r>
            </m:sub>
            <m:sup>
              <m:r>
                <m:t>t</m:t>
              </m:r>
            </m:sup>
            <m:e>
              <m:sSub>
                <m:e>
                  <m:r>
                    <m:t>κ</m:t>
                  </m:r>
                </m:e>
                <m:sub>
                  <m:r>
                    <m:t>ϑ</m:t>
                  </m:r>
                </m:sub>
              </m:sSub>
            </m:e>
          </m:nary>
          <m:d>
            <m:dPr>
              <m:begChr m:val="("/>
              <m:sepChr m:val=""/>
              <m:endChr m:val=")"/>
              <m:grow/>
            </m:dPr>
            <m:e>
              <m:r>
                <m:t>s</m:t>
              </m:r>
            </m:e>
          </m:d>
          <m:r>
            <m:t> </m:t>
          </m:r>
          <m:sSub>
            <m:e>
              <m:r>
                <m:rPr>
                  <m:sty m:val="p"/>
                </m:rPr>
                <m:t>∂</m:t>
              </m:r>
            </m:e>
            <m:sub>
              <m:r>
                <m:t>t</m:t>
              </m:r>
            </m:sub>
          </m:sSub>
          <m:r>
            <m:rPr>
              <m:sty m:val="b"/>
            </m:rPr>
            <m:t>c</m:t>
          </m:r>
          <m:d>
            <m:dPr>
              <m:begChr m:val="("/>
              <m:sepChr m:val=""/>
              <m:endChr m:val=")"/>
              <m:grow/>
            </m:dPr>
            <m:e>
              <m:r>
                <m:t>t</m:t>
              </m:r>
              <m:r>
                <m:rPr>
                  <m:sty m:val="p"/>
                </m:rPr>
                <m:t>−</m:t>
              </m:r>
              <m:r>
                <m:t>s</m:t>
              </m:r>
            </m:e>
          </m:d>
          <m:r>
            <m:t>d</m:t>
          </m:r>
          <m:r>
            <m:t>s</m:t>
          </m:r>
          <m:r>
            <m:rPr>
              <m:sty m:val="p"/>
            </m:rPr>
            <m:t>+</m:t>
          </m:r>
          <m:r>
            <m:rPr>
              <m:sty m:val="p"/>
            </m:rPr>
            <m:t>∇</m:t>
          </m:r>
          <m:r>
            <m:rPr>
              <m:sty m:val="p"/>
            </m:rPr>
            <m:t>⋅</m:t>
          </m:r>
          <m:d>
            <m:dPr>
              <m:begChr m:val="("/>
              <m:sepChr m:val=""/>
              <m:endChr m:val=")"/>
              <m:grow/>
            </m:dPr>
            <m:e>
              <m:r>
                <m:rPr>
                  <m:sty m:val="b"/>
                </m:rPr>
                <m:t>q</m:t>
              </m:r>
              <m:r>
                <m:rPr>
                  <m:sty m:val="b"/>
                </m:rPr>
                <m:t>c</m:t>
              </m:r>
            </m:e>
          </m:d>
          <m:r>
            <m:rPr>
              <m:sty m:val="p"/>
            </m:rPr>
            <m:t>−</m:t>
          </m:r>
          <m:r>
            <m:rPr>
              <m:sty m:val="p"/>
            </m:rPr>
            <m:t>∇</m:t>
          </m:r>
          <m:r>
            <m:rPr>
              <m:sty m:val="p"/>
            </m:rPr>
            <m:t>⋅</m:t>
          </m:r>
          <m:d>
            <m:dPr>
              <m:begChr m:val="("/>
              <m:sepChr m:val=""/>
              <m:endChr m:val=")"/>
              <m:grow/>
            </m:dPr>
            <m:e>
              <m:r>
                <m:t>ϕ</m:t>
              </m:r>
              <m:r>
                <m:rPr>
                  <m:sty m:val="b"/>
                </m:rPr>
                <m:t>D</m:t>
              </m:r>
              <m:r>
                <m:rPr>
                  <m:sty m:val="p"/>
                </m:rPr>
                <m:t>∇</m:t>
              </m:r>
              <m:r>
                <m:rPr>
                  <m:sty m:val="b"/>
                </m:rPr>
                <m:t>c</m:t>
              </m:r>
            </m:e>
          </m:d>
          <m:r>
            <m:rPr>
              <m:sty m:val="p"/>
            </m:rPr>
            <m:t>=</m:t>
          </m:r>
          <m:r>
            <m:t>N</m:t>
          </m:r>
          <m:r>
            <m:t> </m:t>
          </m:r>
          <m:sSub>
            <m:e>
              <m:r>
                <m:rPr>
                  <m:sty m:val="b"/>
                </m:rPr>
                <m:t>r</m:t>
              </m:r>
            </m:e>
            <m:sub>
              <m:r>
                <m:t>θ</m:t>
              </m:r>
            </m:sub>
          </m:sSub>
          <m:d>
            <m:dPr>
              <m:begChr m:val="("/>
              <m:sepChr m:val=""/>
              <m:endChr m:val=")"/>
              <m:grow/>
            </m:dPr>
            <m:e>
              <m:r>
                <m:rPr>
                  <m:sty m:val="b"/>
                </m:rPr>
                <m:t>c</m:t>
              </m:r>
              <m:r>
                <m:rPr>
                  <m:sty m:val="p"/>
                </m:rPr>
                <m:t>,</m:t>
              </m:r>
              <m:sSub>
                <m:e>
                  <m:r>
                    <m:rPr>
                      <m:scr m:val="script"/>
                      <m:sty m:val="p"/>
                    </m:rPr>
                    <m:t>H</m:t>
                  </m:r>
                </m:e>
                <m:sub>
                  <m:r>
                    <m:t>t</m:t>
                  </m:r>
                </m:sub>
              </m:sSub>
            </m:e>
          </m:d>
          <m:r>
            <m:rPr>
              <m:sty m:val="p"/>
            </m:rPr>
            <m:t>+</m:t>
          </m:r>
          <m:sSub>
            <m:e>
              <m:r>
                <m:t>q</m:t>
              </m:r>
            </m:e>
            <m:sub>
              <m:r>
                <m:t>s</m:t>
              </m:r>
            </m:sub>
          </m:sSub>
          <m:sSup>
            <m:e>
              <m:r>
                <m:rPr>
                  <m:sty m:val="b"/>
                </m:rPr>
                <m:t>c</m:t>
              </m:r>
            </m:e>
            <m:sup>
              <m:r>
                <m:t>s</m:t>
              </m:r>
            </m:sup>
          </m:sSup>
        </m:oMath>
      </m:oMathPara>
    </w:p>
    <w:p>
      <w:pPr>
        <w:spacing w:after="120"/>
        <w:jc w:val="both"/>
      </w:pPr>
      <w:r>
        <w:t xml:space="preserve">Here </w:t>
      </w:r>
      <m:oMath>
        <m:sSub>
          <m:e>
            <m:r>
              <m:t>κ</m:t>
            </m:r>
          </m:e>
          <m:sub>
            <m:r>
              <m:t>ϑ</m:t>
            </m:r>
          </m:sub>
        </m:sSub>
      </m:oMath>
      <w:r>
        <w:t xml:space="preserve"> is completely monotone and </w:t>
      </w:r>
      <m:oMath>
        <m:sSub>
          <m:e>
            <m:r>
              <m:rPr>
                <m:sty m:val="b"/>
              </m:rPr>
              <m:t>r</m:t>
            </m:r>
          </m:e>
          <m:sub>
            <m:r>
              <m:t>θ</m:t>
            </m:r>
          </m:sub>
        </m:sSub>
      </m:oMath>
      <w:r>
        <w:t xml:space="preserve"> is a learned function of the composition and of its history </w:t>
      </w:r>
      <m:oMath>
        <m:sSub>
          <m:e>
            <m:r>
              <m:rPr>
                <m:scr m:val="script"/>
                <m:sty m:val="p"/>
              </m:rPr>
              <m:t>H</m:t>
            </m:r>
          </m:e>
          <m:sub>
            <m:r>
              <m:t>t</m:t>
            </m:r>
          </m:sub>
        </m:sSub>
      </m:oMath>
      <w:r>
        <w:t xml:space="preserve">: in section 9 each exchange reaction is a learned exchanger whose loading relaxes toward a learned equilibrium, a closure with its own memory. Two choices make the term learnable. Its range is fixed in advance by chemistry (the columns of </w:t>
      </w:r>
      <m:oMath>
        <m:r>
          <m:t>N</m:t>
        </m:r>
      </m:oMath>
      <w:r>
        <w:t xml:space="preserve">), so the closure has </w:t>
      </w:r>
      <m:oMath>
        <m:r>
          <m:t>m</m:t>
        </m:r>
      </m:oMath>
      <w:r>
        <w:t xml:space="preserve"> components instead of </w:t>
      </w:r>
      <m:oMath>
        <m:r>
          <m:t>n</m:t>
        </m:r>
      </m:oMath>
      <w:r>
        <w:t xml:space="preserve"> and none for chloride; and each learned rate is limited by the availability of the ion it consumes, so that concentrations stay positive. A free closure, a learned source for every species, has neither property.</w:t>
      </w:r>
    </w:p>
    <w:p>
      <w:pPr>
        <w:spacing w:after="120"/>
        <w:jc w:val="both"/>
      </w:pPr>
      <w:r>
        <w:t xml:space="preserve">Constraints built into learned closures appear in Part II as exact conservation of energy [M5], stoichiometric weights [M7], compressed chemical states [H2] and locally active submechanisms [H3]; homogenisation derives closures with an internal state [O4] and shows that a macro-scale rate does not determine the micro-scale mechanism [O5].</w:t>
      </w:r>
    </w:p>
    <w:p>
      <w:pPr>
        <w:pStyle w:val="Heading3"/>
      </w:pPr>
      <w:r>
        <w:rPr>
          <w:color w:val="1F3864"/>
        </w:rPr>
        <w:t xml:space="preserve">1.6 What chemistry identifies that heads cannot</w:t>
      </w:r>
    </w:p>
    <w:p>
      <w:pPr>
        <w:spacing w:after="120"/>
        <w:jc w:val="both"/>
      </w:pPr>
      <w:r>
        <w:rPr>
          <w:b/>
          <w:bCs/>
        </w:rPr>
        <w:t xml:space="preserve">Proposition 4 (identifiability through invariants).</w:t>
      </w:r>
      <w:r>
        <w:t xml:space="preserve"> (i) The transport and memory parameters (</w:t>
      </w:r>
      <m:oMath>
        <m:r>
          <m:rPr>
            <m:sty m:val="b"/>
          </m:rPr>
          <m:t>q</m:t>
        </m:r>
      </m:oMath>
      <w:r>
        <w:t xml:space="preserve">, </w:t>
      </w:r>
      <m:oMath>
        <m:r>
          <m:rPr>
            <m:sty m:val="b"/>
          </m:rPr>
          <m:t>D</m:t>
        </m:r>
      </m:oMath>
      <w:r>
        <w:t xml:space="preserve">, </w:t>
      </w:r>
      <m:oMath>
        <m:sSub>
          <m:e>
            <m:r>
              <m:t>κ</m:t>
            </m:r>
          </m:e>
          <m:sub>
            <m:r>
              <m:t>ϑ</m:t>
            </m:r>
          </m:sub>
        </m:sSub>
      </m:oMath>
      <w:r>
        <w:t xml:space="preserve">) are identifiable from the invariant components alone, exactly as from a conservative tracer, whatever the closure in the span of </w:t>
      </w:r>
      <m:oMath>
        <m:r>
          <m:t>N</m:t>
        </m:r>
      </m:oMath>
      <w:r>
        <w:t xml:space="preserve">. (ii) Given the transport, the reaction rates are identifiable from the other species if and only if the rows of </w:t>
      </w:r>
      <m:oMath>
        <m:r>
          <m:t>N</m:t>
        </m:r>
      </m:oMath>
      <w:r>
        <w:t xml:space="preserve"> for the observed species have full column rank. (iii) With a single salt, as in the classical system, there is no invariant to separate transport from a closure. (iv) If the waters entering the aquifer (recharge, river leakage, seawater, leakage from the clays) have compositions whose invariant parts are linearly independent, their fluxes are identifiable from the invariant concentrations; chemistry therefore separates what Proposition 1 shows that heads cannot. </w:t>
      </w:r>
      <w:r>
        <w:rPr>
          <w:i/>
          <w:iCs/>
        </w:rPr>
        <w:t xml:space="preserve">Proof.</w:t>
      </w:r>
      <w:r>
        <w:t xml:space="preserve"> (i) follows from Proposition 2; (ii) is the condition for </w:t>
      </w:r>
      <m:oMath>
        <m:r>
          <m:t>N</m:t>
        </m:r>
        <m:r>
          <m:rPr>
            <m:sty m:val="b"/>
          </m:rPr>
          <m:t>r</m:t>
        </m:r>
      </m:oMath>
      <w:r>
        <w:t xml:space="preserve"> to determine </w:t>
      </w:r>
      <m:oMath>
        <m:r>
          <m:rPr>
            <m:sty m:val="b"/>
          </m:rPr>
          <m:t>r</m:t>
        </m:r>
      </m:oMath>
      <w:r>
        <w:t xml:space="preserve">; (iii) one species admits no non-zero </w:t>
      </w:r>
      <m:oMath>
        <m:r>
          <m:t>W</m:t>
        </m:r>
      </m:oMath>
      <w:r>
        <w:t xml:space="preserve"> with </w:t>
      </w:r>
      <m:oMath>
        <m:sSup>
          <m:e>
            <m:r>
              <m:t>W</m:t>
            </m:r>
          </m:e>
          <m:sup>
            <m:r>
              <m:rPr>
                <m:nor/>
              </m:rPr>
              <m:t>T</m:t>
            </m:r>
          </m:sup>
        </m:sSup>
        <m:r>
          <m:t>N</m:t>
        </m:r>
        <m:r>
          <m:rPr>
            <m:sty m:val="p"/>
          </m:rPr>
          <m:t>=</m:t>
        </m:r>
        <m:r>
          <m:t>0</m:t>
        </m:r>
      </m:oMath>
      <w:r>
        <w:t xml:space="preserve"> once a reaction acts on it; (iv) the invariant transport equation is linear in the source fluxes, which enter with linearly independent signatures. </w:t>
      </w:r>
      <m:oMath>
        <m:r>
          <m:rPr>
            <m:sty m:val="p"/>
          </m:rPr>
          <m:t>▫</m:t>
        </m:r>
      </m:oMath>
      <w:r>
        <w:t xml:space="preserve"> In the language of end-member mixing [B11], (iv) puts the mixing analysis inside the partial differential equation. For nonlinear closures the same questions can be settled before any data are collected with algebraic tests of structural identifiability [B22].</w:t>
      </w:r>
    </w:p>
    <w:p>
      <w:pPr>
        <w:spacing w:after="120"/>
        <w:jc w:val="both"/>
      </w:pPr>
      <w:r>
        <w:t xml:space="preserve">Identifiability is treated in Part II by profile likelihood in layered media [O3], by identifiable surrogates [O6], by posterior error correlations between sources and sinks [H4], by the data conditions that decorrelate functions learned inside PDEs [M6], by invariance across environments [E6] and by guaranteed sets under bounded errors [H7].</w:t>
      </w:r>
    </w:p>
    <w:p>
      <w:pPr>
        <w:pStyle w:val="Heading3"/>
      </w:pPr>
      <w:r>
        <w:rPr>
          <w:color w:val="1F3864"/>
        </w:rPr>
        <w:t xml:space="preserve">1.7 Assimilating the augmented state</w:t>
      </w:r>
    </w:p>
    <w:p>
      <w:pPr>
        <w:spacing w:after="120"/>
        <w:jc w:val="both"/>
      </w:pPr>
      <w:r>
        <w:t xml:space="preserve">The state is augmented with the parameters of transport, memory and closure, </w:t>
      </w:r>
      <m:oMath>
        <m:r>
          <m:rPr>
            <m:sty m:val="b"/>
          </m:rPr>
          <m:t>z</m:t>
        </m:r>
        <m:r>
          <m:rPr>
            <m:sty m:val="p"/>
          </m:rPr>
          <m:t>=</m:t>
        </m:r>
        <m:d>
          <m:dPr>
            <m:begChr m:val="("/>
            <m:sepChr m:val=""/>
            <m:endChr m:val=")"/>
            <m:grow/>
          </m:dPr>
          <m:e>
            <m:r>
              <m:rPr>
                <m:sty m:val="b"/>
              </m:rPr>
              <m:t>c</m:t>
            </m:r>
            <m:r>
              <m:rPr>
                <m:sty m:val="p"/>
              </m:rPr>
              <m:t>,</m:t>
            </m:r>
            <m:r>
              <m:rPr>
                <m:sty m:val="b"/>
              </m:rPr>
              <m:t>q</m:t>
            </m:r>
            <m:r>
              <m:rPr>
                <m:nor/>
              </m:rPr>
              <m:t>-parameters</m:t>
            </m:r>
            <m:r>
              <m:rPr>
                <m:sty m:val="p"/>
              </m:rPr>
              <m:t>,</m:t>
            </m:r>
            <m:r>
              <m:t>ϑ</m:t>
            </m:r>
            <m:r>
              <m:rPr>
                <m:sty m:val="p"/>
              </m:rPr>
              <m:t>,</m:t>
            </m:r>
            <m:r>
              <m:t>θ</m:t>
            </m:r>
          </m:e>
        </m:d>
      </m:oMath>
      <w:r>
        <w:t xml:space="preserve">, and estimated by an ensemble smoother with multiple data assimilation from the historical record [B9]; long-term statistics such as spectra or recession constants can enter as additional data through ensemble Kalman inversion [B10, B20]. </w:t>
      </w:r>
      <w:r>
        <w:rPr>
          <w:b/>
          <w:bCs/>
        </w:rPr>
        <w:t xml:space="preserve">Proposition 5 (the cut protects the conservative forecast).</w:t>
      </w:r>
      <w:r>
        <w:t xml:space="preserve"> If the transport and memory parameters are first estimated from the invariant data alone and the closure is then estimated with them held fixed (a cut in the sense of modular inference [B14]), the posterior of the transport parameters, and every forecast of an invariant such as chloride, depends only on the invariant data; a structural error of the reactive closure cannot bias it. </w:t>
      </w:r>
      <w:r>
        <w:rPr>
          <w:i/>
          <w:iCs/>
        </w:rPr>
        <w:t xml:space="preserve">Proof.</w:t>
      </w:r>
      <w:r>
        <w:t xml:space="preserve"> The first stage uses only invariant data, and by Proposition 2 the forecast of an invariant depends only on the transport and memory parameters. </w:t>
      </w:r>
      <m:oMath>
        <m:r>
          <m:rPr>
            <m:sty m:val="p"/>
          </m:rPr>
          <m:t>▫</m:t>
        </m:r>
      </m:oMath>
      <w:r>
        <w:t xml:space="preserve"> The price is that the reactive species no longer inform the transport; section 9 measures both effects.</w:t>
      </w:r>
    </w:p>
    <w:p>
      <w:pPr>
        <w:spacing w:after="120"/>
        <w:jc w:val="both"/>
      </w:pPr>
      <w:r>
        <w:t xml:space="preserve">The assimilation of an augmented state is supported by Bayesian learning of model forms with state augmentation [M2], a low-rank ensemble Kalman filter for elliptic observations such as heads [M4], tangent-linear and adjoint models of learned closures [O7], multifidelity approximate Bayesian computation [O8], variational reconstruction [H5], convergent particle filters on reaction networks [E2] and learned continuous-time filters for irregular sampling [E5].</w:t>
      </w:r>
    </w:p>
    <w:p>
      <w:pPr>
        <w:pStyle w:val="Heading3"/>
      </w:pPr>
      <w:r>
        <w:rPr>
          <w:color w:val="1F3864"/>
        </w:rPr>
        <w:t xml:space="preserve">1.8 Where the Gaussian assumption breaks (proposal N2)</w:t>
      </w:r>
    </w:p>
    <w:p>
      <w:pPr>
        <w:spacing w:after="120"/>
        <w:jc w:val="both"/>
      </w:pPr>
      <w:r>
        <w:t xml:space="preserve">In the mean-field limit the error of the ensemble Kalman filter is controlled by the distance of the forecast measure from its Gaussian projection [B18]. Proposal N2 estimates this distance on line and replaces the Kalman analysis by a transport-map filter [B21] only where it exceeds a threshold </w:t>
      </w:r>
      <m:oMath>
        <m:r>
          <m:t>τ</m:t>
        </m:r>
      </m:oMath>
      <w:r>
        <w:t xml:space="preserve">:</w:t>
      </w:r>
    </w:p>
    <w:p>
      <w:pPr>
        <w:pStyle w:val="Equation"/>
      </w:pPr>
      <m:oMathPara>
        <m:oMathParaPr>
          <m:jc m:val="center"/>
        </m:oMathParaPr>
        <m:oMath>
          <m:sSub>
            <m:e>
              <m:acc>
                <m:accPr>
                  <m:chr m:val="̂"/>
                </m:accPr>
                <m:e>
                  <m:r>
                    <m:t>ε</m:t>
                  </m:r>
                </m:e>
              </m:acc>
            </m:e>
            <m:sub>
              <m:r>
                <m:t>n</m:t>
              </m:r>
            </m:sub>
          </m:sSub>
          <m:r>
            <m:rPr>
              <m:sty m:val="p"/>
            </m:rPr>
            <m:t>≈</m:t>
          </m:r>
          <m:sSub>
            <m:e>
              <m:r>
                <m:t>d</m:t>
              </m:r>
            </m:e>
            <m:sub>
              <m:r>
                <m:t>g</m:t>
              </m:r>
            </m:sub>
          </m:sSub>
          <m:d>
            <m:dPr>
              <m:begChr m:val="("/>
              <m:sepChr m:val=""/>
              <m:endChr m:val=")"/>
              <m:grow/>
            </m:dPr>
            <m:e>
              <m:r>
                <m:rPr>
                  <m:scr m:val="script"/>
                  <m:sty m:val="p"/>
                </m:rPr>
                <m:t>Q</m:t>
              </m:r>
              <m:r>
                <m:rPr>
                  <m:scr m:val="script"/>
                  <m:sty m:val="p"/>
                </m:rPr>
                <m:t>P</m:t>
              </m:r>
              <m:sSubSup>
                <m:e>
                  <m:r>
                    <m:t>μ</m:t>
                  </m:r>
                </m:e>
                <m:sub>
                  <m:r>
                    <m:t>n</m:t>
                  </m:r>
                </m:sub>
                <m:sup>
                  <m:r>
                    <m:t>M</m:t>
                  </m:r>
                </m:sup>
              </m:sSubSup>
              <m:r>
                <m:rPr>
                  <m:sty m:val="p"/>
                </m:rPr>
                <m:t>,</m:t>
              </m:r>
              <m:r>
                <m:t> </m:t>
              </m:r>
              <m:r>
                <m:t>G</m:t>
              </m:r>
              <m:r>
                <m:rPr>
                  <m:scr m:val="script"/>
                  <m:sty m:val="p"/>
                </m:rPr>
                <m:t>Q</m:t>
              </m:r>
              <m:r>
                <m:rPr>
                  <m:scr m:val="script"/>
                  <m:sty m:val="p"/>
                </m:rPr>
                <m:t>P</m:t>
              </m:r>
              <m:sSubSup>
                <m:e>
                  <m:r>
                    <m:t>μ</m:t>
                  </m:r>
                </m:e>
                <m:sub>
                  <m:r>
                    <m:t>n</m:t>
                  </m:r>
                </m:sub>
                <m:sup>
                  <m:r>
                    <m:t>M</m:t>
                  </m:r>
                </m:sup>
              </m:sSubSup>
            </m:e>
          </m:d>
          <m:r>
            <m:rPr>
              <m:sty m:val="p"/>
            </m:rPr>
            <m:t>,</m:t>
          </m:r>
          <m:r>
            <m:t>  </m:t>
          </m:r>
          <m:r>
            <m:rPr>
              <m:nor/>
            </m:rPr>
            <m:t>analysis</m:t>
          </m:r>
          <m:r>
            <m:rPr>
              <m:sty m:val="p"/>
            </m:rPr>
            <m:t>=</m:t>
          </m:r>
          <m:d>
            <m:dPr>
              <m:begChr m:val="{"/>
              <m:sepChr m:val=""/>
              <m:endChr m:val=""/>
              <m:grow/>
            </m:dPr>
            <m:e>
              <m:m>
                <m:mPr>
                  <m:baseJc m:val="center"/>
                  <m:plcHide m:val="on"/>
                  <m:mcs>
                    <m:mc>
                      <m:mcPr>
                        <m:count m:val="1"/>
                        <m:mcJc m:val="left"/>
                      </m:mcPr>
                    </m:mc>
                    <m:mc>
                      <m:mcPr>
                        <m:count m:val="1"/>
                        <m:mcJc m:val="left"/>
                      </m:mcPr>
                    </m:mc>
                  </m:mcs>
                </m:mPr>
                <m:mr>
                  <m:e>
                    <m:r>
                      <m:rPr>
                        <m:nor/>
                      </m:rPr>
                      <m:t>EnKF</m:t>
                    </m:r>
                    <m:r>
                      <m:rPr>
                        <m:sty m:val="p"/>
                      </m:rPr>
                      <m:t>,</m:t>
                    </m:r>
                  </m:e>
                  <m:e>
                    <m:sSub>
                      <m:e>
                        <m:acc>
                          <m:accPr>
                            <m:chr m:val="̂"/>
                          </m:accPr>
                          <m:e>
                            <m:r>
                              <m:t>ε</m:t>
                            </m:r>
                          </m:e>
                        </m:acc>
                      </m:e>
                      <m:sub>
                        <m:r>
                          <m:t>n</m:t>
                        </m:r>
                      </m:sub>
                    </m:sSub>
                    <m:r>
                      <m:rPr>
                        <m:sty m:val="p"/>
                      </m:rPr>
                      <m:t>≤</m:t>
                    </m:r>
                    <m:r>
                      <m:t>τ</m:t>
                    </m:r>
                  </m:e>
                </m:mr>
                <m:mr>
                  <m:e>
                    <m:r>
                      <m:rPr>
                        <m:nor/>
                      </m:rPr>
                      <m:t>transport-map filter</m:t>
                    </m:r>
                    <m:r>
                      <m:rPr>
                        <m:sty m:val="p"/>
                      </m:rPr>
                      <m:t>,</m:t>
                    </m:r>
                  </m:e>
                  <m:e>
                    <m:sSub>
                      <m:e>
                        <m:acc>
                          <m:accPr>
                            <m:chr m:val="̂"/>
                          </m:accPr>
                          <m:e>
                            <m:r>
                              <m:t>ε</m:t>
                            </m:r>
                          </m:e>
                        </m:acc>
                      </m:e>
                      <m:sub>
                        <m:r>
                          <m:t>n</m:t>
                        </m:r>
                      </m:sub>
                    </m:sSub>
                    <m:r>
                      <m:rPr>
                        <m:sty m:val="p"/>
                      </m:rPr>
                      <m:t>&gt;</m:t>
                    </m:r>
                    <m:r>
                      <m:t>τ</m:t>
                    </m:r>
                  </m:e>
                </m:mr>
              </m:m>
            </m:e>
          </m:d>
        </m:oMath>
      </m:oMathPara>
    </w:p>
    <w:p>
      <w:pPr>
        <w:spacing w:after="120"/>
        <w:jc w:val="both"/>
      </w:pPr>
      <w:r>
        <w:t xml:space="preserve">A computable surrogate of the distance is the Wasserstein distance between each forecast component and its Gaussian fit, or the difference between the objectives of a nonlinear and an affine transport map. The scale matters. Measured in standardised units the distance is scale-free and is largest where the forecast is almost certain, as far inland, where no analysis can change it; measured in units of the observation error, </w:t>
      </w:r>
      <m:oMath>
        <m:acc>
          <m:accPr>
            <m:chr m:val="̂"/>
          </m:accPr>
          <m:e>
            <m:r>
              <m:t>ε</m:t>
            </m:r>
          </m:e>
        </m:acc>
        <m:r>
          <m:rPr>
            <m:sty m:val="p"/>
          </m:rPr>
          <m:t>=</m:t>
        </m:r>
        <m:sSub>
          <m:e>
            <m:r>
              <m:t>σ</m:t>
            </m:r>
          </m:e>
          <m:sub>
            <m:r>
              <m:t>f</m:t>
            </m:r>
          </m:sub>
        </m:sSub>
        <m:r>
          <m:t> </m:t>
        </m:r>
        <m:sSub>
          <m:e>
            <m:r>
              <m:t>W</m:t>
            </m:r>
          </m:e>
          <m:sub>
            <m:r>
              <m:t>2</m:t>
            </m:r>
          </m:sub>
        </m:sSub>
        <m:d>
          <m:dPr>
            <m:begChr m:val="("/>
            <m:sepChr m:val=""/>
            <m:endChr m:val=")"/>
            <m:grow/>
          </m:dPr>
          <m:e>
            <m:acc>
              <m:accPr>
                <m:chr m:val="̃"/>
              </m:accPr>
              <m:e>
                <m:r>
                  <m:t>μ</m:t>
                </m:r>
              </m:e>
            </m:acc>
            <m:r>
              <m:rPr>
                <m:sty m:val="p"/>
              </m:rPr>
              <m:t>,</m:t>
            </m:r>
            <m:r>
              <m:rPr>
                <m:scr m:val="script"/>
                <m:sty m:val="p"/>
              </m:rPr>
              <m:t>N</m:t>
            </m:r>
            <m:d>
              <m:dPr>
                <m:begChr m:val="("/>
                <m:sepChr m:val=""/>
                <m:endChr m:val=")"/>
                <m:grow/>
              </m:dPr>
              <m:e>
                <m:r>
                  <m:t>0</m:t>
                </m:r>
                <m:r>
                  <m:rPr>
                    <m:sty m:val="p"/>
                  </m:rPr>
                  <m:t>,</m:t>
                </m:r>
                <m:r>
                  <m:t>1</m:t>
                </m:r>
              </m:e>
            </m:d>
          </m:e>
        </m:d>
        <m:r>
          <m:rPr>
            <m:sty m:val="p"/>
          </m:rPr>
          <m:t>/</m:t>
        </m:r>
        <m:sSub>
          <m:e>
            <m:r>
              <m:t>σ</m:t>
            </m:r>
          </m:e>
          <m:sub>
            <m:r>
              <m:rPr>
                <m:nor/>
              </m:rPr>
              <m:t>obs</m:t>
            </m:r>
          </m:sub>
        </m:sSub>
      </m:oMath>
      <w:r>
        <w:t xml:space="preserve"> with </w:t>
      </w:r>
      <m:oMath>
        <m:sSub>
          <m:e>
            <m:r>
              <m:t>σ</m:t>
            </m:r>
          </m:e>
          <m:sub>
            <m:r>
              <m:t>f</m:t>
            </m:r>
          </m:sub>
        </m:sSub>
      </m:oMath>
      <w:r>
        <w:t xml:space="preserve"> the forecast spread and </w:t>
      </w:r>
      <m:oMath>
        <m:acc>
          <m:accPr>
            <m:chr m:val="̃"/>
          </m:accPr>
          <m:e>
            <m:r>
              <m:t>μ</m:t>
            </m:r>
          </m:e>
        </m:acc>
      </m:oMath>
      <w:r>
        <w:t xml:space="preserve"> the standardised forecast, it is large only where the departure from Gaussianity can move the analysis. Two caveats from the notes stand: the theorem is for the mean-field limit, not for finite ensembles, and the relation between such estimates and the metric of the theorem needs a weighted Pinsker-type bound that has not been proved. Section 9.7 shows that in the test aquifer the scaled distance exceeds the observation error only around the front, so the expensive filter would be needed only there.</w:t>
      </w:r>
    </w:p>
    <w:p>
      <w:pPr>
        <w:spacing w:after="120"/>
        <w:jc w:val="both"/>
      </w:pPr>
      <w:r>
        <w:t xml:space="preserve">The hybrid filter of N2 rests on the minimax rates for estimating transport maps [M8], on the convergence of regularised particle filters on reaction networks [E2] and on lower bounds that make linear reconstructions fail at moving fronts [E7].</w:t>
      </w:r>
    </w:p>
    <w:p>
      <w:pPr>
        <w:pStyle w:val="Heading3"/>
      </w:pPr>
      <w:r>
        <w:rPr>
          <w:color w:val="1F3864"/>
        </w:rPr>
        <w:t xml:space="preserve">1.9 Reporting aquifer status robustly (proposal N3)</w:t>
      </w:r>
    </w:p>
    <w:p>
      <w:pPr>
        <w:spacing w:after="120"/>
        <w:jc w:val="both"/>
      </w:pPr>
      <w:r>
        <w:t xml:space="preserve">For a quantity </w:t>
      </w:r>
      <m:oMath>
        <m:r>
          <m:t>φ</m:t>
        </m:r>
      </m:oMath>
      <w:r>
        <w:t xml:space="preserve"> such as the chloride at a well, the robust filter of Cohen [B17] gives an upper and a lower expectation under the uncertainty of recharge and parameters, by penalising each parameter value </w:t>
      </w:r>
      <m:oMath>
        <m:r>
          <m:t>γ</m:t>
        </m:r>
      </m:oMath>
      <w:r>
        <w:t xml:space="preserve"> through its log-likelihood ratio </w:t>
      </w:r>
      <m:oMath>
        <m:sSub>
          <m:e>
            <m:r>
              <m:t>α</m:t>
            </m:r>
          </m:e>
          <m:sub>
            <m:r>
              <m:t>t</m:t>
            </m:r>
          </m:sub>
        </m:sSub>
        <m:d>
          <m:dPr>
            <m:begChr m:val="("/>
            <m:sepChr m:val=""/>
            <m:endChr m:val=")"/>
            <m:grow/>
          </m:dPr>
          <m:e>
            <m:r>
              <m:t>γ</m:t>
            </m:r>
          </m:e>
        </m:d>
      </m:oMath>
      <w:r>
        <w:t xml:space="preserve"> to the maximum-likelihood estimate </w:t>
      </w:r>
      <m:oMath>
        <m:acc>
          <m:accPr>
            <m:chr m:val="̂"/>
          </m:accPr>
          <m:e>
            <m:r>
              <m:t>γ</m:t>
            </m:r>
          </m:e>
        </m:acc>
      </m:oMath>
      <w:r>
        <w:t xml:space="preserve">:</w:t>
      </w:r>
    </w:p>
    <w:p>
      <w:pPr>
        <w:pStyle w:val="Equation"/>
      </w:pPr>
      <m:oMathPara>
        <m:oMathParaPr>
          <m:jc m:val="center"/>
        </m:oMathParaPr>
        <m:oMath>
          <m:bar>
            <m:barPr>
              <m:pos m:val="bot"/>
            </m:barPr>
            <m:e>
              <m:r>
                <m:rPr>
                  <m:scr m:val="script"/>
                  <m:sty m:val="p"/>
                </m:rPr>
                <m:t>E</m:t>
              </m:r>
            </m:e>
          </m:bar>
          <m:d>
            <m:dPr>
              <m:begChr m:val="("/>
              <m:sepChr m:val=""/>
              <m:endChr m:val=")"/>
              <m:grow/>
            </m:dPr>
            <m:e>
              <m:r>
                <m:t>φ</m:t>
              </m:r>
              <m:r>
                <m:rPr>
                  <m:sty m:val="p"/>
                </m:rPr>
                <m:t>∣</m:t>
              </m:r>
              <m:sSub>
                <m:e>
                  <m:r>
                    <m:rPr>
                      <m:scr m:val="script"/>
                      <m:sty m:val="p"/>
                    </m:rPr>
                    <m:t>Y</m:t>
                  </m:r>
                </m:e>
                <m:sub>
                  <m:r>
                    <m:t>t</m:t>
                  </m:r>
                </m:sub>
              </m:sSub>
            </m:e>
          </m:d>
          <m:r>
            <m:rPr>
              <m:sty m:val="p"/>
            </m:rPr>
            <m:t>=</m:t>
          </m:r>
          <m:r>
            <m:rPr>
              <m:sty m:val="p"/>
            </m:rPr>
            <m:t>−</m:t>
          </m:r>
          <m:r>
            <m:rPr>
              <m:scr m:val="script"/>
              <m:sty m:val="p"/>
            </m:rPr>
            <m:t>E</m:t>
          </m:r>
          <m:d>
            <m:dPr>
              <m:begChr m:val="("/>
              <m:sepChr m:val=""/>
              <m:endChr m:val=")"/>
              <m:grow/>
            </m:dPr>
            <m:e>
              <m:r>
                <m:rPr>
                  <m:sty m:val="p"/>
                </m:rPr>
                <m:t>−</m:t>
              </m:r>
              <m:r>
                <m:t>φ</m:t>
              </m:r>
              <m:r>
                <m:rPr>
                  <m:sty m:val="p"/>
                </m:rPr>
                <m:t>∣</m:t>
              </m:r>
              <m:sSub>
                <m:e>
                  <m:r>
                    <m:rPr>
                      <m:scr m:val="script"/>
                      <m:sty m:val="p"/>
                    </m:rPr>
                    <m:t>Y</m:t>
                  </m:r>
                </m:e>
                <m:sub>
                  <m:r>
                    <m:t>t</m:t>
                  </m:r>
                </m:sub>
              </m:sSub>
            </m:e>
          </m:d>
          <m:r>
            <m:rPr>
              <m:sty m:val="p"/>
            </m:rPr>
            <m:t>≤</m:t>
          </m:r>
          <m:sSup>
            <m:e>
              <m:r>
                <m:t>E</m:t>
              </m:r>
            </m:e>
            <m:sup>
              <m:acc>
                <m:accPr>
                  <m:chr m:val="̂"/>
                </m:accPr>
                <m:e>
                  <m:r>
                    <m:t>γ</m:t>
                  </m:r>
                </m:e>
              </m:acc>
            </m:sup>
          </m:sSup>
          <m:d>
            <m:dPr>
              <m:begChr m:val="["/>
              <m:sepChr m:val=""/>
              <m:endChr m:val="]"/>
              <m:grow/>
            </m:dPr>
            <m:e>
              <m:r>
                <m:t>φ</m:t>
              </m:r>
              <m:r>
                <m:rPr>
                  <m:sty m:val="p"/>
                </m:rPr>
                <m:t>∣</m:t>
              </m:r>
              <m:sSub>
                <m:e>
                  <m:r>
                    <m:rPr>
                      <m:scr m:val="script"/>
                      <m:sty m:val="p"/>
                    </m:rPr>
                    <m:t>Y</m:t>
                  </m:r>
                </m:e>
                <m:sub>
                  <m:r>
                    <m:t>t</m:t>
                  </m:r>
                </m:sub>
              </m:sSub>
            </m:e>
          </m:d>
          <m:r>
            <m:rPr>
              <m:sty m:val="p"/>
            </m:rPr>
            <m:t>≤</m:t>
          </m:r>
          <m:r>
            <m:rPr>
              <m:scr m:val="script"/>
              <m:sty m:val="p"/>
            </m:rPr>
            <m:t>E</m:t>
          </m:r>
          <m:d>
            <m:dPr>
              <m:begChr m:val="("/>
              <m:sepChr m:val=""/>
              <m:endChr m:val=")"/>
              <m:grow/>
            </m:dPr>
            <m:e>
              <m:r>
                <m:t>φ</m:t>
              </m:r>
              <m:r>
                <m:rPr>
                  <m:sty m:val="p"/>
                </m:rPr>
                <m:t>∣</m:t>
              </m:r>
              <m:sSub>
                <m:e>
                  <m:r>
                    <m:rPr>
                      <m:scr m:val="script"/>
                      <m:sty m:val="p"/>
                    </m:rPr>
                    <m:t>Y</m:t>
                  </m:r>
                </m:e>
                <m:sub>
                  <m:r>
                    <m:t>t</m:t>
                  </m:r>
                </m:sub>
              </m:sSub>
            </m:e>
          </m:d>
          <m:r>
            <m:rPr>
              <m:sty m:val="p"/>
            </m:rPr>
            <m:t>,</m:t>
          </m:r>
          <m:r>
            <m:t>  </m:t>
          </m:r>
          <m:r>
            <m:rPr>
              <m:scr m:val="script"/>
              <m:sty m:val="p"/>
            </m:rPr>
            <m:t>E</m:t>
          </m:r>
          <m:d>
            <m:dPr>
              <m:begChr m:val="("/>
              <m:sepChr m:val=""/>
              <m:endChr m:val=")"/>
              <m:grow/>
            </m:dPr>
            <m:e>
              <m:r>
                <m:t>φ</m:t>
              </m:r>
              <m:r>
                <m:rPr>
                  <m:sty m:val="p"/>
                </m:rPr>
                <m:t>∣</m:t>
              </m:r>
              <m:sSub>
                <m:e>
                  <m:r>
                    <m:rPr>
                      <m:scr m:val="script"/>
                      <m:sty m:val="p"/>
                    </m:rPr>
                    <m:t>Y</m:t>
                  </m:r>
                </m:e>
                <m:sub>
                  <m:r>
                    <m:t>t</m:t>
                  </m:r>
                </m:sub>
              </m:sSub>
            </m:e>
          </m:d>
          <m:r>
            <m:rPr>
              <m:sty m:val="p"/>
            </m:rPr>
            <m:t>=</m:t>
          </m:r>
          <m:limLow>
            <m:e>
              <m:r>
                <m:rPr>
                  <m:nor/>
                </m:rPr>
                <m:t>sup</m:t>
              </m:r>
            </m:e>
            <m:lim>
              <m:r>
                <m:t>γ</m:t>
              </m:r>
            </m:lim>
          </m:limLow>
          <m:d>
            <m:dPr>
              <m:begChr m:val="("/>
              <m:sepChr m:val=""/>
              <m:endChr m:val=")"/>
              <m:grow/>
            </m:dPr>
            <m:e>
              <m:sSup>
                <m:e>
                  <m:r>
                    <m:t>E</m:t>
                  </m:r>
                </m:e>
                <m:sup>
                  <m:r>
                    <m:t>γ</m:t>
                  </m:r>
                </m:sup>
              </m:sSup>
              <m:d>
                <m:dPr>
                  <m:begChr m:val="["/>
                  <m:sepChr m:val=""/>
                  <m:endChr m:val="]"/>
                  <m:grow/>
                </m:dPr>
                <m:e>
                  <m:r>
                    <m:t>φ</m:t>
                  </m:r>
                  <m:r>
                    <m:rPr>
                      <m:sty m:val="p"/>
                    </m:rPr>
                    <m:t>∣</m:t>
                  </m:r>
                  <m:sSub>
                    <m:e>
                      <m:r>
                        <m:rPr>
                          <m:scr m:val="script"/>
                          <m:sty m:val="p"/>
                        </m:rPr>
                        <m:t>Y</m:t>
                      </m:r>
                    </m:e>
                    <m:sub>
                      <m:r>
                        <m:t>t</m:t>
                      </m:r>
                    </m:sub>
                  </m:sSub>
                </m:e>
              </m:d>
              <m:r>
                <m:rPr>
                  <m:sty m:val="p"/>
                </m:rPr>
                <m:t>−</m:t>
              </m:r>
              <m:sSup>
                <m:e>
                  <m:d>
                    <m:dPr>
                      <m:begChr m:val="("/>
                      <m:sepChr m:val=""/>
                      <m:endChr m:val=")"/>
                      <m:grow/>
                    </m:dPr>
                    <m:e>
                      <m:f>
                        <m:fPr>
                          <m:type m:val="bar"/>
                        </m:fPr>
                        <m:num>
                          <m:sSub>
                            <m:e>
                              <m:r>
                                <m:t>α</m:t>
                              </m:r>
                            </m:e>
                            <m:sub>
                              <m:r>
                                <m:t>t</m:t>
                              </m:r>
                            </m:sub>
                          </m:sSub>
                          <m:d>
                            <m:dPr>
                              <m:begChr m:val="("/>
                              <m:sepChr m:val=""/>
                              <m:endChr m:val=")"/>
                              <m:grow/>
                            </m:dPr>
                            <m:e>
                              <m:r>
                                <m:t>γ</m:t>
                              </m:r>
                            </m:e>
                          </m:d>
                        </m:num>
                        <m:den>
                          <m:r>
                            <m:t>k</m:t>
                          </m:r>
                        </m:den>
                      </m:f>
                    </m:e>
                  </m:d>
                </m:e>
                <m:sup>
                  <m:r>
                    <m:t>k</m:t>
                  </m:r>
                  <m:r>
                    <m:rPr>
                      <m:sty m:val="p"/>
                    </m:rPr>
                    <m:t>′</m:t>
                  </m:r>
                </m:sup>
              </m:sSup>
            </m:e>
          </m:d>
        </m:oMath>
      </m:oMathPara>
    </w:p>
    <w:p>
      <w:pPr>
        <w:spacing w:after="120"/>
        <w:jc w:val="both"/>
      </w:pPr>
      <w:r>
        <w:rPr>
          <w:b/>
          <w:bCs/>
        </w:rPr>
        <w:t xml:space="preserve">Proposition 6 (the plug-in lies inside the band).</w:t>
      </w:r>
      <w:r>
        <w:t xml:space="preserve"> The plug-in value </w:t>
      </w:r>
      <m:oMath>
        <m:sSup>
          <m:e>
            <m:r>
              <m:t>E</m:t>
            </m:r>
          </m:e>
          <m:sup>
            <m:acc>
              <m:accPr>
                <m:chr m:val="̂"/>
              </m:accPr>
              <m:e>
                <m:r>
                  <m:t>γ</m:t>
                </m:r>
              </m:e>
            </m:acc>
          </m:sup>
        </m:sSup>
        <m:d>
          <m:dPr>
            <m:begChr m:val="["/>
            <m:sepChr m:val=""/>
            <m:endChr m:val="]"/>
            <m:grow/>
          </m:dPr>
          <m:e>
            <m:r>
              <m:t>φ</m:t>
            </m:r>
            <m:r>
              <m:rPr>
                <m:sty m:val="p"/>
              </m:rPr>
              <m:t>∣</m:t>
            </m:r>
            <m:sSub>
              <m:e>
                <m:r>
                  <m:rPr>
                    <m:scr m:val="script"/>
                    <m:sty m:val="p"/>
                  </m:rPr>
                  <m:t>Y</m:t>
                </m:r>
              </m:e>
              <m:sub>
                <m:r>
                  <m:t>t</m:t>
                </m:r>
              </m:sub>
            </m:sSub>
          </m:e>
        </m:d>
      </m:oMath>
      <w:r>
        <w:t xml:space="preserve"> lies between the lower and the upper expectation. </w:t>
      </w:r>
      <w:r>
        <w:rPr>
          <w:i/>
          <w:iCs/>
        </w:rPr>
        <w:t xml:space="preserve">Proof.</w:t>
      </w:r>
      <w:r>
        <w:t xml:space="preserve"> The penalty vanishes at </w:t>
      </w:r>
      <m:oMath>
        <m:acc>
          <m:accPr>
            <m:chr m:val="̂"/>
          </m:accPr>
          <m:e>
            <m:r>
              <m:t>γ</m:t>
            </m:r>
          </m:e>
        </m:acc>
      </m:oMath>
      <w:r>
        <w:t xml:space="preserve">, so </w:t>
      </w:r>
      <m:oMath>
        <m:acc>
          <m:accPr>
            <m:chr m:val="̂"/>
          </m:accPr>
          <m:e>
            <m:r>
              <m:t>γ</m:t>
            </m:r>
          </m:e>
        </m:acc>
      </m:oMath>
      <w:r>
        <w:t xml:space="preserve"> is admissible with zero penalty in both the supremum and the infimum. </w:t>
      </w:r>
      <m:oMath>
        <m:r>
          <m:rPr>
            <m:sty m:val="p"/>
          </m:rPr>
          <m:t>▫</m:t>
        </m:r>
      </m:oMath>
      <w:r>
        <w:t xml:space="preserve"> The width of the band depends only on the penalty constants </w:t>
      </w:r>
      <m:oMath>
        <m:r>
          <m:t>k</m:t>
        </m:r>
      </m:oMath>
      <w:r>
        <w:t xml:space="preserve"> and </w:t>
      </w:r>
      <m:oMath>
        <m:r>
          <m:t>k</m:t>
        </m:r>
        <m:r>
          <m:rPr>
            <m:sty m:val="p"/>
          </m:rPr>
          <m:t>′</m:t>
        </m:r>
      </m:oMath>
      <w:r>
        <w:t xml:space="preserve"> and not on a prior over recharge, so the report holds for parties who hold different priors: the property a status report shared among several administrations needs.</w:t>
      </w:r>
    </w:p>
    <w:p>
      <w:pPr>
        <w:spacing w:after="120"/>
        <w:jc w:val="both"/>
      </w:pPr>
      <w:r>
        <w:t xml:space="preserve">Robust reporting is complemented in Part II by invariance and distributional robustness [E6], reproducible credible sets under misspecification [H6] and guaranteed sets under bounded errors [H7].</w:t>
      </w:r>
    </w:p>
    <w:p>
      <w:pPr>
        <w:pStyle w:val="Heading3"/>
      </w:pPr>
      <w:r>
        <w:rPr>
          <w:color w:val="1F3864"/>
        </w:rPr>
        <w:t xml:space="preserve">1.10 The candidate system for the COST paper</w:t>
      </w:r>
    </w:p>
    <w:p>
      <w:pPr>
        <w:pStyle w:val="ListParagraph"/>
        <w:numPr>
          <w:ilvl w:val="0"/>
          <w:numId w:val="2"/>
        </w:numPr>
        <w:spacing w:after="60"/>
        <w:jc w:val="both"/>
      </w:pPr>
      <w:r>
        <w:rPr>
          <w:b/>
          <w:bCs/>
        </w:rPr>
        <w:t xml:space="preserve">Flow</w:t>
      </w:r>
      <w:r>
        <w:t xml:space="preserve"> with a learned closure and a completely monotone memory kernel (N1), coupled to transport through a density computed from the full composition.</w:t>
      </w:r>
    </w:p>
    <w:p>
      <w:pPr>
        <w:pStyle w:val="ListParagraph"/>
        <w:numPr>
          <w:ilvl w:val="0"/>
          <w:numId w:val="2"/>
        </w:numPr>
        <w:spacing w:after="60"/>
        <w:jc w:val="both"/>
      </w:pPr>
      <w:r>
        <w:rPr>
          <w:b/>
          <w:bCs/>
        </w:rPr>
        <w:t xml:space="preserve">Multi-species transport</w:t>
      </w:r>
      <w:r>
        <w:t xml:space="preserve"> with known physics, a memory term from the silt–clay layers (Proposition 3) and a learned reactive closure confined to the stoichiometric span, with availability-limited rates and its own exchanger memory (section 1.5).</w:t>
      </w:r>
    </w:p>
    <w:p>
      <w:pPr>
        <w:pStyle w:val="ListParagraph"/>
        <w:numPr>
          <w:ilvl w:val="0"/>
          <w:numId w:val="2"/>
        </w:numPr>
        <w:spacing w:after="60"/>
        <w:jc w:val="both"/>
      </w:pPr>
      <w:r>
        <w:rPr>
          <w:b/>
          <w:bCs/>
        </w:rPr>
        <w:t xml:space="preserve">Identifiability by design</w:t>
      </w:r>
      <w:r>
        <w:t xml:space="preserve">: chloride and the other invariants pin transport and memory; the reactive species identify the closure; the compositions of the source waters separate recharge from the flow closure (Propositions 1, 2 and 4).</w:t>
      </w:r>
    </w:p>
    <w:p>
      <w:pPr>
        <w:pStyle w:val="ListParagraph"/>
        <w:numPr>
          <w:ilvl w:val="0"/>
          <w:numId w:val="2"/>
        </w:numPr>
        <w:spacing w:after="60"/>
        <w:jc w:val="both"/>
      </w:pPr>
      <w:r>
        <w:rPr>
          <w:b/>
          <w:bCs/>
        </w:rPr>
        <w:t xml:space="preserve">Assimilation</w:t>
      </w:r>
      <w:r>
        <w:t xml:space="preserve"> of the augmented state from heads and multi-species chemistry with an ensemble smoother, a cut between invariant and reactive data (Proposition 5), and a filter that switches to transport maps only where the forecast is far from Gaussian (N2).</w:t>
      </w:r>
    </w:p>
    <w:p>
      <w:pPr>
        <w:pStyle w:val="ListParagraph"/>
        <w:numPr>
          <w:ilvl w:val="0"/>
          <w:numId w:val="2"/>
        </w:numPr>
        <w:spacing w:after="60"/>
        <w:jc w:val="both"/>
      </w:pPr>
      <w:r>
        <w:rPr>
          <w:b/>
          <w:bCs/>
        </w:rPr>
        <w:t xml:space="preserve">Reporting</w:t>
      </w:r>
      <w:r>
        <w:t xml:space="preserve"> of aquifer status as robust upper and lower expectations that do not depend on a prior over recharge (N3, Proposition 6), and goal-oriented design of the monitoring that narrows them, building on the adjoint expected information gain of the base paper.</w:t>
      </w:r>
    </w:p>
    <w:p>
      <w:pPr>
        <w:spacing w:after="120"/>
        <w:jc w:val="both"/>
      </w:pPr>
      <w:r>
        <w:t xml:space="preserve">Every block of the candidate system has support in Part II (synthesis, section 8, and the table of section 9.9); no paper combines the blocks, which is what makes the system new (section 8.6).</w:t>
      </w:r>
    </w:p>
    <w:p>
      <w:pPr>
        <w:spacing w:after="200"/>
      </w:pPr>
    </w:p>
    <w:p>
      <w:pPr>
        <w:pStyle w:val="Heading1"/>
      </w:pPr>
      <w:r>
        <w:rPr>
          <w:color w:val="1F3864"/>
        </w:rPr>
        <w:t xml:space="preserve">2. Search methodology</w:t>
      </w:r>
    </w:p>
    <w:p>
      <w:pPr>
        <w:spacing w:after="120"/>
        <w:jc w:val="both"/>
      </w:pPr>
      <w:r>
        <w:t xml:space="preserve">The search answered the request to show how the transport equation, like the flow equation of proposal N1, can carry additional terms next to the classical ones, and to find the 30 best papers of 1 January 2020 – 23 October 2026 from Oxford, Harvard, MIT and ETH Zürich, by leading authors and with deep mathematics, that make this kind of system of equations new and a strong candidate for the COST paper, with field data on several dissolved species (sheets 5 and 6 of the Fushë-Kuqe data set). Six themes guided it: learned closures and model error inside differential equations; memory and non-Markovian closures; reactive and multi-component transport in porous media; data assimilation and inverse problems with augmented states; identifiability; and scientific machine learning for subsurface flow and transport with theory.</w:t>
      </w:r>
    </w:p>
    <w:p>
      <w:pPr>
        <w:pStyle w:val="ListParagraph"/>
        <w:numPr>
          <w:ilvl w:val="0"/>
          <w:numId w:val="2"/>
        </w:numPr>
        <w:spacing w:after="60"/>
        <w:jc w:val="both"/>
      </w:pPr>
      <w:r>
        <w:rPr>
          <w:b/>
          <w:bCs/>
        </w:rPr>
        <w:t xml:space="preserve">Mathematical depth:</w:t>
      </w:r>
      <w:r>
        <w:t xml:space="preserve"> priority to papers that prove theorems (convergence, rates, universality, identifiability, homogenisation limits) or that introduce a clearly new method with a rigorous derivation; purely empirical case studies were excluded. Papers whose contribution is Bayesian inference are marked as such.</w:t>
      </w:r>
    </w:p>
    <w:p>
      <w:pPr>
        <w:pStyle w:val="ListParagraph"/>
        <w:numPr>
          <w:ilvl w:val="0"/>
          <w:numId w:val="2"/>
        </w:numPr>
        <w:spacing w:after="60"/>
        <w:jc w:val="both"/>
      </w:pPr>
      <w:r>
        <w:rPr>
          <w:b/>
          <w:bCs/>
        </w:rPr>
        <w:t xml:space="preserve">Leading authors:</w:t>
      </w:r>
      <w:r>
        <w:t xml:space="preserve"> each card has a row "Standing of the authors" that lists only positions and distinctions seen in official pages or search results; nothing was added from memory.</w:t>
      </w:r>
    </w:p>
    <w:p>
      <w:pPr>
        <w:pStyle w:val="ListParagraph"/>
        <w:numPr>
          <w:ilvl w:val="0"/>
          <w:numId w:val="2"/>
        </w:numPr>
        <w:spacing w:after="60"/>
        <w:jc w:val="both"/>
      </w:pPr>
      <w:r>
        <w:rPr>
          <w:b/>
          <w:bCs/>
        </w:rPr>
        <w:t xml:space="preserve">Sources:</w:t>
      </w:r>
      <w:r>
        <w:t xml:space="preserve"> publisher pages and records, proceedings (NeurIPS, ICLR, PMLR), institutional repositories (Oxford University Research Archive, MIT DSpace, ETH Research Collection, Harvard Dataverse and DASH), PubMed Central, arXiv, and institutional and group pages.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by four search agents and a few direct searches (about 170 web searches), and no full text was read. Theorem numbers and exact statements were therefore not seen, and every key equation is a </w:t>
      </w:r>
      <w:r>
        <w:rPr>
          <w:i/>
          <w:iCs/>
        </w:rPr>
        <w:t xml:space="preserve">representative formulation</w:t>
      </w:r>
      <w:r>
        <w:t xml:space="preserve"> of the paper's framework or main result. Uncertain fields are marked "(not verified)" on the cards and in the references.</w:t>
      </w:r>
    </w:p>
    <w:p>
      <w:pPr>
        <w:pStyle w:val="ListParagraph"/>
        <w:numPr>
          <w:ilvl w:val="0"/>
          <w:numId w:val="2"/>
        </w:numPr>
        <w:spacing w:after="60"/>
        <w:jc w:val="both"/>
      </w:pPr>
      <w:r>
        <w:rPr>
          <w:b/>
          <w:bCs/>
        </w:rPr>
        <w:t xml:space="preserve">Inclusion criteria:</w:t>
      </w:r>
      <w:r>
        <w:t xml:space="preserve"> (i) peer-reviewed journal article or main-track paper of an established conference (NeurIPS, ICLR, L4DC), 2020–2026; (ii) at least one author at the institution at the time (for ETH Zürich, an author at Eawag or EPFL counted only if the paper also lists ETH Zürich); (iii) support for at least one term of the candidate system; (iv) no overlap with the 41 earlier documents of the series, checked automatically by title and DOI; (v) ranking by mathematical depth and by closeness to the system.</w:t>
      </w:r>
    </w:p>
    <w:p>
      <w:pPr>
        <w:pStyle w:val="ListParagraph"/>
        <w:numPr>
          <w:ilvl w:val="0"/>
          <w:numId w:val="2"/>
        </w:numPr>
        <w:spacing w:after="60"/>
        <w:jc w:val="both"/>
      </w:pPr>
      <w:r>
        <w:rPr>
          <w:b/>
          <w:bCs/>
        </w:rPr>
        <w:t xml:space="preserve">Where the gaps are:</w:t>
      </w:r>
      <w:r>
        <w:t xml:space="preserve"> no unused paper of 2020–2026 from the four institutions treats variable-density seawater intrusion, cation exchange or a stoichiometric decomposition of transport directly; related Oxford, Harvard and MIT work appeared in earlier documents of the series. The gap is itself a finding: the candidate system sits between fields that have not yet met. Harvard's papers come mostly from atmospheric chemistry, whose learned multi-species reaction operators are the closest precedent for the reactive closure.</w:t>
      </w:r>
    </w:p>
    <w:p>
      <w:pPr>
        <w:pStyle w:val="ListParagraph"/>
        <w:numPr>
          <w:ilvl w:val="0"/>
          <w:numId w:val="2"/>
        </w:numPr>
        <w:spacing w:after="60"/>
        <w:jc w:val="both"/>
      </w:pPr>
      <w:r>
        <w:rPr>
          <w:b/>
          <w:bCs/>
        </w:rPr>
        <w:t xml:space="preserve">The local folders:</w:t>
      </w:r>
      <w:r>
        <w:t xml:space="preserve"> the request also asked to read two folders on the author's computer, "ASIMILIMI DINAMIK I TE DHENAVE" and "20 TE GJITHA TE SHKARKUAARA". They could not be reached from the cloud environment in which this document was prepared, so their contents were not used; papers from those folders can be added in a later revision.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convergence, rates, universality or identifiability; ★★★ = rigorous derivations (homogenisation, asymptotics, estimators) or a formal framework with guarantees; ★★ = a methodological first with careful evaluation).</w:t>
      </w:r>
    </w:p>
    <w:p>
      <w:pPr>
        <w:pStyle w:val="Heading1"/>
        <w:pageBreakBefore/>
      </w:pPr>
      <w:r>
        <w:rPr>
          <w:color w:val="1F3864"/>
        </w:rPr>
        <w:t xml:space="preserve">3. Summary table of the 30 articles</w:t>
      </w:r>
    </w:p>
    <w:p>
      <w:pPr>
        <w:spacing w:after="120"/>
        <w:jc w:val="both"/>
      </w:pPr>
      <w:r>
        <w:t xml:space="preserve">The table is ordered by institution, in the order of the request (O = Oxford, H = Harvard, M = MIT, E = ETH Zürich)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Fehrman (2024)</w:t>
            </w:r>
          </w:p>
        </w:tc>
        <w:tc>
          <w:tcPr>
            <w:tcW w:type="dxa" w:w="3830"/>
            <w:tcMar>
              <w:top w:type="dxa" w:w="30"/>
              <w:left w:type="dxa" w:w="90"/>
              <w:bottom w:type="dxa" w:w="30"/>
              <w:right w:type="dxa" w:w="90"/>
            </w:tcMar>
            <w:vAlign w:val="top"/>
          </w:tcPr>
          <w:p>
            <w:r>
              <w:rPr>
                <w:sz w:val="16"/>
                <w:szCs w:val="16"/>
              </w:rPr>
              <w:t xml:space="preserve">Stochastic homogenization with space-time ergodic divergence-free drift</w:t>
            </w:r>
          </w:p>
        </w:tc>
        <w:tc>
          <w:tcPr>
            <w:tcW w:type="dxa" w:w="2030"/>
            <w:tcMar>
              <w:top w:type="dxa" w:w="30"/>
              <w:left w:type="dxa" w:w="90"/>
              <w:bottom w:type="dxa" w:w="30"/>
              <w:right w:type="dxa" w:w="90"/>
            </w:tcMar>
            <w:vAlign w:val="top"/>
          </w:tcPr>
          <w:p>
            <w:r>
              <w:rPr>
                <w:sz w:val="16"/>
                <w:szCs w:val="16"/>
              </w:rPr>
              <w:t xml:space="preserve">Ann. Probab.</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Donnet, Rivoirard &amp; Rousseau (2020)</w:t>
            </w:r>
          </w:p>
        </w:tc>
        <w:tc>
          <w:tcPr>
            <w:tcW w:type="dxa" w:w="3830"/>
            <w:shd w:fill="F7F9FC" w:color="auto" w:val="clear"/>
            <w:tcMar>
              <w:top w:type="dxa" w:w="30"/>
              <w:left w:type="dxa" w:w="90"/>
              <w:bottom w:type="dxa" w:w="30"/>
              <w:right w:type="dxa" w:w="90"/>
            </w:tcMar>
            <w:vAlign w:val="top"/>
          </w:tcPr>
          <w:p>
            <w:r>
              <w:rPr>
                <w:sz w:val="16"/>
                <w:szCs w:val="16"/>
              </w:rPr>
              <w:t xml:space="preserve">Nonparametric Bayesian estimation for multivariate Hawkes processes</w:t>
            </w:r>
          </w:p>
        </w:tc>
        <w:tc>
          <w:tcPr>
            <w:tcW w:type="dxa" w:w="2030"/>
            <w:shd w:fill="F7F9FC" w:color="auto" w:val="clear"/>
            <w:tcMar>
              <w:top w:type="dxa" w:w="30"/>
              <w:left w:type="dxa" w:w="90"/>
              <w:bottom w:type="dxa" w:w="30"/>
              <w:right w:type="dxa" w:w="90"/>
            </w:tcMar>
            <w:vAlign w:val="top"/>
          </w:tcPr>
          <w:p>
            <w:r>
              <w:rPr>
                <w:sz w:val="16"/>
                <w:szCs w:val="16"/>
              </w:rPr>
              <w:t xml:space="preserve">Ann. Statist.</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Simpson et al. (2021)</w:t>
            </w:r>
          </w:p>
        </w:tc>
        <w:tc>
          <w:tcPr>
            <w:tcW w:type="dxa" w:w="3830"/>
            <w:tcMar>
              <w:top w:type="dxa" w:w="30"/>
              <w:left w:type="dxa" w:w="90"/>
              <w:bottom w:type="dxa" w:w="30"/>
              <w:right w:type="dxa" w:w="90"/>
            </w:tcMar>
            <w:vAlign w:val="top"/>
          </w:tcPr>
          <w:p>
            <w:r>
              <w:rPr>
                <w:sz w:val="16"/>
                <w:szCs w:val="16"/>
              </w:rPr>
              <w:t xml:space="preserve">Profile likelihood analysis for a stochastic model of diffusion in heterogeneous media</w:t>
            </w:r>
          </w:p>
        </w:tc>
        <w:tc>
          <w:tcPr>
            <w:tcW w:type="dxa" w:w="2030"/>
            <w:tcMar>
              <w:top w:type="dxa" w:w="30"/>
              <w:left w:type="dxa" w:w="90"/>
              <w:bottom w:type="dxa" w:w="30"/>
              <w:right w:type="dxa" w:w="90"/>
            </w:tcMar>
            <w:vAlign w:val="top"/>
          </w:tcPr>
          <w:p>
            <w:r>
              <w:rPr>
                <w:sz w:val="16"/>
                <w:szCs w:val="16"/>
              </w:rPr>
              <w:t xml:space="preserve">Proc. R. Soc. A</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Kiradjiev, Breward, Griffiths &amp; Schwendeman (2021)</w:t>
            </w:r>
          </w:p>
        </w:tc>
        <w:tc>
          <w:tcPr>
            <w:tcW w:type="dxa" w:w="3830"/>
            <w:shd w:fill="F7F9FC" w:color="auto" w:val="clear"/>
            <w:tcMar>
              <w:top w:type="dxa" w:w="30"/>
              <w:left w:type="dxa" w:w="90"/>
              <w:bottom w:type="dxa" w:w="30"/>
              <w:right w:type="dxa" w:w="90"/>
            </w:tcMar>
            <w:vAlign w:val="top"/>
          </w:tcPr>
          <w:p>
            <w:r>
              <w:rPr>
                <w:sz w:val="16"/>
                <w:szCs w:val="16"/>
              </w:rPr>
              <w:t xml:space="preserve">A Homogenised Model for a Reactive Filter</w:t>
            </w:r>
          </w:p>
        </w:tc>
        <w:tc>
          <w:tcPr>
            <w:tcW w:type="dxa" w:w="2030"/>
            <w:shd w:fill="F7F9FC" w:color="auto" w:val="clear"/>
            <w:tcMar>
              <w:top w:type="dxa" w:w="30"/>
              <w:left w:type="dxa" w:w="90"/>
              <w:bottom w:type="dxa" w:w="30"/>
              <w:right w:type="dxa" w:w="90"/>
            </w:tcMar>
            <w:vAlign w:val="top"/>
          </w:tcPr>
          <w:p>
            <w:r>
              <w:rPr>
                <w:sz w:val="16"/>
                <w:szCs w:val="16"/>
              </w:rPr>
              <w:t xml:space="preserve">SIAM J. Appl. Math.</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Dalwadi &amp; King (2020)</w:t>
            </w:r>
          </w:p>
        </w:tc>
        <w:tc>
          <w:tcPr>
            <w:tcW w:type="dxa" w:w="3830"/>
            <w:tcMar>
              <w:top w:type="dxa" w:w="30"/>
              <w:left w:type="dxa" w:w="90"/>
              <w:bottom w:type="dxa" w:w="30"/>
              <w:right w:type="dxa" w:w="90"/>
            </w:tcMar>
            <w:vAlign w:val="top"/>
          </w:tcPr>
          <w:p>
            <w:r>
              <w:rPr>
                <w:sz w:val="16"/>
                <w:szCs w:val="16"/>
              </w:rPr>
              <w:t xml:space="preserve">A Systematic Upscaling of Nonlinear Chemical Uptake Within a Biofilm</w:t>
            </w:r>
          </w:p>
        </w:tc>
        <w:tc>
          <w:tcPr>
            <w:tcW w:type="dxa" w:w="2030"/>
            <w:tcMar>
              <w:top w:type="dxa" w:w="30"/>
              <w:left w:type="dxa" w:w="90"/>
              <w:bottom w:type="dxa" w:w="30"/>
              <w:right w:type="dxa" w:w="90"/>
            </w:tcMar>
            <w:vAlign w:val="top"/>
          </w:tcPr>
          <w:p>
            <w:r>
              <w:rPr>
                <w:sz w:val="16"/>
                <w:szCs w:val="16"/>
              </w:rPr>
              <w:t xml:space="preserve">SIAM J. Appl. Math.</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Browning &amp; Simpson (2023)</w:t>
            </w:r>
          </w:p>
        </w:tc>
        <w:tc>
          <w:tcPr>
            <w:tcW w:type="dxa" w:w="3830"/>
            <w:shd w:fill="F7F9FC" w:color="auto" w:val="clear"/>
            <w:tcMar>
              <w:top w:type="dxa" w:w="30"/>
              <w:left w:type="dxa" w:w="90"/>
              <w:bottom w:type="dxa" w:w="30"/>
              <w:right w:type="dxa" w:w="90"/>
            </w:tcMar>
            <w:vAlign w:val="top"/>
          </w:tcPr>
          <w:p>
            <w:r>
              <w:rPr>
                <w:sz w:val="16"/>
                <w:szCs w:val="16"/>
              </w:rPr>
              <w:t xml:space="preserve">Geometric analysis enables biological insight from complex non-identifiable models using simple surrogates</w:t>
            </w:r>
          </w:p>
        </w:tc>
        <w:tc>
          <w:tcPr>
            <w:tcW w:type="dxa" w:w="2030"/>
            <w:shd w:fill="F7F9FC" w:color="auto" w:val="clear"/>
            <w:tcMar>
              <w:top w:type="dxa" w:w="30"/>
              <w:left w:type="dxa" w:w="90"/>
              <w:bottom w:type="dxa" w:w="30"/>
              <w:right w:type="dxa" w:w="90"/>
            </w:tcMar>
            <w:vAlign w:val="top"/>
          </w:tcPr>
          <w:p>
            <w:r>
              <w:rPr>
                <w:sz w:val="16"/>
                <w:szCs w:val="16"/>
              </w:rPr>
              <w:t xml:space="preserve">PLoS Comput. Biol.</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Hatfield et al. (2021)</w:t>
            </w:r>
          </w:p>
        </w:tc>
        <w:tc>
          <w:tcPr>
            <w:tcW w:type="dxa" w:w="3830"/>
            <w:tcMar>
              <w:top w:type="dxa" w:w="30"/>
              <w:left w:type="dxa" w:w="90"/>
              <w:bottom w:type="dxa" w:w="30"/>
              <w:right w:type="dxa" w:w="90"/>
            </w:tcMar>
            <w:vAlign w:val="top"/>
          </w:tcPr>
          <w:p>
            <w:r>
              <w:rPr>
                <w:sz w:val="16"/>
                <w:szCs w:val="16"/>
              </w:rPr>
              <w:t xml:space="preserve">Building tangent-linear and adjoint models for data assimilation with neural networks</w:t>
            </w:r>
          </w:p>
        </w:tc>
        <w:tc>
          <w:tcPr>
            <w:tcW w:type="dxa" w:w="2030"/>
            <w:tcMar>
              <w:top w:type="dxa" w:w="30"/>
              <w:left w:type="dxa" w:w="90"/>
              <w:bottom w:type="dxa" w:w="30"/>
              <w:right w:type="dxa" w:w="90"/>
            </w:tcMar>
            <w:vAlign w:val="top"/>
          </w:tcPr>
          <w:p>
            <w:r>
              <w:rPr>
                <w:sz w:val="16"/>
                <w:szCs w:val="16"/>
              </w:rPr>
              <w:t xml:space="preserve">J. Adv. Model. Earth Syst.</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Prescott &amp; Baker (2020)</w:t>
            </w:r>
          </w:p>
        </w:tc>
        <w:tc>
          <w:tcPr>
            <w:tcW w:type="dxa" w:w="3830"/>
            <w:shd w:fill="F7F9FC" w:color="auto" w:val="clear"/>
            <w:tcMar>
              <w:top w:type="dxa" w:w="30"/>
              <w:left w:type="dxa" w:w="90"/>
              <w:bottom w:type="dxa" w:w="30"/>
              <w:right w:type="dxa" w:w="90"/>
            </w:tcMar>
            <w:vAlign w:val="top"/>
          </w:tcPr>
          <w:p>
            <w:r>
              <w:rPr>
                <w:sz w:val="16"/>
                <w:szCs w:val="16"/>
              </w:rPr>
              <w:t xml:space="preserve">Multifidelity approximate Bayesian computation</w:t>
            </w:r>
          </w:p>
        </w:tc>
        <w:tc>
          <w:tcPr>
            <w:tcW w:type="dxa" w:w="2030"/>
            <w:shd w:fill="F7F9FC" w:color="auto" w:val="clear"/>
            <w:tcMar>
              <w:top w:type="dxa" w:w="30"/>
              <w:left w:type="dxa" w:w="90"/>
              <w:bottom w:type="dxa" w:w="30"/>
              <w:right w:type="dxa" w:w="90"/>
            </w:tcMar>
            <w:vAlign w:val="top"/>
          </w:tcPr>
          <w:p>
            <w:r>
              <w:rPr>
                <w:sz w:val="16"/>
                <w:szCs w:val="16"/>
              </w:rPr>
              <w:t xml:space="preserve">SIAM/ASA J. Uncertain. Quantif.</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Kelp, Jacob, Lin &amp; Sulprizio (2022)</w:t>
            </w:r>
          </w:p>
        </w:tc>
        <w:tc>
          <w:tcPr>
            <w:tcW w:type="dxa" w:w="3830"/>
            <w:tcMar>
              <w:top w:type="dxa" w:w="30"/>
              <w:left w:type="dxa" w:w="90"/>
              <w:bottom w:type="dxa" w:w="30"/>
              <w:right w:type="dxa" w:w="90"/>
            </w:tcMar>
            <w:vAlign w:val="top"/>
          </w:tcPr>
          <w:p>
            <w:r>
              <w:rPr>
                <w:sz w:val="16"/>
                <w:szCs w:val="16"/>
              </w:rPr>
              <w:t xml:space="preserve">An Online-Learned Neural Network Chemical Solver for Stable Long-Term Global Simulations of Atmospheric Chemistry</w:t>
            </w:r>
          </w:p>
        </w:tc>
        <w:tc>
          <w:tcPr>
            <w:tcW w:type="dxa" w:w="2030"/>
            <w:tcMar>
              <w:top w:type="dxa" w:w="30"/>
              <w:left w:type="dxa" w:w="90"/>
              <w:bottom w:type="dxa" w:w="30"/>
              <w:right w:type="dxa" w:w="90"/>
            </w:tcMar>
            <w:vAlign w:val="top"/>
          </w:tcPr>
          <w:p>
            <w:r>
              <w:rPr>
                <w:sz w:val="16"/>
                <w:szCs w:val="16"/>
              </w:rPr>
              <w:t xml:space="preserve">J. Adv. Model. Earth Syst.</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Kelp, Jacob, Kutz, Marshall &amp; Tessum (2020)</w:t>
            </w:r>
          </w:p>
        </w:tc>
        <w:tc>
          <w:tcPr>
            <w:tcW w:type="dxa" w:w="3830"/>
            <w:shd w:fill="F7F9FC" w:color="auto" w:val="clear"/>
            <w:tcMar>
              <w:top w:type="dxa" w:w="30"/>
              <w:left w:type="dxa" w:w="90"/>
              <w:bottom w:type="dxa" w:w="30"/>
              <w:right w:type="dxa" w:w="90"/>
            </w:tcMar>
            <w:vAlign w:val="top"/>
          </w:tcPr>
          <w:p>
            <w:r>
              <w:rPr>
                <w:sz w:val="16"/>
                <w:szCs w:val="16"/>
              </w:rPr>
              <w:t xml:space="preserve">Toward stable, general machine-learned models of the atmospheric chemical system</w:t>
            </w:r>
          </w:p>
        </w:tc>
        <w:tc>
          <w:tcPr>
            <w:tcW w:type="dxa" w:w="2030"/>
            <w:shd w:fill="F7F9FC" w:color="auto" w:val="clear"/>
            <w:tcMar>
              <w:top w:type="dxa" w:w="30"/>
              <w:left w:type="dxa" w:w="90"/>
              <w:bottom w:type="dxa" w:w="30"/>
              <w:right w:type="dxa" w:w="90"/>
            </w:tcMar>
            <w:vAlign w:val="top"/>
          </w:tcPr>
          <w:p>
            <w:r>
              <w:rPr>
                <w:sz w:val="16"/>
                <w:szCs w:val="16"/>
              </w:rPr>
              <w:t xml:space="preserve">J. Geophys. Res. Atmos.</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Shen, Jacob, Santillana, Bates, Zhuang &amp; Chen (2022)</w:t>
            </w:r>
          </w:p>
        </w:tc>
        <w:tc>
          <w:tcPr>
            <w:tcW w:type="dxa" w:w="3830"/>
            <w:tcMar>
              <w:top w:type="dxa" w:w="30"/>
              <w:left w:type="dxa" w:w="90"/>
              <w:bottom w:type="dxa" w:w="30"/>
              <w:right w:type="dxa" w:w="90"/>
            </w:tcMar>
            <w:vAlign w:val="top"/>
          </w:tcPr>
          <w:p>
            <w:r>
              <w:rPr>
                <w:sz w:val="16"/>
                <w:szCs w:val="16"/>
              </w:rPr>
              <w:t xml:space="preserve">A machine-learning-guided adaptive algorithm to reduce the computational cost of integrating kinetics in global atmospheric chemistry models: application to GEOS-Chem versions 12.0.0 and 12.9.1</w:t>
            </w:r>
          </w:p>
        </w:tc>
        <w:tc>
          <w:tcPr>
            <w:tcW w:type="dxa" w:w="2030"/>
            <w:tcMar>
              <w:top w:type="dxa" w:w="30"/>
              <w:left w:type="dxa" w:w="90"/>
              <w:bottom w:type="dxa" w:w="30"/>
              <w:right w:type="dxa" w:w="90"/>
            </w:tcMar>
            <w:vAlign w:val="top"/>
          </w:tcPr>
          <w:p>
            <w:r>
              <w:rPr>
                <w:sz w:val="16"/>
                <w:szCs w:val="16"/>
              </w:rPr>
              <w:t xml:space="preserve">Geosci. Model Dev.</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Zhang, Jacob et al. (2021)</w:t>
            </w:r>
          </w:p>
        </w:tc>
        <w:tc>
          <w:tcPr>
            <w:tcW w:type="dxa" w:w="3830"/>
            <w:shd w:fill="F7F9FC" w:color="auto" w:val="clear"/>
            <w:tcMar>
              <w:top w:type="dxa" w:w="30"/>
              <w:left w:type="dxa" w:w="90"/>
              <w:bottom w:type="dxa" w:w="30"/>
              <w:right w:type="dxa" w:w="90"/>
            </w:tcMar>
            <w:vAlign w:val="top"/>
          </w:tcPr>
          <w:p>
            <w:r>
              <w:rPr>
                <w:sz w:val="16"/>
                <w:szCs w:val="16"/>
              </w:rPr>
              <w:t xml:space="preserve">Attribution of the accelerating increase in atmospheric methane during 2010–2018 by inverse analysis of GOSAT observations</w:t>
            </w:r>
          </w:p>
        </w:tc>
        <w:tc>
          <w:tcPr>
            <w:tcW w:type="dxa" w:w="2030"/>
            <w:shd w:fill="F7F9FC" w:color="auto" w:val="clear"/>
            <w:tcMar>
              <w:top w:type="dxa" w:w="30"/>
              <w:left w:type="dxa" w:w="90"/>
              <w:bottom w:type="dxa" w:w="30"/>
              <w:right w:type="dxa" w:w="90"/>
            </w:tcMar>
            <w:vAlign w:val="top"/>
          </w:tcPr>
          <w:p>
            <w:r>
              <w:rPr>
                <w:sz w:val="16"/>
                <w:szCs w:val="16"/>
              </w:rPr>
              <w:t xml:space="preserve">Atmos. Chem. Phys.</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Karnakov, Litvinov &amp; Koumoutsakos (2023)</w:t>
            </w:r>
          </w:p>
        </w:tc>
        <w:tc>
          <w:tcPr>
            <w:tcW w:type="dxa" w:w="3830"/>
            <w:tcMar>
              <w:top w:type="dxa" w:w="30"/>
              <w:left w:type="dxa" w:w="90"/>
              <w:bottom w:type="dxa" w:w="30"/>
              <w:right w:type="dxa" w:w="90"/>
            </w:tcMar>
            <w:vAlign w:val="top"/>
          </w:tcPr>
          <w:p>
            <w:r>
              <w:rPr>
                <w:sz w:val="16"/>
                <w:szCs w:val="16"/>
              </w:rPr>
              <w:t xml:space="preserve">Flow reconstruction by multiresolution optimization of a discrete loss with automatic differentiation</w:t>
            </w:r>
          </w:p>
        </w:tc>
        <w:tc>
          <w:tcPr>
            <w:tcW w:type="dxa" w:w="2030"/>
            <w:tcMar>
              <w:top w:type="dxa" w:w="30"/>
              <w:left w:type="dxa" w:w="90"/>
              <w:bottom w:type="dxa" w:w="30"/>
              <w:right w:type="dxa" w:w="90"/>
            </w:tcMar>
            <w:vAlign w:val="top"/>
          </w:tcPr>
          <w:p>
            <w:r>
              <w:rPr>
                <w:sz w:val="16"/>
                <w:szCs w:val="16"/>
              </w:rPr>
              <w:t xml:space="preserve">Eur. Phys. J. E</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Huggins &amp; Miller (2024)</w:t>
            </w:r>
          </w:p>
        </w:tc>
        <w:tc>
          <w:tcPr>
            <w:tcW w:type="dxa" w:w="3830"/>
            <w:shd w:fill="F7F9FC" w:color="auto" w:val="clear"/>
            <w:tcMar>
              <w:top w:type="dxa" w:w="30"/>
              <w:left w:type="dxa" w:w="90"/>
              <w:bottom w:type="dxa" w:w="30"/>
              <w:right w:type="dxa" w:w="90"/>
            </w:tcMar>
            <w:vAlign w:val="top"/>
          </w:tcPr>
          <w:p>
            <w:r>
              <w:rPr>
                <w:sz w:val="16"/>
                <w:szCs w:val="16"/>
              </w:rPr>
              <w:t xml:space="preserve">Reproducible parameter inference using bagged posteriors</w:t>
            </w:r>
          </w:p>
        </w:tc>
        <w:tc>
          <w:tcPr>
            <w:tcW w:type="dxa" w:w="2030"/>
            <w:shd w:fill="F7F9FC" w:color="auto" w:val="clear"/>
            <w:tcMar>
              <w:top w:type="dxa" w:w="30"/>
              <w:left w:type="dxa" w:w="90"/>
              <w:bottom w:type="dxa" w:w="30"/>
              <w:right w:type="dxa" w:w="90"/>
            </w:tcMar>
            <w:vAlign w:val="top"/>
          </w:tcPr>
          <w:p>
            <w:r>
              <w:rPr>
                <w:sz w:val="16"/>
                <w:szCs w:val="16"/>
              </w:rPr>
              <w:t xml:space="preserve">Electron. J. Stat.</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Tang, Lasserre &amp; Yang (2024)</w:t>
            </w:r>
          </w:p>
        </w:tc>
        <w:tc>
          <w:tcPr>
            <w:tcW w:type="dxa" w:w="3830"/>
            <w:tcMar>
              <w:top w:type="dxa" w:w="30"/>
              <w:left w:type="dxa" w:w="90"/>
              <w:bottom w:type="dxa" w:w="30"/>
              <w:right w:type="dxa" w:w="90"/>
            </w:tcMar>
            <w:vAlign w:val="top"/>
          </w:tcPr>
          <w:p>
            <w:r>
              <w:rPr>
                <w:sz w:val="16"/>
                <w:szCs w:val="16"/>
              </w:rPr>
              <w:t xml:space="preserve">Uncertainty Quantification of Set-Membership Estimation in Control and Perception: Revisiting the Minimum Enclosing Ellipsoid</w:t>
            </w:r>
          </w:p>
        </w:tc>
        <w:tc>
          <w:tcPr>
            <w:tcW w:type="dxa" w:w="2030"/>
            <w:tcMar>
              <w:top w:type="dxa" w:w="30"/>
              <w:left w:type="dxa" w:w="90"/>
              <w:bottom w:type="dxa" w:w="30"/>
              <w:right w:type="dxa" w:w="90"/>
            </w:tcMar>
            <w:vAlign w:val="top"/>
          </w:tcPr>
          <w:p>
            <w:r>
              <w:rPr>
                <w:sz w:val="16"/>
                <w:szCs w:val="16"/>
              </w:rPr>
              <w:t xml:space="preserve">L4DC (PMLR)</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M1</w:t>
            </w:r>
          </w:p>
        </w:tc>
        <w:tc>
          <w:tcPr>
            <w:tcW w:type="dxa" w:w="2150"/>
            <w:shd w:fill="F7F9FC" w:color="auto" w:val="clear"/>
            <w:tcMar>
              <w:top w:type="dxa" w:w="30"/>
              <w:left w:type="dxa" w:w="90"/>
              <w:bottom w:type="dxa" w:w="30"/>
              <w:right w:type="dxa" w:w="90"/>
            </w:tcMar>
            <w:vAlign w:val="top"/>
          </w:tcPr>
          <w:p>
            <w:r>
              <w:rPr>
                <w:sz w:val="16"/>
                <w:szCs w:val="16"/>
              </w:rPr>
              <w:t xml:space="preserve">Gupta &amp; Lermusiaux (2021)</w:t>
            </w:r>
          </w:p>
        </w:tc>
        <w:tc>
          <w:tcPr>
            <w:tcW w:type="dxa" w:w="3830"/>
            <w:shd w:fill="F7F9FC" w:color="auto" w:val="clear"/>
            <w:tcMar>
              <w:top w:type="dxa" w:w="30"/>
              <w:left w:type="dxa" w:w="90"/>
              <w:bottom w:type="dxa" w:w="30"/>
              <w:right w:type="dxa" w:w="90"/>
            </w:tcMar>
            <w:vAlign w:val="top"/>
          </w:tcPr>
          <w:p>
            <w:r>
              <w:rPr>
                <w:sz w:val="16"/>
                <w:szCs w:val="16"/>
              </w:rPr>
              <w:t xml:space="preserve">Neural closure models for dynamical systems</w:t>
            </w:r>
          </w:p>
        </w:tc>
        <w:tc>
          <w:tcPr>
            <w:tcW w:type="dxa" w:w="2030"/>
            <w:shd w:fill="F7F9FC" w:color="auto" w:val="clear"/>
            <w:tcMar>
              <w:top w:type="dxa" w:w="30"/>
              <w:left w:type="dxa" w:w="90"/>
              <w:bottom w:type="dxa" w:w="30"/>
              <w:right w:type="dxa" w:w="90"/>
            </w:tcMar>
            <w:vAlign w:val="top"/>
          </w:tcPr>
          <w:p>
            <w:r>
              <w:rPr>
                <w:sz w:val="16"/>
                <w:szCs w:val="16"/>
              </w:rPr>
              <w:t xml:space="preserve">Proc. R. Soc. A</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M2</w:t>
            </w:r>
          </w:p>
        </w:tc>
        <w:tc>
          <w:tcPr>
            <w:tcW w:type="dxa" w:w="2150"/>
            <w:tcMar>
              <w:top w:type="dxa" w:w="30"/>
              <w:left w:type="dxa" w:w="90"/>
              <w:bottom w:type="dxa" w:w="30"/>
              <w:right w:type="dxa" w:w="90"/>
            </w:tcMar>
            <w:vAlign w:val="top"/>
          </w:tcPr>
          <w:p>
            <w:r>
              <w:rPr>
                <w:sz w:val="16"/>
                <w:szCs w:val="16"/>
              </w:rPr>
              <w:t xml:space="preserve">Gupta &amp; Lermusiaux (2023)</w:t>
            </w:r>
          </w:p>
        </w:tc>
        <w:tc>
          <w:tcPr>
            <w:tcW w:type="dxa" w:w="3830"/>
            <w:tcMar>
              <w:top w:type="dxa" w:w="30"/>
              <w:left w:type="dxa" w:w="90"/>
              <w:bottom w:type="dxa" w:w="30"/>
              <w:right w:type="dxa" w:w="90"/>
            </w:tcMar>
            <w:vAlign w:val="top"/>
          </w:tcPr>
          <w:p>
            <w:r>
              <w:rPr>
                <w:sz w:val="16"/>
                <w:szCs w:val="16"/>
              </w:rPr>
              <w:t xml:space="preserve">Bayesian learning of coupled biogeochemical–physical models</w:t>
            </w:r>
          </w:p>
        </w:tc>
        <w:tc>
          <w:tcPr>
            <w:tcW w:type="dxa" w:w="2030"/>
            <w:tcMar>
              <w:top w:type="dxa" w:w="30"/>
              <w:left w:type="dxa" w:w="90"/>
              <w:bottom w:type="dxa" w:w="30"/>
              <w:right w:type="dxa" w:w="90"/>
            </w:tcMar>
            <w:vAlign w:val="top"/>
          </w:tcPr>
          <w:p>
            <w:r>
              <w:rPr>
                <w:sz w:val="16"/>
                <w:szCs w:val="16"/>
              </w:rPr>
              <w:t xml:space="preserve">Prog. Oceanogr.</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M3</w:t>
            </w:r>
          </w:p>
        </w:tc>
        <w:tc>
          <w:tcPr>
            <w:tcW w:type="dxa" w:w="2150"/>
            <w:shd w:fill="F7F9FC" w:color="auto" w:val="clear"/>
            <w:tcMar>
              <w:top w:type="dxa" w:w="30"/>
              <w:left w:type="dxa" w:w="90"/>
              <w:bottom w:type="dxa" w:w="30"/>
              <w:right w:type="dxa" w:w="90"/>
            </w:tcMar>
            <w:vAlign w:val="top"/>
          </w:tcPr>
          <w:p>
            <w:r>
              <w:rPr>
                <w:sz w:val="16"/>
                <w:szCs w:val="16"/>
              </w:rPr>
              <w:t xml:space="preserve">Souza, Lutz &amp; Flierl (2023)</w:t>
            </w:r>
          </w:p>
        </w:tc>
        <w:tc>
          <w:tcPr>
            <w:tcW w:type="dxa" w:w="3830"/>
            <w:shd w:fill="F7F9FC" w:color="auto" w:val="clear"/>
            <w:tcMar>
              <w:top w:type="dxa" w:w="30"/>
              <w:left w:type="dxa" w:w="90"/>
              <w:bottom w:type="dxa" w:w="30"/>
              <w:right w:type="dxa" w:w="90"/>
            </w:tcMar>
            <w:vAlign w:val="top"/>
          </w:tcPr>
          <w:p>
            <w:r>
              <w:rPr>
                <w:sz w:val="16"/>
                <w:szCs w:val="16"/>
              </w:rPr>
              <w:t xml:space="preserve">Statistical non-locality of dynamically coherent structures</w:t>
            </w:r>
          </w:p>
        </w:tc>
        <w:tc>
          <w:tcPr>
            <w:tcW w:type="dxa" w:w="2030"/>
            <w:shd w:fill="F7F9FC" w:color="auto" w:val="clear"/>
            <w:tcMar>
              <w:top w:type="dxa" w:w="30"/>
              <w:left w:type="dxa" w:w="90"/>
              <w:bottom w:type="dxa" w:w="30"/>
              <w:right w:type="dxa" w:w="90"/>
            </w:tcMar>
            <w:vAlign w:val="top"/>
          </w:tcPr>
          <w:p>
            <w:r>
              <w:rPr>
                <w:sz w:val="16"/>
                <w:szCs w:val="16"/>
              </w:rPr>
              <w:t xml:space="preserve">J. Fluid Mech.</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M4</w:t>
            </w:r>
          </w:p>
        </w:tc>
        <w:tc>
          <w:tcPr>
            <w:tcW w:type="dxa" w:w="2150"/>
            <w:tcMar>
              <w:top w:type="dxa" w:w="30"/>
              <w:left w:type="dxa" w:w="90"/>
              <w:bottom w:type="dxa" w:w="30"/>
              <w:right w:type="dxa" w:w="90"/>
            </w:tcMar>
            <w:vAlign w:val="top"/>
          </w:tcPr>
          <w:p>
            <w:r>
              <w:rPr>
                <w:sz w:val="16"/>
                <w:szCs w:val="16"/>
              </w:rPr>
              <w:t xml:space="preserve">Le Provost, Baptista, Marzouk &amp; Eldredge (2022)</w:t>
            </w:r>
          </w:p>
        </w:tc>
        <w:tc>
          <w:tcPr>
            <w:tcW w:type="dxa" w:w="3830"/>
            <w:tcMar>
              <w:top w:type="dxa" w:w="30"/>
              <w:left w:type="dxa" w:w="90"/>
              <w:bottom w:type="dxa" w:w="30"/>
              <w:right w:type="dxa" w:w="90"/>
            </w:tcMar>
            <w:vAlign w:val="top"/>
          </w:tcPr>
          <w:p>
            <w:r>
              <w:rPr>
                <w:sz w:val="16"/>
                <w:szCs w:val="16"/>
              </w:rPr>
              <w:t xml:space="preserve">A low-rank ensemble Kalman filter for elliptic observations</w:t>
            </w:r>
          </w:p>
        </w:tc>
        <w:tc>
          <w:tcPr>
            <w:tcW w:type="dxa" w:w="2030"/>
            <w:tcMar>
              <w:top w:type="dxa" w:w="30"/>
              <w:left w:type="dxa" w:w="90"/>
              <w:bottom w:type="dxa" w:w="30"/>
              <w:right w:type="dxa" w:w="90"/>
            </w:tcMar>
            <w:vAlign w:val="top"/>
          </w:tcPr>
          <w:p>
            <w:r>
              <w:rPr>
                <w:sz w:val="16"/>
                <w:szCs w:val="16"/>
              </w:rPr>
              <w:t xml:space="preserve">Proc. R. Soc. A</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M5</w:t>
            </w:r>
          </w:p>
        </w:tc>
        <w:tc>
          <w:tcPr>
            <w:tcW w:type="dxa" w:w="2150"/>
            <w:shd w:fill="F7F9FC" w:color="auto" w:val="clear"/>
            <w:tcMar>
              <w:top w:type="dxa" w:w="30"/>
              <w:left w:type="dxa" w:w="90"/>
              <w:bottom w:type="dxa" w:w="30"/>
              <w:right w:type="dxa" w:w="90"/>
            </w:tcMar>
            <w:vAlign w:val="top"/>
          </w:tcPr>
          <w:p>
            <w:r>
              <w:rPr>
                <w:sz w:val="16"/>
                <w:szCs w:val="16"/>
              </w:rPr>
              <w:t xml:space="preserve">Charalampopoulos &amp; Sapsis (2022)</w:t>
            </w:r>
          </w:p>
        </w:tc>
        <w:tc>
          <w:tcPr>
            <w:tcW w:type="dxa" w:w="3830"/>
            <w:shd w:fill="F7F9FC" w:color="auto" w:val="clear"/>
            <w:tcMar>
              <w:top w:type="dxa" w:w="30"/>
              <w:left w:type="dxa" w:w="90"/>
              <w:bottom w:type="dxa" w:w="30"/>
              <w:right w:type="dxa" w:w="90"/>
            </w:tcMar>
            <w:vAlign w:val="top"/>
          </w:tcPr>
          <w:p>
            <w:r>
              <w:rPr>
                <w:sz w:val="16"/>
                <w:szCs w:val="16"/>
              </w:rPr>
              <w:t xml:space="preserve">Machine-learning energy-preserving nonlocal closures for turbulent fluid flows and inertial tracers</w:t>
            </w:r>
          </w:p>
        </w:tc>
        <w:tc>
          <w:tcPr>
            <w:tcW w:type="dxa" w:w="2030"/>
            <w:shd w:fill="F7F9FC" w:color="auto" w:val="clear"/>
            <w:tcMar>
              <w:top w:type="dxa" w:w="30"/>
              <w:left w:type="dxa" w:w="90"/>
              <w:bottom w:type="dxa" w:w="30"/>
              <w:right w:type="dxa" w:w="90"/>
            </w:tcMar>
            <w:vAlign w:val="top"/>
          </w:tcPr>
          <w:p>
            <w:r>
              <w:rPr>
                <w:sz w:val="16"/>
                <w:szCs w:val="16"/>
              </w:rPr>
              <w:t xml:space="preserve">Phys. Rev. Fluids</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M6</w:t>
            </w:r>
          </w:p>
        </w:tc>
        <w:tc>
          <w:tcPr>
            <w:tcW w:type="dxa" w:w="2150"/>
            <w:tcMar>
              <w:top w:type="dxa" w:w="30"/>
              <w:left w:type="dxa" w:w="90"/>
              <w:bottom w:type="dxa" w:w="30"/>
              <w:right w:type="dxa" w:w="90"/>
            </w:tcMar>
            <w:vAlign w:val="top"/>
          </w:tcPr>
          <w:p>
            <w:r>
              <w:rPr>
                <w:sz w:val="16"/>
                <w:szCs w:val="16"/>
              </w:rPr>
              <w:t xml:space="preserve">Zhao, Braatz &amp; Bazant (2021)</w:t>
            </w:r>
          </w:p>
        </w:tc>
        <w:tc>
          <w:tcPr>
            <w:tcW w:type="dxa" w:w="3830"/>
            <w:tcMar>
              <w:top w:type="dxa" w:w="30"/>
              <w:left w:type="dxa" w:w="90"/>
              <w:bottom w:type="dxa" w:w="30"/>
              <w:right w:type="dxa" w:w="90"/>
            </w:tcMar>
            <w:vAlign w:val="top"/>
          </w:tcPr>
          <w:p>
            <w:r>
              <w:rPr>
                <w:sz w:val="16"/>
                <w:szCs w:val="16"/>
              </w:rPr>
              <w:t xml:space="preserve">Image inversion and uncertainty quantification for constitutive laws of pattern formation</w:t>
            </w:r>
          </w:p>
        </w:tc>
        <w:tc>
          <w:tcPr>
            <w:tcW w:type="dxa" w:w="2030"/>
            <w:tcMar>
              <w:top w:type="dxa" w:w="30"/>
              <w:left w:type="dxa" w:w="90"/>
              <w:bottom w:type="dxa" w:w="30"/>
              <w:right w:type="dxa" w:w="90"/>
            </w:tcMar>
            <w:vAlign w:val="top"/>
          </w:tcPr>
          <w:p>
            <w:r>
              <w:rPr>
                <w:sz w:val="16"/>
                <w:szCs w:val="16"/>
              </w:rPr>
              <w:t xml:space="preserve">J. Comput. Phys.</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M7</w:t>
            </w:r>
          </w:p>
        </w:tc>
        <w:tc>
          <w:tcPr>
            <w:tcW w:type="dxa" w:w="2150"/>
            <w:shd w:fill="F7F9FC" w:color="auto" w:val="clear"/>
            <w:tcMar>
              <w:top w:type="dxa" w:w="30"/>
              <w:left w:type="dxa" w:w="90"/>
              <w:bottom w:type="dxa" w:w="30"/>
              <w:right w:type="dxa" w:w="90"/>
            </w:tcMar>
            <w:vAlign w:val="top"/>
          </w:tcPr>
          <w:p>
            <w:r>
              <w:rPr>
                <w:sz w:val="16"/>
                <w:szCs w:val="16"/>
              </w:rPr>
              <w:t xml:space="preserve">Ji &amp; Deng (2021)</w:t>
            </w:r>
          </w:p>
        </w:tc>
        <w:tc>
          <w:tcPr>
            <w:tcW w:type="dxa" w:w="3830"/>
            <w:shd w:fill="F7F9FC" w:color="auto" w:val="clear"/>
            <w:tcMar>
              <w:top w:type="dxa" w:w="30"/>
              <w:left w:type="dxa" w:w="90"/>
              <w:bottom w:type="dxa" w:w="30"/>
              <w:right w:type="dxa" w:w="90"/>
            </w:tcMar>
            <w:vAlign w:val="top"/>
          </w:tcPr>
          <w:p>
            <w:r>
              <w:rPr>
                <w:sz w:val="16"/>
                <w:szCs w:val="16"/>
              </w:rPr>
              <w:t xml:space="preserve">Autonomous discovery of unknown reaction pathways from data by chemical reaction neural network</w:t>
            </w:r>
          </w:p>
        </w:tc>
        <w:tc>
          <w:tcPr>
            <w:tcW w:type="dxa" w:w="2030"/>
            <w:shd w:fill="F7F9FC" w:color="auto" w:val="clear"/>
            <w:tcMar>
              <w:top w:type="dxa" w:w="30"/>
              <w:left w:type="dxa" w:w="90"/>
              <w:bottom w:type="dxa" w:w="30"/>
              <w:right w:type="dxa" w:w="90"/>
            </w:tcMar>
            <w:vAlign w:val="top"/>
          </w:tcPr>
          <w:p>
            <w:r>
              <w:rPr>
                <w:sz w:val="16"/>
                <w:szCs w:val="16"/>
              </w:rPr>
              <w:t xml:space="preserve">J. Phys. Chem. A</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M8</w:t>
            </w:r>
          </w:p>
        </w:tc>
        <w:tc>
          <w:tcPr>
            <w:tcW w:type="dxa" w:w="2150"/>
            <w:tcMar>
              <w:top w:type="dxa" w:w="30"/>
              <w:left w:type="dxa" w:w="90"/>
              <w:bottom w:type="dxa" w:w="30"/>
              <w:right w:type="dxa" w:w="90"/>
            </w:tcMar>
            <w:vAlign w:val="top"/>
          </w:tcPr>
          <w:p>
            <w:r>
              <w:rPr>
                <w:sz w:val="16"/>
                <w:szCs w:val="16"/>
              </w:rPr>
              <w:t xml:space="preserve">Hütter &amp; Rigollet (2021)</w:t>
            </w:r>
          </w:p>
        </w:tc>
        <w:tc>
          <w:tcPr>
            <w:tcW w:type="dxa" w:w="3830"/>
            <w:tcMar>
              <w:top w:type="dxa" w:w="30"/>
              <w:left w:type="dxa" w:w="90"/>
              <w:bottom w:type="dxa" w:w="30"/>
              <w:right w:type="dxa" w:w="90"/>
            </w:tcMar>
            <w:vAlign w:val="top"/>
          </w:tcPr>
          <w:p>
            <w:r>
              <w:rPr>
                <w:sz w:val="16"/>
                <w:szCs w:val="16"/>
              </w:rPr>
              <w:t xml:space="preserve">Minimax estimation of smooth optimal transport maps</w:t>
            </w:r>
          </w:p>
        </w:tc>
        <w:tc>
          <w:tcPr>
            <w:tcW w:type="dxa" w:w="2030"/>
            <w:tcMar>
              <w:top w:type="dxa" w:w="30"/>
              <w:left w:type="dxa" w:w="90"/>
              <w:bottom w:type="dxa" w:w="30"/>
              <w:right w:type="dxa" w:w="90"/>
            </w:tcMar>
            <w:vAlign w:val="top"/>
          </w:tcPr>
          <w:p>
            <w:r>
              <w:rPr>
                <w:sz w:val="16"/>
                <w:szCs w:val="16"/>
              </w:rPr>
              <w:t xml:space="preserve">Ann. Statist.</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Lanthaler, Rusch &amp; Mishra (2023)</w:t>
            </w:r>
          </w:p>
        </w:tc>
        <w:tc>
          <w:tcPr>
            <w:tcW w:type="dxa" w:w="3830"/>
            <w:shd w:fill="F7F9FC" w:color="auto" w:val="clear"/>
            <w:tcMar>
              <w:top w:type="dxa" w:w="30"/>
              <w:left w:type="dxa" w:w="90"/>
              <w:bottom w:type="dxa" w:w="30"/>
              <w:right w:type="dxa" w:w="90"/>
            </w:tcMar>
            <w:vAlign w:val="top"/>
          </w:tcPr>
          <w:p>
            <w:r>
              <w:rPr>
                <w:sz w:val="16"/>
                <w:szCs w:val="16"/>
              </w:rPr>
              <w:t xml:space="preserve">Neural Oscillators are Universal</w:t>
            </w:r>
          </w:p>
        </w:tc>
        <w:tc>
          <w:tcPr>
            <w:tcW w:type="dxa" w:w="2030"/>
            <w:shd w:fill="F7F9FC" w:color="auto" w:val="clear"/>
            <w:tcMar>
              <w:top w:type="dxa" w:w="30"/>
              <w:left w:type="dxa" w:w="90"/>
              <w:bottom w:type="dxa" w:w="30"/>
              <w:right w:type="dxa" w:w="90"/>
            </w:tcMar>
            <w:vAlign w:val="top"/>
          </w:tcPr>
          <w:p>
            <w:r>
              <w:rPr>
                <w:sz w:val="16"/>
                <w:szCs w:val="16"/>
              </w:rPr>
              <w:t xml:space="preserve">NeurIPS</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Fang, Gupta &amp; Khammash (2023)</w:t>
            </w:r>
          </w:p>
        </w:tc>
        <w:tc>
          <w:tcPr>
            <w:tcW w:type="dxa" w:w="3830"/>
            <w:tcMar>
              <w:top w:type="dxa" w:w="30"/>
              <w:left w:type="dxa" w:w="90"/>
              <w:bottom w:type="dxa" w:w="30"/>
              <w:right w:type="dxa" w:w="90"/>
            </w:tcMar>
            <w:vAlign w:val="top"/>
          </w:tcPr>
          <w:p>
            <w:r>
              <w:rPr>
                <w:sz w:val="16"/>
                <w:szCs w:val="16"/>
              </w:rPr>
              <w:t xml:space="preserve">Convergence of Regularized Particle Filters for Stochastic Reaction Networks</w:t>
            </w:r>
          </w:p>
        </w:tc>
        <w:tc>
          <w:tcPr>
            <w:tcW w:type="dxa" w:w="2030"/>
            <w:tcMar>
              <w:top w:type="dxa" w:w="30"/>
              <w:left w:type="dxa" w:w="90"/>
              <w:bottom w:type="dxa" w:w="30"/>
              <w:right w:type="dxa" w:w="90"/>
            </w:tcMar>
            <w:vAlign w:val="top"/>
          </w:tcPr>
          <w:p>
            <w:r>
              <w:rPr>
                <w:sz w:val="16"/>
                <w:szCs w:val="16"/>
              </w:rPr>
              <w:t xml:space="preserve">SIAM J. Numer. Anal.</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Kirchner (2022)</w:t>
            </w:r>
          </w:p>
        </w:tc>
        <w:tc>
          <w:tcPr>
            <w:tcW w:type="dxa" w:w="3830"/>
            <w:shd w:fill="F7F9FC" w:color="auto" w:val="clear"/>
            <w:tcMar>
              <w:top w:type="dxa" w:w="30"/>
              <w:left w:type="dxa" w:w="90"/>
              <w:bottom w:type="dxa" w:w="30"/>
              <w:right w:type="dxa" w:w="90"/>
            </w:tcMar>
            <w:vAlign w:val="top"/>
          </w:tcPr>
          <w:p>
            <w:r>
              <w:rPr>
                <w:sz w:val="16"/>
                <w:szCs w:val="16"/>
              </w:rPr>
              <w:t xml:space="preserve">Impulse Response Functions for Nonlinear, Nonstationary, and Heterogeneous Systems, Estimated by Deconvolution and Demixing of Noisy Time Series</w:t>
            </w:r>
          </w:p>
        </w:tc>
        <w:tc>
          <w:tcPr>
            <w:tcW w:type="dxa" w:w="2030"/>
            <w:shd w:fill="F7F9FC" w:color="auto" w:val="clear"/>
            <w:tcMar>
              <w:top w:type="dxa" w:w="30"/>
              <w:left w:type="dxa" w:w="90"/>
              <w:bottom w:type="dxa" w:w="30"/>
              <w:right w:type="dxa" w:w="90"/>
            </w:tcMar>
            <w:vAlign w:val="top"/>
          </w:tcPr>
          <w:p>
            <w:r>
              <w:rPr>
                <w:sz w:val="16"/>
                <w:szCs w:val="16"/>
              </w:rPr>
              <w:t xml:space="preserve">Sensors</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Perez et al. (2021)</w:t>
            </w:r>
          </w:p>
        </w:tc>
        <w:tc>
          <w:tcPr>
            <w:tcW w:type="dxa" w:w="3830"/>
            <w:tcMar>
              <w:top w:type="dxa" w:w="30"/>
              <w:left w:type="dxa" w:w="90"/>
              <w:bottom w:type="dxa" w:w="30"/>
              <w:right w:type="dxa" w:w="90"/>
            </w:tcMar>
            <w:vAlign w:val="top"/>
          </w:tcPr>
          <w:p>
            <w:r>
              <w:rPr>
                <w:sz w:val="16"/>
                <w:szCs w:val="16"/>
              </w:rPr>
              <w:t xml:space="preserve">Upscaling Mixing-Controlled Reactions in Unsaturated Porous Media</w:t>
            </w:r>
          </w:p>
        </w:tc>
        <w:tc>
          <w:tcPr>
            <w:tcW w:type="dxa" w:w="2030"/>
            <w:tcMar>
              <w:top w:type="dxa" w:w="30"/>
              <w:left w:type="dxa" w:w="90"/>
              <w:bottom w:type="dxa" w:w="30"/>
              <w:right w:type="dxa" w:w="90"/>
            </w:tcMar>
            <w:vAlign w:val="top"/>
          </w:tcPr>
          <w:p>
            <w:r>
              <w:rPr>
                <w:sz w:val="16"/>
                <w:szCs w:val="16"/>
              </w:rPr>
              <w:t xml:space="preserve">Transp. Porous Media</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E5</w:t>
            </w:r>
          </w:p>
        </w:tc>
        <w:tc>
          <w:tcPr>
            <w:tcW w:type="dxa" w:w="2150"/>
            <w:shd w:fill="F7F9FC" w:color="auto" w:val="clear"/>
            <w:tcMar>
              <w:top w:type="dxa" w:w="30"/>
              <w:left w:type="dxa" w:w="90"/>
              <w:bottom w:type="dxa" w:w="30"/>
              <w:right w:type="dxa" w:w="90"/>
            </w:tcMar>
            <w:vAlign w:val="top"/>
          </w:tcPr>
          <w:p>
            <w:r>
              <w:rPr>
                <w:sz w:val="16"/>
                <w:szCs w:val="16"/>
              </w:rPr>
              <w:t xml:space="preserve">Herrera, Krach &amp; Teichmann (2021)</w:t>
            </w:r>
          </w:p>
        </w:tc>
        <w:tc>
          <w:tcPr>
            <w:tcW w:type="dxa" w:w="3830"/>
            <w:shd w:fill="F7F9FC" w:color="auto" w:val="clear"/>
            <w:tcMar>
              <w:top w:type="dxa" w:w="30"/>
              <w:left w:type="dxa" w:w="90"/>
              <w:bottom w:type="dxa" w:w="30"/>
              <w:right w:type="dxa" w:w="90"/>
            </w:tcMar>
            <w:vAlign w:val="top"/>
          </w:tcPr>
          <w:p>
            <w:r>
              <w:rPr>
                <w:sz w:val="16"/>
                <w:szCs w:val="16"/>
              </w:rPr>
              <w:t xml:space="preserve">Neural Jump Ordinary Differential Equations: Consistent Continuous-Time Prediction and Filtering</w:t>
            </w:r>
          </w:p>
        </w:tc>
        <w:tc>
          <w:tcPr>
            <w:tcW w:type="dxa" w:w="2030"/>
            <w:shd w:fill="F7F9FC" w:color="auto" w:val="clear"/>
            <w:tcMar>
              <w:top w:type="dxa" w:w="30"/>
              <w:left w:type="dxa" w:w="90"/>
              <w:bottom w:type="dxa" w:w="30"/>
              <w:right w:type="dxa" w:w="90"/>
            </w:tcMar>
            <w:vAlign w:val="top"/>
          </w:tcPr>
          <w:p>
            <w:r>
              <w:rPr>
                <w:sz w:val="16"/>
                <w:szCs w:val="16"/>
              </w:rPr>
              <w:t xml:space="preserve">ICLR</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E6</w:t>
            </w:r>
          </w:p>
        </w:tc>
        <w:tc>
          <w:tcPr>
            <w:tcW w:type="dxa" w:w="2150"/>
            <w:tcMar>
              <w:top w:type="dxa" w:w="30"/>
              <w:left w:type="dxa" w:w="90"/>
              <w:bottom w:type="dxa" w:w="30"/>
              <w:right w:type="dxa" w:w="90"/>
            </w:tcMar>
            <w:vAlign w:val="top"/>
          </w:tcPr>
          <w:p>
            <w:r>
              <w:rPr>
                <w:sz w:val="16"/>
                <w:szCs w:val="16"/>
              </w:rPr>
              <w:t xml:space="preserve">Bühlmann (2020)</w:t>
            </w:r>
          </w:p>
        </w:tc>
        <w:tc>
          <w:tcPr>
            <w:tcW w:type="dxa" w:w="3830"/>
            <w:tcMar>
              <w:top w:type="dxa" w:w="30"/>
              <w:left w:type="dxa" w:w="90"/>
              <w:bottom w:type="dxa" w:w="30"/>
              <w:right w:type="dxa" w:w="90"/>
            </w:tcMar>
            <w:vAlign w:val="top"/>
          </w:tcPr>
          <w:p>
            <w:r>
              <w:rPr>
                <w:sz w:val="16"/>
                <w:szCs w:val="16"/>
              </w:rPr>
              <w:t xml:space="preserve">Invariance, Causality and Robustness</w:t>
            </w:r>
          </w:p>
        </w:tc>
        <w:tc>
          <w:tcPr>
            <w:tcW w:type="dxa" w:w="2030"/>
            <w:tcMar>
              <w:top w:type="dxa" w:w="30"/>
              <w:left w:type="dxa" w:w="90"/>
              <w:bottom w:type="dxa" w:w="30"/>
              <w:right w:type="dxa" w:w="90"/>
            </w:tcMar>
            <w:vAlign w:val="top"/>
          </w:tcPr>
          <w:p>
            <w:r>
              <w:rPr>
                <w:sz w:val="16"/>
                <w:szCs w:val="16"/>
              </w:rPr>
              <w:t xml:space="preserve">Statist. Sci.</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E7</w:t>
            </w:r>
          </w:p>
        </w:tc>
        <w:tc>
          <w:tcPr>
            <w:tcW w:type="dxa" w:w="2150"/>
            <w:shd w:fill="F7F9FC" w:color="auto" w:val="clear"/>
            <w:tcMar>
              <w:top w:type="dxa" w:w="30"/>
              <w:left w:type="dxa" w:w="90"/>
              <w:bottom w:type="dxa" w:w="30"/>
              <w:right w:type="dxa" w:w="90"/>
            </w:tcMar>
            <w:vAlign w:val="top"/>
          </w:tcPr>
          <w:p>
            <w:r>
              <w:rPr>
                <w:sz w:val="16"/>
                <w:szCs w:val="16"/>
              </w:rPr>
              <w:t xml:space="preserve">Lanthaler, Molinaro, Hadorn &amp; Mishra (2023)</w:t>
            </w:r>
          </w:p>
        </w:tc>
        <w:tc>
          <w:tcPr>
            <w:tcW w:type="dxa" w:w="3830"/>
            <w:shd w:fill="F7F9FC" w:color="auto" w:val="clear"/>
            <w:tcMar>
              <w:top w:type="dxa" w:w="30"/>
              <w:left w:type="dxa" w:w="90"/>
              <w:bottom w:type="dxa" w:w="30"/>
              <w:right w:type="dxa" w:w="90"/>
            </w:tcMar>
            <w:vAlign w:val="top"/>
          </w:tcPr>
          <w:p>
            <w:r>
              <w:rPr>
                <w:sz w:val="16"/>
                <w:szCs w:val="16"/>
              </w:rPr>
              <w:t xml:space="preserve">Nonlinear Reconstruction for Operator Learning of PDEs with Discontinuities</w:t>
            </w:r>
          </w:p>
        </w:tc>
        <w:tc>
          <w:tcPr>
            <w:tcW w:type="dxa" w:w="2030"/>
            <w:shd w:fill="F7F9FC" w:color="auto" w:val="clear"/>
            <w:tcMar>
              <w:top w:type="dxa" w:w="30"/>
              <w:left w:type="dxa" w:w="90"/>
              <w:bottom w:type="dxa" w:w="30"/>
              <w:right w:type="dxa" w:w="90"/>
            </w:tcMar>
            <w:vAlign w:val="top"/>
          </w:tcPr>
          <w:p>
            <w:r>
              <w:rPr>
                <w:sz w:val="16"/>
                <w:szCs w:val="16"/>
              </w:rPr>
              <w:t xml:space="preserve">ICLR</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Oxford contributes the deepest mathematics of the set and the analysis that derives closures instead of guessing them. Benjamin Fehrman proves that diffusion in a random incompressible flow homogenises to an equation with transport noise [O1]; Sophie Donnet, Vincent Rivoirard and Judith Rousseau give posterior contraction rates for nonparametric memory kernels [O2]; Kiradjiev, Chris Breward, Ian Griffiths and Schwendeman homogenise a reactive filter into a closure with an internal state [O4]; and Mohit Dalwadi and John King show that an upscaled uptake law does not determine its micro-scale mechanism [O5]. Ruth Baker, Matthew Simpson, Alexander Browning and co-authors treat identifiability by profile likelihood in layered media [O3] and by identifiable surrogates [O6], and Thomas Prescott and Baker calibrate expensive simulators by multifidelity approximate Bayesian computation [O8]. Tim Palmer, Chantry and colleagues at ECMWF build tangent-linear and adjoint models of learned closures for variational assimilation [O7].</w:t>
      </w:r>
    </w:p>
    <w:p>
      <w:pPr>
        <w:pStyle w:val="Heading2"/>
        <w:keepNext/>
      </w:pPr>
      <w:r>
        <w:rPr>
          <w:color w:val="002147"/>
        </w:rPr>
        <w:t xml:space="preserve">O1  </w:t>
      </w:r>
      <w:r>
        <w:rPr>
          <w:color w:val="1F3864"/>
        </w:rPr>
        <w:t xml:space="preserve">Stochastic homogenization with space-time ergodic divergence-free drift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Fehrman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Probability, 52(1), 350–380 (2024); arXiv 2207.14555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xzv8wpdzjy0rxejjwjok">
              <w:r>
                <w:rPr>
                  <w:color w:val="1D4ED8"/>
                  <w:sz w:val="18"/>
                  <w:szCs w:val="18"/>
                  <w:u w:val="single"/>
                </w:rPr>
                <w:t xml:space="preserve">https://doi.org/10.1214/23-AOP1663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the author block of the arXiv preprint and the companion paper in The Annals of Applied Probability (2023);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 Fehrman, at the Oxford Mathematical Institute at the time (now at Louisiana State University), held an EPSRC Early Career Fellowship (2021) and received a University of Oxford Excellence Award (2022); the paper is a single-author paper in The Annals of Probability.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homogenisation · divergence-free random drift · space–time ergodicity · SPDE with Stratonovich transport noise · stream matrix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studies diffusion equations whose drift is a stationary, ergodic, divergence-free random field in space and time, an idealisation of passive scalars carried by rough incompressible flows. The main theorem states that, under uniform ellipticity and if the drift has a stationary, square-integrable stream matrix, these equations homogenise in law to a stochastic PDE with Stratonovich transport noise. Without spatial ergodicity the drift is only partly absorbed by the stream matrix into the skew-symmetric part of the flux; the rest is a spatially homogeneous, time-dependent transport, which for mildly decorrelating fields converges to a Brownian noise with deterministic covariance. The large-scale law is therefore not the classical advection–dispersion equation: an additional transport term is forced by the mathematics.</w:t>
      </w:r>
    </w:p>
    <w:p>
      <w:pPr>
        <w:keepNext/>
        <w:spacing w:after="40" w:before="80"/>
      </w:pPr>
      <w:r>
        <w:rPr>
          <w:b/>
          <w:bCs/>
          <w:color w:val="002147"/>
        </w:rPr>
        <w:t xml:space="preserve">Key equation.</w:t>
      </w:r>
      <w:r>
        <w:rPr>
          <w:i/>
          <w:iCs/>
          <w:color w:val="5B6573"/>
          <w:sz w:val="18"/>
          <w:szCs w:val="18"/>
        </w:rPr>
        <w:t xml:space="preserve">  An SPDE with Stratonovich transport noise (representative form of the homogenised limit, not the theorem)</w:t>
      </w:r>
    </w:p>
    <w:p>
      <w:pPr>
        <w:pStyle w:val="Equation"/>
      </w:pPr>
      <m:oMathPara>
        <m:oMathParaPr>
          <m:jc m:val="center"/>
        </m:oMathParaPr>
        <m:oMath>
          <m:r>
            <m:t>d</m:t>
          </m:r>
          <m:acc>
            <m:accPr>
              <m:chr m:val="‾"/>
            </m:accPr>
            <m:e>
              <m:r>
                <m:t>u</m:t>
              </m:r>
            </m:e>
          </m:acc>
          <m:r>
            <m:rPr>
              <m:sty m:val="p"/>
            </m:rPr>
            <m:t>=</m:t>
          </m:r>
          <m:r>
            <m:rPr>
              <m:sty m:val="p"/>
            </m:rPr>
            <m:t>∇</m:t>
          </m:r>
          <m:r>
            <m:rPr>
              <m:sty m:val="p"/>
            </m:rPr>
            <m:t>⋅</m:t>
          </m:r>
          <m:d>
            <m:dPr>
              <m:begChr m:val="("/>
              <m:sepChr m:val=""/>
              <m:endChr m:val=")"/>
              <m:grow/>
            </m:dPr>
            <m:e>
              <m:acc>
                <m:accPr>
                  <m:chr m:val="‾"/>
                </m:accPr>
                <m:e>
                  <m:r>
                    <m:t>a</m:t>
                  </m:r>
                </m:e>
              </m:acc>
              <m:r>
                <m:t> </m:t>
              </m:r>
              <m:r>
                <m:rPr>
                  <m:sty m:val="p"/>
                </m:rPr>
                <m:t>∇</m:t>
              </m:r>
              <m:acc>
                <m:accPr>
                  <m:chr m:val="‾"/>
                </m:accPr>
                <m:e>
                  <m:r>
                    <m:t>u</m:t>
                  </m:r>
                </m:e>
              </m:acc>
            </m:e>
          </m:d>
          <m:r>
            <m:t>d</m:t>
          </m:r>
          <m:r>
            <m:t>t</m:t>
          </m:r>
          <m:r>
            <m:rPr>
              <m:sty m:val="p"/>
            </m:rPr>
            <m:t>+</m:t>
          </m:r>
          <m:nary>
            <m:naryPr>
              <m:chr m:val="∑"/>
              <m:limLoc m:val="undOvr"/>
              <m:subHide m:val="off"/>
              <m:supHide m:val="on"/>
            </m:naryPr>
            <m:sub>
              <m:r>
                <m:t>k</m:t>
              </m:r>
            </m:sub>
            <m:sup>
              <m:r>
                <m:t>​</m:t>
              </m:r>
            </m:sup>
            <m:e>
              <m:d>
                <m:dPr>
                  <m:begChr m:val="("/>
                  <m:sepChr m:val=""/>
                  <m:endChr m:val=")"/>
                  <m:grow/>
                </m:dPr>
                <m:e>
                  <m:sSub>
                    <m:e>
                      <m:r>
                        <m:rPr>
                          <m:sty m:val="b"/>
                        </m:rPr>
                        <m:t>σ</m:t>
                      </m:r>
                    </m:e>
                    <m:sub>
                      <m:r>
                        <m:t>k</m:t>
                      </m:r>
                    </m:sub>
                  </m:sSub>
                  <m:r>
                    <m:rPr>
                      <m:sty m:val="p"/>
                    </m:rPr>
                    <m:t>⋅</m:t>
                  </m:r>
                  <m:r>
                    <m:rPr>
                      <m:sty m:val="p"/>
                    </m:rPr>
                    <m:t>∇</m:t>
                  </m:r>
                  <m:acc>
                    <m:accPr>
                      <m:chr m:val="‾"/>
                    </m:accPr>
                    <m:e>
                      <m:r>
                        <m:t>u</m:t>
                      </m:r>
                    </m:e>
                  </m:acc>
                </m:e>
              </m:d>
            </m:e>
          </m:nary>
          <m:r>
            <m:rPr>
              <m:sty m:val="p"/>
            </m:rPr>
            <m:t>∘</m:t>
          </m:r>
          <m:r>
            <m:t>d</m:t>
          </m:r>
          <m:sSubSup>
            <m:e>
              <m:r>
                <m:t>B</m:t>
              </m:r>
            </m:e>
            <m:sub>
              <m:r>
                <m:t>t</m:t>
              </m:r>
            </m:sub>
            <m:sup>
              <m:r>
                <m:t>k</m:t>
              </m:r>
            </m:sup>
          </m:sSubSup>
        </m:oMath>
      </m:oMathPara>
    </w:p>
    <w:p>
      <w:pPr>
        <w:spacing w:after="100"/>
        <w:jc w:val="both"/>
      </w:pPr>
      <m:oMath>
        <m:acc>
          <m:accPr>
            <m:chr m:val="‾"/>
          </m:accPr>
          <m:e>
            <m:r>
              <m:t>a</m:t>
            </m:r>
          </m:e>
        </m:acc>
      </m:oMath>
      <w:r>
        <w:rPr>
          <w:color w:val="3A4350"/>
          <w:sz w:val="19"/>
          <w:szCs w:val="19"/>
        </w:rPr>
        <w:t xml:space="preserve"> is the effective diffusivity, </w:t>
      </w:r>
      <m:oMath>
        <m:sSub>
          <m:e>
            <m:r>
              <m:rPr>
                <m:sty m:val="b"/>
              </m:rPr>
              <m:t>σ</m:t>
            </m:r>
          </m:e>
          <m:sub>
            <m:r>
              <m:t>k</m:t>
            </m:r>
          </m:sub>
        </m:sSub>
      </m:oMath>
      <w:r>
        <w:rPr>
          <w:color w:val="3A4350"/>
          <w:sz w:val="19"/>
          <w:szCs w:val="19"/>
        </w:rPr>
        <w:t xml:space="preserve"> deterministic vectors that carry the covariance of the residual transport, </w:t>
      </w:r>
      <m:oMath>
        <m:sSup>
          <m:e>
            <m:r>
              <m:t>B</m:t>
            </m:r>
          </m:e>
          <m:sup>
            <m:r>
              <m:t>k</m:t>
            </m:r>
          </m:sup>
        </m:sSup>
      </m:oMath>
      <w:r>
        <w:rPr>
          <w:color w:val="3A4350"/>
          <w:sz w:val="19"/>
          <w:szCs w:val="19"/>
        </w:rPr>
        <w:t xml:space="preserve"> independent Brownian motions and </w:t>
      </w:r>
      <m:oMath>
        <m:r>
          <m:rPr>
            <m:sty m:val="p"/>
          </m:rPr>
          <m:t>∘</m:t>
        </m:r>
      </m:oMath>
      <w:r>
        <w:rPr>
          <w:color w:val="3A4350"/>
          <w:sz w:val="19"/>
          <w:szCs w:val="19"/>
        </w:rPr>
        <w:t xml:space="preserve"> the Stratonovich product.</w:t>
      </w:r>
    </w:p>
    <w:p>
      <w:pPr>
        <w:spacing w:after="100" w:before="80"/>
        <w:jc w:val="both"/>
      </w:pPr>
      <w:r>
        <w:rPr>
          <w:b/>
          <w:bCs/>
          <w:color w:val="002147"/>
        </w:rPr>
        <w:t xml:space="preserve">Link to the candidate system and to seawater intrusion. </w:t>
      </w:r>
      <w:r>
        <w:t xml:space="preserve">Belongs to sections 1.3 and 1.7. Upscaling forces a term next to the classical operators of the transport equation, and this term acts on the gradient of the concentration: it is the same for every species, so the reaction-free chloride can pin it, as Proposition 2 pins dispersion and memory. It also fixes the structure of model error for the augmented ensemble smoother: a multiplicative transport noise proportional to </w:t>
      </w:r>
      <m:oMath>
        <m:r>
          <m:rPr>
            <m:sty m:val="b"/>
          </m:rPr>
          <m:t>σ</m:t>
        </m:r>
        <m:r>
          <m:rPr>
            <m:sty m:val="p"/>
          </m:rPr>
          <m:t>⋅</m:t>
        </m:r>
        <m:r>
          <m:rPr>
            <m:sty m:val="p"/>
          </m:rPr>
          <m:t>∇</m:t>
        </m:r>
        <m:r>
          <m:t>c</m:t>
        </m:r>
      </m:oMath>
      <w:r>
        <w:t xml:space="preserve">, not additive noise on </w:t>
      </w:r>
      <m:oMath>
        <m:r>
          <m:t>c</m:t>
        </m:r>
      </m:oMath>
      <w:r>
        <w:t xml:space="preserve">. At Fushë-Kuqe, fluctuations of pumping and recharge acting on gravel–sand and silt–clay layers make the Darcy flux a fluctuating, nearly divergence-free field, a possible cause of coherent random shifts of the chloride front.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proof that diffusion in a space–time ergodic incompressible random flow upscales to an SPDE with transport noise rather than to a deterministic advection–dispersion equation, with the surviving part of the drift identified exactly. Proposed extension: use this transport noise as the model-error term of the augmented smoother, one term for all species, estimated from the chloride series and held fixed for the reactive ions; slower decorrelation, where the white-noise limit fails, is where the memory kernel of the candidate system takes over.</w:t>
      </w:r>
    </w:p>
    <w:p>
      <w:pPr>
        <w:pStyle w:val="Heading2"/>
        <w:keepNext/>
      </w:pPr>
      <w:r>
        <w:rPr>
          <w:color w:val="002147"/>
        </w:rPr>
        <w:t xml:space="preserve">O2  </w:t>
      </w:r>
      <w:r>
        <w:rPr>
          <w:color w:val="1F3864"/>
        </w:rPr>
        <w:t xml:space="preserve">Nonparametric Bayesian estimation for multivariate Hawkes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Sophie Donnet, Vincent Rivoirard,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48(5), 2698–2727 (2020); arXiv 1802.05975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u0gqlhvadwoephm2gtpl">
              <w:r>
                <w:rPr>
                  <w:color w:val="1D4ED8"/>
                  <w:sz w:val="18"/>
                  <w:szCs w:val="18"/>
                  <w:u w:val="single"/>
                </w:rPr>
                <w:t xml:space="preserve">https://doi.org/10.1214/19-AOS1903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(J. Rousseau), with Université Paris-Dauphine and INRA: author versions of the paper;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Rousseau holds an ERC Advanced Grant (2019), is Fellow of the IMS and of ISBA, received the Ethel Newbold Prize (2015), gave the IMS Medallion Lecture (2017) and the Le Cam Lecture (2025), and is a sectional speaker at the ICM 2026 and President-Elect of ISBA.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Hawkes processes · memory (interaction) kernels · nonparametric priors · posterior concentration rates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In a multivariate Hawkes process each intensity is a baseline plus convolutions of past events with interaction kernels, a memory structure of Volterra type. The paper places nonparametric priors on the kernels, piecewise-constant functions on regular or random partitions and mixtures of Beta densities, and derives posterior concentration rates: first in </w:t>
      </w:r>
      <m:oMath>
        <m:sSup>
          <m:e>
            <m:r>
              <m:t>L</m:t>
            </m:r>
          </m:e>
          <m:sup>
            <m:r>
              <m:t>1</m:t>
            </m:r>
          </m:sup>
        </m:sSup>
      </m:oMath>
      <w:r>
        <w:t xml:space="preserve"> for the stochastic intensities and then, from these, in </w:t>
      </w:r>
      <m:oMath>
        <m:sSup>
          <m:e>
            <m:r>
              <m:t>L</m:t>
            </m:r>
          </m:e>
          <m:sup>
            <m:r>
              <m:t>1</m:t>
            </m:r>
          </m:sup>
        </m:sSup>
      </m:oMath>
      <w:r>
        <w:t xml:space="preserve"> for the interaction functions themselves. The application is the inference of graphs of functional connectivity between neurons.</w:t>
      </w:r>
    </w:p>
    <w:p>
      <w:pPr>
        <w:keepNext/>
        <w:spacing w:after="40" w:before="80"/>
      </w:pPr>
      <w:r>
        <w:rPr>
          <w:b/>
          <w:bCs/>
          <w:color w:val="002147"/>
        </w:rPr>
        <w:t xml:space="preserve">Key equation.</w:t>
      </w:r>
      <w:r>
        <w:rPr>
          <w:i/>
          <w:iCs/>
          <w:color w:val="5B6573"/>
          <w:sz w:val="18"/>
          <w:szCs w:val="18"/>
        </w:rPr>
        <w:t xml:space="preserve">  Multivariate Hawkes intensity and posterior contraction of the kernels (representative formulation)</w:t>
      </w:r>
    </w:p>
    <w:p>
      <w:pPr>
        <w:pStyle w:val="Equation"/>
      </w:pPr>
      <m:oMathPara>
        <m:oMathParaPr>
          <m:jc m:val="center"/>
        </m:oMathParaPr>
        <m:oMath>
          <m:sSub>
            <m:e>
              <m:r>
                <m:t>λ</m:t>
              </m:r>
            </m:e>
            <m:sub>
              <m:r>
                <m:t>k</m:t>
              </m:r>
            </m:sub>
          </m:sSub>
          <m:d>
            <m:dPr>
              <m:begChr m:val="("/>
              <m:sepChr m:val=""/>
              <m:endChr m:val=")"/>
              <m:grow/>
            </m:dPr>
            <m:e>
              <m:r>
                <m:t>t</m:t>
              </m:r>
            </m:e>
          </m:d>
          <m:r>
            <m:rPr>
              <m:sty m:val="p"/>
            </m:rPr>
            <m:t>=</m:t>
          </m:r>
          <m:sSub>
            <m:e>
              <m:r>
                <m:t>ν</m:t>
              </m:r>
            </m:e>
            <m:sub>
              <m:r>
                <m:t>k</m:t>
              </m:r>
            </m:sub>
          </m:sSub>
          <m:r>
            <m:rPr>
              <m:sty m:val="p"/>
            </m:rPr>
            <m:t>+</m:t>
          </m:r>
          <m:nary>
            <m:naryPr>
              <m:chr m:val="∑"/>
              <m:limLoc m:val="undOvr"/>
              <m:subHide m:val="off"/>
              <m:supHide m:val="off"/>
            </m:naryPr>
            <m:sub>
              <m:r>
                <m:rPr>
                  <m:sty m:val="p"/>
                </m:rPr>
                <m:t>ℓ</m:t>
              </m:r>
              <m:r>
                <m:rPr>
                  <m:sty m:val="p"/>
                </m:rPr>
                <m:t>=</m:t>
              </m:r>
              <m:r>
                <m:t>1</m:t>
              </m:r>
            </m:sub>
            <m:sup>
              <m:r>
                <m:t>K</m:t>
              </m:r>
            </m:sup>
            <m:e>
              <m:nary>
                <m:naryPr>
                  <m:chr m:val="∫"/>
                  <m:limLoc m:val="subSup"/>
                  <m:subHide m:val="off"/>
                  <m:supHide m:val="off"/>
                </m:naryPr>
                <m:sub>
                  <m:r>
                    <m:t>t</m:t>
                  </m:r>
                  <m:r>
                    <m:rPr>
                      <m:sty m:val="p"/>
                    </m:rPr>
                    <m:t>−</m:t>
                  </m:r>
                  <m:r>
                    <m:t>A</m:t>
                  </m:r>
                </m:sub>
                <m:sup>
                  <m:sSup>
                    <m:e>
                      <m:r>
                        <m:t>t</m:t>
                      </m:r>
                    </m:e>
                    <m:sup>
                      <m:r>
                        <m:rPr>
                          <m:sty m:val="p"/>
                        </m:rPr>
                        <m:t>−</m:t>
                      </m:r>
                    </m:sup>
                  </m:sSup>
                </m:sup>
                <m:e>
                  <m:sSub>
                    <m:e>
                      <m:r>
                        <m:t>h</m:t>
                      </m:r>
                    </m:e>
                    <m:sub>
                      <m:r>
                        <m:rPr>
                          <m:sty m:val="p"/>
                        </m:rPr>
                        <m:t>ℓ</m:t>
                      </m:r>
                      <m:r>
                        <m:t>k</m:t>
                      </m:r>
                    </m:sub>
                  </m:sSub>
                </m:e>
              </m:nary>
            </m:e>
          </m:nary>
          <m:d>
            <m:dPr>
              <m:begChr m:val="("/>
              <m:sepChr m:val=""/>
              <m:endChr m:val=")"/>
              <m:grow/>
            </m:dPr>
            <m:e>
              <m:r>
                <m:t>t</m:t>
              </m:r>
              <m:r>
                <m:rPr>
                  <m:sty m:val="p"/>
                </m:rPr>
                <m:t>−</m:t>
              </m:r>
              <m:r>
                <m:t>s</m:t>
              </m:r>
            </m:e>
          </m:d>
          <m:r>
            <m:t> </m:t>
          </m:r>
          <m:r>
            <m:t>d</m:t>
          </m:r>
          <m:sSub>
            <m:e>
              <m:r>
                <m:t>N</m:t>
              </m:r>
            </m:e>
            <m:sub>
              <m:r>
                <m:rPr>
                  <m:sty m:val="p"/>
                </m:rPr>
                <m:t>ℓ</m:t>
              </m:r>
            </m:sub>
          </m:sSub>
          <m:d>
            <m:dPr>
              <m:begChr m:val="("/>
              <m:sepChr m:val=""/>
              <m:endChr m:val=")"/>
              <m:grow/>
            </m:dPr>
            <m:e>
              <m:r>
                <m:t>s</m:t>
              </m:r>
            </m:e>
          </m:d>
        </m:oMath>
      </m:oMathPara>
    </w:p>
    <w:p>
      <w:pPr>
        <w:pStyle w:val="Equation"/>
      </w:pPr>
      <m:oMathPara>
        <m:oMathParaPr>
          <m:jc m:val="center"/>
        </m:oMathParaPr>
        <m:oMath>
          <m:r>
            <m:t>Π</m:t>
          </m:r>
          <m:d>
            <m:dPr>
              <m:begChr m:val="("/>
              <m:sepChr m:val=""/>
              <m:endChr m:val=")"/>
              <m:grow/>
            </m:dPr>
            <m:e>
              <m:nary>
                <m:naryPr>
                  <m:chr m:val="∑"/>
                  <m:limLoc m:val="undOvr"/>
                  <m:subHide m:val="off"/>
                  <m:supHide m:val="on"/>
                </m:naryPr>
                <m:sub>
                  <m:r>
                    <m:rPr>
                      <m:sty m:val="p"/>
                    </m:rPr>
                    <m:t>ℓ</m:t>
                  </m:r>
                  <m:r>
                    <m:rPr>
                      <m:sty m:val="p"/>
                    </m:rPr>
                    <m:t>,</m:t>
                  </m:r>
                  <m:r>
                    <m:t>k</m:t>
                  </m:r>
                </m:sub>
                <m:sup>
                  <m:r>
                    <m:t>​</m:t>
                  </m:r>
                </m:sup>
                <m:e>
                  <m:sSub>
                    <m:e>
                      <m:d>
                        <m:dPr>
                          <m:begChr m:val="∥"/>
                          <m:sepChr m:val=""/>
                          <m:endChr m:val="∥"/>
                          <m:grow/>
                        </m:dPr>
                        <m:e>
                          <m:sSub>
                            <m:e>
                              <m:r>
                                <m:t>h</m:t>
                              </m:r>
                            </m:e>
                            <m:sub>
                              <m:r>
                                <m:rPr>
                                  <m:sty m:val="p"/>
                                </m:rPr>
                                <m:t>ℓ</m:t>
                              </m:r>
                              <m:r>
                                <m:t>k</m:t>
                              </m:r>
                            </m:sub>
                          </m:sSub>
                          <m:r>
                            <m:rPr>
                              <m:sty m:val="p"/>
                            </m:rPr>
                            <m:t>−</m:t>
                          </m:r>
                          <m:sSubSup>
                            <m:e>
                              <m:r>
                                <m:t>h</m:t>
                              </m:r>
                            </m:e>
                            <m:sub>
                              <m:r>
                                <m:rPr>
                                  <m:sty m:val="p"/>
                                </m:rPr>
                                <m:t>ℓ</m:t>
                              </m:r>
                              <m:r>
                                <m:t>k</m:t>
                              </m:r>
                            </m:sub>
                            <m:sup>
                              <m:r>
                                <m:t>0</m:t>
                              </m:r>
                            </m:sup>
                          </m:sSubSup>
                        </m:e>
                      </m:d>
                    </m:e>
                    <m:sub>
                      <m:r>
                        <m:t>1</m:t>
                      </m:r>
                    </m:sub>
                  </m:sSub>
                </m:e>
              </m:nary>
              <m:r>
                <m:rPr>
                  <m:sty m:val="p"/>
                </m:rPr>
                <m:t>&gt;</m:t>
              </m:r>
              <m:r>
                <m:t>M</m:t>
              </m:r>
              <m:sSub>
                <m:e>
                  <m:r>
                    <m:t>ε</m:t>
                  </m:r>
                </m:e>
                <m:sub>
                  <m:r>
                    <m:t>T</m:t>
                  </m:r>
                </m:sub>
              </m:sSub>
              <m:r>
                <m:rPr>
                  <m:sty m:val="p"/>
                </m:rPr>
                <m:t>∣</m:t>
              </m:r>
              <m:r>
                <m:t>N</m:t>
              </m:r>
            </m:e>
          </m:d>
          <m:r>
            <m:rPr>
              <m:sty m:val="p"/>
            </m:rPr>
            <m:t>→</m:t>
          </m:r>
          <m:r>
            <m:t>0</m:t>
          </m:r>
        </m:oMath>
      </m:oMathPara>
    </w:p>
    <w:p>
      <w:pPr>
        <w:spacing w:after="100"/>
        <w:jc w:val="both"/>
      </w:pPr>
      <m:oMath>
        <m:sSub>
          <m:e>
            <m:r>
              <m:t>N</m:t>
            </m:r>
          </m:e>
          <m:sub>
            <m:r>
              <m:rPr>
                <m:sty m:val="p"/>
              </m:rPr>
              <m:t>ℓ</m:t>
            </m:r>
          </m:sub>
        </m:sSub>
      </m:oMath>
      <w:r>
        <w:rPr>
          <w:color w:val="3A4350"/>
          <w:sz w:val="19"/>
          <w:szCs w:val="19"/>
        </w:rPr>
        <w:t xml:space="preserve"> are the counting processes, </w:t>
      </w:r>
      <m:oMath>
        <m:sSub>
          <m:e>
            <m:r>
              <m:t>ν</m:t>
            </m:r>
          </m:e>
          <m:sub>
            <m:r>
              <m:t>k</m:t>
            </m:r>
          </m:sub>
        </m:sSub>
      </m:oMath>
      <w:r>
        <w:rPr>
          <w:color w:val="3A4350"/>
          <w:sz w:val="19"/>
          <w:szCs w:val="19"/>
        </w:rPr>
        <w:t xml:space="preserve"> the baselines, </w:t>
      </w:r>
      <m:oMath>
        <m:sSub>
          <m:e>
            <m:r>
              <m:t>h</m:t>
            </m:r>
          </m:e>
          <m:sub>
            <m:r>
              <m:rPr>
                <m:sty m:val="p"/>
              </m:rPr>
              <m:t>ℓ</m:t>
            </m:r>
            <m:r>
              <m:t>k</m:t>
            </m:r>
          </m:sub>
        </m:sSub>
      </m:oMath>
      <w:r>
        <w:rPr>
          <w:color w:val="3A4350"/>
          <w:sz w:val="19"/>
          <w:szCs w:val="19"/>
        </w:rPr>
        <w:t xml:space="preserve"> the memory kernels on </w:t>
      </w:r>
      <m:oMath>
        <m:d>
          <m:dPr>
            <m:begChr m:val="["/>
            <m:sepChr m:val=""/>
            <m:endChr m:val="]"/>
            <m:grow/>
          </m:dPr>
          <m:e>
            <m:r>
              <m:t>0</m:t>
            </m:r>
            <m:r>
              <m:rPr>
                <m:sty m:val="p"/>
              </m:rPr>
              <m:t>,</m:t>
            </m:r>
            <m:r>
              <m:t>A</m:t>
            </m:r>
          </m:e>
        </m:d>
      </m:oMath>
      <w:r>
        <w:rPr>
          <w:color w:val="3A4350"/>
          <w:sz w:val="19"/>
          <w:szCs w:val="19"/>
        </w:rPr>
        <w:t xml:space="preserve"> with true values </w:t>
      </w:r>
      <m:oMath>
        <m:sSubSup>
          <m:e>
            <m:r>
              <m:t>h</m:t>
            </m:r>
          </m:e>
          <m:sub>
            <m:r>
              <m:rPr>
                <m:sty m:val="p"/>
              </m:rPr>
              <m:t>ℓ</m:t>
            </m:r>
            <m:r>
              <m:t>k</m:t>
            </m:r>
          </m:sub>
          <m:sup>
            <m:r>
              <m:t>0</m:t>
            </m:r>
          </m:sup>
        </m:sSubSup>
      </m:oMath>
      <w:r>
        <w:rPr>
          <w:color w:val="3A4350"/>
          <w:sz w:val="19"/>
          <w:szCs w:val="19"/>
        </w:rPr>
        <w:t xml:space="preserve">, and </w:t>
      </w:r>
      <m:oMath>
        <m:sSub>
          <m:e>
            <m:r>
              <m:t>ε</m:t>
            </m:r>
          </m:e>
          <m:sub>
            <m:r>
              <m:t>T</m:t>
            </m:r>
          </m:sub>
        </m:sSub>
      </m:oMath>
      <w:r>
        <w:rPr>
          <w:color w:val="3A4350"/>
          <w:sz w:val="19"/>
          <w:szCs w:val="19"/>
        </w:rPr>
        <w:t xml:space="preserve"> the contraction rate for observation time </w:t>
      </w:r>
      <m:oMath>
        <m:r>
          <m:t>T</m:t>
        </m:r>
      </m:oMath>
      <w:r>
        <w:rPr>
          <w:color w:val="3A4350"/>
          <w:sz w:val="19"/>
          <w:szCs w:val="19"/>
        </w:rPr>
        <w:t xml:space="preserve">.</w:t>
      </w:r>
    </w:p>
    <w:p>
      <w:pPr>
        <w:spacing w:after="100" w:before="80"/>
        <w:jc w:val="both"/>
      </w:pPr>
      <w:r>
        <w:rPr>
          <w:b/>
          <w:bCs/>
          <w:color w:val="002147"/>
        </w:rPr>
        <w:t xml:space="preserve">Link to the candidate system and to seawater intrusion. </w:t>
      </w:r>
      <w:r>
        <w:t xml:space="preserve">Belongs to sections 1.4 and 1.7. The candidate system has memory kernels of the same convolution type, for delayed recharge and for exchange with the clays; the paper is a methodological template (an analogy, not a literal transfer from point processes to concentrations) for nonparametric priors on these kernels with guarantees. Histogram kernels on a partition correspond to discrete bins of exchange rates, the multivariate case to a memory graph across species and wells, and the two-step argument, contraction of the observable then of the kernel, is the identifiability logic that the closure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Posterior contraction rates for nonparametric memory kernels themselves, not only for the fitted signals. Proposed extension: place the same histogram or Beta-mixture priors on the rate distribution </w:t>
      </w:r>
      <m:oMath>
        <m:r>
          <m:t>b</m:t>
        </m:r>
        <m:d>
          <m:dPr>
            <m:begChr m:val="("/>
            <m:sepChr m:val=""/>
            <m:endChr m:val=")"/>
            <m:grow/>
          </m:dPr>
          <m:e>
            <m:r>
              <m:t>α</m:t>
            </m:r>
          </m:e>
        </m:d>
      </m:oMath>
      <w:r>
        <w:t xml:space="preserve"> of the completely monotone kernel of Proposition 3 and prove the analogous contraction for concentration data; the learned memory of the COST system would then carry a statistical guarantee.</w:t>
      </w:r>
    </w:p>
    <w:p>
      <w:pPr>
        <w:pStyle w:val="Heading2"/>
        <w:keepNext/>
      </w:pPr>
      <w:r>
        <w:rPr>
          <w:color w:val="002147"/>
        </w:rPr>
        <w:t xml:space="preserve">O3  </w:t>
      </w:r>
      <w:r>
        <w:rPr>
          <w:color w:val="1F3864"/>
        </w:rPr>
        <w:t xml:space="preserve">Profile likelihood analysis for a stochastic model of diffusion in heterogeneous media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J. Simpson, Alexander P. Browning, Christopher Drovandi, Elliot J. Carr, Oliver J. Maclaren,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477, article 20210214 (2021; issue not verified); arXiv 2011.03638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gkjveluiiengixds-aib">
              <w:r>
                <w:rPr>
                  <w:color w:val="1D4ED8"/>
                  <w:sz w:val="18"/>
                  <w:szCs w:val="18"/>
                  <w:u w:val="single"/>
                </w:rPr>
                <w:t xml:space="preserve">https://doi.org/10.1098/rspa.2021.0214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(R. E. Baker): the record of the Oxford University Research Archive with the publisher's PDF.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R. E. Baker is Professor of Applied Mathematics at Oxford; Whitehead Prize of the London Mathematical Society (2014), Royal Society Wolfson Research Merit Award (2017–2022), Leverhulme Research Fellowship (2017), FRSB and FIMA.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practical identifiability · profile likelihood · layered heterogeneous media · random walks · model reduction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A random walk through a layered material with a hopping rate in each layer, motivated by heat conduction through layered skin, is observed through exit times at an absorbing boundary. Profile likelihoods are computed both with an exact likelihood from a Markov-chain formulation and with an approximate Gamma likelihood that matches the moments of the continuum limit. The practical identifiability of each layer's rate is assessed; when the rates are not identifiable, the model is reduced to fewer layers. Published code lets the user explore how the experimental design changes identifiability. The analysis is likelihood-based, not Bayesian.</w:t>
      </w:r>
    </w:p>
    <w:p>
      <w:pPr>
        <w:keepNext/>
        <w:spacing w:after="40" w:before="80"/>
      </w:pPr>
      <w:r>
        <w:rPr>
          <w:b/>
          <w:bCs/>
          <w:color w:val="002147"/>
        </w:rPr>
        <w:t xml:space="preserve">Key equation.</w:t>
      </w:r>
      <w:r>
        <w:rPr>
          <w:i/>
          <w:iCs/>
          <w:color w:val="5B6573"/>
          <w:sz w:val="18"/>
          <w:szCs w:val="18"/>
        </w:rPr>
        <w:t xml:space="preserve">  Profile likelihood of a parameter of interest and its confidence set (representative formulation)</w:t>
      </w:r>
    </w:p>
    <w:p>
      <w:pPr>
        <w:pStyle w:val="Equation"/>
      </w:pPr>
      <m:oMathPara>
        <m:oMathParaPr>
          <m:jc m:val="center"/>
        </m:oMathParaPr>
        <m:oMath>
          <m:sSub>
            <m:e>
              <m:acc>
                <m:accPr>
                  <m:chr m:val="̂"/>
                </m:accPr>
                <m:e>
                  <m:r>
                    <m:rPr>
                      <m:sty m:val="p"/>
                    </m:rPr>
                    <m:t>ℓ</m:t>
                  </m:r>
                </m:e>
              </m:acc>
            </m:e>
            <m:sub>
              <m:r>
                <m:t>p</m:t>
              </m:r>
            </m:sub>
          </m:sSub>
          <m:d>
            <m:dPr>
              <m:begChr m:val="("/>
              <m:sepChr m:val=""/>
              <m:endChr m:val=")"/>
              <m:grow/>
            </m:dPr>
            <m:e>
              <m:r>
                <m:t>ψ</m:t>
              </m:r>
            </m:e>
          </m:d>
          <m:r>
            <m:rPr>
              <m:sty m:val="p"/>
            </m:rPr>
            <m:t>=</m:t>
          </m:r>
          <m:limLow>
            <m:e>
              <m:r>
                <m:rPr>
                  <m:nor/>
                </m:rPr>
                <m:t>sup</m:t>
              </m:r>
            </m:e>
            <m:lim>
              <m:r>
                <m:t>λ</m:t>
              </m:r>
            </m:lim>
          </m:limLow>
          <m:r>
            <m:t> </m:t>
          </m:r>
          <m:r>
            <m:rPr>
              <m:sty m:val="p"/>
            </m:rPr>
            <m:t>ℓ</m:t>
          </m:r>
          <m:d>
            <m:dPr>
              <m:begChr m:val="("/>
              <m:sepChr m:val=""/>
              <m:endChr m:val=")"/>
              <m:grow/>
            </m:dPr>
            <m:e>
              <m:r>
                <m:t>ψ</m:t>
              </m:r>
              <m:r>
                <m:rPr>
                  <m:sty m:val="p"/>
                </m:rPr>
                <m:t>,</m:t>
              </m:r>
              <m:r>
                <m:t>λ</m:t>
              </m:r>
            </m:e>
          </m:d>
          <m:r>
            <m:rPr>
              <m:sty m:val="p"/>
            </m:rPr>
            <m:t>−</m:t>
          </m:r>
          <m:limLow>
            <m:e>
              <m:r>
                <m:rPr>
                  <m:nor/>
                </m:rPr>
                <m:t>sup</m:t>
              </m:r>
            </m:e>
            <m:lim>
              <m:r>
                <m:t>θ</m:t>
              </m:r>
            </m:lim>
          </m:limLow>
          <m:r>
            <m:t> </m:t>
          </m:r>
          <m:r>
            <m:rPr>
              <m:sty m:val="p"/>
            </m:rPr>
            <m:t>ℓ</m:t>
          </m:r>
          <m:d>
            <m:dPr>
              <m:begChr m:val="("/>
              <m:sepChr m:val=""/>
              <m:endChr m:val=")"/>
              <m:grow/>
            </m:dPr>
            <m:e>
              <m:r>
                <m:t>θ</m:t>
              </m:r>
            </m:e>
          </m:d>
          <m:r>
            <m:rPr>
              <m:sty m:val="p"/>
            </m:rPr>
            <m:t>,</m:t>
          </m:r>
          <m:r>
            <m:t>  </m:t>
          </m:r>
          <m:sSub>
            <m:e>
              <m:r>
                <m:rPr>
                  <m:scr m:val="script"/>
                  <m:sty m:val="p"/>
                </m:rPr>
                <m:t>C</m:t>
              </m:r>
            </m:e>
            <m:sub>
              <m:r>
                <m:t>0.95</m:t>
              </m:r>
            </m:sub>
          </m:sSub>
          <m:r>
            <m:rPr>
              <m:sty m:val="p"/>
            </m:rPr>
            <m:t>=</m:t>
          </m:r>
          <m:d>
            <m:dPr>
              <m:begChr m:val="{"/>
              <m:sepChr m:val=""/>
              <m:endChr m:val="}"/>
              <m:grow/>
            </m:dPr>
            <m:e>
              <m:r>
                <m:t>ψ</m:t>
              </m:r>
              <m:r>
                <m:rPr>
                  <m:sty m:val="p"/>
                </m:rPr>
                <m:t>:</m:t>
              </m:r>
              <m:sSub>
                <m:e>
                  <m:acc>
                    <m:accPr>
                      <m:chr m:val="̂"/>
                    </m:accPr>
                    <m:e>
                      <m:r>
                        <m:rPr>
                          <m:sty m:val="p"/>
                        </m:rPr>
                        <m:t>ℓ</m:t>
                      </m:r>
                    </m:e>
                  </m:acc>
                </m:e>
                <m:sub>
                  <m:r>
                    <m:t>p</m:t>
                  </m:r>
                </m:sub>
              </m:sSub>
              <m:d>
                <m:dPr>
                  <m:begChr m:val="("/>
                  <m:sepChr m:val=""/>
                  <m:endChr m:val=")"/>
                  <m:grow/>
                </m:dPr>
                <m:e>
                  <m:r>
                    <m:t>ψ</m:t>
                  </m:r>
                </m:e>
              </m:d>
              <m:r>
                <m:rPr>
                  <m:sty m:val="p"/>
                </m:rPr>
                <m:t>≥</m:t>
              </m:r>
              <m:r>
                <m:rPr>
                  <m:sty m:val="p"/>
                </m:rPr>
                <m:t>−</m:t>
              </m:r>
              <m:r>
                <m:t>1.92</m:t>
              </m:r>
            </m:e>
          </m:d>
        </m:oMath>
      </m:oMathPara>
    </w:p>
    <w:p>
      <w:pPr>
        <w:spacing w:after="100"/>
        <w:jc w:val="both"/>
      </w:pPr>
      <m:oMath>
        <m:r>
          <m:t>ψ</m:t>
        </m:r>
      </m:oMath>
      <w:r>
        <w:rPr>
          <w:color w:val="3A4350"/>
          <w:sz w:val="19"/>
          <w:szCs w:val="19"/>
        </w:rPr>
        <w:t xml:space="preserve"> is the parameter of interest (for example the rate of one layer), </w:t>
      </w:r>
      <m:oMath>
        <m:r>
          <m:t>λ</m:t>
        </m:r>
      </m:oMath>
      <w:r>
        <w:rPr>
          <w:color w:val="3A4350"/>
          <w:sz w:val="19"/>
          <w:szCs w:val="19"/>
        </w:rPr>
        <w:t xml:space="preserve"> the nuisance parameters and </w:t>
      </w:r>
      <m:oMath>
        <m:r>
          <m:rPr>
            <m:sty m:val="p"/>
          </m:rPr>
          <m:t>ℓ</m:t>
        </m:r>
      </m:oMath>
      <w:r>
        <w:rPr>
          <w:color w:val="3A4350"/>
          <w:sz w:val="19"/>
          <w:szCs w:val="19"/>
        </w:rPr>
        <w:t xml:space="preserve"> the log-likelihood; 1.92 is half the 95% quantile of </w:t>
      </w:r>
      <m:oMath>
        <m:sSubSup>
          <m:e>
            <m:r>
              <m:t>χ</m:t>
            </m:r>
          </m:e>
          <m:sub>
            <m:r>
              <m:t>1</m:t>
            </m:r>
          </m:sub>
          <m:sup>
            <m:r>
              <m:t>2</m:t>
            </m:r>
          </m:sup>
        </m:sSubSup>
      </m:oMath>
      <w:r>
        <w:rPr>
          <w:color w:val="3A4350"/>
          <w:sz w:val="19"/>
          <w:szCs w:val="19"/>
        </w:rPr>
        <w:t xml:space="preserve">.</w:t>
      </w:r>
    </w:p>
    <w:p>
      <w:pPr>
        <w:spacing w:after="100" w:before="80"/>
        <w:jc w:val="both"/>
      </w:pPr>
      <w:r>
        <w:rPr>
          <w:b/>
          <w:bCs/>
          <w:color w:val="002147"/>
        </w:rPr>
        <w:t xml:space="preserve">Link to the candidate system and to seawater intrusion. </w:t>
      </w:r>
      <w:r>
        <w:t xml:space="preserve">Belongs to section 1.6. Layer-wise transport rates in a layered medium are the situation of the gravel–sand aquifer with silt–clay intercalations at Fushë-Kuqe, and the recipe, keep only the layers (or rates) that the data identify, is what a multi-rate memory kernel needs: as many rates as the chloride series can support. The dependence on the design links to the goal-oriented design of the base paper.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Exact and moment-matched likelihoods compared to diagnose which layer-wise transport parameters are identifiable, with model reduction when they are not. Proposed extension: profile the rates of the multi-rate memory kernel of the candidate system on the chloride data, reduce the kernel to the identifiable number of rates, and choose the next sampling campaign where the profiles are flattest.</w:t>
      </w:r>
    </w:p>
    <w:p>
      <w:pPr>
        <w:pStyle w:val="Heading2"/>
        <w:keepNext/>
      </w:pPr>
      <w:r>
        <w:rPr>
          <w:color w:val="002147"/>
        </w:rPr>
        <w:t xml:space="preserve">O4  </w:t>
      </w:r>
      <w:r>
        <w:rPr>
          <w:color w:val="1F3864"/>
        </w:rPr>
        <w:t xml:space="preserve">A Homogenised Model for a Reactive Filter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 Kiradjiev, Chris Breward, Ian Griffiths, D. Schwendeman (given names of K. Kiradjiev and D. Schwendeman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Applied Mathematics, 81(2), 591–619 (2021; one secondary citation gives volume 82)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w3nkepom9rcva3yppt3m">
              <w:r>
                <w:rPr>
                  <w:color w:val="1D4ED8"/>
                  <w:sz w:val="18"/>
                  <w:szCs w:val="18"/>
                  <w:u w:val="single"/>
                </w:rPr>
                <w:t xml:space="preserve">https://doi.org/10.1137/19M1305495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(Industrial Mathematics): I. Griffiths' Oxford list of papers and pages of the Mathematical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I. Griffiths is Professor of Industrial Mathematics at the Oxford Mathematical Institute, a Whitehead Prize winner of the London Mathematical Society and a former Royal Society University Research Fellow; C. Breward is Professor at the Oxford Mathematical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homogenisation · reactive porous media · gas–liquid mass transfer · evolving internal state · asymptotic regimes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models a filter that converts sulphur dioxide in flue gas into liquid sulphuric acid on catalytic pellets. Starting from a micro-scale domain around a single pellet, the authors homogenise over both the gas and the liquid phase and obtain macro-scale equations for the concentration of sulphur dioxide in the gas coupled to the thickness of the acid layer on the pellets, an evolving internal state. Two asymptotic limits are analysed, a small rate of the surface reaction and a small gas–liquid mass transfer, and the macro-scale model is coupled to the external gas flow through the filter.</w:t>
      </w:r>
    </w:p>
    <w:p>
      <w:pPr>
        <w:keepNext/>
        <w:spacing w:after="40" w:before="80"/>
      </w:pPr>
      <w:r>
        <w:rPr>
          <w:b/>
          <w:bCs/>
          <w:color w:val="002147"/>
        </w:rPr>
        <w:t xml:space="preserve">Key equation.</w:t>
      </w:r>
      <w:r>
        <w:rPr>
          <w:i/>
          <w:iCs/>
          <w:color w:val="5B6573"/>
          <w:sz w:val="18"/>
          <w:szCs w:val="18"/>
        </w:rPr>
        <w:t xml:space="preserve">  Macro-scale transport with a reaction closure that carries an internal state (representative formulation)</w:t>
      </w:r>
    </w:p>
    <w:p>
      <w:pPr>
        <w:pStyle w:val="Equation"/>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u</m:t>
              </m:r>
              <m:r>
                <m:t>c</m:t>
              </m:r>
            </m:e>
          </m:d>
          <m:r>
            <m:rPr>
              <m:sty m:val="p"/>
            </m:rPr>
            <m:t>−</m:t>
          </m:r>
          <m:r>
            <m:rPr>
              <m:sty m:val="p"/>
            </m:rPr>
            <m:t>∇</m:t>
          </m:r>
          <m:r>
            <m:rPr>
              <m:sty m:val="p"/>
            </m:rPr>
            <m:t>⋅</m:t>
          </m:r>
          <m:d>
            <m:dPr>
              <m:begChr m:val="("/>
              <m:sepChr m:val=""/>
              <m:endChr m:val=")"/>
              <m:grow/>
            </m:dPr>
            <m:e>
              <m:sSub>
                <m:e>
                  <m:r>
                    <m:rPr>
                      <m:scr m:val="sans-serif"/>
                      <m:sty m:val="p"/>
                    </m:rPr>
                    <m:t>D</m:t>
                  </m:r>
                </m:e>
                <m:sub>
                  <m:r>
                    <m:rPr>
                      <m:nor/>
                    </m:rPr>
                    <m:t>eff</m:t>
                  </m:r>
                </m:sub>
              </m:sSub>
              <m:r>
                <m:rPr>
                  <m:sty m:val="p"/>
                </m:rPr>
                <m:t>∇</m:t>
              </m:r>
              <m:r>
                <m:t>c</m:t>
              </m:r>
            </m:e>
          </m:d>
          <m:r>
            <m:rPr>
              <m:sty m:val="p"/>
            </m:rPr>
            <m:t>=</m:t>
          </m:r>
          <m:r>
            <m:rPr>
              <m:sty m:val="p"/>
            </m:rPr>
            <m:t>−</m:t>
          </m:r>
          <m:r>
            <m:t>a</m:t>
          </m:r>
          <m:d>
            <m:dPr>
              <m:begChr m:val="("/>
              <m:sepChr m:val=""/>
              <m:endChr m:val=")"/>
              <m:grow/>
            </m:dPr>
            <m:e>
              <m:r>
                <m:t>h</m:t>
              </m:r>
            </m:e>
          </m:d>
          <m:r>
            <m:t> </m:t>
          </m:r>
          <m:r>
            <m:t>R</m:t>
          </m:r>
          <m:d>
            <m:dPr>
              <m:begChr m:val="("/>
              <m:sepChr m:val=""/>
              <m:endChr m:val=")"/>
              <m:grow/>
            </m:dPr>
            <m:e>
              <m:r>
                <m:t>c</m:t>
              </m:r>
              <m:r>
                <m:rPr>
                  <m:sty m:val="p"/>
                </m:rPr>
                <m:t>,</m:t>
              </m:r>
              <m:r>
                <m:t>h</m:t>
              </m:r>
            </m:e>
          </m:d>
          <m:r>
            <m:rPr>
              <m:sty m:val="p"/>
            </m:rPr>
            <m:t>,</m:t>
          </m:r>
          <m:r>
            <m:t>  </m:t>
          </m:r>
          <m:sSub>
            <m:e>
              <m:r>
                <m:rPr>
                  <m:sty m:val="p"/>
                </m:rPr>
                <m:t>∂</m:t>
              </m:r>
            </m:e>
            <m:sub>
              <m:r>
                <m:t>t</m:t>
              </m:r>
            </m:sub>
          </m:sSub>
          <m:r>
            <m:t>h</m:t>
          </m:r>
          <m:r>
            <m:rPr>
              <m:sty m:val="p"/>
            </m:rPr>
            <m:t>=</m:t>
          </m:r>
          <m:r>
            <m:t>κ</m:t>
          </m:r>
          <m:r>
            <m:t> </m:t>
          </m:r>
          <m:r>
            <m:t>R</m:t>
          </m:r>
          <m:d>
            <m:dPr>
              <m:begChr m:val="("/>
              <m:sepChr m:val=""/>
              <m:endChr m:val=")"/>
              <m:grow/>
            </m:dPr>
            <m:e>
              <m:r>
                <m:t>c</m:t>
              </m:r>
              <m:r>
                <m:rPr>
                  <m:sty m:val="p"/>
                </m:rPr>
                <m:t>,</m:t>
              </m:r>
              <m:r>
                <m:t>h</m:t>
              </m:r>
            </m:e>
          </m:d>
        </m:oMath>
      </m:oMathPara>
    </w:p>
    <w:p>
      <w:pPr>
        <w:spacing w:after="100"/>
        <w:jc w:val="both"/>
      </w:pPr>
      <m:oMath>
        <m:r>
          <m:t>c</m:t>
        </m:r>
      </m:oMath>
      <w:r>
        <w:rPr>
          <w:color w:val="3A4350"/>
          <w:sz w:val="19"/>
          <w:szCs w:val="19"/>
        </w:rPr>
        <w:t xml:space="preserve"> is the macro-scale concentration, </w:t>
      </w:r>
      <m:oMath>
        <m:r>
          <m:t>h</m:t>
        </m:r>
      </m:oMath>
      <w:r>
        <w:rPr>
          <w:color w:val="3A4350"/>
          <w:sz w:val="19"/>
          <w:szCs w:val="19"/>
        </w:rPr>
        <w:t xml:space="preserve"> the internal state (the thickness of the liquid layer), </w:t>
      </w:r>
      <m:oMath>
        <m:r>
          <m:t>a</m:t>
        </m:r>
        <m:d>
          <m:dPr>
            <m:begChr m:val="("/>
            <m:sepChr m:val=""/>
            <m:endChr m:val=")"/>
            <m:grow/>
          </m:dPr>
          <m:e>
            <m:r>
              <m:t>h</m:t>
            </m:r>
          </m:e>
        </m:d>
      </m:oMath>
      <w:r>
        <w:rPr>
          <w:color w:val="3A4350"/>
          <w:sz w:val="19"/>
          <w:szCs w:val="19"/>
        </w:rPr>
        <w:t xml:space="preserve"> the reactive surface per unit volume, </w:t>
      </w:r>
      <m:oMath>
        <m:r>
          <m:t>R</m:t>
        </m:r>
      </m:oMath>
      <w:r>
        <w:rPr>
          <w:color w:val="3A4350"/>
          <w:sz w:val="19"/>
          <w:szCs w:val="19"/>
        </w:rPr>
        <w:t xml:space="preserve"> the reaction–transfer rate and </w:t>
      </w:r>
      <m:oMath>
        <m:sSub>
          <m:e>
            <m:r>
              <m:rPr>
                <m:scr m:val="sans-serif"/>
                <m:sty m:val="p"/>
              </m:rPr>
              <m:t>D</m:t>
            </m:r>
          </m:e>
          <m:sub>
            <m:r>
              <m:rPr>
                <m:nor/>
              </m:rPr>
              <m:t>eff</m:t>
            </m:r>
          </m:sub>
        </m:sSub>
      </m:oMath>
      <w:r>
        <w:rPr>
          <w:color w:val="3A4350"/>
          <w:sz w:val="19"/>
          <w:szCs w:val="19"/>
        </w:rPr>
        <w:t xml:space="preserve"> the effective dispersion.</w:t>
      </w:r>
    </w:p>
    <w:p>
      <w:pPr>
        <w:spacing w:after="100" w:before="80"/>
        <w:jc w:val="both"/>
      </w:pPr>
      <w:r>
        <w:rPr>
          <w:b/>
          <w:bCs/>
          <w:color w:val="002147"/>
        </w:rPr>
        <w:t xml:space="preserve">Link to the candidate system and to seawater intrusion. </w:t>
      </w:r>
      <w:r>
        <w:t xml:space="preserve">Belongs to sections 1.5 and 9.3. The macro-scale closure carries an internal state that evolves with the reaction, exactly as the learned exchanger of GJURMA carries a loading that relaxes toward equilibrium; homogenisation derives such a closure instead of guessing it. Its reaction-limited and transfer-limited regimes tell which closure terms the data can support: at Fushë-Kuqe cation exchange on the silt–clay lenses and sulfate reduction can each be limited by kinetics or by transfer into the clays.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homogenisation of a reactive porous filter that yields macro-scale reaction closures carrying an internal state variable, reduced differently in each regime. Proposed extension: derive the exchanger closure of the candidate transport equation by the same homogenisation from a pore-scale model of the silt–clay lenses; the learned exchanger of section 9.3 would then have a derived functional form, and only its coefficients would be learned.</w:t>
      </w:r>
    </w:p>
    <w:p>
      <w:pPr>
        <w:pStyle w:val="Heading2"/>
        <w:keepNext/>
      </w:pPr>
      <w:r>
        <w:rPr>
          <w:color w:val="002147"/>
        </w:rPr>
        <w:t xml:space="preserve">O5  </w:t>
      </w:r>
      <w:r>
        <w:rPr>
          <w:color w:val="1F3864"/>
        </w:rPr>
        <w:t xml:space="preserve">A Systematic Upscaling of Nonlinear Chemical Uptake Within a Biofilm</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Mohit P. Dalwadi, John R. King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Applied Mathematics, 80(4), 1723–1750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gnl7oqhqpe05rmev_yvt">
              <w:r>
                <w:rPr>
                  <w:color w:val="1D4ED8"/>
                  <w:sz w:val="18"/>
                  <w:szCs w:val="18"/>
                  <w:u w:val="single"/>
                </w:rPr>
                <w:t xml:space="preserve">https://doi.org/10.1137/19M130220X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(M. P. Dalwadi) and University of Nottingham (J. R. King): the publication pages of the Oxford Mathematical Institute and Dalwadi's Oxford page;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Distinctions of the authors were not verified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homogenisation by multiple scales · effective uptake · nonlinear reaction · biofilms · non-uniqueness of micro-scale mechanisms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Resolving each bacterium of a biofilm is too costly, so models use effective uptake terms. The authors derive effective macro-scale equations by homogenisation from a micro-scale model of bacteria of finite size with nonlinear uptake and a general partition coefficient across the membrane. They analyse two distinguished limits, one for the effective uptake and one for the effective diffusivity, catalogue micro-scale behaviours such as depleted regions inside the bacteria, and show that different micro-scale uptake properties can produce the same macro-scale uptake.</w:t>
      </w:r>
    </w:p>
    <w:p>
      <w:pPr>
        <w:keepNext/>
        <w:spacing w:after="40" w:before="80"/>
      </w:pPr>
      <w:r>
        <w:rPr>
          <w:b/>
          <w:bCs/>
          <w:color w:val="002147"/>
        </w:rPr>
        <w:t xml:space="preserve">Key equation.</w:t>
      </w:r>
      <w:r>
        <w:rPr>
          <w:i/>
          <w:iCs/>
          <w:color w:val="5B6573"/>
          <w:sz w:val="18"/>
          <w:szCs w:val="18"/>
        </w:rPr>
        <w:t xml:space="preserve">  Effective transport with an upscaled nonlinear uptake (representative formulation)</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sSub>
                <m:e>
                  <m:r>
                    <m:rPr>
                      <m:scr m:val="sans-serif"/>
                      <m:sty m:val="p"/>
                    </m:rPr>
                    <m:t>D</m:t>
                  </m:r>
                </m:e>
                <m:sub>
                  <m:r>
                    <m:rPr>
                      <m:nor/>
                    </m:rPr>
                    <m:t>eff</m:t>
                  </m:r>
                </m:sub>
              </m:sSub>
              <m:r>
                <m:rPr>
                  <m:sty m:val="p"/>
                </m:rPr>
                <m:t>∇</m:t>
              </m:r>
              <m:r>
                <m:t>C</m:t>
              </m:r>
            </m:e>
          </m:d>
          <m:r>
            <m:rPr>
              <m:sty m:val="p"/>
            </m:rPr>
            <m:t>−</m:t>
          </m:r>
          <m:sSub>
            <m:e>
              <m:r>
                <m:t>ϕ</m:t>
              </m:r>
            </m:e>
            <m:sub>
              <m:r>
                <m:t>b</m:t>
              </m:r>
            </m:sub>
          </m:sSub>
          <m:r>
            <m:t> </m:t>
          </m:r>
          <m:sSub>
            <m:e>
              <m:r>
                <m:t>F</m:t>
              </m:r>
            </m:e>
            <m:sub>
              <m:r>
                <m:rPr>
                  <m:nor/>
                </m:rPr>
                <m:t>eff</m:t>
              </m:r>
            </m:sub>
          </m:sSub>
          <m:d>
            <m:dPr>
              <m:begChr m:val="("/>
              <m:sepChr m:val=""/>
              <m:endChr m:val=")"/>
              <m:grow/>
            </m:dPr>
            <m:e>
              <m:r>
                <m:t>C</m:t>
              </m:r>
            </m:e>
          </m:d>
          <m:r>
            <m:rPr>
              <m:sty m:val="p"/>
            </m:rPr>
            <m:t>,</m:t>
          </m:r>
          <m:r>
            <m:t>  </m:t>
          </m:r>
          <m:sSub>
            <m:e>
              <m:r>
                <m:t>F</m:t>
              </m:r>
            </m:e>
            <m:sub>
              <m:r>
                <m:rPr>
                  <m:nor/>
                </m:rPr>
                <m:t>eff</m:t>
              </m:r>
            </m:sub>
          </m:sSub>
          <m:d>
            <m:dPr>
              <m:begChr m:val="("/>
              <m:sepChr m:val=""/>
              <m:endChr m:val=")"/>
              <m:grow/>
            </m:dPr>
            <m:e>
              <m:r>
                <m:t>C</m:t>
              </m:r>
            </m:e>
          </m:d>
          <m:r>
            <m:rPr>
              <m:sty m:val="p"/>
            </m:rPr>
            <m:t>=</m:t>
          </m:r>
          <m:f>
            <m:fPr>
              <m:type m:val="bar"/>
            </m:fPr>
            <m:num>
              <m:r>
                <m:t>1</m:t>
              </m:r>
            </m:num>
            <m:den>
              <m:d>
                <m:dPr>
                  <m:begChr m:val="|"/>
                  <m:sepChr m:val=""/>
                  <m:endChr m:val="|"/>
                  <m:grow/>
                </m:dPr>
                <m:e>
                  <m:sSub>
                    <m:e>
                      <m:r>
                        <m:t>Y</m:t>
                      </m:r>
                    </m:e>
                    <m:sub>
                      <m:r>
                        <m:t>b</m:t>
                      </m:r>
                    </m:sub>
                  </m:sSub>
                </m:e>
              </m:d>
            </m:den>
          </m:f>
          <m:nary>
            <m:naryPr>
              <m:chr m:val="∫"/>
              <m:limLoc m:val="subSup"/>
              <m:subHide m:val="off"/>
              <m:supHide m:val="on"/>
            </m:naryPr>
            <m:sub>
              <m:sSub>
                <m:e>
                  <m:r>
                    <m:t>Y</m:t>
                  </m:r>
                </m:e>
                <m:sub>
                  <m:r>
                    <m:t>b</m:t>
                  </m:r>
                </m:sub>
              </m:sSub>
            </m:sub>
            <m:sup>
              <m:r>
                <m:t>​</m:t>
              </m:r>
            </m:sup>
            <m:e>
              <m:r>
                <m:t>f</m:t>
              </m:r>
            </m:e>
          </m:nary>
          <m:d>
            <m:dPr>
              <m:begChr m:val="("/>
              <m:sepChr m:val=""/>
              <m:endChr m:val=")"/>
              <m:grow/>
            </m:dPr>
            <m:e>
              <m:sSub>
                <m:e>
                  <m:r>
                    <m:t>c</m:t>
                  </m:r>
                </m:e>
                <m:sub>
                  <m:r>
                    <m:t>b</m:t>
                  </m:r>
                </m:sub>
              </m:sSub>
              <m:d>
                <m:dPr>
                  <m:begChr m:val="("/>
                  <m:sepChr m:val=""/>
                  <m:endChr m:val=")"/>
                  <m:grow/>
                </m:dPr>
                <m:e>
                  <m:r>
                    <m:rPr>
                      <m:sty m:val="b"/>
                    </m:rPr>
                    <m:t>y</m:t>
                  </m:r>
                  <m:r>
                    <m:rPr>
                      <m:sty m:val="p"/>
                    </m:rPr>
                    <m:t>;</m:t>
                  </m:r>
                  <m:r>
                    <m:t>C</m:t>
                  </m:r>
                </m:e>
              </m:d>
            </m:e>
          </m:d>
          <m:r>
            <m:t>d</m:t>
          </m:r>
          <m:r>
            <m:rPr>
              <m:sty m:val="b"/>
            </m:rPr>
            <m:t>y</m:t>
          </m:r>
        </m:oMath>
      </m:oMathPara>
    </w:p>
    <w:p>
      <w:pPr>
        <w:spacing w:after="100"/>
        <w:jc w:val="both"/>
      </w:pPr>
      <m:oMath>
        <m:r>
          <m:t>C</m:t>
        </m:r>
      </m:oMath>
      <w:r>
        <w:rPr>
          <w:color w:val="3A4350"/>
          <w:sz w:val="19"/>
          <w:szCs w:val="19"/>
        </w:rPr>
        <w:t xml:space="preserve"> is the macro-scale concentration, </w:t>
      </w:r>
      <m:oMath>
        <m:sSub>
          <m:e>
            <m:r>
              <m:t>ϕ</m:t>
            </m:r>
          </m:e>
          <m:sub>
            <m:r>
              <m:t>b</m:t>
            </m:r>
          </m:sub>
        </m:sSub>
      </m:oMath>
      <w:r>
        <w:rPr>
          <w:color w:val="3A4350"/>
          <w:sz w:val="19"/>
          <w:szCs w:val="19"/>
        </w:rPr>
        <w:t xml:space="preserve"> the volume fraction of bacteria, </w:t>
      </w:r>
      <m:oMath>
        <m:sSub>
          <m:e>
            <m:r>
              <m:t>Y</m:t>
            </m:r>
          </m:e>
          <m:sub>
            <m:r>
              <m:t>b</m:t>
            </m:r>
          </m:sub>
        </m:sSub>
      </m:oMath>
      <w:r>
        <w:rPr>
          <w:color w:val="3A4350"/>
          <w:sz w:val="19"/>
          <w:szCs w:val="19"/>
        </w:rPr>
        <w:t xml:space="preserve"> the bacterium in the unit cell, </w:t>
      </w:r>
      <m:oMath>
        <m:r>
          <m:t>f</m:t>
        </m:r>
      </m:oMath>
      <w:r>
        <w:rPr>
          <w:color w:val="3A4350"/>
          <w:sz w:val="19"/>
          <w:szCs w:val="19"/>
        </w:rPr>
        <w:t xml:space="preserve"> the micro-scale uptake and </w:t>
      </w:r>
      <m:oMath>
        <m:sSub>
          <m:e>
            <m:r>
              <m:t>c</m:t>
            </m:r>
          </m:e>
          <m:sub>
            <m:r>
              <m:t>b</m:t>
            </m:r>
          </m:sub>
        </m:sSub>
      </m:oMath>
      <w:r>
        <w:rPr>
          <w:color w:val="3A4350"/>
          <w:sz w:val="19"/>
          <w:szCs w:val="19"/>
        </w:rPr>
        <w:t xml:space="preserve"> the solution of the cell problem, with a partition coefficient across the membrane.</w:t>
      </w:r>
    </w:p>
    <w:p>
      <w:pPr>
        <w:spacing w:after="100" w:before="80"/>
        <w:jc w:val="both"/>
      </w:pPr>
      <w:r>
        <w:rPr>
          <w:b/>
          <w:bCs/>
          <w:color w:val="002147"/>
        </w:rPr>
        <w:t xml:space="preserve">Link to the candidate system and to seawater intrusion. </w:t>
      </w:r>
      <w:r>
        <w:t xml:space="preserve">Belongs to sections 1.5 and 1.6. What can be identified from macro-scale data is the effective reaction law, not the micro-scale mechanism: a learned closure inside the stoichiometric span is meaningful, and reading mechanisms off it is not. The two distinguished limits tell when sub-scale physics enters the reaction closure and when it enters the effective dispersion, that is, which operator of the transport equation to augment. Microbially mediated sulfate reduction, the sulfate depletion of section 9.5, is such an effective uptake.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Effective nonlinear uptake laws derived by multiple scales, with the result that different micro-scale mechanisms give the same macro-scale uptake. Proposed extension: report the learned closure of the COST system as macro-scale rates in the stoichiometric span, never as mechanisms, and use the distinguished limits as a test of whether a missing process belongs in the reactive closure or in the dispersion term.</w:t>
      </w:r>
    </w:p>
    <w:p>
      <w:pPr>
        <w:pStyle w:val="Heading2"/>
        <w:keepNext/>
      </w:pPr>
      <w:r>
        <w:rPr>
          <w:color w:val="002147"/>
        </w:rPr>
        <w:t xml:space="preserve">O6  </w:t>
      </w:r>
      <w:r>
        <w:rPr>
          <w:color w:val="1F3864"/>
        </w:rPr>
        <w:t xml:space="preserve">Geometric analysis enables biological insight from complex non-identifiable models using simple surrogates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P. Browning, Matthew J. Simpson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19(1), e1010844 (2023); arXiv 2208.01868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ecwac5qd4fwin8vxkh_1">
              <w:r>
                <w:rPr>
                  <w:color w:val="1D4ED8"/>
                  <w:sz w:val="18"/>
                  <w:szCs w:val="18"/>
                  <w:u w:val="single"/>
                </w:rPr>
                <w:t xml:space="preserve">https://doi.org/10.1371/journal.pcbi.1010844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(A. P. Browning) and Queensland University of Technology (M. J. Simpson): the PubMed Central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P. Browning was at the Oxford Mathematical Institute at the time; distinctions of the authors were not verified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and practical identifiability · surrogate models · parameter combinations · model reduction · geometry of the parameter-to-output map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Complex mechanistic models are often not identifiable from standard data, whereas simple phenomenological surrogates such as logistic or Gompertz growth are. The paper studies how the parameters of the complex model map onto the identifiable parameters of the surrogate. This predicts the non-identifiabilities of the complex model and groups its non-identifiable parameters into identifiable combinations tied to specific features of the data. The application is the growth of tumour spheroids.</w:t>
      </w:r>
    </w:p>
    <w:p>
      <w:pPr>
        <w:keepNext/>
        <w:spacing w:after="40" w:before="80"/>
      </w:pPr>
      <w:r>
        <w:rPr>
          <w:b/>
          <w:bCs/>
          <w:color w:val="002147"/>
        </w:rPr>
        <w:t xml:space="preserve">Key equation.</w:t>
      </w:r>
      <w:r>
        <w:rPr>
          <w:i/>
          <w:iCs/>
          <w:color w:val="5B6573"/>
          <w:sz w:val="18"/>
          <w:szCs w:val="18"/>
        </w:rPr>
        <w:t xml:space="preserve">  Mapping a complex model onto an identifiable surrogate (representative formulation)</w:t>
      </w:r>
    </w:p>
    <w:p>
      <w:pPr>
        <w:pStyle w:val="Equation"/>
      </w:pPr>
      <m:oMathPara>
        <m:oMathParaPr>
          <m:jc m:val="center"/>
        </m:oMathParaPr>
        <m:oMath>
          <m:sSup>
            <m:e>
              <m:r>
                <m:t>ϕ</m:t>
              </m:r>
            </m:e>
            <m:sup>
              <m:r>
                <m:rPr>
                  <m:sty m:val="p"/>
                </m:rPr>
                <m:t>⋆</m:t>
              </m:r>
            </m:sup>
          </m:sSup>
          <m:d>
            <m:dPr>
              <m:begChr m:val="("/>
              <m:sepChr m:val=""/>
              <m:endChr m:val=")"/>
              <m:grow/>
            </m:dPr>
            <m:e>
              <m:r>
                <m:t>θ</m:t>
              </m:r>
            </m:e>
          </m:d>
          <m:r>
            <m:rPr>
              <m:sty m:val="p"/>
            </m:rPr>
            <m:t>=</m:t>
          </m:r>
          <m:limLow>
            <m:e>
              <m:r>
                <m:rPr>
                  <m:nor/>
                </m:rPr>
                <m:t>arg min</m:t>
              </m:r>
            </m:e>
            <m:lim>
              <m:r>
                <m:t>ϕ</m:t>
              </m:r>
            </m:lim>
          </m:limLow>
          <m:sSup>
            <m:e>
              <m:d>
                <m:dPr>
                  <m:begChr m:val="∥"/>
                  <m:sepChr m:val=""/>
                  <m:endChr m:val="∥"/>
                  <m:grow/>
                </m:dPr>
                <m:e>
                  <m:sSub>
                    <m:e>
                      <m:r>
                        <m:t>y</m:t>
                      </m:r>
                    </m:e>
                    <m:sub>
                      <m:r>
                        <m:rPr>
                          <m:nor/>
                        </m:rPr>
                        <m:t>complex</m:t>
                      </m:r>
                    </m:sub>
                  </m:sSub>
                  <m:d>
                    <m:dPr>
                      <m:begChr m:val="("/>
                      <m:sepChr m:val=""/>
                      <m:endChr m:val=")"/>
                      <m:grow/>
                    </m:dPr>
                    <m:e>
                      <m:r>
                        <m:t>θ</m:t>
                      </m:r>
                    </m:e>
                  </m:d>
                  <m:r>
                    <m:rPr>
                      <m:sty m:val="p"/>
                    </m:rPr>
                    <m:t>−</m:t>
                  </m:r>
                  <m:sSub>
                    <m:e>
                      <m:r>
                        <m:t>y</m:t>
                      </m:r>
                    </m:e>
                    <m:sub>
                      <m:r>
                        <m:rPr>
                          <m:nor/>
                        </m:rPr>
                        <m:t>surr</m:t>
                      </m:r>
                    </m:sub>
                  </m:sSub>
                  <m:d>
                    <m:dPr>
                      <m:begChr m:val="("/>
                      <m:sepChr m:val=""/>
                      <m:endChr m:val=")"/>
                      <m:grow/>
                    </m:dPr>
                    <m:e>
                      <m:r>
                        <m:t>ϕ</m:t>
                      </m:r>
                    </m:e>
                  </m:d>
                </m:e>
              </m:d>
            </m:e>
            <m:sup>
              <m:r>
                <m:t>2</m:t>
              </m:r>
            </m:sup>
          </m:sSup>
          <m:r>
            <m:rPr>
              <m:sty m:val="p"/>
            </m:rPr>
            <m:t>,</m:t>
          </m:r>
          <m:r>
            <m:t>  </m:t>
          </m:r>
          <m:r>
            <m:rPr>
              <m:nor/>
            </m:rPr>
            <m:t>non-identifiable directions</m:t>
          </m:r>
          <m:r>
            <m:rPr>
              <m:sty m:val="p"/>
            </m:rPr>
            <m:t>⊂</m:t>
          </m:r>
          <m:r>
            <m:rPr>
              <m:nor/>
            </m:rPr>
            <m:t>ker</m:t>
          </m:r>
          <m:r>
            <m:t> </m:t>
          </m:r>
          <m:f>
            <m:fPr>
              <m:type m:val="bar"/>
            </m:fPr>
            <m:num>
              <m:r>
                <m:rPr>
                  <m:sty m:val="p"/>
                </m:rPr>
                <m:t>∂</m:t>
              </m:r>
              <m:sSup>
                <m:e>
                  <m:r>
                    <m:t>ϕ</m:t>
                  </m:r>
                </m:e>
                <m:sup>
                  <m:r>
                    <m:rPr>
                      <m:sty m:val="p"/>
                    </m:rPr>
                    <m:t>⋆</m:t>
                  </m:r>
                </m:sup>
              </m:sSup>
            </m:num>
            <m:den>
              <m:r>
                <m:rPr>
                  <m:sty m:val="p"/>
                </m:rPr>
                <m:t>∂</m:t>
              </m:r>
              <m:r>
                <m:t>θ</m:t>
              </m:r>
            </m:den>
          </m:f>
        </m:oMath>
      </m:oMathPara>
    </w:p>
    <w:p>
      <w:pPr>
        <w:spacing w:after="100"/>
        <w:jc w:val="both"/>
      </w:pPr>
      <m:oMath>
        <m:r>
          <m:t>θ</m:t>
        </m:r>
      </m:oMath>
      <w:r>
        <w:rPr>
          <w:color w:val="3A4350"/>
          <w:sz w:val="19"/>
          <w:szCs w:val="19"/>
        </w:rPr>
        <w:t xml:space="preserve"> are the parameters of the complex model, </w:t>
      </w:r>
      <m:oMath>
        <m:r>
          <m:t>ϕ</m:t>
        </m:r>
      </m:oMath>
      <w:r>
        <w:rPr>
          <w:color w:val="3A4350"/>
          <w:sz w:val="19"/>
          <w:szCs w:val="19"/>
        </w:rPr>
        <w:t xml:space="preserve"> those of the surrogate fitted to its output, and the kernel of the Jacobian of the map </w:t>
      </w:r>
      <m:oMath>
        <m:r>
          <m:t>θ</m:t>
        </m:r>
        <m:r>
          <m:rPr>
            <m:sty m:val="p"/>
          </m:rPr>
          <m:t>↦</m:t>
        </m:r>
        <m:sSup>
          <m:e>
            <m:r>
              <m:t>ϕ</m:t>
            </m:r>
          </m:e>
          <m:sup>
            <m:r>
              <m:rPr>
                <m:sty m:val="p"/>
              </m:rPr>
              <m:t>⋆</m:t>
            </m:r>
          </m:sup>
        </m:sSup>
      </m:oMath>
      <w:r>
        <w:rPr>
          <w:color w:val="3A4350"/>
          <w:sz w:val="19"/>
          <w:szCs w:val="19"/>
        </w:rPr>
        <w:t xml:space="preserve"> contains the directions that the data cannot see.</w:t>
      </w:r>
    </w:p>
    <w:p>
      <w:pPr>
        <w:spacing w:after="100" w:before="80"/>
        <w:jc w:val="both"/>
      </w:pPr>
      <w:r>
        <w:rPr>
          <w:b/>
          <w:bCs/>
          <w:color w:val="002147"/>
        </w:rPr>
        <w:t xml:space="preserve">Link to the candidate system and to seawater intrusion. </w:t>
      </w:r>
      <w:r>
        <w:t xml:space="preserve">Belongs to sections 1.2 and 1.6. The warning attached to proposal N1, that recharge and the flow closure are not separately identifiable from heads, is a non-identifiability of exactly this kind (Proposition 1); a recession law for heads or a law of front progression for chloride are the simple surrogates that reveal the identifiable combinations. Closure coefficients confined to the stoichiometric span are such combinations by construction.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Identifiable surrogates used as geometric probes of a complex model, revealing which parameter combinations the data determine. Proposed extension: map the flow parameters of the candidate system onto a linear-reservoir recession of the heads; the combinations of recharge and closure that the recession determines are those heads can identify, and the remaining directions must be resolved by the source-water chemistry of Proposition 4(iv).</w:t>
      </w:r>
    </w:p>
    <w:p>
      <w:pPr>
        <w:pStyle w:val="Heading2"/>
        <w:keepNext/>
      </w:pPr>
      <w:r>
        <w:rPr>
          <w:color w:val="002147"/>
        </w:rPr>
        <w:t xml:space="preserve">O7  </w:t>
      </w:r>
      <w:r>
        <w:rPr>
          <w:color w:val="1F3864"/>
        </w:rPr>
        <w:t xml:space="preserve">Building tangent-linear and adjoint models for data assimilation with neural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Hatfield, Chantry, Dueben, Lopez, Geer, T. N. Palmer (initials of the first five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13(9) (2021; article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z7safvlw_ton2zwjugem">
              <w:r>
                <w:rPr>
                  <w:color w:val="1D4ED8"/>
                  <w:sz w:val="18"/>
                  <w:szCs w:val="18"/>
                  <w:u w:val="single"/>
                </w:rPr>
                <w:t xml:space="preserve">https://doi.org/10.1029/2021MS002521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University of Oxford (Chantry and T. N. Palmer) and ECMWF (the other authors): the affiliations of the paper and Palmer's Oxford list of publications.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 N. Palmer is Royal Society Research Professor in Climate Physics at Oxford, CBE, FRS and member of the US National Academy of Sciences (2020), with two ERC Advanced Grants on stochastic parametrisation.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neural-network emulators of closures · tangent-linear and adjoint models · four-dimensional variational assimilation · operational weather prediction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parametrisation of non-orographic gravity-wave drag in an operational atmospheric model is emulated by a neural network. Tangent-linear and adjoint versions are derived from the network, pass the standard consistency tests and work inside four-dimensional variational assimilation. Learned closures inside a PDE model can therefore supply the derivative information that variational assimilation needs, which could ease the maintenance of tangent-linear and adjoint code when accurate emulators are available.</w:t>
      </w:r>
    </w:p>
    <w:p>
      <w:pPr>
        <w:keepNext/>
        <w:spacing w:after="40" w:before="80"/>
      </w:pPr>
      <w:r>
        <w:rPr>
          <w:b/>
          <w:bCs/>
          <w:color w:val="002147"/>
        </w:rPr>
        <w:t xml:space="preserve">Key equation.</w:t>
      </w:r>
      <w:r>
        <w:rPr>
          <w:i/>
          <w:iCs/>
          <w:color w:val="5B6573"/>
          <w:sz w:val="18"/>
          <w:szCs w:val="18"/>
        </w:rPr>
        <w:t xml:space="preserve">  The cost of four-dimensional variational assimilation and the adjoint test (representative formulation)</w:t>
      </w:r>
    </w:p>
    <w:p>
      <w:pPr>
        <w:pStyle w:val="Equation"/>
      </w:pPr>
      <m:oMathPara>
        <m:oMathParaPr>
          <m:jc m:val="center"/>
        </m:oMathParaPr>
        <m:oMath>
          <m:r>
            <m:t>J</m:t>
          </m:r>
          <m:d>
            <m:dPr>
              <m:begChr m:val="("/>
              <m:sepChr m:val=""/>
              <m:endChr m:val=")"/>
              <m:grow/>
            </m:dPr>
            <m:e>
              <m:sSub>
                <m:e>
                  <m:r>
                    <m:rPr>
                      <m:sty m:val="b"/>
                    </m:rPr>
                    <m:t>x</m:t>
                  </m:r>
                </m:e>
                <m:sub>
                  <m:r>
                    <m:t>0</m:t>
                  </m:r>
                </m:sub>
              </m:sSub>
            </m:e>
          </m:d>
          <m:r>
            <m:rPr>
              <m:sty m:val="p"/>
            </m:rPr>
            <m:t>=</m:t>
          </m:r>
          <m:f>
            <m:fPr>
              <m:type m:val="bar"/>
            </m:fPr>
            <m:num>
              <m:r>
                <m:t>1</m:t>
              </m:r>
            </m:num>
            <m:den>
              <m:r>
                <m:t>2</m:t>
              </m:r>
            </m:den>
          </m:f>
          <m:sSubSup>
            <m:e>
              <m:d>
                <m:dPr>
                  <m:begChr m:val="∥"/>
                  <m:sepChr m:val=""/>
                  <m:endChr m:val="∥"/>
                  <m:grow/>
                </m:dPr>
                <m:e>
                  <m:sSub>
                    <m:e>
                      <m:r>
                        <m:rPr>
                          <m:sty m:val="b"/>
                        </m:rPr>
                        <m:t>x</m:t>
                      </m:r>
                    </m:e>
                    <m:sub>
                      <m:r>
                        <m:t>0</m:t>
                      </m:r>
                    </m:sub>
                  </m:sSub>
                  <m:r>
                    <m:rPr>
                      <m:sty m:val="p"/>
                    </m:rPr>
                    <m:t>−</m:t>
                  </m:r>
                  <m:sSub>
                    <m:e>
                      <m:r>
                        <m:rPr>
                          <m:sty m:val="b"/>
                        </m:rPr>
                        <m:t>x</m:t>
                      </m:r>
                    </m:e>
                    <m:sub>
                      <m:r>
                        <m:t>b</m:t>
                      </m:r>
                    </m:sub>
                  </m:sSub>
                </m:e>
              </m:d>
            </m:e>
            <m:sub>
              <m:sSup>
                <m:e>
                  <m:r>
                    <m:rPr>
                      <m:sty m:val="b"/>
                    </m:rPr>
                    <m:t>B</m:t>
                  </m:r>
                </m:e>
                <m:sup>
                  <m:r>
                    <m:rPr>
                      <m:sty m:val="p"/>
                    </m:rPr>
                    <m:t>−</m:t>
                  </m:r>
                  <m:r>
                    <m:t>1</m:t>
                  </m:r>
                </m:sup>
              </m:sSup>
            </m:sub>
            <m:sup>
              <m:r>
                <m:t>2</m:t>
              </m:r>
            </m:sup>
          </m:sSubSup>
          <m:r>
            <m:rPr>
              <m:sty m:val="p"/>
            </m:rPr>
            <m:t>+</m:t>
          </m:r>
          <m:f>
            <m:fPr>
              <m:type m:val="bar"/>
            </m:fPr>
            <m:num>
              <m:r>
                <m:t>1</m:t>
              </m:r>
            </m:num>
            <m:den>
              <m:r>
                <m:t>2</m:t>
              </m:r>
            </m:den>
          </m:f>
          <m:nary>
            <m:naryPr>
              <m:chr m:val="∑"/>
              <m:limLoc m:val="undOvr"/>
              <m:subHide m:val="off"/>
              <m:supHide m:val="on"/>
            </m:naryPr>
            <m:sub>
              <m:r>
                <m:t>i</m:t>
              </m:r>
            </m:sub>
            <m:sup>
              <m:r>
                <m:t>​</m:t>
              </m:r>
            </m:sup>
            <m:e>
              <m:sSubSup>
                <m:e>
                  <m:d>
                    <m:dPr>
                      <m:begChr m:val="∥"/>
                      <m:sepChr m:val=""/>
                      <m:endChr m:val="∥"/>
                      <m:grow/>
                    </m:dPr>
                    <m:e>
                      <m:sSub>
                        <m:e>
                          <m:r>
                            <m:rPr>
                              <m:sty m:val="b"/>
                            </m:rPr>
                            <m:t>y</m:t>
                          </m:r>
                        </m:e>
                        <m:sub>
                          <m:r>
                            <m:t>i</m:t>
                          </m:r>
                        </m:sub>
                      </m:sSub>
                      <m:r>
                        <m:rPr>
                          <m:sty m:val="p"/>
                        </m:rPr>
                        <m:t>−</m:t>
                      </m:r>
                      <m:sSub>
                        <m:e>
                          <m:r>
                            <m:rPr>
                              <m:scr m:val="script"/>
                              <m:sty m:val="p"/>
                            </m:rPr>
                            <m:t>H</m:t>
                          </m:r>
                        </m:e>
                        <m:sub>
                          <m:r>
                            <m:t>i</m:t>
                          </m:r>
                        </m:sub>
                      </m:sSub>
                      <m:d>
                        <m:dPr>
                          <m:begChr m:val="("/>
                          <m:sepChr m:val=""/>
                          <m:endChr m:val=")"/>
                          <m:grow/>
                        </m:dPr>
                        <m:e>
                          <m:sSub>
                            <m:e>
                              <m:r>
                                <m:rPr>
                                  <m:scr m:val="script"/>
                                  <m:sty m:val="p"/>
                                </m:rPr>
                                <m:t>M</m:t>
                              </m:r>
                            </m:e>
                            <m:sub>
                              <m:r>
                                <m:t>0</m:t>
                              </m:r>
                              <m:r>
                                <m:rPr>
                                  <m:sty m:val="p"/>
                                </m:rPr>
                                <m:t>→</m:t>
                              </m:r>
                              <m:r>
                                <m:t>i</m:t>
                              </m:r>
                            </m:sub>
                          </m:sSub>
                          <m:d>
                            <m:dPr>
                              <m:begChr m:val="("/>
                              <m:sepChr m:val=""/>
                              <m:endChr m:val=")"/>
                              <m:grow/>
                            </m:dPr>
                            <m:e>
                              <m:sSub>
                                <m:e>
                                  <m:r>
                                    <m:rPr>
                                      <m:sty m:val="b"/>
                                    </m:rPr>
                                    <m:t>x</m:t>
                                  </m:r>
                                </m:e>
                                <m:sub>
                                  <m:r>
                                    <m:t>0</m:t>
                                  </m:r>
                                </m:sub>
                              </m:sSub>
                            </m:e>
                          </m:d>
                        </m:e>
                      </m:d>
                    </m:e>
                  </m:d>
                </m:e>
                <m:sub>
                  <m:sSubSup>
                    <m:e>
                      <m:r>
                        <m:rPr>
                          <m:sty m:val="b"/>
                        </m:rPr>
                        <m:t>R</m:t>
                      </m:r>
                    </m:e>
                    <m:sub>
                      <m:r>
                        <m:t>i</m:t>
                      </m:r>
                    </m:sub>
                    <m:sup>
                      <m:r>
                        <m:rPr>
                          <m:sty m:val="p"/>
                        </m:rPr>
                        <m:t>−</m:t>
                      </m:r>
                      <m:r>
                        <m:t>1</m:t>
                      </m:r>
                    </m:sup>
                  </m:sSubSup>
                </m:sub>
                <m:sup>
                  <m:r>
                    <m:t>2</m:t>
                  </m:r>
                </m:sup>
              </m:sSubSup>
            </m:e>
          </m:nary>
        </m:oMath>
      </m:oMathPara>
    </w:p>
    <w:p>
      <w:pPr>
        <w:pStyle w:val="Equation"/>
      </w:pPr>
      <m:oMathPara>
        <m:oMathParaPr>
          <m:jc m:val="center"/>
        </m:oMathParaPr>
        <m:oMath>
          <m:d>
            <m:dPr>
              <m:begChr m:val="⟨"/>
              <m:sepChr m:val=""/>
              <m:endChr m:val="⟩"/>
              <m:grow/>
            </m:dPr>
            <m:e>
              <m:r>
                <m:rPr>
                  <m:sty m:val="b"/>
                </m:rPr>
                <m:t>L</m:t>
              </m:r>
              <m:r>
                <m:t> </m:t>
              </m:r>
              <m:r>
                <m:t>δ</m:t>
              </m:r>
              <m:r>
                <m:rPr>
                  <m:sty m:val="b"/>
                </m:rPr>
                <m:t>x</m:t>
              </m:r>
              <m:r>
                <m:rPr>
                  <m:sty m:val="p"/>
                </m:rPr>
                <m:t>,</m:t>
              </m:r>
              <m:r>
                <m:t>δ</m:t>
              </m:r>
              <m:r>
                <m:rPr>
                  <m:sty m:val="b"/>
                </m:rPr>
                <m:t>y</m:t>
              </m:r>
            </m:e>
          </m:d>
          <m:r>
            <m:rPr>
              <m:sty m:val="p"/>
            </m:rPr>
            <m:t>=</m:t>
          </m:r>
          <m:d>
            <m:dPr>
              <m:begChr m:val="⟨"/>
              <m:sepChr m:val=""/>
              <m:endChr m:val="⟩"/>
              <m:grow/>
            </m:dPr>
            <m:e>
              <m:r>
                <m:t>δ</m:t>
              </m:r>
              <m:r>
                <m:rPr>
                  <m:sty m:val="b"/>
                </m:rPr>
                <m:t>x</m:t>
              </m:r>
              <m:r>
                <m:rPr>
                  <m:sty m:val="p"/>
                </m:rPr>
                <m:t>,</m:t>
              </m:r>
              <m:sSup>
                <m:e>
                  <m:r>
                    <m:rPr>
                      <m:sty m:val="b"/>
                    </m:rPr>
                    <m:t>L</m:t>
                  </m:r>
                </m:e>
                <m:sup>
                  <m:r>
                    <m:rPr>
                      <m:nor/>
                    </m:rPr>
                    <m:t>T</m:t>
                  </m:r>
                </m:sup>
              </m:sSup>
              <m:r>
                <m:t>δ</m:t>
              </m:r>
              <m:r>
                <m:rPr>
                  <m:sty m:val="b"/>
                </m:rPr>
                <m:t>y</m:t>
              </m:r>
            </m:e>
          </m:d>
          <m:r>
            <m:rPr>
              <m:sty m:val="p"/>
            </m:rPr>
            <m:t>,</m:t>
          </m:r>
          <m:r>
            <m:t>  </m:t>
          </m:r>
          <m:r>
            <m:rPr>
              <m:sty m:val="b"/>
            </m:rPr>
            <m:t>L</m:t>
          </m:r>
          <m:r>
            <m:rPr>
              <m:sty m:val="p"/>
            </m:rPr>
            <m:t>=</m:t>
          </m:r>
          <m:f>
            <m:fPr>
              <m:type m:val="bar"/>
            </m:fPr>
            <m:num>
              <m:r>
                <m:rPr>
                  <m:sty m:val="p"/>
                </m:rPr>
                <m:t>∂</m:t>
              </m:r>
              <m:sSub>
                <m:e>
                  <m:r>
                    <m:t>F</m:t>
                  </m:r>
                </m:e>
                <m:sub>
                  <m:r>
                    <m:rPr>
                      <m:nor/>
                    </m:rPr>
                    <m:t>NN</m:t>
                  </m:r>
                </m:sub>
              </m:sSub>
            </m:num>
            <m:den>
              <m:r>
                <m:rPr>
                  <m:sty m:val="p"/>
                </m:rPr>
                <m:t>∂</m:t>
              </m:r>
              <m:r>
                <m:rPr>
                  <m:sty m:val="b"/>
                </m:rPr>
                <m:t>x</m:t>
              </m:r>
            </m:den>
          </m:f>
        </m:oMath>
      </m:oMathPara>
    </w:p>
    <w:p>
      <w:pPr>
        <w:spacing w:after="100"/>
        <w:jc w:val="both"/>
      </w:pPr>
      <m:oMath>
        <m:sSub>
          <m:e>
            <m:r>
              <m:rPr>
                <m:sty m:val="b"/>
              </m:rPr>
              <m:t>x</m:t>
            </m:r>
          </m:e>
          <m:sub>
            <m:r>
              <m:t>0</m:t>
            </m:r>
          </m:sub>
        </m:sSub>
      </m:oMath>
      <w:r>
        <w:rPr>
          <w:color w:val="3A4350"/>
          <w:sz w:val="19"/>
          <w:szCs w:val="19"/>
        </w:rPr>
        <w:t xml:space="preserve"> is the initial state, </w:t>
      </w:r>
      <m:oMath>
        <m:sSub>
          <m:e>
            <m:r>
              <m:rPr>
                <m:sty m:val="b"/>
              </m:rPr>
              <m:t>x</m:t>
            </m:r>
          </m:e>
          <m:sub>
            <m:r>
              <m:t>b</m:t>
            </m:r>
          </m:sub>
        </m:sSub>
      </m:oMath>
      <w:r>
        <w:rPr>
          <w:color w:val="3A4350"/>
          <w:sz w:val="19"/>
          <w:szCs w:val="19"/>
        </w:rPr>
        <w:t xml:space="preserve"> the background, </w:t>
      </w:r>
      <m:oMath>
        <m:r>
          <m:rPr>
            <m:scr m:val="script"/>
            <m:sty m:val="p"/>
          </m:rPr>
          <m:t>M</m:t>
        </m:r>
      </m:oMath>
      <w:r>
        <w:rPr>
          <w:color w:val="3A4350"/>
          <w:sz w:val="19"/>
          <w:szCs w:val="19"/>
        </w:rPr>
        <w:t xml:space="preserve"> the forecast model containing the learned closure </w:t>
      </w:r>
      <m:oMath>
        <m:sSub>
          <m:e>
            <m:r>
              <m:t>F</m:t>
            </m:r>
          </m:e>
          <m:sub>
            <m:r>
              <m:rPr>
                <m:nor/>
              </m:rPr>
              <m:t>NN</m:t>
            </m:r>
          </m:sub>
        </m:sSub>
      </m:oMath>
      <w:r>
        <w:rPr>
          <w:color w:val="3A4350"/>
          <w:sz w:val="19"/>
          <w:szCs w:val="19"/>
        </w:rPr>
        <w:t xml:space="preserve">, </w:t>
      </w:r>
      <m:oMath>
        <m:sSub>
          <m:e>
            <m:r>
              <m:rPr>
                <m:scr m:val="script"/>
                <m:sty m:val="p"/>
              </m:rPr>
              <m:t>H</m:t>
            </m:r>
          </m:e>
          <m:sub>
            <m:r>
              <m:t>i</m:t>
            </m:r>
          </m:sub>
        </m:sSub>
      </m:oMath>
      <w:r>
        <w:rPr>
          <w:color w:val="3A4350"/>
          <w:sz w:val="19"/>
          <w:szCs w:val="19"/>
        </w:rPr>
        <w:t xml:space="preserve"> the observation operators, </w:t>
      </w:r>
      <m:oMath>
        <m:r>
          <m:rPr>
            <m:sty m:val="b"/>
          </m:rPr>
          <m:t>B</m:t>
        </m:r>
      </m:oMath>
      <w:r>
        <w:rPr>
          <w:color w:val="3A4350"/>
          <w:sz w:val="19"/>
          <w:szCs w:val="19"/>
        </w:rPr>
        <w:t xml:space="preserve"> and </w:t>
      </w:r>
      <m:oMath>
        <m:sSub>
          <m:e>
            <m:r>
              <m:rPr>
                <m:sty m:val="b"/>
              </m:rPr>
              <m:t>R</m:t>
            </m:r>
          </m:e>
          <m:sub>
            <m:r>
              <m:t>i</m:t>
            </m:r>
          </m:sub>
        </m:sSub>
      </m:oMath>
      <w:r>
        <w:rPr>
          <w:color w:val="3A4350"/>
          <w:sz w:val="19"/>
          <w:szCs w:val="19"/>
        </w:rPr>
        <w:t xml:space="preserve"> the error covariances and </w:t>
      </w:r>
      <m:oMath>
        <m:r>
          <m:rPr>
            <m:sty m:val="b"/>
          </m:rPr>
          <m:t>L</m:t>
        </m:r>
      </m:oMath>
      <w:r>
        <w:rPr>
          <w:color w:val="3A4350"/>
          <w:sz w:val="19"/>
          <w:szCs w:val="19"/>
        </w:rPr>
        <w:t xml:space="preserve"> the tangent-linear model of the closure.</w:t>
      </w:r>
    </w:p>
    <w:p>
      <w:pPr>
        <w:spacing w:after="100" w:before="80"/>
        <w:jc w:val="both"/>
      </w:pPr>
      <w:r>
        <w:rPr>
          <w:b/>
          <w:bCs/>
          <w:color w:val="002147"/>
        </w:rPr>
        <w:t xml:space="preserve">Link to the candidate system and to seawater intrusion. </w:t>
      </w:r>
      <w:r>
        <w:t xml:space="preserve">Belongs to section 1.7. The adjoint expected information gain of the base paper, and any variational smoother, need tangent-linear and adjoint models of the augmented operator, including the learned flow closure, the stoichiometric reactive closure and the memory terms; the paper shows that such derivatives can be built and tested for a learned closure inside an operational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operational demonstration that a neural-network closure yields consistent tangent-linear and adjoint models usable in variational assimilation. Proposed extension: derive the adjoint of the learned closures of the candidate system in the same way, so that the adjoint expected information gain of the base paper extends to the augmented flow and multi-species system and can place wells to learn the closure as well as the state.</w:t>
      </w:r>
    </w:p>
    <w:p>
      <w:pPr>
        <w:pStyle w:val="Heading2"/>
        <w:keepNext/>
      </w:pPr>
      <w:r>
        <w:rPr>
          <w:color w:val="002147"/>
        </w:rPr>
        <w:t xml:space="preserve">O8  </w:t>
      </w:r>
      <w:r>
        <w:rPr>
          <w:color w:val="1F3864"/>
        </w:rPr>
        <w:t xml:space="preserve">Multifidelity approximate Bayesian computation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P. Prescott,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8(1), 114–138 (2020); arXiv 1811.09550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ppusnxyqgzz_zhkjwfju">
              <w:r>
                <w:rPr>
                  <w:color w:val="1D4ED8"/>
                  <w:sz w:val="18"/>
                  <w:szCs w:val="18"/>
                  <w:u w:val="single"/>
                </w:rPr>
                <w:t xml:space="preserve">https://doi.org/10.1137/18M1229742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(both authors): the record of the Oxford University Research Archive.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R. E. Baker: see [O3].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approximate Bayesian computation · multifidelity Monte Carlo · early rejection · cost–variance trade-off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Likelihood-free inference by approximate Bayesian computation needs many runs of an expensive simulator. The paper shows that cheap low-fidelity simulations can reduce the cost of the Monte Carlo estimates at the price of extra variance, characterises how often the expensive simulations should still be run, and proposes a multifidelity algorithm with an early accept-or-reject decision based on the cheap model. A later paper of the same group extends the approach to sequential Monte Carlo.</w:t>
      </w:r>
    </w:p>
    <w:p>
      <w:pPr>
        <w:keepNext/>
        <w:spacing w:after="40" w:before="80"/>
      </w:pPr>
      <w:r>
        <w:rPr>
          <w:b/>
          <w:bCs/>
          <w:color w:val="002147"/>
        </w:rPr>
        <w:t xml:space="preserve">Key equation.</w:t>
      </w:r>
      <w:r>
        <w:rPr>
          <w:i/>
          <w:iCs/>
          <w:color w:val="5B6573"/>
          <w:sz w:val="18"/>
          <w:szCs w:val="18"/>
        </w:rPr>
        <w:t xml:space="preserve">  An unbiased multifidelity acceptance weight (representative formulation)</w:t>
      </w:r>
    </w:p>
    <w:p>
      <w:pPr>
        <w:pStyle w:val="Equation"/>
      </w:pPr>
      <m:oMathPara>
        <m:oMathParaPr>
          <m:jc m:val="center"/>
        </m:oMathParaPr>
        <m:oMath>
          <m:r>
            <m:t>w</m:t>
          </m:r>
          <m:d>
            <m:dPr>
              <m:begChr m:val="("/>
              <m:sepChr m:val=""/>
              <m:endChr m:val=")"/>
              <m:grow/>
            </m:dPr>
            <m:e>
              <m:r>
                <m:t>θ</m:t>
              </m:r>
            </m:e>
          </m:d>
          <m:r>
            <m:rPr>
              <m:sty m:val="p"/>
            </m:rPr>
            <m:t>=</m:t>
          </m:r>
          <m:r>
            <m:rPr>
              <m:scr m:val="double-struck"/>
              <m:sty m:val="p"/>
            </m:rPr>
            <m:t>1</m:t>
          </m:r>
          <m:d>
            <m:dPr>
              <m:begChr m:val="{"/>
              <m:sepChr m:val=""/>
              <m:endChr m:val="}"/>
              <m:grow/>
            </m:dPr>
            <m:e>
              <m:acc>
                <m:accPr>
                  <m:chr m:val="̃"/>
                </m:accPr>
                <m:e>
                  <m:r>
                    <m:t>d</m:t>
                  </m:r>
                </m:e>
              </m:acc>
              <m:r>
                <m:rPr>
                  <m:sty m:val="p"/>
                </m:rPr>
                <m:t>≤</m:t>
              </m:r>
              <m:r>
                <m:t>ε</m:t>
              </m:r>
            </m:e>
          </m:d>
          <m:r>
            <m:rPr>
              <m:sty m:val="p"/>
            </m:rPr>
            <m:t>+</m:t>
          </m:r>
          <m:f>
            <m:fPr>
              <m:type m:val="bar"/>
            </m:fPr>
            <m:num>
              <m:r>
                <m:rPr>
                  <m:scr m:val="double-struck"/>
                  <m:sty m:val="p"/>
                </m:rPr>
                <m:t>1</m:t>
              </m:r>
              <m:d>
                <m:dPr>
                  <m:begChr m:val="{"/>
                  <m:sepChr m:val=""/>
                  <m:endChr m:val="}"/>
                  <m:grow/>
                </m:dPr>
                <m:e>
                  <m:r>
                    <m:t>U</m:t>
                  </m:r>
                  <m:r>
                    <m:rPr>
                      <m:sty m:val="p"/>
                    </m:rPr>
                    <m:t>&lt;</m:t>
                  </m:r>
                  <m:r>
                    <m:t>η</m:t>
                  </m:r>
                </m:e>
              </m:d>
            </m:num>
            <m:den>
              <m:r>
                <m:t>η</m:t>
              </m:r>
            </m:den>
          </m:f>
          <m:d>
            <m:dPr>
              <m:begChr m:val="("/>
              <m:sepChr m:val=""/>
              <m:endChr m:val=")"/>
              <m:grow/>
            </m:dPr>
            <m:e>
              <m:r>
                <m:rPr>
                  <m:scr m:val="double-struck"/>
                  <m:sty m:val="p"/>
                </m:rPr>
                <m:t>1</m:t>
              </m:r>
              <m:d>
                <m:dPr>
                  <m:begChr m:val="{"/>
                  <m:sepChr m:val=""/>
                  <m:endChr m:val="}"/>
                  <m:grow/>
                </m:dPr>
                <m:e>
                  <m:r>
                    <m:t>d</m:t>
                  </m:r>
                  <m:r>
                    <m:rPr>
                      <m:sty m:val="p"/>
                    </m:rPr>
                    <m:t>≤</m:t>
                  </m:r>
                  <m:r>
                    <m:t>ε</m:t>
                  </m:r>
                </m:e>
              </m:d>
              <m:r>
                <m:rPr>
                  <m:sty m:val="p"/>
                </m:rPr>
                <m:t>−</m:t>
              </m:r>
              <m:r>
                <m:rPr>
                  <m:scr m:val="double-struck"/>
                  <m:sty m:val="p"/>
                </m:rPr>
                <m:t>1</m:t>
              </m:r>
              <m:d>
                <m:dPr>
                  <m:begChr m:val="{"/>
                  <m:sepChr m:val=""/>
                  <m:endChr m:val="}"/>
                  <m:grow/>
                </m:dPr>
                <m:e>
                  <m:acc>
                    <m:accPr>
                      <m:chr m:val="̃"/>
                    </m:accPr>
                    <m:e>
                      <m:r>
                        <m:t>d</m:t>
                      </m:r>
                    </m:e>
                  </m:acc>
                  <m:r>
                    <m:rPr>
                      <m:sty m:val="p"/>
                    </m:rPr>
                    <m:t>≤</m:t>
                  </m:r>
                  <m:r>
                    <m:t>ε</m:t>
                  </m:r>
                </m:e>
              </m:d>
            </m:e>
          </m:d>
          <m:r>
            <m:rPr>
              <m:sty m:val="p"/>
            </m:rPr>
            <m:t>,</m:t>
          </m:r>
          <m:r>
            <m:t>  </m:t>
          </m:r>
          <m:r>
            <m:rPr>
              <m:scr m:val="double-struck"/>
              <m:sty m:val="p"/>
            </m:rPr>
            <m:t>E</m:t>
          </m:r>
          <m:d>
            <m:dPr>
              <m:begChr m:val="["/>
              <m:sepChr m:val=""/>
              <m:endChr m:val="]"/>
              <m:grow/>
            </m:dPr>
            <m:e>
              <m:r>
                <m:t>w</m:t>
              </m:r>
              <m:r>
                <m:rPr>
                  <m:sty m:val="p"/>
                </m:rPr>
                <m:t>∣</m:t>
              </m:r>
              <m:r>
                <m:t>θ</m:t>
              </m:r>
            </m:e>
          </m:d>
          <m:r>
            <m:rPr>
              <m:sty m:val="p"/>
            </m:rPr>
            <m:t>=</m:t>
          </m:r>
          <m:r>
            <m:rPr>
              <m:scr m:val="double-struck"/>
              <m:sty m:val="p"/>
            </m:rPr>
            <m:t>P</m:t>
          </m:r>
          <m:d>
            <m:dPr>
              <m:begChr m:val="("/>
              <m:sepChr m:val=""/>
              <m:endChr m:val=")"/>
              <m:grow/>
            </m:dPr>
            <m:e>
              <m:r>
                <m:t>d</m:t>
              </m:r>
              <m:r>
                <m:rPr>
                  <m:sty m:val="p"/>
                </m:rPr>
                <m:t>≤</m:t>
              </m:r>
              <m:r>
                <m:t>ε</m:t>
              </m:r>
              <m:r>
                <m:rPr>
                  <m:sty m:val="p"/>
                </m:rPr>
                <m:t>∣</m:t>
              </m:r>
              <m:r>
                <m:t>θ</m:t>
              </m:r>
            </m:e>
          </m:d>
        </m:oMath>
      </m:oMathPara>
    </w:p>
    <w:p>
      <w:pPr>
        <w:spacing w:after="100"/>
        <w:jc w:val="both"/>
      </w:pPr>
      <m:oMath>
        <m:acc>
          <m:accPr>
            <m:chr m:val="̃"/>
          </m:accPr>
          <m:e>
            <m:r>
              <m:t>d</m:t>
            </m:r>
          </m:e>
        </m:acc>
      </m:oMath>
      <w:r>
        <w:rPr>
          <w:color w:val="3A4350"/>
          <w:sz w:val="19"/>
          <w:szCs w:val="19"/>
        </w:rPr>
        <w:t xml:space="preserve"> and </w:t>
      </w:r>
      <m:oMath>
        <m:r>
          <m:t>d</m:t>
        </m:r>
      </m:oMath>
      <w:r>
        <w:rPr>
          <w:color w:val="3A4350"/>
          <w:sz w:val="19"/>
          <w:szCs w:val="19"/>
        </w:rPr>
        <w:t xml:space="preserve"> are the distances between simulated and observed summaries for the cheap and the expensive model, </w:t>
      </w:r>
      <m:oMath>
        <m:r>
          <m:t>ε</m:t>
        </m:r>
      </m:oMath>
      <w:r>
        <w:rPr>
          <w:color w:val="3A4350"/>
          <w:sz w:val="19"/>
          <w:szCs w:val="19"/>
        </w:rPr>
        <w:t xml:space="preserve"> the tolerance, </w:t>
      </w:r>
      <m:oMath>
        <m:r>
          <m:t>U</m:t>
        </m:r>
      </m:oMath>
      <w:r>
        <w:rPr>
          <w:color w:val="3A4350"/>
          <w:sz w:val="19"/>
          <w:szCs w:val="19"/>
        </w:rPr>
        <w:t xml:space="preserve"> uniform on </w:t>
      </w:r>
      <m:oMath>
        <m:d>
          <m:dPr>
            <m:begChr m:val="("/>
            <m:sepChr m:val=""/>
            <m:endChr m:val=")"/>
            <m:grow/>
          </m:dPr>
          <m:e>
            <m:r>
              <m:t>0</m:t>
            </m:r>
            <m:r>
              <m:rPr>
                <m:sty m:val="p"/>
              </m:rPr>
              <m:t>,</m:t>
            </m:r>
            <m:r>
              <m:t>1</m:t>
            </m:r>
          </m:e>
        </m:d>
      </m:oMath>
      <w:r>
        <w:rPr>
          <w:color w:val="3A4350"/>
          <w:sz w:val="19"/>
          <w:szCs w:val="19"/>
        </w:rPr>
        <w:t xml:space="preserve"> and </w:t>
      </w:r>
      <m:oMath>
        <m:r>
          <m:t>η</m:t>
        </m:r>
      </m:oMath>
      <w:r>
        <w:rPr>
          <w:color w:val="3A4350"/>
          <w:sz w:val="19"/>
          <w:szCs w:val="19"/>
        </w:rPr>
        <w:t xml:space="preserve"> the probability of running the expensive model.</w:t>
      </w:r>
    </w:p>
    <w:p>
      <w:pPr>
        <w:spacing w:after="100" w:before="80"/>
        <w:jc w:val="both"/>
      </w:pPr>
      <w:r>
        <w:rPr>
          <w:b/>
          <w:bCs/>
          <w:color w:val="002147"/>
        </w:rPr>
        <w:t xml:space="preserve">Link to the candidate system and to seawater intrusion. </w:t>
      </w:r>
      <w:r>
        <w:t xml:space="preserve">Belongs to section 1.7. Calibrating closure and memory parameters from long-term statistics (spectra, recessions) as summaries is the ensemble-Kalman-inversion component of the candidate system done without a likelihood; a cheap model (one-dimensional, constant density, chloride only) does most of the work and occasional runs of the full variable-density, seven-species model correct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Multifidelity approximate Bayesian computation, with an early accept-or-reject rule and an analysis of how often the expensive model must run. Proposed extension: use the flow-line model of section 9.2 as the cheap model and the three-dimensional variable-density model of the base paper as the expensive one, so that the closures of the COST system can be calibrated at the cost of a few full runs.</w:t>
      </w:r>
    </w:p>
    <w:p>
      <w:pPr>
        <w:pStyle w:val="Heading1"/>
        <w:pageBreakBefore/>
      </w:pPr>
      <w:r>
        <w:rPr>
          <w:color w:val="A51C30"/>
        </w:rPr>
        <w:t xml:space="preserve">5. Harvard University</w:t>
      </w:r>
    </w:p>
    <w:p>
      <w:pPr>
        <w:spacing w:after="120"/>
        <w:jc w:val="both"/>
      </w:pPr>
      <w:r>
        <w:t xml:space="preserve">Harvard contributes learned chemistry inside transport models, the inversion of sources and sinks, and theorems for honest reporting. Daniel Jacob's group learns the reaction operator of a global three-dimensional transport model online [H1], makes learned chemistry stable by multi-step training and compression [H2], solves only the locally active reactions [H3], and separates sources from sinks by Bayesian inversion with explicit information content [H4]. Petr Karnakov, Sergey Litvinov and Petros Koumoutsakos reconstruct flows by minimising the discrete residual and the data misfit together [H5]. Jonathan Huggins and Jeffrey Miller prove that bagged posteriors give reproducible credible sets under misspecification [H6], and Yukai Tang, Jean-Bernard Lasserre and Heng Yang compute guaranteed sets for bounded-error estimation [H7]. No unused Harvard paper of 2020–2026 on memory closures or on the mathematics of reactive transport in porous media was found; most of Harvard's work on learned closures appeared in earlier documents of the series.</w:t>
      </w:r>
    </w:p>
    <w:p>
      <w:pPr>
        <w:pStyle w:val="Heading2"/>
        <w:keepNext/>
      </w:pPr>
      <w:r>
        <w:rPr>
          <w:color w:val="A51C30"/>
        </w:rPr>
        <w:t xml:space="preserve">H1  </w:t>
      </w:r>
      <w:r>
        <w:rPr>
          <w:color w:val="1F3864"/>
        </w:rPr>
        <w:t xml:space="preserve">An Online-Learned Neural Network Chemical Solver for Stable Long-Term Global Simulations of Atmospheric Chemistry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Makoto M. Kelp, Daniel J. Jacob, Lin, Sulprizio (given names of the third and fourth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14(6), e2021MS002926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e07gk6djk-4l4b1ydegx">
              <w:r>
                <w:rPr>
                  <w:color w:val="1D4ED8"/>
                  <w:sz w:val="18"/>
                  <w:szCs w:val="18"/>
                  <w:u w:val="single"/>
                </w:rPr>
                <w:t xml:space="preserve">https://doi.org/10.1029/2021MS002926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(M. M. Kelp and D. J. Jacob): the publication list of the Harvard Atmospheric Chemistry Modeling Group returned the title, and both authors are listed at Harvard on their 2020 companion paper [H2]; the affiliation block of this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 J. Jacob is Vasco McCoy Family Professor of Atmospheric Chemistry and Environmental Engineering at Harvard (since 2004); Packard Fellowship, NASA Distinguished Public Service Medal, Charney Lecture of the AGU (2016), ECMWF Fellow (2016) and Solvay Chemistry Chair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reaction operators · online training inside the transport model · multi-species chemistry · long-term stability · GEOS-Chem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A neural-network solver with an autoencoder replaces the implicit Rosenbrock integrator of the chemistry term in the global three-dimensional transport model GEOS-Chem, for a reduced mechanism of 12 species. The key finding is that the network must be trained online, inside the running model: training offline on archived data gives large errors. After online training, one-year global simulations are stable and five times faster, with normalised mean biases in the troposphere of about −0.3% for ozone and 1% for the HOx radicals. Large ozone and NOx biases remain in remote regions, where long chemical ageing lets errors accumulate; the authors call this the main limitation.</w:t>
      </w:r>
    </w:p>
    <w:p>
      <w:pPr>
        <w:keepNext/>
        <w:spacing w:after="40" w:before="80"/>
      </w:pPr>
      <w:r>
        <w:rPr>
          <w:b/>
          <w:bCs/>
          <w:color w:val="A51C30"/>
        </w:rPr>
        <w:t xml:space="preserve">Key equation.</w:t>
      </w:r>
      <w:r>
        <w:rPr>
          <w:i/>
          <w:iCs/>
          <w:color w:val="5B6573"/>
          <w:sz w:val="18"/>
          <w:szCs w:val="18"/>
        </w:rPr>
        <w:t xml:space="preserve">  Multi-species transport with a learned reaction operator, applied by operator splitting (representative formulation)</w:t>
      </w:r>
    </w:p>
    <w:p>
      <w:pPr>
        <w:pStyle w:val="Equation"/>
      </w:pPr>
      <m:oMathPara>
        <m:oMathParaPr>
          <m:jc m:val="center"/>
        </m:oMathParaPr>
        <m:oMath>
          <m:sSub>
            <m:e>
              <m:r>
                <m:rPr>
                  <m:sty m:val="p"/>
                </m:rPr>
                <m:t>∂</m:t>
              </m:r>
            </m:e>
            <m:sub>
              <m:r>
                <m:t>t</m:t>
              </m:r>
            </m:sub>
          </m:sSub>
          <m:sSub>
            <m:e>
              <m:r>
                <m:t>c</m:t>
              </m:r>
            </m:e>
            <m:sub>
              <m:r>
                <m:t>i</m:t>
              </m:r>
            </m:sub>
          </m:sSub>
          <m:r>
            <m:rPr>
              <m:sty m:val="p"/>
            </m:rPr>
            <m:t>+</m:t>
          </m:r>
          <m:r>
            <m:rPr>
              <m:sty m:val="p"/>
            </m:rPr>
            <m:t>∇</m:t>
          </m:r>
          <m:r>
            <m:rPr>
              <m:sty m:val="p"/>
            </m:rPr>
            <m:t>⋅</m:t>
          </m:r>
          <m:d>
            <m:dPr>
              <m:begChr m:val="("/>
              <m:sepChr m:val=""/>
              <m:endChr m:val=")"/>
              <m:grow/>
            </m:dPr>
            <m:e>
              <m:r>
                <m:rPr>
                  <m:sty m:val="b"/>
                </m:rPr>
                <m:t>u</m:t>
              </m:r>
              <m:sSub>
                <m:e>
                  <m:r>
                    <m:t>c</m:t>
                  </m:r>
                </m:e>
                <m:sub>
                  <m:r>
                    <m:t>i</m:t>
                  </m:r>
                </m:sub>
              </m:sSub>
            </m:e>
          </m:d>
          <m:r>
            <m:rPr>
              <m:sty m:val="p"/>
            </m:rPr>
            <m:t>−</m:t>
          </m:r>
          <m:r>
            <m:rPr>
              <m:sty m:val="p"/>
            </m:rPr>
            <m:t>∇</m:t>
          </m:r>
          <m:r>
            <m:rPr>
              <m:sty m:val="p"/>
            </m:rPr>
            <m:t>⋅</m:t>
          </m:r>
          <m:d>
            <m:dPr>
              <m:begChr m:val="("/>
              <m:sepChr m:val=""/>
              <m:endChr m:val=")"/>
              <m:grow/>
            </m:dPr>
            <m:e>
              <m:r>
                <m:t>K</m:t>
              </m:r>
              <m:r>
                <m:rPr>
                  <m:sty m:val="p"/>
                </m:rPr>
                <m:t>∇</m:t>
              </m:r>
              <m:sSub>
                <m:e>
                  <m:r>
                    <m:t>c</m:t>
                  </m:r>
                </m:e>
                <m:sub>
                  <m:r>
                    <m:t>i</m:t>
                  </m:r>
                </m:sub>
              </m:sSub>
            </m:e>
          </m:d>
          <m:r>
            <m:rPr>
              <m:sty m:val="p"/>
            </m:rPr>
            <m:t>=</m:t>
          </m:r>
          <m:sSub>
            <m:e>
              <m:r>
                <m:t>f</m:t>
              </m:r>
            </m:e>
            <m:sub>
              <m:r>
                <m:t>θ</m:t>
              </m:r>
              <m:r>
                <m:rPr>
                  <m:sty m:val="p"/>
                </m:rPr>
                <m:t>,</m:t>
              </m:r>
              <m:r>
                <m:t>i</m:t>
              </m:r>
            </m:sub>
          </m:sSub>
          <m:d>
            <m:dPr>
              <m:begChr m:val="("/>
              <m:sepChr m:val=""/>
              <m:endChr m:val=")"/>
              <m:grow/>
            </m:dPr>
            <m:e>
              <m:r>
                <m:rPr>
                  <m:sty m:val="b"/>
                </m:rPr>
                <m:t>c</m:t>
              </m:r>
              <m:r>
                <m:rPr>
                  <m:sty m:val="p"/>
                </m:rPr>
                <m:t>,</m:t>
              </m:r>
              <m:r>
                <m:rPr>
                  <m:sty m:val="b"/>
                </m:rPr>
                <m:t>x</m:t>
              </m:r>
            </m:e>
          </m:d>
          <m:r>
            <m:rPr>
              <m:sty m:val="p"/>
            </m:rPr>
            <m:t>+</m:t>
          </m:r>
          <m:sSub>
            <m:e>
              <m:r>
                <m:t>E</m:t>
              </m:r>
            </m:e>
            <m:sub>
              <m:r>
                <m:t>i</m:t>
              </m:r>
            </m:sub>
          </m:sSub>
          <m:r>
            <m:rPr>
              <m:sty m:val="p"/>
            </m:rPr>
            <m:t>−</m:t>
          </m:r>
          <m:sSub>
            <m:e>
              <m:r>
                <m:t>D</m:t>
              </m:r>
            </m:e>
            <m:sub>
              <m:r>
                <m:t>i</m:t>
              </m:r>
            </m:sub>
          </m:sSub>
        </m:oMath>
      </m:oMathPara>
    </w:p>
    <w:p>
      <w:pPr>
        <w:pStyle w:val="Equation"/>
      </w:pPr>
      <m:oMathPara>
        <m:oMathParaPr>
          <m:jc m:val="center"/>
        </m:oMathParaPr>
        <m:oMath>
          <m:sSup>
            <m:e>
              <m:r>
                <m:rPr>
                  <m:sty m:val="b"/>
                </m:rPr>
                <m:t>c</m:t>
              </m:r>
            </m:e>
            <m:sup>
              <m:r>
                <m:t>n</m:t>
              </m:r>
              <m:r>
                <m:rPr>
                  <m:sty m:val="p"/>
                </m:rPr>
                <m:t>+</m:t>
              </m:r>
              <m:r>
                <m:t>1</m:t>
              </m:r>
            </m:sup>
          </m:sSup>
          <m:r>
            <m:rPr>
              <m:sty m:val="p"/>
            </m:rPr>
            <m:t>=</m:t>
          </m:r>
          <m:sSub>
            <m:e>
              <m:r>
                <m:rPr>
                  <m:scr m:val="script"/>
                  <m:sty m:val="p"/>
                </m:rPr>
                <m:t>T</m:t>
              </m:r>
            </m:e>
            <m:sub>
              <m:r>
                <m:t>Δ</m:t>
              </m:r>
              <m:r>
                <m:t>t</m:t>
              </m:r>
            </m:sub>
          </m:sSub>
          <m:d>
            <m:dPr>
              <m:begChr m:val="("/>
              <m:sepChr m:val=""/>
              <m:endChr m:val=")"/>
              <m:grow/>
            </m:dPr>
            <m:e>
              <m:sSub>
                <m:e>
                  <m:r>
                    <m:rPr>
                      <m:scr m:val="script"/>
                      <m:sty m:val="p"/>
                    </m:rPr>
                    <m:t>C</m:t>
                  </m:r>
                </m:e>
                <m:sub>
                  <m:r>
                    <m:t>θ</m:t>
                  </m:r>
                </m:sub>
              </m:sSub>
              <m:d>
                <m:dPr>
                  <m:begChr m:val="("/>
                  <m:sepChr m:val=""/>
                  <m:endChr m:val=")"/>
                  <m:grow/>
                </m:dPr>
                <m:e>
                  <m:sSup>
                    <m:e>
                      <m:r>
                        <m:rPr>
                          <m:sty m:val="b"/>
                        </m:rPr>
                        <m:t>c</m:t>
                      </m:r>
                    </m:e>
                    <m:sup>
                      <m:r>
                        <m:t>n</m:t>
                      </m:r>
                    </m:sup>
                  </m:sSup>
                </m:e>
              </m:d>
            </m:e>
          </m:d>
        </m:oMath>
      </m:oMathPara>
    </w:p>
    <w:p>
      <w:pPr>
        <w:spacing w:after="100"/>
        <w:jc w:val="both"/>
      </w:pPr>
      <m:oMath>
        <m:sSub>
          <m:e>
            <m:r>
              <m:t>f</m:t>
            </m:r>
          </m:e>
          <m:sub>
            <m:r>
              <m:t>θ</m:t>
            </m:r>
            <m:r>
              <m:rPr>
                <m:sty m:val="p"/>
              </m:rPr>
              <m:t>,</m:t>
            </m:r>
            <m:r>
              <m:t>i</m:t>
            </m:r>
          </m:sub>
        </m:sSub>
      </m:oMath>
      <w:r>
        <w:rPr>
          <w:color w:val="3A4350"/>
          <w:sz w:val="19"/>
          <w:szCs w:val="19"/>
        </w:rPr>
        <w:t xml:space="preserve"> is the learned reaction term, </w:t>
      </w:r>
      <m:oMath>
        <m:sSub>
          <m:e>
            <m:r>
              <m:t>E</m:t>
            </m:r>
          </m:e>
          <m:sub>
            <m:r>
              <m:t>i</m:t>
            </m:r>
          </m:sub>
        </m:sSub>
      </m:oMath>
      <w:r>
        <w:rPr>
          <w:color w:val="3A4350"/>
          <w:sz w:val="19"/>
          <w:szCs w:val="19"/>
        </w:rPr>
        <w:t xml:space="preserve"> and </w:t>
      </w:r>
      <m:oMath>
        <m:sSub>
          <m:e>
            <m:r>
              <m:t>D</m:t>
            </m:r>
          </m:e>
          <m:sub>
            <m:r>
              <m:t>i</m:t>
            </m:r>
          </m:sub>
        </m:sSub>
      </m:oMath>
      <w:r>
        <w:rPr>
          <w:color w:val="3A4350"/>
          <w:sz w:val="19"/>
          <w:szCs w:val="19"/>
        </w:rPr>
        <w:t xml:space="preserve"> emissions and deposition, </w:t>
      </w:r>
      <m:oMath>
        <m:sSub>
          <m:e>
            <m:r>
              <m:rPr>
                <m:scr m:val="script"/>
                <m:sty m:val="p"/>
              </m:rPr>
              <m:t>C</m:t>
            </m:r>
          </m:e>
          <m:sub>
            <m:r>
              <m:t>θ</m:t>
            </m:r>
          </m:sub>
        </m:sSub>
      </m:oMath>
      <w:r>
        <w:rPr>
          <w:color w:val="3A4350"/>
          <w:sz w:val="19"/>
          <w:szCs w:val="19"/>
        </w:rPr>
        <w:t xml:space="preserve"> the learned chemistry step and </w:t>
      </w:r>
      <m:oMath>
        <m:sSub>
          <m:e>
            <m:r>
              <m:rPr>
                <m:scr m:val="script"/>
                <m:sty m:val="p"/>
              </m:rPr>
              <m:t>T</m:t>
            </m:r>
          </m:e>
          <m:sub>
            <m:r>
              <m:t>Δ</m:t>
            </m:r>
            <m:r>
              <m:t>t</m:t>
            </m:r>
          </m:sub>
        </m:sSub>
      </m:oMath>
      <w:r>
        <w:rPr>
          <w:color w:val="3A4350"/>
          <w:sz w:val="19"/>
          <w:szCs w:val="19"/>
        </w:rPr>
        <w:t xml:space="preserve"> the transport step of the splitting.</w:t>
      </w:r>
    </w:p>
    <w:p>
      <w:pPr>
        <w:spacing w:after="100" w:before="80"/>
        <w:jc w:val="both"/>
      </w:pPr>
      <w:r>
        <w:rPr>
          <w:b/>
          <w:bCs/>
          <w:color w:val="A51C30"/>
        </w:rPr>
        <w:t xml:space="preserve">Link to the candidate system and to seawater intrusion. </w:t>
      </w:r>
      <w:r>
        <w:t xml:space="preserve">Belongs to section 1.5. It is the closest analogue of the candidate reactive closure: a learned reaction term inside a multi-species transport model, which must be trained a posteriori, inside the solver, the argument for estimating the closure inside the augmented-state smoother rather than by offline regression. The drift that an unconstrained learned term develops in slow, long-residence zones is the reason to confine the closure to the stoichiometric span; at Fushë-Kuqe the risk is largest in the central freshening zone and in the zone of sulfate reduction, and chloride is the check.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stable year-long simulation in which the reaction term of a three-dimensional multi-species transport model is a neural network trained online, inside the running model. Proposed extension: train the reactive closure of the candidate system online in the same way, but inside the stoichiometric span and with rates limited by the availability of the consumed ion (section 9.3); the remote-region drift reported here is exactly the failure these two constraints are designed to prevent.</w:t>
      </w:r>
    </w:p>
    <w:p>
      <w:pPr>
        <w:pStyle w:val="Heading2"/>
        <w:keepNext/>
      </w:pPr>
      <w:r>
        <w:rPr>
          <w:color w:val="A51C30"/>
        </w:rPr>
        <w:t xml:space="preserve">H2  </w:t>
      </w:r>
      <w:r>
        <w:rPr>
          <w:color w:val="1F3864"/>
        </w:rPr>
        <w:t xml:space="preserve">Toward stable, general machine-learned models of the atmospheric chemical system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Makoto M. Kelp, Daniel J. Jacob, J. Nathan Kutz, Julian D. Marshall, Christopher W. Tessum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Geophysical Research: Atmospheres, 125, e2020JD032759 (2020;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kvcesn_ngntxfweqcujk">
              <w:r>
                <w:rPr>
                  <w:color w:val="1D4ED8"/>
                  <w:sz w:val="18"/>
                  <w:szCs w:val="18"/>
                  <w:u w:val="single"/>
                </w:rPr>
                <w:t xml:space="preserve">https://doi.org/10.1029/2020JD032759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(M. M. Kelp and D. J. Jacob), University of Washington (J. N. Kutz and J. D. Marshall) and University of Illinois Urbana-Champaign (C. W. Tessum): the affiliations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 J. Jacob: see [H1].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machine-learned chemistry · recurrent multi-step training · reversible compression of the chemical state · stability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Earlier machine-learned solvers of atmospheric chemistry were fast but unstable. The paper shows that a recurrent training regime, which penalises errors over several steps, gives simulations of more than a week without exponential growth of the error, and that the number of modelled species can be compressed reversibly by more than 80% without loss of accuracy. The speed-up is about 260 times (about 1900 times on specialised hardware); for ozone the median error of 24-hour predictions is 2.7 ppb, and the error stays below 19 ppb in 99% of runs started from random noise.</w:t>
      </w:r>
    </w:p>
    <w:p>
      <w:pPr>
        <w:keepNext/>
        <w:spacing w:after="40" w:before="80"/>
      </w:pPr>
      <w:r>
        <w:rPr>
          <w:b/>
          <w:bCs/>
          <w:color w:val="A51C30"/>
        </w:rPr>
        <w:t xml:space="preserve">Key equation.</w:t>
      </w:r>
      <w:r>
        <w:rPr>
          <w:i/>
          <w:iCs/>
          <w:color w:val="5B6573"/>
          <w:sz w:val="18"/>
          <w:szCs w:val="18"/>
        </w:rPr>
        <w:t xml:space="preserve">  Learned chemistry in a compressed state, trained over several steps (representative formulation)</w:t>
      </w:r>
    </w:p>
    <w:p>
      <w:pPr>
        <w:pStyle w:val="Equation"/>
      </w:pPr>
      <m:oMathPara>
        <m:oMathParaPr>
          <m:jc m:val="center"/>
        </m:oMathParaPr>
        <m:oMath>
          <m:r>
            <m:rPr>
              <m:sty m:val="b"/>
            </m:rPr>
            <m:t>z</m:t>
          </m:r>
          <m:r>
            <m:rPr>
              <m:sty m:val="p"/>
            </m:rPr>
            <m:t>=</m:t>
          </m:r>
          <m:sSub>
            <m:e>
              <m:r>
                <m:t>E</m:t>
              </m:r>
            </m:e>
            <m:sub>
              <m:r>
                <m:t>ϕ</m:t>
              </m:r>
            </m:sub>
          </m:sSub>
          <m:d>
            <m:dPr>
              <m:begChr m:val="("/>
              <m:sepChr m:val=""/>
              <m:endChr m:val=")"/>
              <m:grow/>
            </m:dPr>
            <m:e>
              <m:r>
                <m:rPr>
                  <m:sty m:val="b"/>
                </m:rPr>
                <m:t>c</m:t>
              </m:r>
            </m:e>
          </m:d>
          <m:r>
            <m:rPr>
              <m:sty m:val="p"/>
            </m:rPr>
            <m:t>,</m:t>
          </m:r>
          <m:r>
            <m:t>  </m:t>
          </m:r>
          <m:sSub>
            <m:e>
              <m:r>
                <m:rPr>
                  <m:sty m:val="b"/>
                </m:rPr>
                <m:t>z</m:t>
              </m:r>
            </m:e>
            <m:sub>
              <m:r>
                <m:t>n</m:t>
              </m:r>
              <m:r>
                <m:rPr>
                  <m:sty m:val="p"/>
                </m:rPr>
                <m:t>+</m:t>
              </m:r>
              <m:r>
                <m:t>1</m:t>
              </m:r>
            </m:sub>
          </m:sSub>
          <m:r>
            <m:rPr>
              <m:sty m:val="p"/>
            </m:rPr>
            <m:t>=</m:t>
          </m:r>
          <m:sSub>
            <m:e>
              <m:r>
                <m:rPr>
                  <m:sty m:val="b"/>
                </m:rPr>
                <m:t>z</m:t>
              </m:r>
            </m:e>
            <m:sub>
              <m:r>
                <m:t>n</m:t>
              </m:r>
            </m:sub>
          </m:sSub>
          <m:r>
            <m:rPr>
              <m:sty m:val="p"/>
            </m:rPr>
            <m:t>+</m:t>
          </m:r>
          <m:sSub>
            <m:e>
              <m:r>
                <m:t>g</m:t>
              </m:r>
            </m:e>
            <m:sub>
              <m:r>
                <m:t>θ</m:t>
              </m:r>
            </m:sub>
          </m:sSub>
          <m:d>
            <m:dPr>
              <m:begChr m:val="("/>
              <m:sepChr m:val=""/>
              <m:endChr m:val=")"/>
              <m:grow/>
            </m:dPr>
            <m:e>
              <m:sSub>
                <m:e>
                  <m:r>
                    <m:rPr>
                      <m:sty m:val="b"/>
                    </m:rPr>
                    <m:t>z</m:t>
                  </m:r>
                </m:e>
                <m:sub>
                  <m:r>
                    <m:t>n</m:t>
                  </m:r>
                </m:sub>
              </m:sSub>
              <m:r>
                <m:rPr>
                  <m:sty m:val="p"/>
                </m:rPr>
                <m:t>,</m:t>
              </m:r>
              <m:sSub>
                <m:e>
                  <m:r>
                    <m:rPr>
                      <m:sty m:val="b"/>
                    </m:rPr>
                    <m:t>p</m:t>
                  </m:r>
                </m:e>
                <m:sub>
                  <m:r>
                    <m:t>n</m:t>
                  </m:r>
                </m:sub>
              </m:sSub>
            </m:e>
          </m:d>
          <m:r>
            <m:rPr>
              <m:sty m:val="p"/>
            </m:rPr>
            <m:t>,</m:t>
          </m:r>
          <m:r>
            <m:t>  </m:t>
          </m:r>
          <m:acc>
            <m:accPr>
              <m:chr m:val="̂"/>
            </m:accPr>
            <m:e>
              <m:r>
                <m:rPr>
                  <m:sty m:val="b"/>
                </m:rPr>
                <m:t>c</m:t>
              </m:r>
            </m:e>
          </m:acc>
          <m:r>
            <m:rPr>
              <m:sty m:val="p"/>
            </m:rPr>
            <m:t>=</m:t>
          </m:r>
          <m:sSub>
            <m:e>
              <m:r>
                <m:t>D</m:t>
              </m:r>
            </m:e>
            <m:sub>
              <m:r>
                <m:t>ψ</m:t>
              </m:r>
            </m:sub>
          </m:sSub>
          <m:d>
            <m:dPr>
              <m:begChr m:val="("/>
              <m:sepChr m:val=""/>
              <m:endChr m:val=")"/>
              <m:grow/>
            </m:dPr>
            <m:e>
              <m:r>
                <m:rPr>
                  <m:sty m:val="b"/>
                </m:rPr>
                <m:t>z</m:t>
              </m:r>
            </m:e>
          </m:d>
        </m:oMath>
      </m:oMathPara>
    </w:p>
    <w:p>
      <w:pPr>
        <w:pStyle w:val="Equation"/>
      </w:pPr>
      <m:oMathPara>
        <m:oMathParaPr>
          <m:jc m:val="center"/>
        </m:oMathParaPr>
        <m:oMath>
          <m:limLow>
            <m:e>
              <m:r>
                <m:rPr>
                  <m:nor/>
                </m:rPr>
                <m:t>min</m:t>
              </m:r>
            </m:e>
            <m:lim>
              <m:r>
                <m:t>ϕ</m:t>
              </m:r>
              <m:r>
                <m:rPr>
                  <m:sty m:val="p"/>
                </m:rPr>
                <m:t>,</m:t>
              </m:r>
              <m:r>
                <m:t>θ</m:t>
              </m:r>
              <m:r>
                <m:rPr>
                  <m:sty m:val="p"/>
                </m:rPr>
                <m:t>,</m:t>
              </m:r>
              <m:r>
                <m:t>ψ</m:t>
              </m:r>
            </m:lim>
          </m:limLow>
          <m:nary>
            <m:naryPr>
              <m:chr m:val="∑"/>
              <m:limLoc m:val="undOvr"/>
              <m:subHide m:val="off"/>
              <m:supHide m:val="off"/>
            </m:naryPr>
            <m:sub>
              <m:r>
                <m:t>k</m:t>
              </m:r>
              <m:r>
                <m:rPr>
                  <m:sty m:val="p"/>
                </m:rPr>
                <m:t>=</m:t>
              </m:r>
              <m:r>
                <m:t>1</m:t>
              </m:r>
            </m:sub>
            <m:sup>
              <m:r>
                <m:t>K</m:t>
              </m:r>
            </m:sup>
            <m:e>
              <m:sSup>
                <m:e>
                  <m:d>
                    <m:dPr>
                      <m:begChr m:val="∥"/>
                      <m:sepChr m:val=""/>
                      <m:endChr m:val="∥"/>
                      <m:grow/>
                    </m:dPr>
                    <m:e>
                      <m:sSub>
                        <m:e>
                          <m:acc>
                            <m:accPr>
                              <m:chr m:val="̂"/>
                            </m:accPr>
                            <m:e>
                              <m:r>
                                <m:rPr>
                                  <m:sty m:val="b"/>
                                </m:rPr>
                                <m:t>c</m:t>
                              </m:r>
                            </m:e>
                          </m:acc>
                        </m:e>
                        <m:sub>
                          <m:r>
                            <m:t>n</m:t>
                          </m:r>
                          <m:r>
                            <m:rPr>
                              <m:sty m:val="p"/>
                            </m:rPr>
                            <m:t>+</m:t>
                          </m:r>
                          <m:r>
                            <m:t>k</m:t>
                          </m:r>
                        </m:sub>
                      </m:sSub>
                      <m:r>
                        <m:rPr>
                          <m:sty m:val="p"/>
                        </m:rPr>
                        <m:t>−</m:t>
                      </m:r>
                      <m:sSubSup>
                        <m:e>
                          <m:r>
                            <m:rPr>
                              <m:sty m:val="b"/>
                            </m:rPr>
                            <m:t>c</m:t>
                          </m:r>
                        </m:e>
                        <m:sub>
                          <m:r>
                            <m:t>n</m:t>
                          </m:r>
                          <m:r>
                            <m:rPr>
                              <m:sty m:val="p"/>
                            </m:rPr>
                            <m:t>+</m:t>
                          </m:r>
                          <m:r>
                            <m:t>k</m:t>
                          </m:r>
                        </m:sub>
                        <m:sup>
                          <m:r>
                            <m:rPr>
                              <m:nor/>
                            </m:rPr>
                            <m:t>ref</m:t>
                          </m:r>
                        </m:sup>
                      </m:sSubSup>
                    </m:e>
                  </m:d>
                </m:e>
                <m:sup>
                  <m:r>
                    <m:t>2</m:t>
                  </m:r>
                </m:sup>
              </m:sSup>
            </m:e>
          </m:nary>
          <m:r>
            <m:rPr>
              <m:sty m:val="p"/>
            </m:rPr>
            <m:t>,</m:t>
          </m:r>
          <m:r>
            <m:t>  </m:t>
          </m:r>
          <m:r>
            <m:rPr>
              <m:nor/>
            </m:rPr>
            <m:t>dim</m:t>
          </m:r>
          <m:r>
            <m:t> </m:t>
          </m:r>
          <m:r>
            <m:rPr>
              <m:sty m:val="b"/>
            </m:rPr>
            <m:t>z</m:t>
          </m:r>
          <m:r>
            <m:rPr>
              <m:sty m:val="p"/>
            </m:rPr>
            <m:t>&lt;</m:t>
          </m:r>
          <m:r>
            <m:t>0.2</m:t>
          </m:r>
          <m:r>
            <m:t> </m:t>
          </m:r>
          <m:r>
            <m:rPr>
              <m:nor/>
            </m:rPr>
            <m:t>dim</m:t>
          </m:r>
          <m:r>
            <m:t> </m:t>
          </m:r>
          <m:r>
            <m:rPr>
              <m:sty m:val="b"/>
            </m:rPr>
            <m:t>c</m:t>
          </m:r>
        </m:oMath>
      </m:oMathPara>
    </w:p>
    <w:p>
      <w:pPr>
        <w:spacing w:after="100"/>
        <w:jc w:val="both"/>
      </w:pPr>
      <m:oMath>
        <m:sSub>
          <m:e>
            <m:r>
              <m:t>E</m:t>
            </m:r>
          </m:e>
          <m:sub>
            <m:r>
              <m:t>ϕ</m:t>
            </m:r>
          </m:sub>
        </m:sSub>
      </m:oMath>
      <w:r>
        <w:rPr>
          <w:color w:val="3A4350"/>
          <w:sz w:val="19"/>
          <w:szCs w:val="19"/>
        </w:rPr>
        <w:t xml:space="preserve"> and </w:t>
      </w:r>
      <m:oMath>
        <m:sSub>
          <m:e>
            <m:r>
              <m:t>D</m:t>
            </m:r>
          </m:e>
          <m:sub>
            <m:r>
              <m:t>ψ</m:t>
            </m:r>
          </m:sub>
        </m:sSub>
      </m:oMath>
      <w:r>
        <w:rPr>
          <w:color w:val="3A4350"/>
          <w:sz w:val="19"/>
          <w:szCs w:val="19"/>
        </w:rPr>
        <w:t xml:space="preserve"> are the encoder and decoder of the compressed state </w:t>
      </w:r>
      <m:oMath>
        <m:r>
          <m:rPr>
            <m:sty m:val="b"/>
          </m:rPr>
          <m:t>z</m:t>
        </m:r>
      </m:oMath>
      <w:r>
        <w:rPr>
          <w:color w:val="3A4350"/>
          <w:sz w:val="19"/>
          <w:szCs w:val="19"/>
        </w:rPr>
        <w:t xml:space="preserve">, </w:t>
      </w:r>
      <m:oMath>
        <m:sSub>
          <m:e>
            <m:r>
              <m:t>g</m:t>
            </m:r>
          </m:e>
          <m:sub>
            <m:r>
              <m:t>θ</m:t>
            </m:r>
          </m:sub>
        </m:sSub>
      </m:oMath>
      <w:r>
        <w:rPr>
          <w:color w:val="3A4350"/>
          <w:sz w:val="19"/>
          <w:szCs w:val="19"/>
        </w:rPr>
        <w:t xml:space="preserve"> the learned increment, </w:t>
      </w:r>
      <m:oMath>
        <m:sSub>
          <m:e>
            <m:r>
              <m:rPr>
                <m:sty m:val="b"/>
              </m:rPr>
              <m:t>p</m:t>
            </m:r>
          </m:e>
          <m:sub>
            <m:r>
              <m:t>n</m:t>
            </m:r>
          </m:sub>
        </m:sSub>
      </m:oMath>
      <w:r>
        <w:rPr>
          <w:color w:val="3A4350"/>
          <w:sz w:val="19"/>
          <w:szCs w:val="19"/>
        </w:rPr>
        <w:t xml:space="preserve"> external parameters (such as photolysis) and </w:t>
      </w:r>
      <m:oMath>
        <m:r>
          <m:t>K</m:t>
        </m:r>
      </m:oMath>
      <w:r>
        <w:rPr>
          <w:color w:val="3A4350"/>
          <w:sz w:val="19"/>
          <w:szCs w:val="19"/>
        </w:rPr>
        <w:t xml:space="preserve"> the number of steps of the training loss.</w:t>
      </w:r>
    </w:p>
    <w:p>
      <w:pPr>
        <w:spacing w:after="100" w:before="80"/>
        <w:jc w:val="both"/>
      </w:pPr>
      <w:r>
        <w:rPr>
          <w:b/>
          <w:bCs/>
          <w:color w:val="A51C30"/>
        </w:rPr>
        <w:t xml:space="preserve">Link to the candidate system and to seawater intrusion. </w:t>
      </w:r>
      <w:r>
        <w:t xml:space="preserve">Belongs to section 1.5. The compression of the chemical state is the data-driven counterpart of a closure that lives in the low-dimensional span of the stoichiometric matrix, and the multi-step loss is the a-posteriori training that a closure inside a time-stepping scheme needs. At Fushë-Kuqe seven ions carry five reaction extents and two invariants, chloride and the charge balance.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Multi-step training that makes a learned chemical solver stable for more than a week, combined with a reversible compression of the chemical state by more than 80%. Proposed extension: replace the learned compression by the known one, the reaction extents of the stoichiometric matrix, and train only the rates of the extents with the multi-step loss; the invariants then need no learning at all.</w:t>
      </w:r>
    </w:p>
    <w:p>
      <w:pPr>
        <w:pStyle w:val="Heading2"/>
        <w:keepNext/>
      </w:pPr>
      <w:r>
        <w:rPr>
          <w:color w:val="A51C30"/>
        </w:rPr>
        <w:t xml:space="preserve">H3  </w:t>
      </w:r>
      <w:r>
        <w:rPr>
          <w:color w:val="1F3864"/>
        </w:rPr>
        <w:t xml:space="preserve">A machine-learning-guided adaptive algorithm to reduce the computational cost of integrating kinetics in global atmospheric chemistry models: application to GEOS-Chem versions 12.0.0 and 12.9.1</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 Shen, Daniel J. Jacob, Mauricio Santillana, Kelvin Bates, Jiawei Zhuang, Wei 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Geoscientific Model Development, 15(4), 1677–1687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w7ada3kegurpzpt-g2ci">
              <w:r>
                <w:rPr>
                  <w:color w:val="1D4ED8"/>
                  <w:sz w:val="18"/>
                  <w:szCs w:val="18"/>
                  <w:u w:val="single"/>
                </w:rPr>
                <w:t xml:space="preserve">https://doi.org/10.5194/gmd-15-1677-2022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replication data in the Harvard Dataverse and the Harvard position of D. J. Jacob; the affiliation block of the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 J. Jacob: see [H1].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reduction of chemical mechanisms · fast and slow species · machine-learned clustering · local submechanisms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chemistry of GEOS-Chem has 228 species and 724 reactions. In each grid cell and time step, species are labelled fast or slow from their local production and loss rates, and only the submechanism of the fast species is integrated as a coupled stiff system. Machine-learned clustering forms 13 blocks of species, and 20 pre-selected submechanisms are chosen locally, on the fly, combining the clustering with asymptotic analysis. The cost of the chemistry falls by 50%, with errors below 2% for the key species.</w:t>
      </w:r>
    </w:p>
    <w:p>
      <w:pPr>
        <w:keepNext/>
        <w:spacing w:after="40" w:before="80"/>
      </w:pPr>
      <w:r>
        <w:rPr>
          <w:b/>
          <w:bCs/>
          <w:color w:val="A51C30"/>
        </w:rPr>
        <w:t xml:space="preserve">Key equation.</w:t>
      </w:r>
      <w:r>
        <w:rPr>
          <w:i/>
          <w:iCs/>
          <w:color w:val="5B6573"/>
          <w:sz w:val="18"/>
          <w:szCs w:val="18"/>
        </w:rPr>
        <w:t xml:space="preserve">  Locally switched submechanism with implicit fast and explicit slow species (representative formulation)</w:t>
      </w:r>
    </w:p>
    <w:p>
      <w:pPr>
        <w:pStyle w:val="Equation"/>
      </w:pPr>
      <m:oMathPara>
        <m:oMathParaPr>
          <m:jc m:val="center"/>
        </m:oMathParaPr>
        <m:oMath>
          <m:sSub>
            <m:e>
              <m:acc>
                <m:accPr>
                  <m:chr m:val="̇"/>
                </m:accPr>
                <m:e>
                  <m:r>
                    <m:rPr>
                      <m:sty m:val="b"/>
                    </m:rPr>
                    <m:t>c</m:t>
                  </m:r>
                </m:e>
              </m:acc>
            </m:e>
            <m:sub>
              <m:r>
                <m:t>F</m:t>
              </m:r>
            </m:sub>
          </m:sSub>
          <m:r>
            <m:rPr>
              <m:sty m:val="p"/>
            </m:rPr>
            <m:t>=</m:t>
          </m:r>
          <m:sSub>
            <m:e>
              <m:r>
                <m:rPr>
                  <m:sty m:val="b"/>
                </m:rPr>
                <m:t>P</m:t>
              </m:r>
            </m:e>
            <m:sub>
              <m:r>
                <m:t>F</m:t>
              </m:r>
            </m:sub>
          </m:sSub>
          <m:r>
            <m:rPr>
              <m:sty m:val="p"/>
            </m:rPr>
            <m:t>−</m:t>
          </m:r>
          <m:sSub>
            <m:e>
              <m:r>
                <m:rPr>
                  <m:sty m:val="b"/>
                </m:rPr>
                <m:t>L</m:t>
              </m:r>
            </m:e>
            <m:sub>
              <m:r>
                <m:t>F</m:t>
              </m:r>
            </m:sub>
          </m:sSub>
          <m:r>
            <m:t> </m:t>
          </m:r>
          <m:sSub>
            <m:e>
              <m:r>
                <m:rPr>
                  <m:sty m:val="b"/>
                </m:rPr>
                <m:t>c</m:t>
              </m:r>
            </m:e>
            <m:sub>
              <m:r>
                <m:t>F</m:t>
              </m:r>
            </m:sub>
          </m:sSub>
          <m:r>
            <m:rPr>
              <m:sty m:val="p"/>
            </m:rPr>
            <m:t>,</m:t>
          </m:r>
          <m:r>
            <m:t>  </m:t>
          </m:r>
          <m:sSubSup>
            <m:e>
              <m:r>
                <m:rPr>
                  <m:sty m:val="b"/>
                </m:rPr>
                <m:t>c</m:t>
              </m:r>
            </m:e>
            <m:sub>
              <m:r>
                <m:t>S</m:t>
              </m:r>
            </m:sub>
            <m:sup>
              <m:r>
                <m:t>n</m:t>
              </m:r>
              <m:r>
                <m:rPr>
                  <m:sty m:val="p"/>
                </m:rPr>
                <m:t>+</m:t>
              </m:r>
              <m:r>
                <m:t>1</m:t>
              </m:r>
            </m:sup>
          </m:sSubSup>
          <m:r>
            <m:rPr>
              <m:sty m:val="p"/>
            </m:rPr>
            <m:t>=</m:t>
          </m:r>
          <m:sSubSup>
            <m:e>
              <m:r>
                <m:rPr>
                  <m:sty m:val="b"/>
                </m:rPr>
                <m:t>c</m:t>
              </m:r>
            </m:e>
            <m:sub>
              <m:r>
                <m:t>S</m:t>
              </m:r>
            </m:sub>
            <m:sup>
              <m:r>
                <m:t>n</m:t>
              </m:r>
            </m:sup>
          </m:sSubSup>
          <m:r>
            <m:rPr>
              <m:sty m:val="p"/>
            </m:rPr>
            <m:t>+</m:t>
          </m:r>
          <m:r>
            <m:t>Δ</m:t>
          </m:r>
          <m:r>
            <m:t>t</m:t>
          </m:r>
          <m:d>
            <m:dPr>
              <m:begChr m:val="("/>
              <m:sepChr m:val=""/>
              <m:endChr m:val=")"/>
              <m:grow/>
            </m:dPr>
            <m:e>
              <m:sSub>
                <m:e>
                  <m:r>
                    <m:rPr>
                      <m:sty m:val="b"/>
                    </m:rPr>
                    <m:t>P</m:t>
                  </m:r>
                </m:e>
                <m:sub>
                  <m:r>
                    <m:t>S</m:t>
                  </m:r>
                </m:sub>
              </m:sSub>
              <m:r>
                <m:rPr>
                  <m:sty m:val="p"/>
                </m:rPr>
                <m:t>−</m:t>
              </m:r>
              <m:sSub>
                <m:e>
                  <m:r>
                    <m:rPr>
                      <m:sty m:val="b"/>
                    </m:rPr>
                    <m:t>L</m:t>
                  </m:r>
                </m:e>
                <m:sub>
                  <m:r>
                    <m:t>S</m:t>
                  </m:r>
                </m:sub>
              </m:sSub>
              <m:r>
                <m:t> </m:t>
              </m:r>
              <m:sSubSup>
                <m:e>
                  <m:r>
                    <m:rPr>
                      <m:sty m:val="b"/>
                    </m:rPr>
                    <m:t>c</m:t>
                  </m:r>
                </m:e>
                <m:sub>
                  <m:r>
                    <m:t>S</m:t>
                  </m:r>
                </m:sub>
                <m:sup>
                  <m:r>
                    <m:t>n</m:t>
                  </m:r>
                </m:sup>
              </m:sSubSup>
            </m:e>
          </m:d>
        </m:oMath>
      </m:oMathPara>
    </w:p>
    <w:p>
      <w:pPr>
        <w:pStyle w:val="Equation"/>
      </w:pPr>
      <m:oMathPara>
        <m:oMathParaPr>
          <m:jc m:val="center"/>
        </m:oMathParaPr>
        <m:oMath>
          <m:r>
            <m:t>F</m:t>
          </m:r>
          <m:d>
            <m:dPr>
              <m:begChr m:val="("/>
              <m:sepChr m:val=""/>
              <m:endChr m:val=")"/>
              <m:grow/>
            </m:dPr>
            <m:e>
              <m:r>
                <m:rPr>
                  <m:sty m:val="b"/>
                </m:rPr>
                <m:t>x</m:t>
              </m:r>
              <m:r>
                <m:rPr>
                  <m:sty m:val="p"/>
                </m:rPr>
                <m:t>,</m:t>
              </m:r>
              <m:r>
                <m:t>t</m:t>
              </m:r>
            </m:e>
          </m:d>
          <m:r>
            <m:rPr>
              <m:sty m:val="p"/>
            </m:rPr>
            <m:t>∈</m:t>
          </m:r>
          <m:d>
            <m:dPr>
              <m:begChr m:val="{"/>
              <m:sepChr m:val=""/>
              <m:endChr m:val="}"/>
              <m:grow/>
            </m:dPr>
            <m:e>
              <m:sSub>
                <m:e>
                  <m:r>
                    <m:t>F</m:t>
                  </m:r>
                </m:e>
                <m:sub>
                  <m:r>
                    <m:t>1</m:t>
                  </m:r>
                </m:sub>
              </m:sSub>
              <m:r>
                <m:rPr>
                  <m:sty m:val="p"/>
                </m:rPr>
                <m:t>,</m:t>
              </m:r>
              <m:r>
                <m:rPr>
                  <m:sty m:val="p"/>
                </m:rPr>
                <m:t>…</m:t>
              </m:r>
              <m:r>
                <m:rPr>
                  <m:sty m:val="p"/>
                </m:rPr>
                <m:t>,</m:t>
              </m:r>
              <m:sSub>
                <m:e>
                  <m:r>
                    <m:t>F</m:t>
                  </m:r>
                </m:e>
                <m:sub>
                  <m:r>
                    <m:t>20</m:t>
                  </m:r>
                </m:sub>
              </m:sSub>
            </m:e>
          </m:d>
        </m:oMath>
      </m:oMathPara>
    </w:p>
    <w:p>
      <w:pPr>
        <w:spacing w:after="100"/>
        <w:jc w:val="both"/>
      </w:pPr>
      <m:oMath>
        <m:sSub>
          <m:e>
            <m:r>
              <m:rPr>
                <m:sty m:val="b"/>
              </m:rPr>
              <m:t>c</m:t>
            </m:r>
          </m:e>
          <m:sub>
            <m:r>
              <m:t>F</m:t>
            </m:r>
          </m:sub>
        </m:sSub>
      </m:oMath>
      <w:r>
        <w:rPr>
          <w:color w:val="3A4350"/>
          <w:sz w:val="19"/>
          <w:szCs w:val="19"/>
        </w:rPr>
        <w:t xml:space="preserve"> and </w:t>
      </w:r>
      <m:oMath>
        <m:sSub>
          <m:e>
            <m:r>
              <m:rPr>
                <m:sty m:val="b"/>
              </m:rPr>
              <m:t>c</m:t>
            </m:r>
          </m:e>
          <m:sub>
            <m:r>
              <m:t>S</m:t>
            </m:r>
          </m:sub>
        </m:sSub>
      </m:oMath>
      <w:r>
        <w:rPr>
          <w:color w:val="3A4350"/>
          <w:sz w:val="19"/>
          <w:szCs w:val="19"/>
        </w:rPr>
        <w:t xml:space="preserve"> are the fast and slow species, integrated implicitly as a coupled stiff system and explicitly, </w:t>
      </w:r>
      <m:oMath>
        <m:r>
          <m:rPr>
            <m:sty m:val="b"/>
          </m:rPr>
          <m:t>P</m:t>
        </m:r>
      </m:oMath>
      <w:r>
        <w:rPr>
          <w:color w:val="3A4350"/>
          <w:sz w:val="19"/>
          <w:szCs w:val="19"/>
        </w:rPr>
        <w:t xml:space="preserve"> and </w:t>
      </w:r>
      <m:oMath>
        <m:r>
          <m:rPr>
            <m:sty m:val="b"/>
          </m:rPr>
          <m:t>L</m:t>
        </m:r>
      </m:oMath>
      <w:r>
        <w:rPr>
          <w:color w:val="3A4350"/>
          <w:sz w:val="19"/>
          <w:szCs w:val="19"/>
        </w:rPr>
        <w:t xml:space="preserve"> production and loss, and </w:t>
      </w:r>
      <m:oMath>
        <m:r>
          <m:t>F</m:t>
        </m:r>
        <m:d>
          <m:dPr>
            <m:begChr m:val="("/>
            <m:sepChr m:val=""/>
            <m:endChr m:val=")"/>
            <m:grow/>
          </m:dPr>
          <m:e>
            <m:r>
              <m:rPr>
                <m:sty m:val="b"/>
              </m:rPr>
              <m:t>x</m:t>
            </m:r>
            <m:r>
              <m:rPr>
                <m:sty m:val="p"/>
              </m:rPr>
              <m:t>,</m:t>
            </m:r>
            <m:r>
              <m:t>t</m:t>
            </m:r>
          </m:e>
        </m:d>
      </m:oMath>
      <w:r>
        <w:rPr>
          <w:color w:val="3A4350"/>
          <w:sz w:val="19"/>
          <w:szCs w:val="19"/>
        </w:rPr>
        <w:t xml:space="preserve"> the submechanism chosen in each cell and time step.</w:t>
      </w:r>
    </w:p>
    <w:p>
      <w:pPr>
        <w:spacing w:after="100" w:before="80"/>
        <w:jc w:val="both"/>
      </w:pPr>
      <w:r>
        <w:rPr>
          <w:b/>
          <w:bCs/>
          <w:color w:val="A51C30"/>
        </w:rPr>
        <w:t xml:space="preserve">Link to the candidate system and to seawater intrusion. </w:t>
      </w:r>
      <w:r>
        <w:t xml:space="preserve">Belongs to sections 1.5 and 1.8. A closure needs to act only on the reactions that are active where it acts; the same logic of switching only where needed drives the hybrid filter of proposal N2. In a coastal aquifer the active reactions change by zone: exchange at the mixing front, sulfate reduction in the organic-rich clays near the coast, calcite where exchange raises calcium.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Reduced mechanisms chosen locally and on the fly by machine-learned clustering and asymptotic analysis, halving the cost of the chemistry with errors below 2%. Proposed extension: let the active columns of the stoichiometric matrix of the candidate closure depend on the zone, which lowers the number of coefficients to identify and gives the closure the same zone-wise structure as the switch of the hybrid filter.</w:t>
      </w:r>
    </w:p>
    <w:p>
      <w:pPr>
        <w:pStyle w:val="Heading2"/>
        <w:keepNext/>
      </w:pPr>
      <w:r>
        <w:rPr>
          <w:color w:val="A51C30"/>
        </w:rPr>
        <w:t xml:space="preserve">H4  </w:t>
      </w:r>
      <w:r>
        <w:rPr>
          <w:color w:val="1F3864"/>
        </w:rPr>
        <w:t xml:space="preserve">Attribution of the accelerating increase in atmospheric methane during 2010–2018 by inverse analysis of GOSAT observations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Yuzhong Zhang, Daniel J. Jacob, Xiao Lu, Joannes D. Maasakkers, Tia R. Scarpelli, Jian-Xiong Sheng, Lu Shen, Zhen Qu, Melissa P. Sulprizio, Jinfeng Chang, A. Anthony Bloom, Shuang Ma, John Worden, Robert J. Parker, Hartmut Boesch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Atmospheric Chemistry and Physics, 21(5), 3643–3666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x7qzykntddcbxrdolubv">
              <w:r>
                <w:rPr>
                  <w:color w:val="1D4ED8"/>
                  <w:sz w:val="18"/>
                  <w:szCs w:val="18"/>
                  <w:u w:val="single"/>
                </w:rPr>
                <w:t xml:space="preserve">https://doi.org/10.5194/acp-21-3643-2021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(D. J. Jacob, X. Lu, T. R. Scarpelli, L. Shen, Z. Qu, M. P. Sulprizio) and Westlake University with Harvard (Y. Zhang), with other institutions: the affiliations of the published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 J. Jacob: see [H1].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inversion · sources and sinks in a transport model · posterior error correlation · information content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Satellite observations of methane from 2010 to 2018 are inverted with the GEOS-Chem transport model. The state is augmented: anthropogenic emissions and their trends on a 4°×5° grid, monthly regional wetland emissions, and annual hemispheric concentrations of OH, the main sink. The analytical solution gives closed-form posterior error covariances and the information content of the data, and the results are validated against independent ground-based networks. OH did not contribute significantly to the trend apart from a spike in 2014, but its error correlation with the global anthropogenic emissions limits the confidence in that attribution: the separability of sources and sink is quantified, not assumed.</w:t>
      </w:r>
    </w:p>
    <w:p>
      <w:pPr>
        <w:keepNext/>
        <w:spacing w:after="40" w:before="80"/>
      </w:pPr>
      <w:r>
        <w:rPr>
          <w:b/>
          <w:bCs/>
          <w:color w:val="A51C30"/>
        </w:rPr>
        <w:t xml:space="preserve">Key equation.</w:t>
      </w:r>
      <w:r>
        <w:rPr>
          <w:i/>
          <w:iCs/>
          <w:color w:val="5B6573"/>
          <w:sz w:val="18"/>
          <w:szCs w:val="18"/>
        </w:rPr>
        <w:t xml:space="preserve">  Analytical Bayesian inversion, posterior covariance and averaging kernel (representative formulation)</w:t>
      </w:r>
    </w:p>
    <w:p>
      <w:pPr>
        <w:pStyle w:val="Equation"/>
      </w:pPr>
      <m:oMathPara>
        <m:oMathParaPr>
          <m:jc m:val="center"/>
        </m:oMathParaPr>
        <m:oMath>
          <m:acc>
            <m:accPr>
              <m:chr m:val="̂"/>
            </m:accPr>
            <m:e>
              <m:r>
                <m:rPr>
                  <m:sty m:val="b"/>
                </m:rPr>
                <m:t>x</m:t>
              </m:r>
            </m:e>
          </m:acc>
          <m:r>
            <m:rPr>
              <m:sty m:val="p"/>
            </m:rPr>
            <m:t>=</m:t>
          </m:r>
          <m:sSub>
            <m:e>
              <m:r>
                <m:rPr>
                  <m:sty m:val="b"/>
                </m:rPr>
                <m:t>x</m:t>
              </m:r>
            </m:e>
            <m:sub>
              <m:r>
                <m:t>A</m:t>
              </m:r>
            </m:sub>
          </m:sSub>
          <m:r>
            <m:rPr>
              <m:sty m:val="p"/>
            </m:rPr>
            <m:t>+</m:t>
          </m:r>
          <m:sSub>
            <m:e>
              <m:r>
                <m:rPr>
                  <m:sty m:val="b"/>
                </m:rPr>
                <m:t>S</m:t>
              </m:r>
            </m:e>
            <m:sub>
              <m:r>
                <m:t>A</m:t>
              </m:r>
            </m:sub>
          </m:sSub>
          <m:sSup>
            <m:e>
              <m:r>
                <m:rPr>
                  <m:sty m:val="b"/>
                </m:rPr>
                <m:t>K</m:t>
              </m:r>
            </m:e>
            <m:sup>
              <m:r>
                <m:rPr>
                  <m:nor/>
                </m:rPr>
                <m:t>T</m:t>
              </m:r>
            </m:sup>
          </m:sSup>
          <m:sSup>
            <m:e>
              <m:d>
                <m:dPr>
                  <m:begChr m:val="("/>
                  <m:sepChr m:val=""/>
                  <m:endChr m:val=")"/>
                  <m:grow/>
                </m:dPr>
                <m:e>
                  <m:r>
                    <m:rPr>
                      <m:sty m:val="b"/>
                    </m:rPr>
                    <m:t>K</m:t>
                  </m:r>
                  <m:sSub>
                    <m:e>
                      <m:r>
                        <m:rPr>
                          <m:sty m:val="b"/>
                        </m:rPr>
                        <m:t>S</m:t>
                      </m:r>
                    </m:e>
                    <m:sub>
                      <m:r>
                        <m:t>A</m:t>
                      </m:r>
                    </m:sub>
                  </m:sSub>
                  <m:sSup>
                    <m:e>
                      <m:r>
                        <m:rPr>
                          <m:sty m:val="b"/>
                        </m:rPr>
                        <m:t>K</m:t>
                      </m:r>
                    </m:e>
                    <m:sup>
                      <m:r>
                        <m:rPr>
                          <m:nor/>
                        </m:rPr>
                        <m:t>T</m:t>
                      </m:r>
                    </m:sup>
                  </m:sSup>
                  <m:r>
                    <m:rPr>
                      <m:sty m:val="p"/>
                    </m:rPr>
                    <m:t>+</m:t>
                  </m:r>
                  <m:sSub>
                    <m:e>
                      <m:r>
                        <m:rPr>
                          <m:sty m:val="b"/>
                        </m:rPr>
                        <m:t>S</m:t>
                      </m:r>
                    </m:e>
                    <m:sub>
                      <m:r>
                        <m:t>O</m:t>
                      </m:r>
                    </m:sub>
                  </m:sSub>
                </m:e>
              </m:d>
            </m:e>
            <m:sup>
              <m:r>
                <m:rPr>
                  <m:sty m:val="p"/>
                </m:rPr>
                <m:t>−</m:t>
              </m:r>
              <m:r>
                <m:t>1</m:t>
              </m:r>
            </m:sup>
          </m:sSup>
          <m:d>
            <m:dPr>
              <m:begChr m:val="("/>
              <m:sepChr m:val=""/>
              <m:endChr m:val=")"/>
              <m:grow/>
            </m:dPr>
            <m:e>
              <m:r>
                <m:rPr>
                  <m:sty m:val="b"/>
                </m:rPr>
                <m:t>y</m:t>
              </m:r>
              <m:r>
                <m:rPr>
                  <m:sty m:val="p"/>
                </m:rPr>
                <m:t>−</m:t>
              </m:r>
              <m:r>
                <m:rPr>
                  <m:sty m:val="b"/>
                </m:rPr>
                <m:t>K</m:t>
              </m:r>
              <m:sSub>
                <m:e>
                  <m:r>
                    <m:rPr>
                      <m:sty m:val="b"/>
                    </m:rPr>
                    <m:t>x</m:t>
                  </m:r>
                </m:e>
                <m:sub>
                  <m:r>
                    <m:t>A</m:t>
                  </m:r>
                </m:sub>
              </m:sSub>
            </m:e>
          </m:d>
        </m:oMath>
      </m:oMathPara>
    </w:p>
    <w:p>
      <w:pPr>
        <w:pStyle w:val="Equation"/>
      </w:pPr>
      <m:oMathPara>
        <m:oMathParaPr>
          <m:jc m:val="center"/>
        </m:oMathParaPr>
        <m:oMath>
          <m:acc>
            <m:accPr>
              <m:chr m:val="̂"/>
            </m:accPr>
            <m:e>
              <m:r>
                <m:rPr>
                  <m:sty m:val="b"/>
                </m:rPr>
                <m:t>S</m:t>
              </m:r>
            </m:e>
          </m:acc>
          <m:r>
            <m:rPr>
              <m:sty m:val="p"/>
            </m:rPr>
            <m:t>=</m:t>
          </m:r>
          <m:sSup>
            <m:e>
              <m:d>
                <m:dPr>
                  <m:begChr m:val="("/>
                  <m:sepChr m:val=""/>
                  <m:endChr m:val=")"/>
                  <m:grow/>
                </m:dPr>
                <m:e>
                  <m:sSup>
                    <m:e>
                      <m:r>
                        <m:rPr>
                          <m:sty m:val="b"/>
                        </m:rPr>
                        <m:t>K</m:t>
                      </m:r>
                    </m:e>
                    <m:sup>
                      <m:r>
                        <m:rPr>
                          <m:nor/>
                        </m:rPr>
                        <m:t>T</m:t>
                      </m:r>
                    </m:sup>
                  </m:sSup>
                  <m:sSubSup>
                    <m:e>
                      <m:r>
                        <m:rPr>
                          <m:sty m:val="b"/>
                        </m:rPr>
                        <m:t>S</m:t>
                      </m:r>
                    </m:e>
                    <m:sub>
                      <m:r>
                        <m:t>O</m:t>
                      </m:r>
                    </m:sub>
                    <m:sup>
                      <m:r>
                        <m:rPr>
                          <m:sty m:val="p"/>
                        </m:rPr>
                        <m:t>−</m:t>
                      </m:r>
                      <m:r>
                        <m:t>1</m:t>
                      </m:r>
                    </m:sup>
                  </m:sSubSup>
                  <m:r>
                    <m:rPr>
                      <m:sty m:val="b"/>
                    </m:rPr>
                    <m:t>K</m:t>
                  </m:r>
                  <m:r>
                    <m:rPr>
                      <m:sty m:val="p"/>
                    </m:rPr>
                    <m:t>+</m:t>
                  </m:r>
                  <m:sSubSup>
                    <m:e>
                      <m:r>
                        <m:rPr>
                          <m:sty m:val="b"/>
                        </m:rPr>
                        <m:t>S</m:t>
                      </m:r>
                    </m:e>
                    <m:sub>
                      <m:r>
                        <m:t>A</m:t>
                      </m:r>
                    </m:sub>
                    <m:sup>
                      <m:r>
                        <m:rPr>
                          <m:sty m:val="p"/>
                        </m:rPr>
                        <m:t>−</m:t>
                      </m:r>
                      <m:r>
                        <m:t>1</m:t>
                      </m:r>
                    </m:sup>
                  </m:sSubSup>
                </m:e>
              </m:d>
            </m:e>
            <m:sup>
              <m:r>
                <m:rPr>
                  <m:sty m:val="p"/>
                </m:rPr>
                <m:t>−</m:t>
              </m:r>
              <m:r>
                <m:t>1</m:t>
              </m:r>
            </m:sup>
          </m:sSup>
          <m:r>
            <m:rPr>
              <m:sty m:val="p"/>
            </m:rPr>
            <m:t>,</m:t>
          </m:r>
          <m:r>
            <m:t>  </m:t>
          </m:r>
          <m:r>
            <m:rPr>
              <m:sty m:val="b"/>
            </m:rPr>
            <m:t>A</m:t>
          </m:r>
          <m:r>
            <m:rPr>
              <m:sty m:val="p"/>
            </m:rPr>
            <m:t>=</m:t>
          </m:r>
          <m:r>
            <m:rPr>
              <m:sty m:val="b"/>
            </m:rPr>
            <m:t>I</m:t>
          </m:r>
          <m:r>
            <m:rPr>
              <m:sty m:val="p"/>
            </m:rPr>
            <m:t>−</m:t>
          </m:r>
          <m:acc>
            <m:accPr>
              <m:chr m:val="̂"/>
            </m:accPr>
            <m:e>
              <m:r>
                <m:rPr>
                  <m:sty m:val="b"/>
                </m:rPr>
                <m:t>S</m:t>
              </m:r>
            </m:e>
          </m:acc>
          <m:r>
            <m:t> </m:t>
          </m:r>
          <m:sSubSup>
            <m:e>
              <m:r>
                <m:rPr>
                  <m:sty m:val="b"/>
                </m:rPr>
                <m:t>S</m:t>
              </m:r>
            </m:e>
            <m:sub>
              <m:r>
                <m:t>A</m:t>
              </m:r>
            </m:sub>
            <m:sup>
              <m:r>
                <m:rPr>
                  <m:sty m:val="p"/>
                </m:rPr>
                <m:t>−</m:t>
              </m:r>
              <m:r>
                <m:t>1</m:t>
              </m:r>
            </m:sup>
          </m:sSubSup>
        </m:oMath>
      </m:oMathPara>
    </w:p>
    <w:p>
      <w:pPr>
        <w:spacing w:after="100"/>
        <w:jc w:val="both"/>
      </w:pPr>
      <m:oMath>
        <m:r>
          <m:rPr>
            <m:sty m:val="b"/>
          </m:rPr>
          <m:t>x</m:t>
        </m:r>
      </m:oMath>
      <w:r>
        <w:rPr>
          <w:color w:val="3A4350"/>
          <w:sz w:val="19"/>
          <w:szCs w:val="19"/>
        </w:rPr>
        <w:t xml:space="preserve"> holds sources, trends and sink, </w:t>
      </w:r>
      <m:oMath>
        <m:sSub>
          <m:e>
            <m:r>
              <m:rPr>
                <m:sty m:val="b"/>
              </m:rPr>
              <m:t>x</m:t>
            </m:r>
          </m:e>
          <m:sub>
            <m:r>
              <m:t>A</m:t>
            </m:r>
          </m:sub>
        </m:sSub>
      </m:oMath>
      <w:r>
        <w:rPr>
          <w:color w:val="3A4350"/>
          <w:sz w:val="19"/>
          <w:szCs w:val="19"/>
        </w:rPr>
        <w:t xml:space="preserve"> and </w:t>
      </w:r>
      <m:oMath>
        <m:sSub>
          <m:e>
            <m:r>
              <m:rPr>
                <m:sty m:val="b"/>
              </m:rPr>
              <m:t>S</m:t>
            </m:r>
          </m:e>
          <m:sub>
            <m:r>
              <m:t>A</m:t>
            </m:r>
          </m:sub>
        </m:sSub>
      </m:oMath>
      <w:r>
        <w:rPr>
          <w:color w:val="3A4350"/>
          <w:sz w:val="19"/>
          <w:szCs w:val="19"/>
        </w:rPr>
        <w:t xml:space="preserve"> the prior, </w:t>
      </w:r>
      <m:oMath>
        <m:r>
          <m:rPr>
            <m:sty m:val="b"/>
          </m:rPr>
          <m:t>K</m:t>
        </m:r>
      </m:oMath>
      <w:r>
        <w:rPr>
          <w:color w:val="3A4350"/>
          <w:sz w:val="19"/>
          <w:szCs w:val="19"/>
        </w:rPr>
        <w:t xml:space="preserve"> the Jacobian of the transport model, </w:t>
      </w:r>
      <m:oMath>
        <m:sSub>
          <m:e>
            <m:r>
              <m:rPr>
                <m:sty m:val="b"/>
              </m:rPr>
              <m:t>S</m:t>
            </m:r>
          </m:e>
          <m:sub>
            <m:r>
              <m:t>O</m:t>
            </m:r>
          </m:sub>
        </m:sSub>
      </m:oMath>
      <w:r>
        <w:rPr>
          <w:color w:val="3A4350"/>
          <w:sz w:val="19"/>
          <w:szCs w:val="19"/>
        </w:rPr>
        <w:t xml:space="preserve"> the observation error covariance and </w:t>
      </w:r>
      <m:oMath>
        <m:r>
          <m:rPr>
            <m:sty m:val="b"/>
          </m:rPr>
          <m:t>A</m:t>
        </m:r>
      </m:oMath>
      <w:r>
        <w:rPr>
          <w:color w:val="3A4350"/>
          <w:sz w:val="19"/>
          <w:szCs w:val="19"/>
        </w:rPr>
        <w:t xml:space="preserve"> the averaging kernel, whose trace is the number of pieces of information; separability is read from the off-diagonal blocks of </w:t>
      </w:r>
      <m:oMath>
        <m:acc>
          <m:accPr>
            <m:chr m:val="̂"/>
          </m:accPr>
          <m:e>
            <m:r>
              <m:rPr>
                <m:sty m:val="b"/>
              </m:rPr>
              <m:t>S</m:t>
            </m:r>
          </m:e>
        </m:acc>
      </m:oMath>
      <w:r>
        <w:rPr>
          <w:color w:val="3A4350"/>
          <w:sz w:val="19"/>
          <w:szCs w:val="19"/>
        </w:rPr>
        <w:t xml:space="preserve">.</w:t>
      </w:r>
    </w:p>
    <w:p>
      <w:pPr>
        <w:spacing w:after="100" w:before="80"/>
        <w:jc w:val="both"/>
      </w:pPr>
      <w:r>
        <w:rPr>
          <w:b/>
          <w:bCs/>
          <w:color w:val="A51C30"/>
        </w:rPr>
        <w:t xml:space="preserve">Link to the candidate system and to seawater intrusion. </w:t>
      </w:r>
      <w:r>
        <w:t xml:space="preserve">Belongs to sections 1.2, 1.6 and 1.7. The warning attached to proposal N1, that recharge and the flow closure may not be separable from heads, has exactly this structure: two terms of the source enter the same transport equation and the data see their sum. At Fushë-Kuqe, separating the seawater input (chloride) from reactive sources and sinks (exchange, sulfate reduction) is the same attribution problem, and the information content per species can be computed before any field campaign.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joint inversion of sources, their trends and the sink whose closed-form information content makes the limit of source–sink separability explicit. Proposed extension: compute the averaging kernel and the posterior correlation between recharge and flow-closure coefficients of the candidate system, first from heads alone and then with chemistry; the change of the off-diagonal block measures Proposition 4(iv) at a real site.</w:t>
      </w:r>
    </w:p>
    <w:p>
      <w:pPr>
        <w:pStyle w:val="Heading2"/>
        <w:keepNext/>
      </w:pPr>
      <w:r>
        <w:rPr>
          <w:color w:val="A51C30"/>
        </w:rPr>
        <w:t xml:space="preserve">H5  </w:t>
      </w:r>
      <w:r>
        <w:rPr>
          <w:color w:val="1F3864"/>
        </w:rPr>
        <w:t xml:space="preserve">Flow reconstruction by multiresolution optimization of a discrete loss with automatic differentiation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Petr Karnakov, Sergey Litvinov,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European Physical Journal E, 46, article 59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dgx9_m0nfw6kb6cvgntg">
              <w:r>
                <w:rPr>
                  <w:color w:val="1D4ED8"/>
                  <w:sz w:val="18"/>
                  <w:szCs w:val="18"/>
                  <w:u w:val="single"/>
                </w:rPr>
                <w:t xml:space="preserve">https://doi.org/10.1140/epje/s10189-023-00313-7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and ETH Zürich: the published PDF on the site of the Harvard Computational Science and Engineering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Koumoutsakos is Herbert S. Winokur, Jr. Professor of Computing in Science and Engineering at Harvard SEAS; ACM Gordon Bell Prize (2013), member of the US National Academy of Engineering (2013) and Fellow of SIAM, APS and ASME.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PDE-constrained inverse problems · discrete residual loss · multiresolution optimisation · automatic differentiation · flow reconstruction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method treats the residual of the discretised PDE and the misfit to the data as a single loss over all unknowns of the grid and minimises it directly, without neural networks. The multiresolution version splits the problem into bands of scales, which makes it about ten times faster and better at avoiding local minima; gradients come from automatic differentiation. The tests reconstruct a solution of the Burgers equation, infer a conductivity field from temperature measurements and infer the shape of a body from velocities in its three-dimensional wake, with comparisons against physics-informed neural networks.</w:t>
      </w:r>
    </w:p>
    <w:p>
      <w:pPr>
        <w:keepNext/>
        <w:spacing w:after="40" w:before="80"/>
      </w:pPr>
      <w:r>
        <w:rPr>
          <w:b/>
          <w:bCs/>
          <w:color w:val="A51C30"/>
        </w:rPr>
        <w:t xml:space="preserve">Key equation.</w:t>
      </w:r>
      <w:r>
        <w:rPr>
          <w:i/>
          <w:iCs/>
          <w:color w:val="5B6573"/>
          <w:sz w:val="18"/>
          <w:szCs w:val="18"/>
        </w:rPr>
        <w:t xml:space="preserve">  Joint minimisation of the discrete residual and the data misfit (representative formulation)</w:t>
      </w:r>
    </w:p>
    <w:p>
      <w:pPr>
        <w:pStyle w:val="Equation"/>
      </w:pPr>
      <m:oMathPara>
        <m:oMathParaPr>
          <m:jc m:val="center"/>
        </m:oMathParaPr>
        <m:oMath>
          <m:limLow>
            <m:e>
              <m:r>
                <m:rPr>
                  <m:nor/>
                </m:rPr>
                <m:t>min</m:t>
              </m:r>
            </m:e>
            <m:lim>
              <m:r>
                <m:rPr>
                  <m:sty m:val="b"/>
                </m:rPr>
                <m:t>u</m:t>
              </m:r>
              <m:r>
                <m:rPr>
                  <m:sty m:val="p"/>
                </m:rPr>
                <m:t>,</m:t>
              </m:r>
              <m:r>
                <m:t>θ</m:t>
              </m:r>
            </m:lim>
          </m:limLow>
          <m:r>
            <m:t> </m:t>
          </m:r>
          <m:r>
            <m:rPr>
              <m:sty m:val="p"/>
            </m:rPr>
            <m:t>∑</m:t>
          </m:r>
          <m:sSup>
            <m:e>
              <m:d>
                <m:dPr>
                  <m:begChr m:val="∥"/>
                  <m:sepChr m:val=""/>
                  <m:endChr m:val="∥"/>
                  <m:grow/>
                </m:dPr>
                <m:e>
                  <m:sSub>
                    <m:e>
                      <m:r>
                        <m:t>F</m:t>
                      </m:r>
                    </m:e>
                    <m:sub>
                      <m:r>
                        <m:t>h</m:t>
                      </m:r>
                    </m:sub>
                  </m:sSub>
                  <m:d>
                    <m:dPr>
                      <m:begChr m:val="("/>
                      <m:sepChr m:val=""/>
                      <m:endChr m:val=")"/>
                      <m:grow/>
                    </m:dPr>
                    <m:e>
                      <m:r>
                        <m:rPr>
                          <m:sty m:val="b"/>
                        </m:rPr>
                        <m:t>u</m:t>
                      </m:r>
                      <m:r>
                        <m:rPr>
                          <m:sty m:val="p"/>
                        </m:rPr>
                        <m:t>;</m:t>
                      </m:r>
                      <m:r>
                        <m:t>θ</m:t>
                      </m:r>
                    </m:e>
                  </m:d>
                </m:e>
              </m:d>
            </m:e>
            <m:sup>
              <m:r>
                <m:t>2</m:t>
              </m:r>
            </m:sup>
          </m:sSup>
          <m:r>
            <m:rPr>
              <m:sty m:val="p"/>
            </m:rPr>
            <m:t>+</m:t>
          </m:r>
          <m:r>
            <m:t>λ</m:t>
          </m:r>
          <m:r>
            <m:rPr>
              <m:sty m:val="p"/>
            </m:rPr>
            <m:t>∑</m:t>
          </m:r>
          <m:sSup>
            <m:e>
              <m:d>
                <m:dPr>
                  <m:begChr m:val="∥"/>
                  <m:sepChr m:val=""/>
                  <m:endChr m:val="∥"/>
                  <m:grow/>
                </m:dPr>
                <m:e>
                  <m:r>
                    <m:rPr>
                      <m:scr m:val="script"/>
                      <m:sty m:val="p"/>
                    </m:rPr>
                    <m:t>H</m:t>
                  </m:r>
                  <m:r>
                    <m:rPr>
                      <m:sty m:val="b"/>
                    </m:rPr>
                    <m:t>u</m:t>
                  </m:r>
                  <m:r>
                    <m:rPr>
                      <m:sty m:val="p"/>
                    </m:rPr>
                    <m:t>−</m:t>
                  </m:r>
                  <m:r>
                    <m:rPr>
                      <m:sty m:val="b"/>
                    </m:rPr>
                    <m:t>d</m:t>
                  </m:r>
                </m:e>
              </m:d>
            </m:e>
            <m:sup>
              <m:r>
                <m:t>2</m:t>
              </m:r>
            </m:sup>
          </m:sSup>
          <m:r>
            <m:rPr>
              <m:sty m:val="p"/>
            </m:rPr>
            <m:t>,</m:t>
          </m:r>
          <m:r>
            <m:t>  </m:t>
          </m:r>
          <m:r>
            <m:rPr>
              <m:sty m:val="b"/>
            </m:rPr>
            <m:t>u</m:t>
          </m:r>
          <m:r>
            <m:rPr>
              <m:sty m:val="p"/>
            </m:rPr>
            <m:t>=</m:t>
          </m:r>
          <m:nary>
            <m:naryPr>
              <m:chr m:val="∑"/>
              <m:limLoc m:val="undOvr"/>
              <m:subHide m:val="off"/>
              <m:supHide m:val="on"/>
            </m:naryPr>
            <m:sub>
              <m:r>
                <m:rPr>
                  <m:sty m:val="p"/>
                </m:rPr>
                <m:t>ℓ</m:t>
              </m:r>
            </m:sub>
            <m:sup>
              <m:r>
                <m:t>​</m:t>
              </m:r>
            </m:sup>
            <m:e>
              <m:sSub>
                <m:e>
                  <m:r>
                    <m:rPr>
                      <m:scr m:val="script"/>
                      <m:sty m:val="p"/>
                    </m:rPr>
                    <m:t>P</m:t>
                  </m:r>
                </m:e>
                <m:sub>
                  <m:r>
                    <m:rPr>
                      <m:sty m:val="p"/>
                    </m:rPr>
                    <m:t>ℓ</m:t>
                  </m:r>
                </m:sub>
              </m:sSub>
            </m:e>
          </m:nary>
          <m:r>
            <m:t> </m:t>
          </m:r>
          <m:sSub>
            <m:e>
              <m:r>
                <m:rPr>
                  <m:sty m:val="b"/>
                </m:rPr>
                <m:t>u</m:t>
              </m:r>
            </m:e>
            <m:sub>
              <m:r>
                <m:rPr>
                  <m:sty m:val="p"/>
                </m:rPr>
                <m:t>ℓ</m:t>
              </m:r>
            </m:sub>
          </m:sSub>
        </m:oMath>
      </m:oMathPara>
    </w:p>
    <w:p>
      <w:pPr>
        <w:spacing w:after="100"/>
        <w:jc w:val="both"/>
      </w:pPr>
      <m:oMath>
        <m:sSub>
          <m:e>
            <m:r>
              <m:t>F</m:t>
            </m:r>
          </m:e>
          <m:sub>
            <m:r>
              <m:t>h</m:t>
            </m:r>
          </m:sub>
        </m:sSub>
      </m:oMath>
      <w:r>
        <w:rPr>
          <w:color w:val="3A4350"/>
          <w:sz w:val="19"/>
          <w:szCs w:val="19"/>
        </w:rPr>
        <w:t xml:space="preserve"> is the discrete residual of the PDE with parameters </w:t>
      </w:r>
      <m:oMath>
        <m:r>
          <m:t>θ</m:t>
        </m:r>
      </m:oMath>
      <w:r>
        <w:rPr>
          <w:color w:val="3A4350"/>
          <w:sz w:val="19"/>
          <w:szCs w:val="19"/>
        </w:rPr>
        <w:t xml:space="preserve">, </w:t>
      </w:r>
      <m:oMath>
        <m:r>
          <m:rPr>
            <m:scr m:val="script"/>
            <m:sty m:val="p"/>
          </m:rPr>
          <m:t>H</m:t>
        </m:r>
      </m:oMath>
      <w:r>
        <w:rPr>
          <w:color w:val="3A4350"/>
          <w:sz w:val="19"/>
          <w:szCs w:val="19"/>
        </w:rPr>
        <w:t xml:space="preserve"> the observation operator, </w:t>
      </w:r>
      <m:oMath>
        <m:r>
          <m:rPr>
            <m:sty m:val="b"/>
          </m:rPr>
          <m:t>d</m:t>
        </m:r>
      </m:oMath>
      <w:r>
        <w:rPr>
          <w:color w:val="3A4350"/>
          <w:sz w:val="19"/>
          <w:szCs w:val="19"/>
        </w:rPr>
        <w:t xml:space="preserve"> the data, </w:t>
      </w:r>
      <m:oMath>
        <m:r>
          <m:t>λ</m:t>
        </m:r>
      </m:oMath>
      <w:r>
        <w:rPr>
          <w:color w:val="3A4350"/>
          <w:sz w:val="19"/>
          <w:szCs w:val="19"/>
        </w:rPr>
        <w:t xml:space="preserve"> a weight and </w:t>
      </w:r>
      <m:oMath>
        <m:sSub>
          <m:e>
            <m:r>
              <m:rPr>
                <m:scr m:val="script"/>
                <m:sty m:val="p"/>
              </m:rPr>
              <m:t>P</m:t>
            </m:r>
          </m:e>
          <m:sub>
            <m:r>
              <m:rPr>
                <m:sty m:val="p"/>
              </m:rPr>
              <m:t>ℓ</m:t>
            </m:r>
          </m:sub>
        </m:sSub>
      </m:oMath>
      <w:r>
        <w:rPr>
          <w:color w:val="3A4350"/>
          <w:sz w:val="19"/>
          <w:szCs w:val="19"/>
        </w:rPr>
        <w:t xml:space="preserve"> the prolongation of the component </w:t>
      </w:r>
      <m:oMath>
        <m:sSub>
          <m:e>
            <m:r>
              <m:rPr>
                <m:sty m:val="b"/>
              </m:rPr>
              <m:t>u</m:t>
            </m:r>
          </m:e>
          <m:sub>
            <m:r>
              <m:rPr>
                <m:sty m:val="p"/>
              </m:rPr>
              <m:t>ℓ</m:t>
            </m:r>
          </m:sub>
        </m:sSub>
      </m:oMath>
      <w:r>
        <w:rPr>
          <w:color w:val="3A4350"/>
          <w:sz w:val="19"/>
          <w:szCs w:val="19"/>
        </w:rPr>
        <w:t xml:space="preserve"> of scale band </w:t>
      </w:r>
      <m:oMath>
        <m:r>
          <m:rPr>
            <m:sty m:val="p"/>
          </m:rPr>
          <m:t>ℓ</m:t>
        </m:r>
      </m:oMath>
      <w:r>
        <w:rPr>
          <w:color w:val="3A4350"/>
          <w:sz w:val="19"/>
          <w:szCs w:val="19"/>
        </w:rPr>
        <w:t xml:space="preserve">.</w:t>
      </w:r>
    </w:p>
    <w:p>
      <w:pPr>
        <w:spacing w:after="100" w:before="80"/>
        <w:jc w:val="both"/>
      </w:pPr>
      <w:r>
        <w:rPr>
          <w:b/>
          <w:bCs/>
          <w:color w:val="A51C30"/>
        </w:rPr>
        <w:t xml:space="preserve">Link to the candidate system and to seawater intrusion. </w:t>
      </w:r>
      <w:r>
        <w:t xml:space="preserve">Belongs to section 1.7. A variational (maximum a posteriori) reconstruction is an alternative to, or a starting point for, the augmented-state smoother; conductivity from temperature is the analogue of conductivity from heads and of dispersivity from chloride. The cut of Proposition 5 has a natural variational form: transport first from heads and chloride, then the reactive closure from the other 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PDE-constrained reconstruction that minimises the discrete residual and the data misfit together, without neural networks, accelerated by a multiresolution decomposition and automatic differentiation. Proposed extension: solve the cut of Proposition 5 variationally, reconstructing conductivity, dispersion and memory from heads and chloride first and the reactive closure second, and use the result to initialise the ensemble smoother of the candidate system.</w:t>
      </w:r>
    </w:p>
    <w:p>
      <w:pPr>
        <w:pStyle w:val="Heading2"/>
        <w:keepNext/>
      </w:pPr>
      <w:r>
        <w:rPr>
          <w:color w:val="A51C30"/>
        </w:rPr>
        <w:t xml:space="preserve">H6  </w:t>
      </w:r>
      <w:r>
        <w:rPr>
          <w:color w:val="1F3864"/>
        </w:rPr>
        <w:t xml:space="preserve">Reproducible parameter inference using bagged posteriors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Jonathan H. Huggins,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Electronic Journal of Statistics, 18(1), 1549–1585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zapivg55jw5wk6xf97op">
              <w:r>
                <w:rPr>
                  <w:color w:val="1D4ED8"/>
                  <w:sz w:val="18"/>
                  <w:szCs w:val="18"/>
                  <w:u w:val="single"/>
                </w:rPr>
                <w:t xml:space="preserve">https://doi.org/10.1214/24-EJS2237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Biostatistics, Harvard University (J. W. Miller): the companion arXiv paper and a Harvard Statistics colloquium page; J. H. Huggins at Boston University.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W. Miller is on the faculty of the Department of Biostatistics at Harvard (distinctions not seen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misspecified models · reproducibility of credible sets · bagged posteriors (BayesBag) · Bernstein–von Mises theorem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Under model misspecification, posterior distributions misrepresent uncertainty, and credible sets computed from independent datasets can contradict each other. The authors define reproducibility as the probability that credible sets from two independent datasets overlap and prove a lower bound that valid confidence sets satisfy; standard credible sets can violate it badly, especially in high dimension. The bagged posterior, the average of posteriors over bootstrapped datasets, satisfies a Bernstein–von Mises theorem proved in the paper and meets the bound. Simulations and an example on crime rates show the gain.</w:t>
      </w:r>
    </w:p>
    <w:p>
      <w:pPr>
        <w:keepNext/>
        <w:spacing w:after="40" w:before="80"/>
      </w:pPr>
      <w:r>
        <w:rPr>
          <w:b/>
          <w:bCs/>
          <w:color w:val="A51C30"/>
        </w:rPr>
        <w:t xml:space="preserve">Key equation.</w:t>
      </w:r>
      <w:r>
        <w:rPr>
          <w:i/>
          <w:iCs/>
          <w:color w:val="5B6573"/>
          <w:sz w:val="18"/>
          <w:szCs w:val="18"/>
        </w:rPr>
        <w:t xml:space="preserve">  The bagged posterior (representative formulation of the definition)</w:t>
      </w:r>
    </w:p>
    <w:p>
      <w:pPr>
        <w:pStyle w:val="Equation"/>
      </w:pPr>
      <m:oMathPara>
        <m:oMathParaPr>
          <m:jc m:val="center"/>
        </m:oMathParaPr>
        <m:oMath>
          <m:sSup>
            <m:e>
              <m:r>
                <m:t>π</m:t>
              </m:r>
            </m:e>
            <m:sup>
              <m:r>
                <m:rPr>
                  <m:nor/>
                </m:rPr>
                <m:t>bag</m:t>
              </m:r>
            </m:sup>
          </m:sSup>
          <m:d>
            <m:dPr>
              <m:begChr m:val="("/>
              <m:sepChr m:val=""/>
              <m:endChr m:val=")"/>
              <m:grow/>
            </m:dPr>
            <m:e>
              <m:r>
                <m:t>θ</m:t>
              </m:r>
              <m:r>
                <m:rPr>
                  <m:sty m:val="p"/>
                </m:rPr>
                <m:t>∣</m:t>
              </m:r>
              <m:sSub>
                <m:e>
                  <m:r>
                    <m:t>x</m:t>
                  </m:r>
                </m:e>
                <m:sub>
                  <m:r>
                    <m:t>1</m:t>
                  </m:r>
                  <m:r>
                    <m:rPr>
                      <m:sty m:val="p"/>
                    </m:rPr>
                    <m:t>:</m:t>
                  </m:r>
                  <m:r>
                    <m:t>N</m:t>
                  </m:r>
                </m:sub>
              </m:sSub>
            </m:e>
          </m:d>
          <m:r>
            <m:rPr>
              <m:sty m:val="p"/>
            </m:rPr>
            <m:t>=</m:t>
          </m:r>
          <m:sSub>
            <m:e>
              <m:r>
                <m:rPr>
                  <m:scr m:val="double-struck"/>
                  <m:sty m:val="p"/>
                </m:rPr>
                <m:t>E</m:t>
              </m:r>
            </m:e>
            <m:sub>
              <m:sSup>
                <m:e>
                  <m:r>
                    <m:t>x</m:t>
                  </m:r>
                </m:e>
                <m:sup>
                  <m:r>
                    <m:rPr>
                      <m:sty m:val="p"/>
                    </m:rPr>
                    <m:t>⋆</m:t>
                  </m:r>
                </m:sup>
              </m:sSup>
              <m:r>
                <m:rPr>
                  <m:sty m:val="p"/>
                </m:rPr>
                <m:t>∼</m:t>
              </m:r>
              <m:sSub>
                <m:e>
                  <m:acc>
                    <m:accPr>
                      <m:chr m:val="̂"/>
                    </m:accPr>
                    <m:e>
                      <m:r>
                        <m:t>P</m:t>
                      </m:r>
                    </m:e>
                  </m:acc>
                </m:e>
                <m:sub>
                  <m:r>
                    <m:t>N</m:t>
                  </m:r>
                </m:sub>
              </m:sSub>
            </m:sub>
          </m:sSub>
          <m:d>
            <m:dPr>
              <m:begChr m:val="["/>
              <m:sepChr m:val=""/>
              <m:endChr m:val="]"/>
              <m:grow/>
            </m:dPr>
            <m:e>
              <m:r>
                <m:t>π</m:t>
              </m:r>
              <m:d>
                <m:dPr>
                  <m:begChr m:val="("/>
                  <m:sepChr m:val=""/>
                  <m:endChr m:val=")"/>
                  <m:grow/>
                </m:dPr>
                <m:e>
                  <m:r>
                    <m:t>θ</m:t>
                  </m:r>
                  <m:r>
                    <m:rPr>
                      <m:sty m:val="p"/>
                    </m:rPr>
                    <m:t>∣</m:t>
                  </m:r>
                  <m:sSubSup>
                    <m:e>
                      <m:r>
                        <m:t>x</m:t>
                      </m:r>
                    </m:e>
                    <m:sub>
                      <m:r>
                        <m:t>1</m:t>
                      </m:r>
                      <m:r>
                        <m:rPr>
                          <m:sty m:val="p"/>
                        </m:rPr>
                        <m:t>:</m:t>
                      </m:r>
                      <m:r>
                        <m:t>M</m:t>
                      </m:r>
                    </m:sub>
                    <m:sup>
                      <m:r>
                        <m:rPr>
                          <m:sty m:val="p"/>
                        </m:rPr>
                        <m:t>⋆</m:t>
                      </m:r>
                    </m:sup>
                  </m:sSubSup>
                </m:e>
              </m:d>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π</m:t>
              </m:r>
            </m:e>
          </m:nary>
          <m:d>
            <m:dPr>
              <m:begChr m:val="("/>
              <m:sepChr m:val=""/>
              <m:endChr m:val=")"/>
              <m:grow/>
            </m:dPr>
            <m:e>
              <m:r>
                <m:t>θ</m:t>
              </m:r>
              <m:r>
                <m:rPr>
                  <m:sty m:val="p"/>
                </m:rPr>
                <m:t>∣</m:t>
              </m:r>
              <m:sSubSup>
                <m:e>
                  <m:r>
                    <m:t>x</m:t>
                  </m:r>
                </m:e>
                <m:sub>
                  <m:r>
                    <m:t>1</m:t>
                  </m:r>
                  <m:r>
                    <m:rPr>
                      <m:sty m:val="p"/>
                    </m:rPr>
                    <m:t>:</m:t>
                  </m:r>
                  <m:r>
                    <m:t>M</m:t>
                  </m:r>
                </m:sub>
                <m:sup>
                  <m:r>
                    <m:rPr>
                      <m:sty m:val="p"/>
                    </m:rPr>
                    <m:t>⋆</m:t>
                  </m:r>
                  <m:d>
                    <m:dPr>
                      <m:begChr m:val="("/>
                      <m:sepChr m:val=""/>
                      <m:endChr m:val=")"/>
                      <m:grow/>
                    </m:dPr>
                    <m:e>
                      <m:r>
                        <m:t>b</m:t>
                      </m:r>
                    </m:e>
                  </m:d>
                </m:sup>
              </m:sSubSup>
            </m:e>
          </m:d>
        </m:oMath>
      </m:oMathPara>
    </w:p>
    <w:p>
      <w:pPr>
        <w:spacing w:after="100"/>
        <w:jc w:val="both"/>
      </w:pPr>
      <m:oMath>
        <m:sSub>
          <m:e>
            <m:acc>
              <m:accPr>
                <m:chr m:val="̂"/>
              </m:accPr>
              <m:e>
                <m:r>
                  <m:t>P</m:t>
                </m:r>
              </m:e>
            </m:acc>
          </m:e>
          <m:sub>
            <m:r>
              <m:t>N</m:t>
            </m:r>
          </m:sub>
        </m:sSub>
      </m:oMath>
      <w:r>
        <w:rPr>
          <w:color w:val="3A4350"/>
          <w:sz w:val="19"/>
          <w:szCs w:val="19"/>
        </w:rPr>
        <w:t xml:space="preserve"> is the empirical distribution of the </w:t>
      </w:r>
      <m:oMath>
        <m:r>
          <m:t>N</m:t>
        </m:r>
      </m:oMath>
      <w:r>
        <w:rPr>
          <w:color w:val="3A4350"/>
          <w:sz w:val="19"/>
          <w:szCs w:val="19"/>
        </w:rPr>
        <w:t xml:space="preserve"> data, </w:t>
      </w:r>
      <m:oMath>
        <m:sSubSup>
          <m:e>
            <m:r>
              <m:t>x</m:t>
            </m:r>
          </m:e>
          <m:sub>
            <m:r>
              <m:t>1</m:t>
            </m:r>
            <m:r>
              <m:rPr>
                <m:sty m:val="p"/>
              </m:rPr>
              <m:t>:</m:t>
            </m:r>
            <m:r>
              <m:t>M</m:t>
            </m:r>
          </m:sub>
          <m:sup>
            <m:r>
              <m:rPr>
                <m:sty m:val="p"/>
              </m:rPr>
              <m:t>⋆</m:t>
            </m:r>
            <m:d>
              <m:dPr>
                <m:begChr m:val="("/>
                <m:sepChr m:val=""/>
                <m:endChr m:val=")"/>
                <m:grow/>
              </m:dPr>
              <m:e>
                <m:r>
                  <m:t>b</m:t>
                </m:r>
              </m:e>
            </m:d>
          </m:sup>
        </m:sSubSup>
      </m:oMath>
      <w:r>
        <w:rPr>
          <w:color w:val="3A4350"/>
          <w:sz w:val="19"/>
          <w:szCs w:val="19"/>
        </w:rPr>
        <w:t xml:space="preserve"> the </w:t>
      </w:r>
      <m:oMath>
        <m:r>
          <m:t>b</m:t>
        </m:r>
      </m:oMath>
      <w:r>
        <w:rPr>
          <w:color w:val="3A4350"/>
          <w:sz w:val="19"/>
          <w:szCs w:val="19"/>
        </w:rPr>
        <w:t xml:space="preserve">-th bootstrap sample of size </w:t>
      </w:r>
      <m:oMath>
        <m:r>
          <m:t>M</m:t>
        </m:r>
      </m:oMath>
      <w:r>
        <w:rPr>
          <w:color w:val="3A4350"/>
          <w:sz w:val="19"/>
          <w:szCs w:val="19"/>
        </w:rPr>
        <w:t xml:space="preserve"> and </w:t>
      </w:r>
      <m:oMath>
        <m:r>
          <m:t>B</m:t>
        </m:r>
      </m:oMath>
      <w:r>
        <w:rPr>
          <w:color w:val="3A4350"/>
          <w:sz w:val="19"/>
          <w:szCs w:val="19"/>
        </w:rPr>
        <w:t xml:space="preserve"> the number of bootstrap samples.</w:t>
      </w:r>
    </w:p>
    <w:p>
      <w:pPr>
        <w:spacing w:after="100" w:before="80"/>
        <w:jc w:val="both"/>
      </w:pPr>
      <w:r>
        <w:rPr>
          <w:b/>
          <w:bCs/>
          <w:color w:val="A51C30"/>
        </w:rPr>
        <w:t xml:space="preserve">Link to the candidate system and to seawater intrusion. </w:t>
      </w:r>
      <w:r>
        <w:t xml:space="preserve">Belongs to sections 1.7 and 1.9. A model with a learned closure is misspecified by construction, and section 9.6 shows the consequence: the sodium and hardness intervals of GJURMA cover the truth less often than they claim. Bagging the smoother over sampling campaigns or wells is a cheap companion to the robust band of proposal N3, and a closure whose credible sets from independent subsets of the data do not overlap is not reproducible.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reproducibility criterion for credible sets with a universal lower bound, and a Bernstein–von Mises theorem for the bagged posterior that meets it under misspecification. Proposed extension: bag the augmented-state smoother of the candidate system over sampling campaigns; it is the direct remedy to test for the under-coverage of the reactive forecasts found in section 9.6, and a criterion for reporting only reproducible closure coefficients.</w:t>
      </w:r>
    </w:p>
    <w:p>
      <w:pPr>
        <w:pStyle w:val="Heading2"/>
        <w:keepNext/>
      </w:pPr>
      <w:r>
        <w:rPr>
          <w:color w:val="A51C30"/>
        </w:rPr>
        <w:t xml:space="preserve">H7  </w:t>
      </w:r>
      <w:r>
        <w:rPr>
          <w:color w:val="1F3864"/>
        </w:rPr>
        <w:t xml:space="preserve">Uncertainty Quantification of Set-Membership Estimation in Control and Perception: Revisiting the Minimum Enclosing Ellipsoid</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Yukai Tang, Jean-Bernard Lasserre, Heng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Learning for Dynamics and Control Conference (L4DC 2024), PMLR 242, 286–298; arXiv 2311.15962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fkl37ptf5fi0flledxay">
              <w:r>
                <w:rPr>
                  <w:color w:val="1D4ED8"/>
                  <w:sz w:val="18"/>
                  <w:szCs w:val="18"/>
                  <w:u w:val="single"/>
                </w:rPr>
                <w:t xml:space="preserve">https://proceedings.mlr.press/v242/tang24a.html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School of Engineering and Applied Sciences (H. Yang), Princeton University (Y. Tang) and LAAS-CNRS and Toulouse School of Economics (J.-B. Lasserre): the affiliations in the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J.-B. Lasserre received the John von Neumann Theory Prize (2015), the Khachiyan Prize (2015), the Lagrange Prize in Continuous Optimization (2009) and the Grand Prix Inria–Académie des sciences (2021), and was an invited speaker at the ICM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set-membership estimation · bounded noise · minimum enclosing ellipsoid · sum-of-squares hierarchies · guaranteed uncertainty sets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Set-membership estimation returns every parameter consistent with the data under bounded noise; the result is a basic semialgebraic set, hard to describe or report. The paper computes simple and tight outer approximations by the minimum enclosing ellipsoid, starting from a sum-of-squares relaxation hierarchy that converges asymptotically to the minimum enclosing ellipsoid of a basic semialgebraic set. To make this practical for modern problems the authors add constraint pruning, a generalised relaxed Chebyshev centre and non-Euclidean geometry; the examples include system identification and the estimation of the pose of an object.</w:t>
      </w:r>
    </w:p>
    <w:p>
      <w:pPr>
        <w:keepNext/>
        <w:spacing w:after="40" w:before="80"/>
      </w:pPr>
      <w:r>
        <w:rPr>
          <w:b/>
          <w:bCs/>
          <w:color w:val="A51C30"/>
        </w:rPr>
        <w:t xml:space="preserve">Key equation.</w:t>
      </w:r>
      <w:r>
        <w:rPr>
          <w:i/>
          <w:iCs/>
          <w:color w:val="5B6573"/>
          <w:sz w:val="18"/>
          <w:szCs w:val="18"/>
        </w:rPr>
        <w:t xml:space="preserve">  The feasible set, its minimum enclosing ellipsoid and the convergent outer bounds (representative formulation)</w:t>
      </w:r>
    </w:p>
    <w:p>
      <w:pPr>
        <w:pStyle w:val="Equation"/>
      </w:pPr>
      <m:oMathPara>
        <m:oMathParaPr>
          <m:jc m:val="center"/>
        </m:oMathParaPr>
        <m:oMath>
          <m:r>
            <m:rPr>
              <m:scr m:val="script"/>
              <m:sty m:val="p"/>
            </m:rPr>
            <m:t>S</m:t>
          </m:r>
          <m:r>
            <m:rPr>
              <m:sty m:val="p"/>
            </m:rPr>
            <m:t>=</m:t>
          </m:r>
          <m:d>
            <m:dPr>
              <m:begChr m:val="{"/>
              <m:sepChr m:val=""/>
              <m:endChr m:val="}"/>
              <m:grow/>
            </m:dPr>
            <m:e>
              <m:r>
                <m:t>θ</m:t>
              </m:r>
              <m:r>
                <m:rPr>
                  <m:sty m:val="p"/>
                </m:rPr>
                <m:t>:</m:t>
              </m:r>
              <m:d>
                <m:dPr>
                  <m:begChr m:val="|"/>
                  <m:sepChr m:val=""/>
                  <m:endChr m:val="|"/>
                  <m:grow/>
                </m:dPr>
                <m:e>
                  <m:sSub>
                    <m:e>
                      <m:r>
                        <m:t>y</m:t>
                      </m:r>
                    </m:e>
                    <m:sub>
                      <m:r>
                        <m:t>t</m:t>
                      </m:r>
                    </m:sub>
                  </m:sSub>
                  <m:r>
                    <m:rPr>
                      <m:sty m:val="p"/>
                    </m:rPr>
                    <m:t>−</m:t>
                  </m:r>
                  <m:sSub>
                    <m:e>
                      <m:r>
                        <m:t>ϕ</m:t>
                      </m:r>
                    </m:e>
                    <m:sub>
                      <m:r>
                        <m:t>t</m:t>
                      </m:r>
                    </m:sub>
                  </m:sSub>
                  <m:d>
                    <m:dPr>
                      <m:begChr m:val="("/>
                      <m:sepChr m:val=""/>
                      <m:endChr m:val=")"/>
                      <m:grow/>
                    </m:dPr>
                    <m:e>
                      <m:r>
                        <m:t>θ</m:t>
                      </m:r>
                    </m:e>
                  </m:d>
                </m:e>
              </m:d>
              <m:r>
                <m:rPr>
                  <m:sty m:val="p"/>
                </m:rPr>
                <m:t>≤</m:t>
              </m:r>
              <m:sSub>
                <m:e>
                  <m:r>
                    <m:t>ε</m:t>
                  </m:r>
                </m:e>
                <m:sub>
                  <m:r>
                    <m:t>t</m:t>
                  </m:r>
                </m:sub>
              </m:sSub>
            </m:e>
          </m:d>
          <m:r>
            <m:rPr>
              <m:sty m:val="p"/>
            </m:rPr>
            <m:t>,</m:t>
          </m:r>
          <m:r>
            <m:t>  </m:t>
          </m:r>
          <m:sSup>
            <m:e>
              <m:r>
                <m:rPr>
                  <m:scr m:val="script"/>
                  <m:sty m:val="p"/>
                </m:rPr>
                <m:t>E</m:t>
              </m:r>
            </m:e>
            <m:sup>
              <m:r>
                <m:rPr>
                  <m:sty m:val="p"/>
                </m:rPr>
                <m:t>⋆</m:t>
              </m:r>
            </m:sup>
          </m:sSup>
          <m:r>
            <m:rPr>
              <m:sty m:val="p"/>
            </m:rPr>
            <m:t>=</m:t>
          </m:r>
          <m:limLow>
            <m:e>
              <m:r>
                <m:rPr>
                  <m:nor/>
                </m:rPr>
                <m:t>arg min</m:t>
              </m:r>
            </m:e>
            <m:lim>
              <m:r>
                <m:rPr>
                  <m:scr m:val="script"/>
                  <m:sty m:val="p"/>
                </m:rPr>
                <m:t>E</m:t>
              </m:r>
              <m:r>
                <m:rPr>
                  <m:sty m:val="p"/>
                </m:rPr>
                <m:t>⊇</m:t>
              </m:r>
              <m:r>
                <m:rPr>
                  <m:scr m:val="script"/>
                  <m:sty m:val="p"/>
                </m:rPr>
                <m:t>S</m:t>
              </m:r>
            </m:lim>
          </m:limLow>
          <m:r>
            <m:t> </m:t>
          </m:r>
          <m:r>
            <m:rPr>
              <m:nor/>
            </m:rPr>
            <m:t>vol</m:t>
          </m:r>
          <m:d>
            <m:dPr>
              <m:begChr m:val="("/>
              <m:sepChr m:val=""/>
              <m:endChr m:val=")"/>
              <m:grow/>
            </m:dPr>
            <m:e>
              <m:r>
                <m:rPr>
                  <m:scr m:val="script"/>
                  <m:sty m:val="p"/>
                </m:rPr>
                <m:t>E</m:t>
              </m:r>
            </m:e>
          </m:d>
          <m:r>
            <m:rPr>
              <m:sty m:val="p"/>
            </m:rPr>
            <m:t>,</m:t>
          </m:r>
          <m:r>
            <m:t>  </m:t>
          </m:r>
          <m:sSub>
            <m:e>
              <m:r>
                <m:rPr>
                  <m:scr m:val="script"/>
                  <m:sty m:val="p"/>
                </m:rPr>
                <m:t>E</m:t>
              </m:r>
            </m:e>
            <m:sub>
              <m:r>
                <m:t>k</m:t>
              </m:r>
            </m:sub>
          </m:sSub>
          <m:r>
            <m:rPr>
              <m:sty m:val="p"/>
            </m:rPr>
            <m:t>⊇</m:t>
          </m:r>
          <m:sSup>
            <m:e>
              <m:r>
                <m:rPr>
                  <m:scr m:val="script"/>
                  <m:sty m:val="p"/>
                </m:rPr>
                <m:t>E</m:t>
              </m:r>
            </m:e>
            <m:sup>
              <m:r>
                <m:rPr>
                  <m:sty m:val="p"/>
                </m:rPr>
                <m:t>⋆</m:t>
              </m:r>
            </m:sup>
          </m:sSup>
          <m:r>
            <m:rPr>
              <m:sty m:val="p"/>
            </m:rPr>
            <m:t>,</m:t>
          </m:r>
          <m:r>
            <m:t> </m:t>
          </m:r>
          <m:sSub>
            <m:e>
              <m:r>
                <m:rPr>
                  <m:scr m:val="script"/>
                  <m:sty m:val="p"/>
                </m:rPr>
                <m:t>E</m:t>
              </m:r>
            </m:e>
            <m:sub>
              <m:r>
                <m:t>k</m:t>
              </m:r>
            </m:sub>
          </m:sSub>
          <m:r>
            <m:rPr>
              <m:sty m:val="p"/>
            </m:rPr>
            <m:t>→</m:t>
          </m:r>
          <m:sSup>
            <m:e>
              <m:r>
                <m:rPr>
                  <m:scr m:val="script"/>
                  <m:sty m:val="p"/>
                </m:rPr>
                <m:t>E</m:t>
              </m:r>
            </m:e>
            <m:sup>
              <m:r>
                <m:rPr>
                  <m:sty m:val="p"/>
                </m:rPr>
                <m:t>⋆</m:t>
              </m:r>
            </m:sup>
          </m:sSup>
        </m:oMath>
      </m:oMathPara>
    </w:p>
    <w:p>
      <w:pPr>
        <w:spacing w:after="100"/>
        <w:jc w:val="both"/>
      </w:pPr>
      <m:oMath>
        <m:sSub>
          <m:e>
            <m:r>
              <m:t>y</m:t>
            </m:r>
          </m:e>
          <m:sub>
            <m:r>
              <m:t>t</m:t>
            </m:r>
          </m:sub>
        </m:sSub>
      </m:oMath>
      <w:r>
        <w:rPr>
          <w:color w:val="3A4350"/>
          <w:sz w:val="19"/>
          <w:szCs w:val="19"/>
        </w:rPr>
        <w:t xml:space="preserve"> are the data, </w:t>
      </w:r>
      <m:oMath>
        <m:sSub>
          <m:e>
            <m:r>
              <m:t>ϕ</m:t>
            </m:r>
          </m:e>
          <m:sub>
            <m:r>
              <m:t>t</m:t>
            </m:r>
          </m:sub>
        </m:sSub>
      </m:oMath>
      <w:r>
        <w:rPr>
          <w:color w:val="3A4350"/>
          <w:sz w:val="19"/>
          <w:szCs w:val="19"/>
        </w:rPr>
        <w:t xml:space="preserve"> the (polynomial) model, </w:t>
      </w:r>
      <m:oMath>
        <m:sSub>
          <m:e>
            <m:r>
              <m:t>ε</m:t>
            </m:r>
          </m:e>
          <m:sub>
            <m:r>
              <m:t>t</m:t>
            </m:r>
          </m:sub>
        </m:sSub>
      </m:oMath>
      <w:r>
        <w:rPr>
          <w:color w:val="3A4350"/>
          <w:sz w:val="19"/>
          <w:szCs w:val="19"/>
        </w:rPr>
        <w:t xml:space="preserve"> the bounds on the noise, </w:t>
      </w:r>
      <m:oMath>
        <m:sSup>
          <m:e>
            <m:r>
              <m:rPr>
                <m:scr m:val="script"/>
                <m:sty m:val="p"/>
              </m:rPr>
              <m:t>E</m:t>
            </m:r>
          </m:e>
          <m:sup>
            <m:r>
              <m:rPr>
                <m:sty m:val="p"/>
              </m:rPr>
              <m:t>⋆</m:t>
            </m:r>
          </m:sup>
        </m:sSup>
      </m:oMath>
      <w:r>
        <w:rPr>
          <w:color w:val="3A4350"/>
          <w:sz w:val="19"/>
          <w:szCs w:val="19"/>
        </w:rPr>
        <w:t xml:space="preserve"> the minimum enclosing ellipsoid and </w:t>
      </w:r>
      <m:oMath>
        <m:sSub>
          <m:e>
            <m:r>
              <m:rPr>
                <m:scr m:val="script"/>
                <m:sty m:val="p"/>
              </m:rPr>
              <m:t>E</m:t>
            </m:r>
          </m:e>
          <m:sub>
            <m:r>
              <m:t>k</m:t>
            </m:r>
          </m:sub>
        </m:sSub>
      </m:oMath>
      <w:r>
        <w:rPr>
          <w:color w:val="3A4350"/>
          <w:sz w:val="19"/>
          <w:szCs w:val="19"/>
        </w:rPr>
        <w:t xml:space="preserve"> the ellipsoids of the relaxation hierarchy at order </w:t>
      </w:r>
      <m:oMath>
        <m:r>
          <m:t>k</m:t>
        </m:r>
      </m:oMath>
      <w:r>
        <w:rPr>
          <w:color w:val="3A4350"/>
          <w:sz w:val="19"/>
          <w:szCs w:val="19"/>
        </w:rPr>
        <w:t xml:space="preserve">.</w:t>
      </w:r>
    </w:p>
    <w:p>
      <w:pPr>
        <w:spacing w:after="100" w:before="80"/>
        <w:jc w:val="both"/>
      </w:pPr>
      <w:r>
        <w:rPr>
          <w:b/>
          <w:bCs/>
          <w:color w:val="A51C30"/>
        </w:rPr>
        <w:t xml:space="preserve">Link to the candidate system and to seawater intrusion. </w:t>
      </w:r>
      <w:r>
        <w:t xml:space="preserve">Belongs to sections 1.6 and 1.9. Guaranteed sets are a deterministic, set-valued companion of the upper and lower expectations of proposal N3, and an elongated or unbounded set is a direct diagnosis of non-identifiability, such as that of recharge and flow closure (Proposition 1). Analytical errors of major-ion data are bounded in practice, for example through the charge balance, so a bounded-error model of the field split of section 9.5 is natural.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Tight, computable outer ellipsoids for the set of all parameters consistent with bounded-error data, from a convergent sum-of-squares hierarchy. Proposed extension: report the reaction extents of section 9.5 and the closure coefficients of the candidate system as guaranteed sets under the bounded analytical error, and read the non-identifiability of recharge and flow closure from the elongation of the ellipsoid.</w:t>
      </w:r>
    </w:p>
    <w:p>
      <w:pPr>
        <w:pStyle w:val="Heading1"/>
        <w:pageBreakBefore/>
      </w:pPr>
      <w:r>
        <w:rPr>
          <w:color w:val="4D4D4F"/>
        </w:rPr>
        <w:t xml:space="preserve">6. Massachusetts Institute of Technology (MIT)</w:t>
      </w:r>
    </w:p>
    <w:p>
      <w:pPr>
        <w:spacing w:after="120"/>
        <w:jc w:val="both"/>
      </w:pPr>
      <w:r>
        <w:t xml:space="preserve">MIT contributes closures with memory and the filtering and transport theory around them. Abhinav Gupta and Pierre Lermusiaux learn closures with memory as neural delay equations [M1] and learn the form of coupled reaction models together with their states [M2]; Andre Souza, Tyler Lutz and Glenn Flierl derive exact non-local transport operators for flows that switch between coherent states [M3]; Alexis-Tzianni Charalampopoulos and Themistoklis Sapsis build closures that conserve energy exactly [M5]; Hongbo Zhao, Richard Braatz and Martin Bazant quantify how well constitutive laws learned inside PDEs are determined [M6]; and Weiqi Ji and Sili Deng learn reactions with a network whose weights are stoichiometric coefficients [M7]. For assimilation, Mathieu Le Provost, Ricardo Baptista, Youssef Marzouk and Jeff Eldredge filter elliptic observations such as heads [M4], and Jan-Christian Hütter and Philippe Rigollet give minimax rates for estimating transport maps [M8]. No unused MIT paper on reactive transport in porous media or on seawater intrusion was found.</w:t>
      </w:r>
    </w:p>
    <w:p>
      <w:pPr>
        <w:pStyle w:val="Heading2"/>
        <w:keepNext/>
      </w:pPr>
      <w:r>
        <w:rPr>
          <w:color w:val="4D4D4F"/>
        </w:rPr>
        <w:t xml:space="preserve">M1  </w:t>
      </w:r>
      <w:r>
        <w:rPr>
          <w:color w:val="1F3864"/>
        </w:rPr>
        <w:t xml:space="preserve">Neural closure models for dynamical systems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Abhinav Gupta, Pierre F. J. Lermusiaux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477(2252), 1–29 (2021; pages from the MSEAS publication list, article number not verified); arXiv 2012.13869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jxsrqlaodpyufv7mqd2q">
              <w:r>
                <w:rPr>
                  <w:color w:val="1D4ED8"/>
                  <w:sz w:val="18"/>
                  <w:szCs w:val="18"/>
                  <w:u w:val="single"/>
                </w:rPr>
                <w:t xml:space="preserve">https://doi.org/10.1098/rspa.2020.1004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Engineering, MIT: author manuscript in MIT DSpace (hdl 1721.1/138863), the publication list of the MSEAS group and the MIT news item "Bringing closure to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F. J. Lermusiaux is Nam Pyo Suh Professor and Associate Head of the Department of Mechanical Engineering at MIT and leads the MSEAS group (ocean modelling, estimation and data assimilation); Doherty Chair (2009–2011) and Spira Distinguished Teaching Award (2010).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closure models · memory · neural delay differential equations · Mori–Zwanzig formalism · low-fidelity and reduced-order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Low-fidelity models, whether truncated, coarse-grained or simplified in their processes, miss dynamics that act with a delay. The paper learns the missing terms as neural delay differential equations: a memoryless network of the current state plus a network applied to the state over a past interval, trained on high-fidelity simulations. The Mori–Zwanzig formalism motivates the memory: eliminating unresolved variables produces a history term. The authors derive the adjoint equations and network architectures needed to train discrete and distributed delays efficiently, explain with information theory why discrete delays perform better than distributed ones in closures, and report that closures with memory give better long-term accuracy than memoryless ones with smaller networks. The applications are reduced-order models with truncated modes, subgrid effects in coarse models and simplified biological and physical–biogeochemical models.</w:t>
      </w:r>
    </w:p>
    <w:p>
      <w:pPr>
        <w:keepNext/>
        <w:spacing w:after="40" w:before="80"/>
      </w:pPr>
      <w:r>
        <w:rPr>
          <w:b/>
          <w:bCs/>
          <w:color w:val="4D4D4F"/>
        </w:rPr>
        <w:t xml:space="preserve">Key equation.</w:t>
      </w:r>
      <w:r>
        <w:rPr>
          <w:i/>
          <w:iCs/>
          <w:color w:val="5B6573"/>
          <w:sz w:val="18"/>
          <w:szCs w:val="18"/>
        </w:rPr>
        <w:t xml:space="preserve">  Low-fidelity model with a Markovian and a delay (memory) closure (representative formulation)</w:t>
      </w:r>
    </w:p>
    <w:p>
      <w:pPr>
        <w:pStyle w:val="Equation"/>
      </w:pPr>
      <m:oMathPara>
        <m:oMathParaPr>
          <m:jc m:val="center"/>
        </m:oMathParaPr>
        <m:oMath>
          <m:f>
            <m:fPr>
              <m:type m:val="bar"/>
            </m:fPr>
            <m:num>
              <m:r>
                <m:t>d</m:t>
              </m:r>
              <m:r>
                <m:rPr>
                  <m:sty m:val="b"/>
                </m:rPr>
                <m:t>u</m:t>
              </m:r>
            </m:num>
            <m:den>
              <m:r>
                <m:t>d</m:t>
              </m:r>
              <m:r>
                <m:t>t</m:t>
              </m:r>
            </m:den>
          </m:f>
          <m:r>
            <m:rPr>
              <m:sty m:val="p"/>
            </m:rPr>
            <m:t>=</m:t>
          </m:r>
          <m:sSub>
            <m:e>
              <m:r>
                <m:rPr>
                  <m:scr m:val="script"/>
                  <m:sty m:val="p"/>
                </m:rPr>
                <m:t>F</m:t>
              </m:r>
            </m:e>
            <m:sub>
              <m:r>
                <m:rPr>
                  <m:nor/>
                </m:rPr>
                <m:t>LF</m:t>
              </m:r>
            </m:sub>
          </m:sSub>
          <m:d>
            <m:dPr>
              <m:begChr m:val="("/>
              <m:sepChr m:val=""/>
              <m:endChr m:val=")"/>
              <m:grow/>
            </m:dPr>
            <m:e>
              <m:r>
                <m:rPr>
                  <m:sty m:val="b"/>
                </m:rPr>
                <m:t>u</m:t>
              </m:r>
              <m:d>
                <m:dPr>
                  <m:begChr m:val="("/>
                  <m:sepChr m:val=""/>
                  <m:endChr m:val=")"/>
                  <m:grow/>
                </m:dPr>
                <m:e>
                  <m:r>
                    <m:t>t</m:t>
                  </m:r>
                </m:e>
              </m:d>
            </m:e>
          </m:d>
          <m:r>
            <m:rPr>
              <m:sty m:val="p"/>
            </m:rPr>
            <m:t>+</m:t>
          </m:r>
          <m:sSub>
            <m:e>
              <m:r>
                <m:rPr>
                  <m:scr m:val="script"/>
                  <m:sty m:val="p"/>
                </m:rPr>
                <m:t>N</m:t>
              </m:r>
            </m:e>
            <m:sub>
              <m:r>
                <m:rPr>
                  <m:nor/>
                </m:rPr>
                <m:t>M</m:t>
              </m:r>
            </m:sub>
          </m:sSub>
          <m:d>
            <m:dPr>
              <m:begChr m:val="("/>
              <m:sepChr m:val=""/>
              <m:endChr m:val=")"/>
              <m:grow/>
            </m:dPr>
            <m:e>
              <m:r>
                <m:rPr>
                  <m:sty m:val="b"/>
                </m:rPr>
                <m:t>u</m:t>
              </m:r>
              <m:d>
                <m:dPr>
                  <m:begChr m:val="("/>
                  <m:sepChr m:val=""/>
                  <m:endChr m:val=")"/>
                  <m:grow/>
                </m:dPr>
                <m:e>
                  <m:r>
                    <m:t>t</m:t>
                  </m:r>
                </m:e>
              </m:d>
              <m:r>
                <m:rPr>
                  <m:sty m:val="p"/>
                </m:rPr>
                <m:t>;</m:t>
              </m:r>
              <m:r>
                <m:t>ϕ</m:t>
              </m:r>
            </m:e>
          </m:d>
          <m:r>
            <m:rPr>
              <m:sty m:val="p"/>
            </m:rPr>
            <m:t>+</m:t>
          </m:r>
          <m:nary>
            <m:naryPr>
              <m:chr m:val="∫"/>
              <m:limLoc m:val="subSup"/>
              <m:subHide m:val="off"/>
              <m:supHide m:val="off"/>
            </m:naryPr>
            <m:sub>
              <m:r>
                <m:t>0</m:t>
              </m:r>
            </m:sub>
            <m:sup>
              <m:r>
                <m:t>τ</m:t>
              </m:r>
            </m:sup>
            <m:e>
              <m:sSub>
                <m:e>
                  <m:r>
                    <m:rPr>
                      <m:scr m:val="script"/>
                      <m:sty m:val="p"/>
                    </m:rPr>
                    <m:t>N</m:t>
                  </m:r>
                </m:e>
                <m:sub>
                  <m:r>
                    <m:rPr>
                      <m:nor/>
                    </m:rPr>
                    <m:t>NM</m:t>
                  </m:r>
                </m:sub>
              </m:sSub>
            </m:e>
          </m:nary>
          <m:d>
            <m:dPr>
              <m:begChr m:val="("/>
              <m:sepChr m:val=""/>
              <m:endChr m:val=")"/>
              <m:grow/>
            </m:dPr>
            <m:e>
              <m:r>
                <m:rPr>
                  <m:sty m:val="b"/>
                </m:rPr>
                <m:t>u</m:t>
              </m:r>
              <m:d>
                <m:dPr>
                  <m:begChr m:val="("/>
                  <m:sepChr m:val=""/>
                  <m:endChr m:val=")"/>
                  <m:grow/>
                </m:dPr>
                <m:e>
                  <m:r>
                    <m:t>t</m:t>
                  </m:r>
                  <m:r>
                    <m:rPr>
                      <m:sty m:val="p"/>
                    </m:rPr>
                    <m:t>−</m:t>
                  </m:r>
                  <m:r>
                    <m:t>s</m:t>
                  </m:r>
                </m:e>
              </m:d>
              <m:r>
                <m:rPr>
                  <m:sty m:val="p"/>
                </m:rPr>
                <m:t>;</m:t>
              </m:r>
              <m:r>
                <m:t>ψ</m:t>
              </m:r>
            </m:e>
          </m:d>
          <m:r>
            <m:t>d</m:t>
          </m:r>
          <m:r>
            <m:t>s</m:t>
          </m:r>
        </m:oMath>
      </m:oMathPara>
    </w:p>
    <w:p>
      <w:pPr>
        <w:spacing w:after="100"/>
        <w:jc w:val="both"/>
      </w:pPr>
      <m:oMath>
        <m:sSub>
          <m:e>
            <m:r>
              <m:rPr>
                <m:scr m:val="script"/>
                <m:sty m:val="p"/>
              </m:rPr>
              <m:t>F</m:t>
            </m:r>
          </m:e>
          <m:sub>
            <m:r>
              <m:rPr>
                <m:nor/>
              </m:rPr>
              <m:t>LF</m:t>
            </m:r>
          </m:sub>
        </m:sSub>
      </m:oMath>
      <w:r>
        <w:rPr>
          <w:color w:val="3A4350"/>
          <w:sz w:val="19"/>
          <w:szCs w:val="19"/>
        </w:rPr>
        <w:t xml:space="preserve"> is the known low-fidelity model, </w:t>
      </w:r>
      <m:oMath>
        <m:sSub>
          <m:e>
            <m:r>
              <m:rPr>
                <m:scr m:val="script"/>
                <m:sty m:val="p"/>
              </m:rPr>
              <m:t>N</m:t>
            </m:r>
          </m:e>
          <m:sub>
            <m:r>
              <m:rPr>
                <m:nor/>
              </m:rPr>
              <m:t>M</m:t>
            </m:r>
          </m:sub>
        </m:sSub>
      </m:oMath>
      <w:r>
        <w:rPr>
          <w:color w:val="3A4350"/>
          <w:sz w:val="19"/>
          <w:szCs w:val="19"/>
        </w:rPr>
        <w:t xml:space="preserve"> the memoryless and </w:t>
      </w:r>
      <m:oMath>
        <m:sSub>
          <m:e>
            <m:r>
              <m:rPr>
                <m:scr m:val="script"/>
                <m:sty m:val="p"/>
              </m:rPr>
              <m:t>N</m:t>
            </m:r>
          </m:e>
          <m:sub>
            <m:r>
              <m:rPr>
                <m:nor/>
              </m:rPr>
              <m:t>NM</m:t>
            </m:r>
          </m:sub>
        </m:sSub>
      </m:oMath>
      <w:r>
        <w:rPr>
          <w:color w:val="3A4350"/>
          <w:sz w:val="19"/>
          <w:szCs w:val="19"/>
        </w:rPr>
        <w:t xml:space="preserve"> the memory closure, both neural networks with weights </w:t>
      </w:r>
      <m:oMath>
        <m:r>
          <m:t>ϕ</m:t>
        </m:r>
      </m:oMath>
      <w:r>
        <w:rPr>
          <w:color w:val="3A4350"/>
          <w:sz w:val="19"/>
          <w:szCs w:val="19"/>
        </w:rPr>
        <w:t xml:space="preserve"> and </w:t>
      </w:r>
      <m:oMath>
        <m:r>
          <m:t>ψ</m:t>
        </m:r>
      </m:oMath>
      <w:r>
        <w:rPr>
          <w:color w:val="3A4350"/>
          <w:sz w:val="19"/>
          <w:szCs w:val="19"/>
        </w:rPr>
        <w:t xml:space="preserve">, and </w:t>
      </w:r>
      <m:oMath>
        <m:r>
          <m:t>τ</m:t>
        </m:r>
      </m:oMath>
      <w:r>
        <w:rPr>
          <w:color w:val="3A4350"/>
          <w:sz w:val="19"/>
          <w:szCs w:val="19"/>
        </w:rPr>
        <w:t xml:space="preserve"> the length of the memory.</w:t>
      </w:r>
    </w:p>
    <w:p>
      <w:pPr>
        <w:spacing w:after="100" w:before="80"/>
        <w:jc w:val="both"/>
      </w:pPr>
      <w:r>
        <w:rPr>
          <w:b/>
          <w:bCs/>
          <w:color w:val="4D4D4F"/>
        </w:rPr>
        <w:t xml:space="preserve">Link to the candidate system and to seawater intrusion. </w:t>
      </w:r>
      <w:r>
        <w:t xml:space="preserve">Belongs to sections 1.2, 1.4 and 1.5. Both memory terms of the candidate system, the delayed recharge of proposal N1 and the exchange with the silt–clay layers in the transport equation, have exactly this form, and the Mori–Zwanzig argument is the one of Proposition 3: eliminating the immobile zone or the unsaturated store produces a history term. The exchanger memory of GJURMA (section 9.3), a loading that relaxes with a learned time scale, is a hand-built delay closure of this kind.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Memory closures learned as neural delay differential equations and justified by the Mori–Zwanzig formalism: the first systematic template for the memory terms of the candidate flow and transport equations. Proposed extension: constrain the delay kernel to be completely monotone (Proposition 3), so that the learned memory keeps mass balance and positivity, and add the initial-state term that the formalism requires.</w:t>
      </w:r>
    </w:p>
    <w:p>
      <w:pPr>
        <w:pStyle w:val="Heading2"/>
        <w:keepNext/>
      </w:pPr>
      <w:r>
        <w:rPr>
          <w:color w:val="4D4D4F"/>
        </w:rPr>
        <w:t xml:space="preserve">M2  </w:t>
      </w:r>
      <w:r>
        <w:rPr>
          <w:color w:val="1F3864"/>
        </w:rPr>
        <w:t xml:space="preserve">Bayesian learning of coupled biogeochemical–physical models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Abhinav Gupta, Pierre F. J. Lermusiaux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Progress in Oceanography, 216, article 103050 (2023); arXiv 2211.06714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m85-5gh-c-7ziiikz2eg">
              <w:r>
                <w:rPr>
                  <w:color w:val="1D4ED8"/>
                  <w:sz w:val="18"/>
                  <w:szCs w:val="18"/>
                  <w:u w:val="single"/>
                </w:rPr>
                <w:t xml:space="preserve">https://doi.org/10.1016/j.pocean.2023.103050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Engineering, MIT: MIT DSpace record (hdl 1721.1/153817) and the publication list of the MSEAS group.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F. J. Lermusiaux: see [M1].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model learning · uncertainty of the model form · state augmentation · Gaussian-mixture filter · coupled reaction–advection–diffusion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Coupled biological and physical ocean models are uncertain not only in their parameters but in the functional form of their reaction terms. The paper develops a Bayesian method that learns, from noisy and sparse observations, the state fields, the parameters and the probabilities of candidate model formulations at once, and that can search beyond a fixed set of candidates to propose new functional forms. The probabilities of the formulations are updated by Bayes' law together with the fields and parameters; according to a search summary, the computation uses state augmentation and a Gaussian-mixture filter on dynamically orthogonal equations. Twin experiments couple flows past a ridge, including chaotic advection, to ecosystem models of three to five components.</w:t>
      </w:r>
    </w:p>
    <w:p>
      <w:pPr>
        <w:keepNext/>
        <w:spacing w:after="40" w:before="80"/>
      </w:pPr>
      <w:r>
        <w:rPr>
          <w:b/>
          <w:bCs/>
          <w:color w:val="4D4D4F"/>
        </w:rPr>
        <w:t xml:space="preserve">Key equation.</w:t>
      </w:r>
      <w:r>
        <w:rPr>
          <w:i/>
          <w:iCs/>
          <w:color w:val="5B6573"/>
          <w:sz w:val="18"/>
          <w:szCs w:val="18"/>
        </w:rPr>
        <w:t xml:space="preserve">  Multi-component reaction–advection–diffusion with an uncertain reaction model, and the joint posterior (representative formulation)</w:t>
      </w:r>
    </w:p>
    <w:p>
      <w:pPr>
        <w:pStyle w:val="Equation"/>
      </w:pPr>
      <m:oMathPara>
        <m:oMathParaPr>
          <m:jc m:val="center"/>
        </m:oMathParaPr>
        <m:oMath>
          <m:sSub>
            <m:e>
              <m:r>
                <m:rPr>
                  <m:sty m:val="p"/>
                </m:rPr>
                <m:t>∂</m:t>
              </m:r>
            </m:e>
            <m:sub>
              <m:r>
                <m:t>t</m:t>
              </m:r>
            </m:sub>
          </m:sSub>
          <m:sSub>
            <m:e>
              <m:r>
                <m:t>c</m:t>
              </m:r>
            </m:e>
            <m:sub>
              <m:r>
                <m:t>i</m:t>
              </m:r>
            </m:sub>
          </m:sSub>
          <m:r>
            <m:rPr>
              <m:sty m:val="p"/>
            </m:rPr>
            <m:t>+</m:t>
          </m:r>
          <m:r>
            <m:rPr>
              <m:sty m:val="b"/>
            </m:rPr>
            <m:t>u</m:t>
          </m:r>
          <m:r>
            <m:rPr>
              <m:sty m:val="p"/>
            </m:rPr>
            <m:t>⋅</m:t>
          </m:r>
          <m:r>
            <m:rPr>
              <m:sty m:val="p"/>
            </m:rPr>
            <m:t>∇</m:t>
          </m:r>
          <m:sSub>
            <m:e>
              <m:r>
                <m:t>c</m:t>
              </m:r>
            </m:e>
            <m:sub>
              <m:r>
                <m:t>i</m:t>
              </m:r>
            </m:sub>
          </m:sSub>
          <m:r>
            <m:rPr>
              <m:sty m:val="p"/>
            </m:rPr>
            <m:t>−</m:t>
          </m:r>
          <m:r>
            <m:rPr>
              <m:sty m:val="p"/>
            </m:rPr>
            <m:t>∇</m:t>
          </m:r>
          <m:r>
            <m:rPr>
              <m:sty m:val="p"/>
            </m:rPr>
            <m:t>⋅</m:t>
          </m:r>
          <m:d>
            <m:dPr>
              <m:begChr m:val="("/>
              <m:sepChr m:val=""/>
              <m:endChr m:val=")"/>
              <m:grow/>
            </m:dPr>
            <m:e>
              <m:r>
                <m:t>κ</m:t>
              </m:r>
              <m:r>
                <m:rPr>
                  <m:sty m:val="p"/>
                </m:rPr>
                <m:t>∇</m:t>
              </m:r>
              <m:sSub>
                <m:e>
                  <m:r>
                    <m:t>c</m:t>
                  </m:r>
                </m:e>
                <m:sub>
                  <m:r>
                    <m:t>i</m:t>
                  </m:r>
                </m:sub>
              </m:sSub>
            </m:e>
          </m:d>
          <m:r>
            <m:rPr>
              <m:sty m:val="p"/>
            </m:rPr>
            <m:t>=</m:t>
          </m:r>
          <m:sSub>
            <m:e>
              <m:r>
                <m:t>R</m:t>
              </m:r>
            </m:e>
            <m:sub>
              <m:r>
                <m:t>i</m:t>
              </m:r>
            </m:sub>
          </m:sSub>
          <m:d>
            <m:dPr>
              <m:begChr m:val="("/>
              <m:sepChr m:val=""/>
              <m:endChr m:val=")"/>
              <m:grow/>
            </m:dPr>
            <m:e>
              <m:r>
                <m:rPr>
                  <m:sty m:val="b"/>
                </m:rPr>
                <m:t>c</m:t>
              </m:r>
              <m:r>
                <m:rPr>
                  <m:sty m:val="p"/>
                </m:rPr>
                <m:t>;</m:t>
              </m:r>
              <m:r>
                <m:rPr>
                  <m:sty m:val="b"/>
                </m:rPr>
                <m:t>θ</m:t>
              </m:r>
              <m:r>
                <m:rPr>
                  <m:sty m:val="p"/>
                </m:rPr>
                <m:t>,</m:t>
              </m:r>
              <m:sSub>
                <m:e>
                  <m:r>
                    <m:rPr>
                      <m:scr m:val="script"/>
                      <m:sty m:val="p"/>
                    </m:rPr>
                    <m:t>M</m:t>
                  </m:r>
                </m:e>
                <m:sub>
                  <m:r>
                    <m:t>k</m:t>
                  </m:r>
                </m:sub>
              </m:sSub>
            </m:e>
          </m:d>
          <m:r>
            <m:rPr>
              <m:sty m:val="p"/>
            </m:rPr>
            <m:t>,</m:t>
          </m:r>
          <m:r>
            <m:t>  </m:t>
          </m:r>
          <m:r>
            <m:t>i</m:t>
          </m:r>
          <m:r>
            <m:rPr>
              <m:sty m:val="p"/>
            </m:rPr>
            <m:t>=</m:t>
          </m:r>
          <m:r>
            <m:t>1</m:t>
          </m:r>
          <m:r>
            <m:rPr>
              <m:sty m:val="p"/>
            </m:rPr>
            <m:t>,</m:t>
          </m:r>
          <m:r>
            <m:rPr>
              <m:sty m:val="p"/>
            </m:rPr>
            <m:t>…</m:t>
          </m:r>
          <m:r>
            <m:rPr>
              <m:sty m:val="p"/>
            </m:rPr>
            <m:t>,</m:t>
          </m:r>
          <m:r>
            <m:t>n</m:t>
          </m:r>
        </m:oMath>
      </m:oMathPara>
    </w:p>
    <w:p>
      <w:pPr>
        <w:pStyle w:val="Equation"/>
      </w:pPr>
      <m:oMathPara>
        <m:oMathParaPr>
          <m:jc m:val="center"/>
        </m:oMathParaPr>
        <m:oMath>
          <m:r>
            <m:t>p</m:t>
          </m:r>
          <m:d>
            <m:dPr>
              <m:begChr m:val="("/>
              <m:sepChr m:val=""/>
              <m:endChr m:val=")"/>
              <m:grow/>
            </m:dPr>
            <m:e>
              <m:r>
                <m:rPr>
                  <m:sty m:val="b"/>
                </m:rPr>
                <m:t>c</m:t>
              </m:r>
              <m:r>
                <m:rPr>
                  <m:sty m:val="p"/>
                </m:rPr>
                <m:t>,</m:t>
              </m:r>
              <m:r>
                <m:rPr>
                  <m:sty m:val="b"/>
                </m:rPr>
                <m:t>θ</m:t>
              </m:r>
              <m:r>
                <m:rPr>
                  <m:sty m:val="p"/>
                </m:rPr>
                <m:t>,</m:t>
              </m:r>
              <m:sSub>
                <m:e>
                  <m:r>
                    <m:rPr>
                      <m:scr m:val="script"/>
                      <m:sty m:val="p"/>
                    </m:rPr>
                    <m:t>M</m:t>
                  </m:r>
                </m:e>
                <m:sub>
                  <m:r>
                    <m:t>k</m:t>
                  </m:r>
                </m:sub>
              </m:sSub>
              <m:r>
                <m:rPr>
                  <m:sty m:val="p"/>
                </m:rPr>
                <m:t>∣</m:t>
              </m:r>
              <m:r>
                <m:rPr>
                  <m:sty m:val="b"/>
                </m:rPr>
                <m:t>y</m:t>
              </m:r>
            </m:e>
          </m:d>
          <m:r>
            <m:rPr>
              <m:sty m:val="p"/>
            </m:rPr>
            <m:t>∝</m:t>
          </m:r>
          <m:r>
            <m:t>p</m:t>
          </m:r>
          <m:d>
            <m:dPr>
              <m:begChr m:val="("/>
              <m:sepChr m:val=""/>
              <m:endChr m:val=")"/>
              <m:grow/>
            </m:dPr>
            <m:e>
              <m:r>
                <m:rPr>
                  <m:sty m:val="b"/>
                </m:rPr>
                <m:t>y</m:t>
              </m:r>
              <m:r>
                <m:rPr>
                  <m:sty m:val="p"/>
                </m:rPr>
                <m:t>∣</m:t>
              </m:r>
              <m:r>
                <m:rPr>
                  <m:sty m:val="b"/>
                </m:rPr>
                <m:t>c</m:t>
              </m:r>
            </m:e>
          </m:d>
          <m:r>
            <m:t> </m:t>
          </m:r>
          <m:r>
            <m:t>p</m:t>
          </m:r>
          <m:d>
            <m:dPr>
              <m:begChr m:val="("/>
              <m:sepChr m:val=""/>
              <m:endChr m:val=")"/>
              <m:grow/>
            </m:dPr>
            <m:e>
              <m:r>
                <m:rPr>
                  <m:sty m:val="b"/>
                </m:rPr>
                <m:t>c</m:t>
              </m:r>
              <m:r>
                <m:rPr>
                  <m:sty m:val="p"/>
                </m:rPr>
                <m:t>,</m:t>
              </m:r>
              <m:r>
                <m:rPr>
                  <m:sty m:val="b"/>
                </m:rPr>
                <m:t>θ</m:t>
              </m:r>
              <m:r>
                <m:rPr>
                  <m:sty m:val="p"/>
                </m:rPr>
                <m:t>∣</m:t>
              </m:r>
              <m:sSub>
                <m:e>
                  <m:r>
                    <m:rPr>
                      <m:scr m:val="script"/>
                      <m:sty m:val="p"/>
                    </m:rPr>
                    <m:t>M</m:t>
                  </m:r>
                </m:e>
                <m:sub>
                  <m:r>
                    <m:t>k</m:t>
                  </m:r>
                </m:sub>
              </m:sSub>
            </m:e>
          </m:d>
          <m:r>
            <m:t> </m:t>
          </m:r>
          <m:r>
            <m:t>p</m:t>
          </m:r>
          <m:d>
            <m:dPr>
              <m:begChr m:val="("/>
              <m:sepChr m:val=""/>
              <m:endChr m:val=")"/>
              <m:grow/>
            </m:dPr>
            <m:e>
              <m:sSub>
                <m:e>
                  <m:r>
                    <m:rPr>
                      <m:scr m:val="script"/>
                      <m:sty m:val="p"/>
                    </m:rPr>
                    <m:t>M</m:t>
                  </m:r>
                </m:e>
                <m:sub>
                  <m:r>
                    <m:t>k</m:t>
                  </m:r>
                </m:sub>
              </m:sSub>
            </m:e>
          </m:d>
        </m:oMath>
      </m:oMathPara>
    </w:p>
    <w:p>
      <w:pPr>
        <w:spacing w:after="100"/>
        <w:jc w:val="both"/>
      </w:pPr>
      <m:oMath>
        <m:sSub>
          <m:e>
            <m:r>
              <m:t>c</m:t>
            </m:r>
          </m:e>
          <m:sub>
            <m:r>
              <m:t>i</m:t>
            </m:r>
          </m:sub>
        </m:sSub>
      </m:oMath>
      <w:r>
        <w:rPr>
          <w:color w:val="3A4350"/>
          <w:sz w:val="19"/>
          <w:szCs w:val="19"/>
        </w:rPr>
        <w:t xml:space="preserve"> are the interacting components, </w:t>
      </w:r>
      <m:oMath>
        <m:sSub>
          <m:e>
            <m:r>
              <m:t>R</m:t>
            </m:r>
          </m:e>
          <m:sub>
            <m:r>
              <m:t>i</m:t>
            </m:r>
          </m:sub>
        </m:sSub>
      </m:oMath>
      <w:r>
        <w:rPr>
          <w:color w:val="3A4350"/>
          <w:sz w:val="19"/>
          <w:szCs w:val="19"/>
        </w:rPr>
        <w:t xml:space="preserve"> their reaction terms under the candidate formulation </w:t>
      </w:r>
      <m:oMath>
        <m:sSub>
          <m:e>
            <m:r>
              <m:rPr>
                <m:scr m:val="script"/>
                <m:sty m:val="p"/>
              </m:rPr>
              <m:t>M</m:t>
            </m:r>
          </m:e>
          <m:sub>
            <m:r>
              <m:t>k</m:t>
            </m:r>
          </m:sub>
        </m:sSub>
      </m:oMath>
      <w:r>
        <w:rPr>
          <w:color w:val="3A4350"/>
          <w:sz w:val="19"/>
          <w:szCs w:val="19"/>
        </w:rPr>
        <w:t xml:space="preserve"> with parameters </w:t>
      </w:r>
      <m:oMath>
        <m:r>
          <m:rPr>
            <m:sty m:val="b"/>
          </m:rPr>
          <m:t>θ</m:t>
        </m:r>
      </m:oMath>
      <w:r>
        <w:rPr>
          <w:color w:val="3A4350"/>
          <w:sz w:val="19"/>
          <w:szCs w:val="19"/>
        </w:rPr>
        <w:t xml:space="preserve">, and </w:t>
      </w:r>
      <m:oMath>
        <m:r>
          <m:rPr>
            <m:sty m:val="b"/>
          </m:rPr>
          <m:t>y</m:t>
        </m:r>
      </m:oMath>
      <w:r>
        <w:rPr>
          <w:color w:val="3A4350"/>
          <w:sz w:val="19"/>
          <w:szCs w:val="19"/>
        </w:rPr>
        <w:t xml:space="preserve"> the sparse observations.</w:t>
      </w:r>
    </w:p>
    <w:p>
      <w:pPr>
        <w:spacing w:after="100" w:before="80"/>
        <w:jc w:val="both"/>
      </w:pPr>
      <w:r>
        <w:rPr>
          <w:b/>
          <w:bCs/>
          <w:color w:val="4D4D4F"/>
        </w:rPr>
        <w:t xml:space="preserve">Link to the candidate system and to seawater intrusion. </w:t>
      </w:r>
      <w:r>
        <w:t xml:space="preserve">Belongs to sections 1.5 and 1.7. It has the structure of the candidate transport equation with assimilation: several interacting species, reaction terms of uncertain form, and a joint posterior of states, parameters and model forms obtained by augmenting the state. For Fushë-Kuqe, the candidate reaction sets (exchange only; exchange and sulfate reduction; with or without calcite) can be ranked by their posterior probabilities given the four analyses and the chloride history.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Joint Bayesian learning of the functional form, the parameters and the state of a coupled multi-component reaction–advection system from sparse noisy data, with the ability to propose forms outside the candidate set. Proposed extension: restrict the candidate forms to the stoichiometric span and learn the transport part from the reaction invariant alone (the cut of Proposition 5), which section 9.6 shows to calibrate the forecasts of chloride.</w:t>
      </w:r>
    </w:p>
    <w:p>
      <w:pPr>
        <w:pStyle w:val="Heading2"/>
        <w:keepNext/>
      </w:pPr>
      <w:r>
        <w:rPr>
          <w:color w:val="4D4D4F"/>
        </w:rPr>
        <w:t xml:space="preserve">M3  </w:t>
      </w:r>
      <w:r>
        <w:rPr>
          <w:color w:val="1F3864"/>
        </w:rPr>
        <w:t xml:space="preserve">Statistical non-locality of dynamically coherent structures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 N. Souza, Tyler Lutz, Glenn R. Flierl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966, A44 (2023); arXiv 2211.16608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aqfmxhqwwstz86dnlrda">
              <w:r>
                <w:rPr>
                  <w:color w:val="1D4ED8"/>
                  <w:sz w:val="18"/>
                  <w:szCs w:val="18"/>
                  <w:u w:val="single"/>
                </w:rPr>
                <w:t xml:space="preserve">https://doi.org/10.1017/jfm.2023.467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Cambridge MA (A. N. Souza and G. R. Flierl) and Otto-von-Guericke-Universität Magdeburg (T. Lutz): the affiliation block on the publisher's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G. R. Flierl is Professor of Oceanography in the Department of Earth, Atmospheric and Planetary Sciences at MIT (on the faculty since 1976), Fellow of the American Geophysical Union (2014) and recipient of the Henry Stommel Research Medal of the American Meteorological Society (2015).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passive tracers · conditional averaging · flow statistics as a continuous-time Markov process · non-local transport operators · eddy diffusivity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The transport of a passive tracer by a flow that switches between coherent structures is averaged conditionally on the state of the flow, whose statistics are modelled as a continuous-time Markov process. For a finite number of flow states the problem is analytically tractable, and hierarchies of such processes approximate richer statistics. The mean flux of the tracer is then a linear operator on the mean tracer that is non-local in space and time; the classical eddy-diffusivity tensor appears only in the local limit. According to the preprint, the closed-form expressions are derived without approximation.</w:t>
      </w:r>
    </w:p>
    <w:p>
      <w:pPr>
        <w:keepNext/>
        <w:spacing w:after="40" w:before="80"/>
      </w:pPr>
      <w:r>
        <w:rPr>
          <w:b/>
          <w:bCs/>
          <w:color w:val="4D4D4F"/>
        </w:rPr>
        <w:t xml:space="preserve">Key equation.</w:t>
      </w:r>
      <w:r>
        <w:rPr>
          <w:i/>
          <w:iCs/>
          <w:color w:val="5B6573"/>
          <w:sz w:val="18"/>
          <w:szCs w:val="18"/>
        </w:rPr>
        <w:t xml:space="preserve">  Conditional means of the tracer, one per flow state, coupled by the generator of the Markov chain (representative formulation)</w:t>
      </w:r>
    </w:p>
    <w:p>
      <w:pPr>
        <w:pStyle w:val="Equation"/>
      </w:pPr>
      <m:oMathPara>
        <m:oMathParaPr>
          <m:jc m:val="center"/>
        </m:oMathParaPr>
        <m:oMath>
          <m:sSub>
            <m:e>
              <m:r>
                <m:rPr>
                  <m:sty m:val="p"/>
                </m:rPr>
                <m:t>∂</m:t>
              </m:r>
            </m:e>
            <m:sub>
              <m:r>
                <m:t>t</m:t>
              </m:r>
            </m:sub>
          </m:sSub>
          <m:sSub>
            <m:e>
              <m:r>
                <m:t>θ</m:t>
              </m:r>
            </m:e>
            <m:sub>
              <m:r>
                <m:t>n</m:t>
              </m:r>
            </m:sub>
          </m:sSub>
          <m:r>
            <m:rPr>
              <m:sty m:val="p"/>
            </m:rPr>
            <m:t>+</m:t>
          </m:r>
          <m:r>
            <m:rPr>
              <m:sty m:val="p"/>
            </m:rPr>
            <m:t>∇</m:t>
          </m:r>
          <m:r>
            <m:rPr>
              <m:sty m:val="p"/>
            </m:rPr>
            <m:t>⋅</m:t>
          </m:r>
          <m:d>
            <m:dPr>
              <m:begChr m:val="("/>
              <m:sepChr m:val=""/>
              <m:endChr m:val=")"/>
              <m:grow/>
            </m:dPr>
            <m:e>
              <m:sSub>
                <m:e>
                  <m:r>
                    <m:rPr>
                      <m:sty m:val="b"/>
                    </m:rPr>
                    <m:t>u</m:t>
                  </m:r>
                </m:e>
                <m:sub>
                  <m:r>
                    <m:t>n</m:t>
                  </m:r>
                </m:sub>
              </m:sSub>
              <m:sSub>
                <m:e>
                  <m:r>
                    <m:t>θ</m:t>
                  </m:r>
                </m:e>
                <m:sub>
                  <m:r>
                    <m:t>n</m:t>
                  </m:r>
                </m:sub>
              </m:sSub>
            </m:e>
          </m:d>
          <m:r>
            <m:rPr>
              <m:sty m:val="p"/>
            </m:rPr>
            <m:t>−</m:t>
          </m:r>
          <m:r>
            <m:t>κ</m:t>
          </m:r>
          <m:r>
            <m:t>Δ</m:t>
          </m:r>
          <m:sSub>
            <m:e>
              <m:r>
                <m:t>θ</m:t>
              </m:r>
            </m:e>
            <m:sub>
              <m:r>
                <m:t>n</m:t>
              </m:r>
            </m:sub>
          </m:sSub>
          <m:r>
            <m:rPr>
              <m:sty m:val="p"/>
            </m:rPr>
            <m:t>=</m:t>
          </m:r>
          <m:nary>
            <m:naryPr>
              <m:chr m:val="∑"/>
              <m:limLoc m:val="undOvr"/>
              <m:subHide m:val="off"/>
              <m:supHide m:val="on"/>
            </m:naryPr>
            <m:sub>
              <m:r>
                <m:t>m</m:t>
              </m:r>
            </m:sub>
            <m:sup>
              <m:r>
                <m:t>​</m:t>
              </m:r>
            </m:sup>
            <m:e>
              <m:sSub>
                <m:e>
                  <m:r>
                    <m:t>Q</m:t>
                  </m:r>
                </m:e>
                <m:sub>
                  <m:r>
                    <m:t>n</m:t>
                  </m:r>
                  <m:r>
                    <m:t>m</m:t>
                  </m:r>
                </m:sub>
              </m:sSub>
            </m:e>
          </m:nary>
          <m:sSub>
            <m:e>
              <m:r>
                <m:t>θ</m:t>
              </m:r>
            </m:e>
            <m:sub>
              <m:r>
                <m:t>m</m:t>
              </m:r>
            </m:sub>
          </m:sSub>
          <m:r>
            <m:rPr>
              <m:sty m:val="p"/>
            </m:rPr>
            <m:t>,</m:t>
          </m:r>
          <m:r>
            <m:t>  </m:t>
          </m:r>
          <m:acc>
            <m:accPr>
              <m:chr m:val="‾"/>
            </m:accPr>
            <m:e>
              <m:r>
                <m:t>c</m:t>
              </m:r>
            </m:e>
          </m:acc>
          <m:r>
            <m:rPr>
              <m:sty m:val="p"/>
            </m:rPr>
            <m:t>=</m:t>
          </m:r>
          <m:nary>
            <m:naryPr>
              <m:chr m:val="∑"/>
              <m:limLoc m:val="undOvr"/>
              <m:subHide m:val="off"/>
              <m:supHide m:val="on"/>
            </m:naryPr>
            <m:sub>
              <m:r>
                <m:t>n</m:t>
              </m:r>
            </m:sub>
            <m:sup>
              <m:r>
                <m:t>​</m:t>
              </m:r>
            </m:sup>
            <m:e>
              <m:sSub>
                <m:e>
                  <m:r>
                    <m:t>θ</m:t>
                  </m:r>
                </m:e>
                <m:sub>
                  <m:r>
                    <m:t>n</m:t>
                  </m:r>
                </m:sub>
              </m:sSub>
            </m:e>
          </m:nary>
        </m:oMath>
      </m:oMathPara>
    </w:p>
    <w:p>
      <w:pPr>
        <w:spacing w:after="100"/>
        <w:jc w:val="both"/>
      </w:pPr>
      <m:oMath>
        <m:sSub>
          <m:e>
            <m:r>
              <m:t>θ</m:t>
            </m:r>
          </m:e>
          <m:sub>
            <m:r>
              <m:t>n</m:t>
            </m:r>
          </m:sub>
        </m:sSub>
      </m:oMath>
      <w:r>
        <w:rPr>
          <w:color w:val="3A4350"/>
          <w:sz w:val="19"/>
          <w:szCs w:val="19"/>
        </w:rPr>
        <w:t xml:space="preserve"> is the tracer weighted by the probability of flow state </w:t>
      </w:r>
      <m:oMath>
        <m:r>
          <m:t>n</m:t>
        </m:r>
      </m:oMath>
      <w:r>
        <w:rPr>
          <w:color w:val="3A4350"/>
          <w:sz w:val="19"/>
          <w:szCs w:val="19"/>
        </w:rPr>
        <w:t xml:space="preserve"> with velocity </w:t>
      </w:r>
      <m:oMath>
        <m:sSub>
          <m:e>
            <m:r>
              <m:rPr>
                <m:sty m:val="b"/>
              </m:rPr>
              <m:t>u</m:t>
            </m:r>
          </m:e>
          <m:sub>
            <m:r>
              <m:t>n</m:t>
            </m:r>
          </m:sub>
        </m:sSub>
      </m:oMath>
      <w:r>
        <w:rPr>
          <w:color w:val="3A4350"/>
          <w:sz w:val="19"/>
          <w:szCs w:val="19"/>
        </w:rPr>
        <w:t xml:space="preserve">, </w:t>
      </w:r>
      <m:oMath>
        <m:r>
          <m:t>Q</m:t>
        </m:r>
      </m:oMath>
      <w:r>
        <w:rPr>
          <w:color w:val="3A4350"/>
          <w:sz w:val="19"/>
          <w:szCs w:val="19"/>
        </w:rPr>
        <w:t xml:space="preserve"> the generator of the Markov chain of flow states and </w:t>
      </w:r>
      <m:oMath>
        <m:acc>
          <m:accPr>
            <m:chr m:val="‾"/>
          </m:accPr>
          <m:e>
            <m:r>
              <m:t>c</m:t>
            </m:r>
          </m:e>
        </m:acc>
      </m:oMath>
      <w:r>
        <w:rPr>
          <w:color w:val="3A4350"/>
          <w:sz w:val="19"/>
          <w:szCs w:val="19"/>
        </w:rPr>
        <w:t xml:space="preserve"> the mean tracer; eliminating the </w:t>
      </w:r>
      <m:oMath>
        <m:sSub>
          <m:e>
            <m:r>
              <m:t>θ</m:t>
            </m:r>
          </m:e>
          <m:sub>
            <m:r>
              <m:t>n</m:t>
            </m:r>
          </m:sub>
        </m:sSub>
      </m:oMath>
      <w:r>
        <w:rPr>
          <w:color w:val="3A4350"/>
          <w:sz w:val="19"/>
          <w:szCs w:val="19"/>
        </w:rPr>
        <w:t xml:space="preserve"> gives a flux of </w:t>
      </w:r>
      <m:oMath>
        <m:acc>
          <m:accPr>
            <m:chr m:val="‾"/>
          </m:accPr>
          <m:e>
            <m:r>
              <m:t>c</m:t>
            </m:r>
          </m:e>
        </m:acc>
      </m:oMath>
      <w:r>
        <w:rPr>
          <w:color w:val="3A4350"/>
          <w:sz w:val="19"/>
          <w:szCs w:val="19"/>
        </w:rPr>
        <w:t xml:space="preserve"> that is non-local in space and time.</w:t>
      </w:r>
    </w:p>
    <w:p>
      <w:pPr>
        <w:spacing w:after="100" w:before="80"/>
        <w:jc w:val="both"/>
      </w:pPr>
      <w:r>
        <w:rPr>
          <w:b/>
          <w:bCs/>
          <w:color w:val="4D4D4F"/>
        </w:rPr>
        <w:t xml:space="preserve">Link to the candidate system and to seawater intrusion. </w:t>
      </w:r>
      <w:r>
        <w:t xml:space="preserve">Belongs to section 1.4. Eliminating unresolved variability of the flow turns dispersion into a memory operator, as eliminating the immobile zone does in Proposition 3; with flow states instead of immobile zones the system above is a multi-rate model of a different origin. In a pumped coastal aquifer the flow states are the pumping regimes (heavy pumping, pause, renewed pumping in section 9.2), so the memory of chloride could be derived from the pumping record.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Exact, closed-form non-local transport operators for tracers carried by flows that switch between coherent states, with the eddy diffusivity as the local limit. Proposed extension: take the pumping regimes of the well field as the Markov states and derive the memory kernel of chloride from the pumping record instead of fitting it, leaving the learned closure only the reactions.</w:t>
      </w:r>
    </w:p>
    <w:p>
      <w:pPr>
        <w:pStyle w:val="Heading2"/>
        <w:keepNext/>
      </w:pPr>
      <w:r>
        <w:rPr>
          <w:color w:val="4D4D4F"/>
        </w:rPr>
        <w:t xml:space="preserve">M4  </w:t>
      </w:r>
      <w:r>
        <w:rPr>
          <w:color w:val="1F3864"/>
        </w:rPr>
        <w:t xml:space="preserve">A low-rank ensemble Kalman filter for elliptic observations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Mathieu Le Provost, Ricardo Baptista, Youssef Marzouk, Jeff D. Eldredge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478, article 20220182 (2022); arXiv 2203.05120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wqh5-hnf3mt5dgzgg6kp">
              <w:r>
                <w:rPr>
                  <w:color w:val="1D4ED8"/>
                  <w:sz w:val="18"/>
                  <w:szCs w:val="18"/>
                  <w:u w:val="single"/>
                </w:rPr>
                <w:t xml:space="preserve">https://doi.org/10.1098/rspa.2022.0182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Aeronautics and Astronautics, MIT (R. Baptista and Y. Marzouk) and University of California, Los Angeles (M. Le Provost and J. D. Eldredge): the journal-style manuscript on arXiv.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Y. Marzouk is the Breene M. Kerr (1951) Professor at MIT, Fellow of SIAM (2025, for uncertainty quantification, Bayesian computation and measure transport) and Associate Fellow of AIAA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ensemble Kalman filter · elliptic observation operators · localisation · low-rank Kalman gain · dimension reduction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When the observations are produced by an elliptic equation, as pressures or potentials are, every observation depends on the whole state, and localisation by distance cannot separate genuine long-range coupling from spurious correlations of a small ensemble. The paper regularises the ensemble Kalman update instead with the spectrum of the Jacobian of the observation operator, factorising the Kalman gain so that inference is carried out in a low-dimensional informative subspace. The tests estimate point singularities from potential or pressure data; the authors note that the filter remains biased for nonlinear models.</w:t>
      </w:r>
    </w:p>
    <w:p>
      <w:pPr>
        <w:keepNext/>
        <w:spacing w:after="40" w:before="80"/>
      </w:pPr>
      <w:r>
        <w:rPr>
          <w:b/>
          <w:bCs/>
          <w:color w:val="4D4D4F"/>
        </w:rPr>
        <w:t xml:space="preserve">Key equation.</w:t>
      </w:r>
      <w:r>
        <w:rPr>
          <w:i/>
          <w:iCs/>
          <w:color w:val="5B6573"/>
          <w:sz w:val="18"/>
          <w:szCs w:val="18"/>
        </w:rPr>
        <w:t xml:space="preserve">  Ensemble analysis in the informative subspace of the observations (representative formulation)</w:t>
      </w:r>
    </w:p>
    <w:p>
      <w:pPr>
        <w:pStyle w:val="Equation"/>
      </w:pPr>
      <m:oMathPara>
        <m:oMathParaPr>
          <m:jc m:val="center"/>
        </m:oMathParaPr>
        <m:oMath>
          <m:sSup>
            <m:e>
              <m:r>
                <m:rPr>
                  <m:sty m:val="b"/>
                </m:rPr>
                <m:t>x</m:t>
              </m:r>
            </m:e>
            <m:sup>
              <m:r>
                <m:t>a</m:t>
              </m:r>
            </m:sup>
          </m:sSup>
          <m:r>
            <m:rPr>
              <m:sty m:val="p"/>
            </m:rPr>
            <m:t>=</m:t>
          </m:r>
          <m:sSup>
            <m:e>
              <m:r>
                <m:rPr>
                  <m:sty m:val="b"/>
                </m:rPr>
                <m:t>x</m:t>
              </m:r>
            </m:e>
            <m:sup>
              <m:r>
                <m:t>f</m:t>
              </m:r>
            </m:sup>
          </m:sSup>
          <m:r>
            <m:rPr>
              <m:sty m:val="p"/>
            </m:rPr>
            <m:t>+</m:t>
          </m:r>
          <m:sSub>
            <m:e>
              <m:r>
                <m:rPr>
                  <m:scr m:val="sans-serif"/>
                  <m:sty m:val="p"/>
                </m:rPr>
                <m:t>C</m:t>
              </m:r>
            </m:e>
            <m:sub>
              <m:r>
                <m:t>x</m:t>
              </m:r>
              <m:acc>
                <m:accPr>
                  <m:chr m:val="̃"/>
                </m:accPr>
                <m:e>
                  <m:r>
                    <m:t>y</m:t>
                  </m:r>
                </m:e>
              </m:acc>
            </m:sub>
          </m:sSub>
          <m:sSup>
            <m:e>
              <m:d>
                <m:dPr>
                  <m:begChr m:val="("/>
                  <m:sepChr m:val=""/>
                  <m:endChr m:val=")"/>
                  <m:grow/>
                </m:dPr>
                <m:e>
                  <m:sSub>
                    <m:e>
                      <m:r>
                        <m:rPr>
                          <m:scr m:val="sans-serif"/>
                          <m:sty m:val="p"/>
                        </m:rPr>
                        <m:t>C</m:t>
                      </m:r>
                    </m:e>
                    <m:sub>
                      <m:acc>
                        <m:accPr>
                          <m:chr m:val="̃"/>
                        </m:accPr>
                        <m:e>
                          <m:r>
                            <m:t>y</m:t>
                          </m:r>
                        </m:e>
                      </m:acc>
                      <m:acc>
                        <m:accPr>
                          <m:chr m:val="̃"/>
                        </m:accPr>
                        <m:e>
                          <m:r>
                            <m:t>y</m:t>
                          </m:r>
                        </m:e>
                      </m:acc>
                    </m:sub>
                  </m:sSub>
                  <m:r>
                    <m:rPr>
                      <m:sty m:val="p"/>
                    </m:rPr>
                    <m:t>+</m:t>
                  </m:r>
                  <m:sSub>
                    <m:e>
                      <m:r>
                        <m:rPr>
                          <m:scr m:val="sans-serif"/>
                          <m:sty m:val="p"/>
                        </m:rPr>
                        <m:t>I</m:t>
                      </m:r>
                    </m:e>
                    <m:sub>
                      <m:r>
                        <m:t>r</m:t>
                      </m:r>
                    </m:sub>
                  </m:sSub>
                </m:e>
              </m:d>
            </m:e>
            <m:sup>
              <m:r>
                <m:rPr>
                  <m:sty m:val="p"/>
                </m:rPr>
                <m:t>−</m:t>
              </m:r>
              <m:r>
                <m:t>1</m:t>
              </m:r>
            </m:sup>
          </m:sSup>
          <m:d>
            <m:dPr>
              <m:begChr m:val="("/>
              <m:sepChr m:val=""/>
              <m:endChr m:val=")"/>
              <m:grow/>
            </m:dPr>
            <m:e>
              <m:sSup>
                <m:e>
                  <m:acc>
                    <m:accPr>
                      <m:chr m:val="̃"/>
                    </m:accPr>
                    <m:e>
                      <m:r>
                        <m:rPr>
                          <m:sty m:val="b"/>
                        </m:rPr>
                        <m:t>y</m:t>
                      </m:r>
                    </m:e>
                  </m:acc>
                </m:e>
                <m:sup>
                  <m:r>
                    <m:rPr>
                      <m:sty m:val="p"/>
                    </m:rPr>
                    <m:t>⋆</m:t>
                  </m:r>
                </m:sup>
              </m:sSup>
              <m:r>
                <m:rPr>
                  <m:sty m:val="p"/>
                </m:rPr>
                <m:t>−</m:t>
              </m:r>
              <m:sSup>
                <m:e>
                  <m:acc>
                    <m:accPr>
                      <m:chr m:val="̃"/>
                    </m:accPr>
                    <m:e>
                      <m:r>
                        <m:rPr>
                          <m:sty m:val="b"/>
                        </m:rPr>
                        <m:t>y</m:t>
                      </m:r>
                    </m:e>
                  </m:acc>
                </m:e>
                <m:sup>
                  <m:r>
                    <m:t>f</m:t>
                  </m:r>
                </m:sup>
              </m:sSup>
            </m:e>
          </m:d>
          <m:r>
            <m:rPr>
              <m:sty m:val="p"/>
            </m:rPr>
            <m:t>,</m:t>
          </m:r>
          <m:r>
            <m:t>  </m:t>
          </m:r>
          <m:acc>
            <m:accPr>
              <m:chr m:val="̃"/>
            </m:accPr>
            <m:e>
              <m:r>
                <m:rPr>
                  <m:sty m:val="b"/>
                </m:rPr>
                <m:t>y</m:t>
              </m:r>
            </m:e>
          </m:acc>
          <m:r>
            <m:rPr>
              <m:sty m:val="p"/>
            </m:rPr>
            <m:t>=</m:t>
          </m:r>
          <m:sSubSup>
            <m:e>
              <m:r>
                <m:rPr>
                  <m:scr m:val="sans-serif"/>
                  <m:sty m:val="p"/>
                </m:rPr>
                <m:t>U</m:t>
              </m:r>
            </m:e>
            <m:sub>
              <m:r>
                <m:t>r</m:t>
              </m:r>
            </m:sub>
            <m:sup>
              <m:r>
                <m:rPr>
                  <m:nor/>
                </m:rPr>
                <m:t>T</m:t>
              </m:r>
            </m:sup>
          </m:sSubSup>
          <m:sSup>
            <m:e>
              <m:r>
                <m:t>Γ</m:t>
              </m:r>
            </m:e>
            <m:sup>
              <m:r>
                <m:rPr>
                  <m:sty m:val="p"/>
                </m:rPr>
                <m:t>−</m:t>
              </m:r>
              <m:r>
                <m:t>1</m:t>
              </m:r>
              <m:r>
                <m:rPr>
                  <m:sty m:val="p"/>
                </m:rPr>
                <m:t>/</m:t>
              </m:r>
              <m:r>
                <m:t>2</m:t>
              </m:r>
            </m:sup>
          </m:sSup>
          <m:r>
            <m:rPr>
              <m:sty m:val="b"/>
            </m:rPr>
            <m:t>y</m:t>
          </m:r>
        </m:oMath>
      </m:oMathPara>
    </w:p>
    <w:p>
      <w:pPr>
        <w:spacing w:after="100"/>
        <w:jc w:val="both"/>
      </w:pPr>
      <m:oMath>
        <m:r>
          <m:t>Γ</m:t>
        </m:r>
      </m:oMath>
      <w:r>
        <w:rPr>
          <w:color w:val="3A4350"/>
          <w:sz w:val="19"/>
          <w:szCs w:val="19"/>
        </w:rPr>
        <w:t xml:space="preserve"> is the covariance of the observation noise, </w:t>
      </w:r>
      <m:oMath>
        <m:sSub>
          <m:e>
            <m:r>
              <m:rPr>
                <m:scr m:val="sans-serif"/>
                <m:sty m:val="p"/>
              </m:rPr>
              <m:t>U</m:t>
            </m:r>
          </m:e>
          <m:sub>
            <m:r>
              <m:t>r</m:t>
            </m:r>
          </m:sub>
        </m:sSub>
      </m:oMath>
      <w:r>
        <w:rPr>
          <w:color w:val="3A4350"/>
          <w:sz w:val="19"/>
          <w:szCs w:val="19"/>
        </w:rPr>
        <w:t xml:space="preserve"> the leading </w:t>
      </w:r>
      <m:oMath>
        <m:r>
          <m:t>r</m:t>
        </m:r>
      </m:oMath>
      <w:r>
        <w:rPr>
          <w:color w:val="3A4350"/>
          <w:sz w:val="19"/>
          <w:szCs w:val="19"/>
        </w:rPr>
        <w:t xml:space="preserve"> left singular vectors of the whitened Jacobian of the observation operator, </w:t>
      </w:r>
      <m:oMath>
        <m:sSup>
          <m:e>
            <m:acc>
              <m:accPr>
                <m:chr m:val="̃"/>
              </m:accPr>
              <m:e>
                <m:r>
                  <m:rPr>
                    <m:sty m:val="b"/>
                  </m:rPr>
                  <m:t>y</m:t>
                </m:r>
              </m:e>
            </m:acc>
          </m:e>
          <m:sup>
            <m:r>
              <m:rPr>
                <m:sty m:val="p"/>
              </m:rPr>
              <m:t>⋆</m:t>
            </m:r>
          </m:sup>
        </m:sSup>
      </m:oMath>
      <w:r>
        <w:rPr>
          <w:color w:val="3A4350"/>
          <w:sz w:val="19"/>
          <w:szCs w:val="19"/>
        </w:rPr>
        <w:t xml:space="preserve"> the projected (perturbed) data and </w:t>
      </w:r>
      <m:oMath>
        <m:r>
          <m:rPr>
            <m:scr m:val="sans-serif"/>
            <m:sty m:val="p"/>
          </m:rPr>
          <m:t>C</m:t>
        </m:r>
      </m:oMath>
      <w:r>
        <w:rPr>
          <w:color w:val="3A4350"/>
          <w:sz w:val="19"/>
          <w:szCs w:val="19"/>
        </w:rPr>
        <w:t xml:space="preserve"> ensemble covariances.</w:t>
      </w:r>
    </w:p>
    <w:p>
      <w:pPr>
        <w:spacing w:after="100" w:before="80"/>
        <w:jc w:val="both"/>
      </w:pPr>
      <w:r>
        <w:rPr>
          <w:b/>
          <w:bCs/>
          <w:color w:val="4D4D4F"/>
        </w:rPr>
        <w:t xml:space="preserve">Link to the candidate system and to seawater intrusion. </w:t>
      </w:r>
      <w:r>
        <w:t xml:space="preserve">Belongs to sections 1.2 and 1.7. Heads are elliptic, non-local functions of the conductivity, the recharge and the coefficients of the flow closure of N1; the augmented-state smoother needs exactly this regularisation with small ensembles. The informative directions show which combinations of recharge and closure the heads determine: the flat directions are those of Proposition 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Kalman gain built on the leading directions of the observation Jacobian, which replaces localisation by distance where it fails, for elliptic observations. Proposed extension: compute the informative directions for heads alone and for heads with chemistry; the directions added by the chemistry measure the identifiability gain of Proposition 4(iv), and can guide where to sample in the goal-oriented design of the base paper.</w:t>
      </w:r>
    </w:p>
    <w:p>
      <w:pPr>
        <w:pStyle w:val="Heading2"/>
        <w:keepNext/>
      </w:pPr>
      <w:r>
        <w:rPr>
          <w:color w:val="4D4D4F"/>
        </w:rPr>
        <w:t xml:space="preserve">M5  </w:t>
      </w:r>
      <w:r>
        <w:rPr>
          <w:color w:val="1F3864"/>
        </w:rPr>
        <w:t xml:space="preserve">Machine-learning energy-preserving nonlocal closures for turbulent fluid flows and inertial tracers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Alexis-Tzianni G. Charalampopoulos, Themistoklis P. Sapsis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Fluids, 7, 024305 (2022); arXiv 2102.07639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q8l051kb9xvvwjxxmpho">
              <w:r>
                <w:rPr>
                  <w:color w:val="1D4ED8"/>
                  <w:sz w:val="18"/>
                  <w:szCs w:val="18"/>
                  <w:u w:val="single"/>
                </w:rPr>
                <w:t xml:space="preserve">https://doi.org/10.1103/PhysRevFluids.7.024305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Engineering, MIT: the search summary of the paper and the MIT DSpace record (hdl 1721.1/154257).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 P. Sapsis is Professor of Mechanical Engineering at MIT; his department page lists Young Investigator Awards of ONR, ARO and AFOSR, the ASME Lloyd Hamilton Donnell Award and the Bodossaki Award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closures · non-locality in space and time · hard conservation constraint · coarse-scale turbulence · inertial tracers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The paper builds a data-driven closure for the coarse-scale equations of turbulent flow that depends on the resolved fields in a spatial neighbourhood and on their history. A physical constraint is imposed in the architecture: the closure of the nonlinear advection terms conserves energy, which improves both accuracy and stability. The method is demonstrated on a two-dimensional turbulent jet and extended to the coarse-scale concentration fields of inertial tracers such as bubbles and particles.</w:t>
      </w:r>
    </w:p>
    <w:p>
      <w:pPr>
        <w:keepNext/>
        <w:spacing w:after="40" w:before="80"/>
      </w:pPr>
      <w:r>
        <w:rPr>
          <w:b/>
          <w:bCs/>
          <w:color w:val="4D4D4F"/>
        </w:rPr>
        <w:t xml:space="preserve">Key equation.</w:t>
      </w:r>
      <w:r>
        <w:rPr>
          <w:i/>
          <w:iCs/>
          <w:color w:val="5B6573"/>
          <w:sz w:val="18"/>
          <w:szCs w:val="18"/>
        </w:rPr>
        <w:t xml:space="preserve">  Coarse-scale equation with a learned non-local closure that conserves energy (representative formulation)</w:t>
      </w:r>
    </w:p>
    <w:p>
      <w:pPr>
        <w:pStyle w:val="Equation"/>
      </w:pPr>
      <m:oMathPara>
        <m:oMathParaPr>
          <m:jc m:val="center"/>
        </m:oMathParaPr>
        <m:oMath>
          <m:sSub>
            <m:e>
              <m:r>
                <m:rPr>
                  <m:sty m:val="p"/>
                </m:rPr>
                <m:t>∂</m:t>
              </m:r>
            </m:e>
            <m:sub>
              <m:r>
                <m:t>t</m:t>
              </m:r>
            </m:sub>
          </m:sSub>
          <m:acc>
            <m:accPr>
              <m:chr m:val="‾"/>
            </m:accPr>
            <m:e>
              <m:r>
                <m:rPr>
                  <m:sty m:val="b"/>
                </m:rPr>
                <m:t>u</m:t>
              </m:r>
            </m:e>
          </m:acc>
          <m:r>
            <m:rPr>
              <m:sty m:val="p"/>
            </m:rPr>
            <m:t>+</m:t>
          </m:r>
          <m:r>
            <m:rPr>
              <m:sty m:val="p"/>
            </m:rPr>
            <m:t>∇</m:t>
          </m:r>
          <m:r>
            <m:rPr>
              <m:sty m:val="p"/>
            </m:rPr>
            <m:t>⋅</m:t>
          </m:r>
          <m:d>
            <m:dPr>
              <m:begChr m:val="("/>
              <m:sepChr m:val=""/>
              <m:endChr m:val=")"/>
              <m:grow/>
            </m:dPr>
            <m:e>
              <m:acc>
                <m:accPr>
                  <m:chr m:val="‾"/>
                </m:accPr>
                <m:e>
                  <m:r>
                    <m:rPr>
                      <m:sty m:val="b"/>
                    </m:rPr>
                    <m:t>u</m:t>
                  </m:r>
                </m:e>
              </m:acc>
              <m:r>
                <m:rPr>
                  <m:sty m:val="p"/>
                </m:rPr>
                <m:t>⊗</m:t>
              </m:r>
              <m:acc>
                <m:accPr>
                  <m:chr m:val="‾"/>
                </m:accPr>
                <m:e>
                  <m:r>
                    <m:rPr>
                      <m:sty m:val="b"/>
                    </m:rPr>
                    <m:t>u</m:t>
                  </m:r>
                </m:e>
              </m:acc>
            </m:e>
          </m:d>
          <m:r>
            <m:rPr>
              <m:sty m:val="p"/>
            </m:rPr>
            <m:t>=</m:t>
          </m:r>
          <m:r>
            <m:rPr>
              <m:sty m:val="p"/>
            </m:rPr>
            <m:t>−</m:t>
          </m:r>
          <m:r>
            <m:rPr>
              <m:sty m:val="p"/>
            </m:rPr>
            <m:t>∇</m:t>
          </m:r>
          <m:acc>
            <m:accPr>
              <m:chr m:val="‾"/>
            </m:accPr>
            <m:e>
              <m:r>
                <m:t>p</m:t>
              </m:r>
            </m:e>
          </m:acc>
          <m:r>
            <m:rPr>
              <m:sty m:val="p"/>
            </m:rPr>
            <m:t>+</m:t>
          </m:r>
          <m:r>
            <m:t>ν</m:t>
          </m:r>
          <m:r>
            <m:t>Δ</m:t>
          </m:r>
          <m:acc>
            <m:accPr>
              <m:chr m:val="‾"/>
            </m:accPr>
            <m:e>
              <m:r>
                <m:rPr>
                  <m:sty m:val="b"/>
                </m:rPr>
                <m:t>u</m:t>
              </m:r>
            </m:e>
          </m:acc>
          <m:r>
            <m:rPr>
              <m:sty m:val="p"/>
            </m:rPr>
            <m:t>+</m:t>
          </m:r>
          <m:sSub>
            <m:e>
              <m:r>
                <m:rPr>
                  <m:scr m:val="script"/>
                  <m:sty m:val="p"/>
                </m:rPr>
                <m:t>C</m:t>
              </m:r>
            </m:e>
            <m:sub>
              <m:r>
                <m:t>θ</m:t>
              </m:r>
            </m:sub>
          </m:sSub>
          <m:d>
            <m:dPr>
              <m:begChr m:val="["/>
              <m:sepChr m:val=""/>
              <m:endChr m:val="]"/>
              <m:grow/>
            </m:dPr>
            <m:e>
              <m:acc>
                <m:accPr>
                  <m:chr m:val="‾"/>
                </m:accPr>
                <m:e>
                  <m:r>
                    <m:rPr>
                      <m:sty m:val="b"/>
                    </m:rPr>
                    <m:t>u</m:t>
                  </m:r>
                </m:e>
              </m:acc>
              <m:d>
                <m:dPr>
                  <m:begChr m:val="("/>
                  <m:sepChr m:val=""/>
                  <m:endChr m:val=")"/>
                  <m:grow/>
                </m:dPr>
                <m:e>
                  <m:r>
                    <m:rPr>
                      <m:sty m:val="b"/>
                    </m:rPr>
                    <m:t>x</m:t>
                  </m:r>
                  <m:r>
                    <m:rPr>
                      <m:sty m:val="p"/>
                    </m:rPr>
                    <m:t>′</m:t>
                  </m:r>
                  <m:r>
                    <m:rPr>
                      <m:sty m:val="p"/>
                    </m:rPr>
                    <m:t>,</m:t>
                  </m:r>
                  <m:r>
                    <m:t>t</m:t>
                  </m:r>
                  <m:r>
                    <m:rPr>
                      <m:sty m:val="p"/>
                    </m:rPr>
                    <m:t>−</m:t>
                  </m:r>
                  <m:r>
                    <m:t>s</m:t>
                  </m:r>
                </m:e>
              </m:d>
            </m:e>
          </m:d>
        </m:oMath>
      </m:oMathPara>
    </w:p>
    <w:p>
      <w:pPr>
        <w:pStyle w:val="Equation"/>
      </w:pPr>
      <m:oMathPara>
        <m:oMathParaPr>
          <m:jc m:val="center"/>
        </m:oMathParaPr>
        <m:oMath>
          <m:nary>
            <m:naryPr>
              <m:chr m:val="∫"/>
              <m:limLoc m:val="subSup"/>
              <m:subHide m:val="off"/>
              <m:supHide m:val="on"/>
            </m:naryPr>
            <m:sub>
              <m:r>
                <m:t>Ω</m:t>
              </m:r>
            </m:sub>
            <m:sup>
              <m:r>
                <m:t>​</m:t>
              </m:r>
            </m:sup>
            <m:e>
              <m:acc>
                <m:accPr>
                  <m:chr m:val="‾"/>
                </m:accPr>
                <m:e>
                  <m:r>
                    <m:rPr>
                      <m:sty m:val="b"/>
                    </m:rPr>
                    <m:t>u</m:t>
                  </m:r>
                </m:e>
              </m:acc>
            </m:e>
          </m:nary>
          <m:r>
            <m:rPr>
              <m:sty m:val="p"/>
            </m:rPr>
            <m:t>⋅</m:t>
          </m:r>
          <m:sSubSup>
            <m:e>
              <m:r>
                <m:rPr>
                  <m:scr m:val="script"/>
                  <m:sty m:val="p"/>
                </m:rPr>
                <m:t>C</m:t>
              </m:r>
            </m:e>
            <m:sub>
              <m:r>
                <m:t>θ</m:t>
              </m:r>
            </m:sub>
            <m:sup>
              <m:r>
                <m:rPr>
                  <m:nor/>
                </m:rPr>
                <m:t>adv</m:t>
              </m:r>
            </m:sup>
          </m:sSubSup>
          <m:r>
            <m:t> </m:t>
          </m:r>
          <m:r>
            <m:t>d</m:t>
          </m:r>
          <m:r>
            <m:rPr>
              <m:sty m:val="b"/>
            </m:rPr>
            <m:t>x</m:t>
          </m:r>
          <m:r>
            <m:rPr>
              <m:sty m:val="p"/>
            </m:rPr>
            <m:t>=</m:t>
          </m:r>
          <m:r>
            <m:t>0</m:t>
          </m:r>
        </m:oMath>
      </m:oMathPara>
    </w:p>
    <w:p>
      <w:pPr>
        <w:spacing w:after="100"/>
        <w:jc w:val="both"/>
      </w:pPr>
      <m:oMath>
        <m:sSub>
          <m:e>
            <m:r>
              <m:rPr>
                <m:scr m:val="script"/>
                <m:sty m:val="p"/>
              </m:rPr>
              <m:t>C</m:t>
            </m:r>
          </m:e>
          <m:sub>
            <m:r>
              <m:t>θ</m:t>
            </m:r>
          </m:sub>
        </m:sSub>
      </m:oMath>
      <w:r>
        <w:rPr>
          <w:color w:val="3A4350"/>
          <w:sz w:val="19"/>
          <w:szCs w:val="19"/>
        </w:rPr>
        <w:t xml:space="preserve"> is the learned closure, a function of the coarse field at neighbouring points </w:t>
      </w:r>
      <m:oMath>
        <m:r>
          <m:rPr>
            <m:sty m:val="b"/>
          </m:rPr>
          <m:t>x</m:t>
        </m:r>
        <m:r>
          <m:rPr>
            <m:sty m:val="p"/>
          </m:rPr>
          <m:t>′</m:t>
        </m:r>
      </m:oMath>
      <w:r>
        <w:rPr>
          <w:color w:val="3A4350"/>
          <w:sz w:val="19"/>
          <w:szCs w:val="19"/>
        </w:rPr>
        <w:t xml:space="preserve"> and past times </w:t>
      </w:r>
      <m:oMath>
        <m:r>
          <m:t>t</m:t>
        </m:r>
        <m:r>
          <m:rPr>
            <m:sty m:val="p"/>
          </m:rPr>
          <m:t>−</m:t>
        </m:r>
        <m:r>
          <m:t>s</m:t>
        </m:r>
      </m:oMath>
      <w:r>
        <w:rPr>
          <w:color w:val="3A4350"/>
          <w:sz w:val="19"/>
          <w:szCs w:val="19"/>
        </w:rPr>
        <w:t xml:space="preserve">; its advective part does no work on the resolved flow.</w:t>
      </w:r>
    </w:p>
    <w:p>
      <w:pPr>
        <w:spacing w:after="100" w:before="80"/>
        <w:jc w:val="both"/>
      </w:pPr>
      <w:r>
        <w:rPr>
          <w:b/>
          <w:bCs/>
          <w:color w:val="4D4D4F"/>
        </w:rPr>
        <w:t xml:space="preserve">Link to the candidate system and to seawater intrusion. </w:t>
      </w:r>
      <w:r>
        <w:t xml:space="preserve">Belongs to section 1.5. A hard constraint built into the closure is the device that the candidate transport equation uses: there the range of the closure is the span of the stoichiometric matrix, so chloride and charge are conserved exactly, as energy is here. The extension to tracer concentrations on a coarse grid is the situation of chloride and the major ions in a regional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Closures that are non-local in space and time and conserve energy exactly by construction, a hard constraint that improves accuracy and stability, extended to the concentration of tracers. Proposed extension: replace energy by the reaction invariants; a closure whose range is the stoichiometric span conserves chloride and the charge balance exactly, which is the construction tested in section 9.</w:t>
      </w:r>
    </w:p>
    <w:p>
      <w:pPr>
        <w:pStyle w:val="Heading2"/>
        <w:keepNext/>
      </w:pPr>
      <w:r>
        <w:rPr>
          <w:color w:val="4D4D4F"/>
        </w:rPr>
        <w:t xml:space="preserve">M6  </w:t>
      </w:r>
      <w:r>
        <w:rPr>
          <w:color w:val="1F3864"/>
        </w:rPr>
        <w:t xml:space="preserve">Image inversion and uncertainty quantification for constitutive laws of pattern formation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Hongbo Zhao, Richard D. Braatz, Martin Z. Bazant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436, article 110279 (2021); arXiv 2010.10676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o6nmygwm3xcwclveeocw">
              <w:r>
                <w:rPr>
                  <w:color w:val="1D4ED8"/>
                  <w:sz w:val="18"/>
                  <w:szCs w:val="18"/>
                  <w:u w:val="single"/>
                </w:rPr>
                <w:t xml:space="preserve">https://dspace.mit.edu/handle/1721.1/135663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Chemical Engineering and Department of Mathematics, MIT: accepted manuscript in MIT DSpace (hdl 1721.1/135663) and a copy on the web space of the Braatz group.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Z. Bazant is Chevron Professor of Chemical Engineering and Professor of Mathematics at MIT and Fellow of the American Physical Society (2018); R. D. Braatz is Edwin R. Gilliland Professor at MIT, member of the US National Academy of Engineering (2019) and Fellow of AIChE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problems for PDEs · constitutive laws learned from images · Bayesian uncertainty quantification · identifiability of functions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How accurately can images of a pattern-forming process reveal the nonlinear, non-local constitutive laws inside its governing equation? The paper infers the laws by PDE-constrained optimisation and quantifies their uncertainty by Bayesian inference with linearisation, across systems, operating conditions and imaging conditions. It identifies the conditions that reduce the uncertainty of the inferred functions and the correlations between them, for example between the free energy and the reaction kinetics or the diffusivity, and tests robustness to limited resolution, unknown boundary conditions and blurred initial conditions. The test systems are phase-field, reaction–diffusion and phase-field-crystal models.</w:t>
      </w:r>
    </w:p>
    <w:p>
      <w:pPr>
        <w:keepNext/>
        <w:spacing w:after="40" w:before="80"/>
      </w:pPr>
      <w:r>
        <w:rPr>
          <w:b/>
          <w:bCs/>
          <w:color w:val="4D4D4F"/>
        </w:rPr>
        <w:t xml:space="preserve">Key equation.</w:t>
      </w:r>
      <w:r>
        <w:rPr>
          <w:i/>
          <w:iCs/>
          <w:color w:val="5B6573"/>
          <w:sz w:val="18"/>
          <w:szCs w:val="18"/>
        </w:rPr>
        <w:t xml:space="preserve">  A reaction–diffusion law with unknown constitutive functions and the linearised posterior (representative formulation)</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r>
                <m:t>D</m:t>
              </m:r>
              <m:d>
                <m:dPr>
                  <m:begChr m:val="("/>
                  <m:sepChr m:val=""/>
                  <m:endChr m:val=")"/>
                  <m:grow/>
                </m:dPr>
                <m:e>
                  <m:r>
                    <m:t>c</m:t>
                  </m:r>
                </m:e>
              </m:d>
              <m:r>
                <m:rPr>
                  <m:sty m:val="p"/>
                </m:rPr>
                <m:t>∇</m:t>
              </m:r>
              <m:r>
                <m:t>μ</m:t>
              </m:r>
            </m:e>
          </m:d>
          <m:r>
            <m:rPr>
              <m:sty m:val="p"/>
            </m:rPr>
            <m:t>+</m:t>
          </m:r>
          <m:r>
            <m:t>R</m:t>
          </m:r>
          <m:d>
            <m:dPr>
              <m:begChr m:val="("/>
              <m:sepChr m:val=""/>
              <m:endChr m:val=")"/>
              <m:grow/>
            </m:dPr>
            <m:e>
              <m:r>
                <m:t>c</m:t>
              </m:r>
            </m:e>
          </m:d>
          <m:r>
            <m:rPr>
              <m:sty m:val="p"/>
            </m:rPr>
            <m:t>,</m:t>
          </m:r>
          <m:r>
            <m:t>  </m:t>
          </m:r>
          <m:r>
            <m:t>μ</m:t>
          </m:r>
          <m:r>
            <m:rPr>
              <m:sty m:val="p"/>
            </m:rPr>
            <m:t>=</m:t>
          </m:r>
          <m:f>
            <m:fPr>
              <m:type m:val="bar"/>
            </m:fPr>
            <m:num>
              <m:r>
                <m:t>δ</m:t>
              </m:r>
              <m:r>
                <m:t>G</m:t>
              </m:r>
            </m:num>
            <m:den>
              <m:r>
                <m:t>δ</m:t>
              </m:r>
              <m:r>
                <m:t>c</m:t>
              </m:r>
            </m:den>
          </m:f>
        </m:oMath>
      </m:oMathPara>
    </w:p>
    <w:p>
      <w:pPr>
        <w:pStyle w:val="Equation"/>
      </w:pPr>
      <m:oMathPara>
        <m:oMathParaPr>
          <m:jc m:val="center"/>
        </m:oMathParaPr>
        <m:oMath>
          <m:sSub>
            <m:e>
              <m:r>
                <m:t>Σ</m:t>
              </m:r>
            </m:e>
            <m:sub>
              <m:r>
                <m:t>θ</m:t>
              </m:r>
              <m:r>
                <m:rPr>
                  <m:sty m:val="p"/>
                </m:rPr>
                <m:t>∣</m:t>
              </m:r>
              <m:r>
                <m:t>y</m:t>
              </m:r>
            </m:sub>
          </m:sSub>
          <m:r>
            <m:rPr>
              <m:sty m:val="p"/>
            </m:rPr>
            <m:t>≈</m:t>
          </m:r>
          <m:sSup>
            <m:e>
              <m:d>
                <m:dPr>
                  <m:begChr m:val="("/>
                  <m:sepChr m:val=""/>
                  <m:endChr m:val=")"/>
                  <m:grow/>
                </m:dPr>
                <m:e>
                  <m:sSup>
                    <m:e>
                      <m:r>
                        <m:t>J</m:t>
                      </m:r>
                    </m:e>
                    <m:sup>
                      <m:r>
                        <m:rPr>
                          <m:nor/>
                        </m:rPr>
                        <m:t>T</m:t>
                      </m:r>
                    </m:sup>
                  </m:sSup>
                  <m:sSubSup>
                    <m:e>
                      <m:r>
                        <m:t>Σ</m:t>
                      </m:r>
                    </m:e>
                    <m:sub>
                      <m:r>
                        <m:t>ε</m:t>
                      </m:r>
                    </m:sub>
                    <m:sup>
                      <m:r>
                        <m:rPr>
                          <m:sty m:val="p"/>
                        </m:rPr>
                        <m:t>−</m:t>
                      </m:r>
                      <m:r>
                        <m:t>1</m:t>
                      </m:r>
                    </m:sup>
                  </m:sSubSup>
                  <m:r>
                    <m:t>J</m:t>
                  </m:r>
                  <m:r>
                    <m:rPr>
                      <m:sty m:val="p"/>
                    </m:rPr>
                    <m:t>+</m:t>
                  </m:r>
                  <m:sSubSup>
                    <m:e>
                      <m:r>
                        <m:t>Σ</m:t>
                      </m:r>
                    </m:e>
                    <m:sub>
                      <m:r>
                        <m:t>θ</m:t>
                      </m:r>
                    </m:sub>
                    <m:sup>
                      <m:r>
                        <m:rPr>
                          <m:sty m:val="p"/>
                        </m:rPr>
                        <m:t>−</m:t>
                      </m:r>
                      <m:r>
                        <m:t>1</m:t>
                      </m:r>
                    </m:sup>
                  </m:sSubSup>
                </m:e>
              </m:d>
            </m:e>
            <m:sup>
              <m:r>
                <m:rPr>
                  <m:sty m:val="p"/>
                </m:rPr>
                <m:t>−</m:t>
              </m:r>
              <m:r>
                <m:t>1</m:t>
              </m:r>
            </m:sup>
          </m:sSup>
        </m:oMath>
      </m:oMathPara>
    </w:p>
    <w:p>
      <w:pPr>
        <w:spacing w:after="100"/>
        <w:jc w:val="both"/>
      </w:pPr>
      <m:oMath>
        <m:r>
          <m:t>D</m:t>
        </m:r>
      </m:oMath>
      <w:r>
        <w:rPr>
          <w:color w:val="3A4350"/>
          <w:sz w:val="19"/>
          <w:szCs w:val="19"/>
        </w:rPr>
        <w:t xml:space="preserve">, </w:t>
      </w:r>
      <m:oMath>
        <m:r>
          <m:t>R</m:t>
        </m:r>
      </m:oMath>
      <w:r>
        <w:rPr>
          <w:color w:val="3A4350"/>
          <w:sz w:val="19"/>
          <w:szCs w:val="19"/>
        </w:rPr>
        <w:t xml:space="preserve"> and the free energy </w:t>
      </w:r>
      <m:oMath>
        <m:r>
          <m:t>G</m:t>
        </m:r>
      </m:oMath>
      <w:r>
        <w:rPr>
          <w:color w:val="3A4350"/>
          <w:sz w:val="19"/>
          <w:szCs w:val="19"/>
        </w:rPr>
        <w:t xml:space="preserve"> are the constitutive functions, expanded in a basis with coefficients </w:t>
      </w:r>
      <m:oMath>
        <m:r>
          <m:t>θ</m:t>
        </m:r>
      </m:oMath>
      <w:r>
        <w:rPr>
          <w:color w:val="3A4350"/>
          <w:sz w:val="19"/>
          <w:szCs w:val="19"/>
        </w:rPr>
        <w:t xml:space="preserve">; </w:t>
      </w:r>
      <m:oMath>
        <m:r>
          <m:t>J</m:t>
        </m:r>
      </m:oMath>
      <w:r>
        <w:rPr>
          <w:color w:val="3A4350"/>
          <w:sz w:val="19"/>
          <w:szCs w:val="19"/>
        </w:rPr>
        <w:t xml:space="preserve"> is the Jacobian of the observed images with respect to </w:t>
      </w:r>
      <m:oMath>
        <m:r>
          <m:t>θ</m:t>
        </m:r>
      </m:oMath>
      <w:r>
        <w:rPr>
          <w:color w:val="3A4350"/>
          <w:sz w:val="19"/>
          <w:szCs w:val="19"/>
        </w:rPr>
        <w:t xml:space="preserve"> and </w:t>
      </w:r>
      <m:oMath>
        <m:sSub>
          <m:e>
            <m:r>
              <m:t>Σ</m:t>
            </m:r>
          </m:e>
          <m:sub>
            <m:r>
              <m:t>ε</m:t>
            </m:r>
          </m:sub>
        </m:sSub>
      </m:oMath>
      <w:r>
        <w:rPr>
          <w:color w:val="3A4350"/>
          <w:sz w:val="19"/>
          <w:szCs w:val="19"/>
        </w:rPr>
        <w:t xml:space="preserve">, </w:t>
      </w:r>
      <m:oMath>
        <m:sSub>
          <m:e>
            <m:r>
              <m:t>Σ</m:t>
            </m:r>
          </m:e>
          <m:sub>
            <m:r>
              <m:t>θ</m:t>
            </m:r>
          </m:sub>
        </m:sSub>
      </m:oMath>
      <w:r>
        <w:rPr>
          <w:color w:val="3A4350"/>
          <w:sz w:val="19"/>
          <w:szCs w:val="19"/>
        </w:rPr>
        <w:t xml:space="preserve"> the noise and prior covariances.</w:t>
      </w:r>
    </w:p>
    <w:p>
      <w:pPr>
        <w:spacing w:after="100" w:before="80"/>
        <w:jc w:val="both"/>
      </w:pPr>
      <w:r>
        <w:rPr>
          <w:b/>
          <w:bCs/>
          <w:color w:val="4D4D4F"/>
        </w:rPr>
        <w:t xml:space="preserve">Link to the candidate system and to seawater intrusion. </w:t>
      </w:r>
      <w:r>
        <w:t xml:space="preserve">Belongs to section 1.6. The correlation between inferred functions that the paper studies is the problem of separating a reactive closure from dispersion or a flow closure from recharge; its answer, which data conditions break the correlation, is the experimental counterpart of the invariants of Proposition 4. Section 9.7 computes the same kind of linearised information for the closures of the test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identifiability and uncertainty analysis of whole constitutive functions learned inside nonlinear PDEs, with the data conditions that decorrelate them. Proposed extension: use the linearised posterior to choose the wells and sampling dates that separate the reactive closure from transport in the Fushë-Kuqe network, the goal-oriented design of the base paper applied to the closure.</w:t>
      </w:r>
    </w:p>
    <w:p>
      <w:pPr>
        <w:pStyle w:val="Heading2"/>
        <w:keepNext/>
      </w:pPr>
      <w:r>
        <w:rPr>
          <w:color w:val="4D4D4F"/>
        </w:rPr>
        <w:t xml:space="preserve">M7  </w:t>
      </w:r>
      <w:r>
        <w:rPr>
          <w:color w:val="1F3864"/>
        </w:rPr>
        <w:t xml:space="preserve">Autonomous discovery of unknown reaction pathways from data by chemical reaction neural network</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Weiqi Ji, Sili Deng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Physical Chemistry A, 125(4) (2021; pages not verified); arXiv 2002.09062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gh_rdpfqw7encyg5yd6w">
              <w:r>
                <w:rPr>
                  <w:color w:val="1D4ED8"/>
                  <w:sz w:val="18"/>
                  <w:szCs w:val="18"/>
                  <w:u w:val="single"/>
                </w:rPr>
                <w:t xml:space="preserve">https://doi.org/10.1021/acs.jpca.0c09316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Engineering, MIT: the MIT DSpace record (hdl 1721.1/138715) with the authors' accepted manuscript.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Both authors were in the Department of Mechanical Engineering at MIT (distinctions not seen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chemical reaction neural network · mass action · stoichiometry learned from data · interpretable kinetics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4D4D4F"/>
        </w:rPr>
        <w:t xml:space="preserve">Summary. </w:t>
      </w:r>
      <w:r>
        <w:t xml:space="preserve">The chemical reaction neural network (CRNN) learns reaction pathways and kinetic parameters from time-resolved concentration data. Its architecture is built on the law of mass action and the Arrhenius law, so that its weights can be read directly as the stoichiometric coefficients and orders of the reactions and as kinetic parameters. It is trained by stochastic gradient descent and needs no candidate reactions proposed by an expert. The method is demonstrated on several chemical-engineering and biochemical systems.</w:t>
      </w:r>
    </w:p>
    <w:p>
      <w:pPr>
        <w:keepNext/>
        <w:spacing w:after="40" w:before="80"/>
      </w:pPr>
      <w:r>
        <w:rPr>
          <w:b/>
          <w:bCs/>
          <w:color w:val="4D4D4F"/>
        </w:rPr>
        <w:t xml:space="preserve">Key equation.</w:t>
      </w:r>
      <w:r>
        <w:rPr>
          <w:i/>
          <w:iCs/>
          <w:color w:val="5B6573"/>
          <w:sz w:val="18"/>
          <w:szCs w:val="18"/>
        </w:rPr>
        <w:t xml:space="preserve">  The chemical reaction neural network (representative formulation)</w:t>
      </w:r>
    </w:p>
    <w:p>
      <w:pPr>
        <w:pStyle w:val="Equation"/>
      </w:pPr>
      <m:oMathPara>
        <m:oMathParaPr>
          <m:jc m:val="center"/>
        </m:oMathParaPr>
        <m:oMath>
          <m:f>
            <m:fPr>
              <m:type m:val="bar"/>
            </m:fPr>
            <m:num>
              <m:r>
                <m:t>d</m:t>
              </m:r>
              <m:r>
                <m:rPr>
                  <m:sty m:val="b"/>
                </m:rPr>
                <m:t>c</m:t>
              </m:r>
            </m:num>
            <m:den>
              <m:r>
                <m:t>d</m:t>
              </m:r>
              <m:r>
                <m:t>t</m:t>
              </m:r>
            </m:den>
          </m:f>
          <m:r>
            <m:rPr>
              <m:sty m:val="p"/>
            </m:rPr>
            <m:t>=</m:t>
          </m:r>
          <m:sSup>
            <m:e>
              <m:r>
                <m:rPr>
                  <m:sty m:val="b"/>
                </m:rPr>
                <m:t>ν</m:t>
              </m:r>
            </m:e>
            <m:sup>
              <m:r>
                <m:rPr>
                  <m:nor/>
                </m:rPr>
                <m:t>T</m:t>
              </m:r>
            </m:sup>
          </m:sSup>
          <m:r>
            <m:rPr>
              <m:sty m:val="b"/>
            </m:rPr>
            <m:t>r</m:t>
          </m:r>
          <m:d>
            <m:dPr>
              <m:begChr m:val="("/>
              <m:sepChr m:val=""/>
              <m:endChr m:val=")"/>
              <m:grow/>
            </m:dPr>
            <m:e>
              <m:r>
                <m:rPr>
                  <m:sty m:val="b"/>
                </m:rPr>
                <m:t>c</m:t>
              </m:r>
            </m:e>
          </m:d>
          <m:r>
            <m:rPr>
              <m:sty m:val="p"/>
            </m:rPr>
            <m:t>,</m:t>
          </m:r>
          <m:r>
            <m:t>  </m:t>
          </m:r>
          <m:r>
            <m:rPr>
              <m:nor/>
            </m:rPr>
            <m:t>ln</m:t>
          </m:r>
          <m:r>
            <m:t> </m:t>
          </m:r>
          <m:sSub>
            <m:e>
              <m:r>
                <m:t>r</m:t>
              </m:r>
            </m:e>
            <m:sub>
              <m:r>
                <m:t>j</m:t>
              </m:r>
            </m:sub>
          </m:sSub>
          <m:r>
            <m:rPr>
              <m:sty m:val="p"/>
            </m:rPr>
            <m:t>=</m:t>
          </m:r>
          <m:r>
            <m:rPr>
              <m:nor/>
            </m:rPr>
            <m:t>ln</m:t>
          </m:r>
          <m:r>
            <m:t> </m:t>
          </m:r>
          <m:sSub>
            <m:e>
              <m:r>
                <m:t>k</m:t>
              </m:r>
            </m:e>
            <m:sub>
              <m:r>
                <m:t>j</m:t>
              </m:r>
            </m:sub>
          </m:sSub>
          <m:r>
            <m:rPr>
              <m:sty m:val="p"/>
            </m:rPr>
            <m:t>+</m:t>
          </m:r>
          <m:nary>
            <m:naryPr>
              <m:chr m:val="∑"/>
              <m:limLoc m:val="undOvr"/>
              <m:subHide m:val="off"/>
              <m:supHide m:val="on"/>
            </m:naryPr>
            <m:sub>
              <m:r>
                <m:t>i</m:t>
              </m:r>
            </m:sub>
            <m:sup>
              <m:r>
                <m:t>​</m:t>
              </m:r>
            </m:sup>
            <m:e>
              <m:sSubSup>
                <m:e>
                  <m:r>
                    <m:t>ν</m:t>
                  </m:r>
                </m:e>
                <m:sub>
                  <m:r>
                    <m:t>i</m:t>
                  </m:r>
                  <m:r>
                    <m:t>j</m:t>
                  </m:r>
                </m:sub>
                <m:sup>
                  <m:r>
                    <m:rPr>
                      <m:nor/>
                    </m:rPr>
                    <m:t>in</m:t>
                  </m:r>
                </m:sup>
              </m:sSubSup>
            </m:e>
          </m:nary>
          <m:r>
            <m:t> </m:t>
          </m:r>
          <m:r>
            <m:rPr>
              <m:nor/>
            </m:rPr>
            <m:t>ln</m:t>
          </m:r>
          <m:r>
            <m:t> </m:t>
          </m:r>
          <m:sSub>
            <m:e>
              <m:r>
                <m:t>c</m:t>
              </m:r>
            </m:e>
            <m:sub>
              <m:r>
                <m:t>i</m:t>
              </m:r>
            </m:sub>
          </m:sSub>
          <m:r>
            <m:rPr>
              <m:sty m:val="p"/>
            </m:rPr>
            <m:t>,</m:t>
          </m:r>
          <m:r>
            <m:t>  </m:t>
          </m:r>
          <m:sSub>
            <m:e>
              <m:r>
                <m:t>k</m:t>
              </m:r>
            </m:e>
            <m:sub>
              <m:r>
                <m:t>j</m:t>
              </m:r>
            </m:sub>
          </m:sSub>
          <m:r>
            <m:rPr>
              <m:sty m:val="p"/>
            </m:rPr>
            <m:t>=</m:t>
          </m:r>
          <m:sSub>
            <m:e>
              <m:r>
                <m:t>A</m:t>
              </m:r>
            </m:e>
            <m:sub>
              <m:r>
                <m:t>j</m:t>
              </m:r>
            </m:sub>
          </m:sSub>
          <m:sSup>
            <m:e>
              <m:r>
                <m:t>T</m:t>
              </m:r>
            </m:e>
            <m:sup>
              <m:sSub>
                <m:e>
                  <m:r>
                    <m:t>b</m:t>
                  </m:r>
                </m:e>
                <m:sub>
                  <m:r>
                    <m:t>j</m:t>
                  </m:r>
                </m:sub>
              </m:sSub>
            </m:sup>
          </m:sSup>
          <m:sSup>
            <m:e>
              <m:r>
                <m:t>e</m:t>
              </m:r>
            </m:e>
            <m:sup>
              <m:r>
                <m:rPr>
                  <m:sty m:val="p"/>
                </m:rPr>
                <m:t>−</m:t>
              </m:r>
              <m:sSub>
                <m:e>
                  <m:r>
                    <m:t>E</m:t>
                  </m:r>
                </m:e>
                <m:sub>
                  <m:r>
                    <m:t>a</m:t>
                  </m:r>
                  <m:r>
                    <m:rPr>
                      <m:sty m:val="p"/>
                    </m:rPr>
                    <m:t>,</m:t>
                  </m:r>
                  <m:r>
                    <m:t>j</m:t>
                  </m:r>
                </m:sub>
              </m:sSub>
              <m:r>
                <m:rPr>
                  <m:sty m:val="p"/>
                </m:rPr>
                <m:t>/</m:t>
              </m:r>
              <m:d>
                <m:dPr>
                  <m:begChr m:val="("/>
                  <m:sepChr m:val=""/>
                  <m:endChr m:val=")"/>
                  <m:grow/>
                </m:dPr>
                <m:e>
                  <m:r>
                    <m:t>R</m:t>
                  </m:r>
                  <m:r>
                    <m:t>T</m:t>
                  </m:r>
                </m:e>
              </m:d>
            </m:sup>
          </m:sSup>
        </m:oMath>
      </m:oMathPara>
    </w:p>
    <w:p>
      <w:pPr>
        <w:spacing w:after="100"/>
        <w:jc w:val="both"/>
      </w:pPr>
      <m:oMath>
        <m:r>
          <m:rPr>
            <m:sty m:val="b"/>
          </m:rPr>
          <m:t>ν</m:t>
        </m:r>
      </m:oMath>
      <w:r>
        <w:rPr>
          <w:color w:val="3A4350"/>
          <w:sz w:val="19"/>
          <w:szCs w:val="19"/>
        </w:rPr>
        <w:t xml:space="preserve"> is the stoichiometric matrix (the output weights), </w:t>
      </w:r>
      <m:oMath>
        <m:sSup>
          <m:e>
            <m:r>
              <m:t>ν</m:t>
            </m:r>
          </m:e>
          <m:sup>
            <m:r>
              <m:rPr>
                <m:nor/>
              </m:rPr>
              <m:t>in</m:t>
            </m:r>
          </m:sup>
        </m:sSup>
      </m:oMath>
      <w:r>
        <w:rPr>
          <w:color w:val="3A4350"/>
          <w:sz w:val="19"/>
          <w:szCs w:val="19"/>
        </w:rPr>
        <w:t xml:space="preserve"> the reaction orders (the input weights) and </w:t>
      </w:r>
      <m:oMath>
        <m:sSub>
          <m:e>
            <m:r>
              <m:t>k</m:t>
            </m:r>
          </m:e>
          <m:sub>
            <m:r>
              <m:t>j</m:t>
            </m:r>
          </m:sub>
        </m:sSub>
      </m:oMath>
      <w:r>
        <w:rPr>
          <w:color w:val="3A4350"/>
          <w:sz w:val="19"/>
          <w:szCs w:val="19"/>
        </w:rPr>
        <w:t xml:space="preserve"> the Arrhenius rate constants.</w:t>
      </w:r>
    </w:p>
    <w:p>
      <w:pPr>
        <w:spacing w:after="100" w:before="80"/>
        <w:jc w:val="both"/>
      </w:pPr>
      <w:r>
        <w:rPr>
          <w:b/>
          <w:bCs/>
          <w:color w:val="4D4D4F"/>
        </w:rPr>
        <w:t xml:space="preserve">Link to the candidate system and to seawater intrusion. </w:t>
      </w:r>
      <w:r>
        <w:t xml:space="preserve">Belongs to section 1.5. The source term of the network lies in the span of its own stoichiometric matrix by construction, the property that the candidate closure imposes with a fixed matrix. For the Fushë-Kuqe evolution from Ca–Mg–HCO₃ to Na–Cl waters, a network with the known columns of </w:t>
      </w:r>
      <m:oMath>
        <m:r>
          <m:t>N</m:t>
        </m:r>
      </m:oMath>
      <w:r>
        <w:t xml:space="preserve"> fixed and one free column would test whether a reaction beyond exchange, sulfate reduction and calcite is needed, with chloride kept reaction-free.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neural network whose weights are a mass-action reaction network, so that learned kinetics are stoichiometrically consistent and readable as pathways. Proposed extension: fix the known columns of the stoichiometric matrix and let the network add at most one unknown reaction, excluded from chloride, to explain the residual departures at the Fushë-Kuqe wells (section 9.5).</w:t>
      </w:r>
    </w:p>
    <w:p>
      <w:pPr>
        <w:pStyle w:val="Heading2"/>
        <w:keepNext/>
      </w:pPr>
      <w:r>
        <w:rPr>
          <w:color w:val="4D4D4F"/>
        </w:rPr>
        <w:t xml:space="preserve">M8  </w:t>
      </w:r>
      <w:r>
        <w:rPr>
          <w:color w:val="1F3864"/>
        </w:rPr>
        <w:t xml:space="preserve">Minimax estimation of smooth optimal transport maps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Jan-Christian Hütter, Philippe Rigollet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49(2), 1166–1194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vijxajizj5dzjjjpxc5e">
              <w:r>
                <w:rPr>
                  <w:color w:val="1D4ED8"/>
                  <w:sz w:val="18"/>
                  <w:szCs w:val="18"/>
                  <w:u w:val="single"/>
                </w:rPr>
                <w:t xml:space="preserve">https://doi.org/10.1214/20-AOS1997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Mathematics, MIT: the MIT DSpace record (hdl 1721.1/133394).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Rigollet is the Cecil and Ida Green Distinguished Professor of Mathematics at MIT and Fellow of the Institute of Mathematical Statistics (2021, cited for statistical optimal transport).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optimal transport maps · minimax rates · semi-dual estimation · wavelets · curse of dimensionality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paper gives the first minimax rates for estimating an optimal transport map from samples of two distributions in general dimension. The estimator minimises an empirical version of the semi-dual objective over truncated wavelet expansions of the potential, and a matching lower bound shows that its rate is optimal. Smooth maps can be estimated at a rate close to parametric, while rough maps suffer from the curse of dimensionality; the minimax estimator itself is not computationally tractable.</w:t>
      </w:r>
    </w:p>
    <w:p>
      <w:pPr>
        <w:keepNext/>
        <w:spacing w:after="40" w:before="80"/>
      </w:pPr>
      <w:r>
        <w:rPr>
          <w:b/>
          <w:bCs/>
          <w:color w:val="4D4D4F"/>
        </w:rPr>
        <w:t xml:space="preserve">Key equation.</w:t>
      </w:r>
      <w:r>
        <w:rPr>
          <w:i/>
          <w:iCs/>
          <w:color w:val="5B6573"/>
          <w:sz w:val="18"/>
          <w:szCs w:val="18"/>
        </w:rPr>
        <w:t xml:space="preserve">  Semi-dual estimator of the transport map (representative formulation)</w:t>
      </w:r>
    </w:p>
    <w:p>
      <w:pPr>
        <w:pStyle w:val="Equation"/>
      </w:pPr>
      <m:oMathPara>
        <m:oMathParaPr>
          <m:jc m:val="center"/>
        </m:oMathParaPr>
        <m:oMath>
          <m:acc>
            <m:accPr>
              <m:chr m:val="̂"/>
            </m:accPr>
            <m:e>
              <m:r>
                <m:t>φ</m:t>
              </m:r>
            </m:e>
          </m:acc>
          <m:r>
            <m:rPr>
              <m:sty m:val="p"/>
            </m:rPr>
            <m:t>∈</m:t>
          </m:r>
          <m:limLow>
            <m:e>
              <m:r>
                <m:rPr>
                  <m:nor/>
                </m:rPr>
                <m:t>arg min</m:t>
              </m:r>
            </m:e>
            <m:lim>
              <m:r>
                <m:t>φ</m:t>
              </m:r>
              <m:r>
                <m:rPr>
                  <m:sty m:val="p"/>
                </m:rPr>
                <m:t>∈</m:t>
              </m:r>
              <m:sSub>
                <m:e>
                  <m:r>
                    <m:rPr>
                      <m:scr m:val="script"/>
                      <m:sty m:val="p"/>
                    </m:rPr>
                    <m:t>W</m:t>
                  </m:r>
                </m:e>
                <m:sub>
                  <m:r>
                    <m:t>J</m:t>
                  </m:r>
                </m:sub>
              </m:sSub>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
                    <m:t>φ</m:t>
                  </m:r>
                </m:e>
              </m:nary>
              <m:d>
                <m:dPr>
                  <m:begChr m:val="("/>
                  <m:sepChr m:val=""/>
                  <m:endChr m:val=")"/>
                  <m:grow/>
                </m:dPr>
                <m:e>
                  <m:sSub>
                    <m:e>
                      <m:r>
                        <m:t>X</m:t>
                      </m:r>
                    </m:e>
                    <m:sub>
                      <m:r>
                        <m:t>i</m:t>
                      </m:r>
                    </m:sub>
                  </m:sSub>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φ</m:t>
                      </m:r>
                    </m:e>
                    <m:sup>
                      <m:r>
                        <m:rPr>
                          <m:sty m:val="p"/>
                        </m:rPr>
                        <m:t>⋆</m:t>
                      </m:r>
                    </m:sup>
                  </m:sSup>
                </m:e>
              </m:nary>
              <m:d>
                <m:dPr>
                  <m:begChr m:val="("/>
                  <m:sepChr m:val=""/>
                  <m:endChr m:val=")"/>
                  <m:grow/>
                </m:dPr>
                <m:e>
                  <m:sSub>
                    <m:e>
                      <m:r>
                        <m:t>Y</m:t>
                      </m:r>
                    </m:e>
                    <m:sub>
                      <m:r>
                        <m:t>j</m:t>
                      </m:r>
                    </m:sub>
                  </m:sSub>
                </m:e>
              </m:d>
            </m:e>
          </m:d>
          <m:r>
            <m:rPr>
              <m:sty m:val="p"/>
            </m:rPr>
            <m:t>,</m:t>
          </m:r>
          <m:r>
            <m:t>  </m:t>
          </m:r>
          <m:acc>
            <m:accPr>
              <m:chr m:val="̂"/>
            </m:accPr>
            <m:e>
              <m:r>
                <m:t>T</m:t>
              </m:r>
            </m:e>
          </m:acc>
          <m:r>
            <m:rPr>
              <m:sty m:val="p"/>
            </m:rPr>
            <m:t>=</m:t>
          </m:r>
          <m:r>
            <m:rPr>
              <m:sty m:val="p"/>
            </m:rPr>
            <m:t>∇</m:t>
          </m:r>
          <m:acc>
            <m:accPr>
              <m:chr m:val="̂"/>
            </m:accPr>
            <m:e>
              <m:r>
                <m:t>φ</m:t>
              </m:r>
            </m:e>
          </m:acc>
        </m:oMath>
      </m:oMathPara>
    </w:p>
    <w:p>
      <w:pPr>
        <w:spacing w:after="100"/>
        <w:jc w:val="both"/>
      </w:pPr>
      <m:oMath>
        <m:sSub>
          <m:e>
            <m:r>
              <m:t>X</m:t>
            </m:r>
          </m:e>
          <m:sub>
            <m:r>
              <m:t>i</m:t>
            </m:r>
          </m:sub>
        </m:sSub>
      </m:oMath>
      <w:r>
        <w:rPr>
          <w:color w:val="3A4350"/>
          <w:sz w:val="19"/>
          <w:szCs w:val="19"/>
        </w:rPr>
        <w:t xml:space="preserve"> and </w:t>
      </w:r>
      <m:oMath>
        <m:sSub>
          <m:e>
            <m:r>
              <m:t>Y</m:t>
            </m:r>
          </m:e>
          <m:sub>
            <m:r>
              <m:t>j</m:t>
            </m:r>
          </m:sub>
        </m:sSub>
      </m:oMath>
      <w:r>
        <w:rPr>
          <w:color w:val="3A4350"/>
          <w:sz w:val="19"/>
          <w:szCs w:val="19"/>
        </w:rPr>
        <w:t xml:space="preserve"> are samples of the source and target distributions, </w:t>
      </w:r>
      <m:oMath>
        <m:sSub>
          <m:e>
            <m:r>
              <m:rPr>
                <m:scr m:val="script"/>
                <m:sty m:val="p"/>
              </m:rPr>
              <m:t>W</m:t>
            </m:r>
          </m:e>
          <m:sub>
            <m:r>
              <m:t>J</m:t>
            </m:r>
          </m:sub>
        </m:sSub>
      </m:oMath>
      <w:r>
        <w:rPr>
          <w:color w:val="3A4350"/>
          <w:sz w:val="19"/>
          <w:szCs w:val="19"/>
        </w:rPr>
        <w:t xml:space="preserve"> a truncated wavelet space, </w:t>
      </w:r>
      <m:oMath>
        <m:sSup>
          <m:e>
            <m:r>
              <m:t>φ</m:t>
            </m:r>
          </m:e>
          <m:sup>
            <m:r>
              <m:rPr>
                <m:sty m:val="p"/>
              </m:rPr>
              <m:t>⋆</m:t>
            </m:r>
          </m:sup>
        </m:sSup>
      </m:oMath>
      <w:r>
        <w:rPr>
          <w:color w:val="3A4350"/>
          <w:sz w:val="19"/>
          <w:szCs w:val="19"/>
        </w:rPr>
        <w:t xml:space="preserve"> the convex conjugate and </w:t>
      </w:r>
      <m:oMath>
        <m:acc>
          <m:accPr>
            <m:chr m:val="̂"/>
          </m:accPr>
          <m:e>
            <m:r>
              <m:t>T</m:t>
            </m:r>
          </m:e>
        </m:acc>
      </m:oMath>
      <w:r>
        <w:rPr>
          <w:color w:val="3A4350"/>
          <w:sz w:val="19"/>
          <w:szCs w:val="19"/>
        </w:rPr>
        <w:t xml:space="preserve"> the estimated map.</w:t>
      </w:r>
    </w:p>
    <w:p>
      <w:pPr>
        <w:spacing w:after="100" w:before="80"/>
        <w:jc w:val="both"/>
      </w:pPr>
      <w:r>
        <w:rPr>
          <w:b/>
          <w:bCs/>
          <w:color w:val="4D4D4F"/>
        </w:rPr>
        <w:t xml:space="preserve">Link to the candidate system and to seawater intrusion. </w:t>
      </w:r>
      <w:r>
        <w:t xml:space="preserve">Belongs to section 1.8. The transport-map filter of proposal N2 estimates a map from an ensemble; the minimax rates say that with a hundred members such a map is reliable only in a few dimensions and if it is smooth. This is the statistical reason to use the map only where it is needed, as section 9.7 does with a switch measured against the observation error.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minimax rates for estimating optimal transport maps: close to parametric for smooth maps, cursed by dimension otherwise. Proposed extension: it turns the hybrid filter of proposal N2 into a budget rule; with </w:t>
      </w:r>
      <m:oMath>
        <m:r>
          <m:t>n</m:t>
        </m:r>
      </m:oMath>
      <w:r>
        <w:t xml:space="preserve"> members the transport map should act only on the few components, here the cells around the front, where the scaled non-Gaussianity exceeds the observation error (28 of 75 cells in section 9.7).</w:t>
      </w:r>
    </w:p>
    <w:p>
      <w:pPr>
        <w:pStyle w:val="Heading1"/>
        <w:pageBreakBefore/>
      </w:pPr>
      <w:r>
        <w:rPr>
          <w:color w:val="215CAF"/>
        </w:rPr>
        <w:t xml:space="preserve">7. ETH Zürich</w:t>
      </w:r>
    </w:p>
    <w:p>
      <w:pPr>
        <w:spacing w:after="120"/>
        <w:jc w:val="both"/>
      </w:pPr>
      <w:r>
        <w:t xml:space="preserve">ETH Zürich contributes operator learning with theorems, filtering theory and hydrology. Samuel Lanthaler, Konstantin Rusch and Siddhartha Mishra prove that neural oscillators approximate any causal operator, memory terms included [E1], and Lanthaler, Roberto Molinaro, Patrik Hadorn and Mishra prove why linear reconstructions fail for discontinuous solutions [E7]. Zhou Fang, Ankit Gupta and Mustafa Khammash prove the convergence of regularised particle filters on reaction networks [E2], and Calypso Herrera, Florian Krach and Josef Teichmann prove that Neural Jump ODEs give optimal predictions from irregular samples [E5]. James Kirchner estimates response kernels from noisy records [E3]; Perez, Dentz, Jiménez-Martínez and co-authors upscale mixing-controlled reactions [E4]; and Peter Bühlmann links causality, invariance and robustness [E6].</w:t>
      </w:r>
    </w:p>
    <w:p>
      <w:pPr>
        <w:pStyle w:val="Heading2"/>
        <w:keepNext/>
      </w:pPr>
      <w:r>
        <w:rPr>
          <w:color w:val="215CAF"/>
        </w:rPr>
        <w:t xml:space="preserve">E1  </w:t>
      </w:r>
      <w:r>
        <w:rPr>
          <w:color w:val="1F3864"/>
        </w:rPr>
        <w:t xml:space="preserve">Neural Oscillators are Universal</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 T. Konstantin Rusch,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zxblvst3dxbr69ojpnmo">
              <w:r>
                <w:rPr>
                  <w:color w:val="1D4ED8"/>
                  <w:sz w:val="18"/>
                  <w:szCs w:val="18"/>
                  <w:u w:val="single"/>
                </w:rPr>
                <w:t xml:space="preserve">https://proceedings.neurips.cc/paper_files/paper/2023/hash/923285deb805c3e14e1aeebc9854d644-Abstract.html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(T. K. Rusch and S. Mishra) and California Institute of Technology (S. Lanthaler): the search summary of the proceedings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Mishra is Chair Professor of Applied Mathematics at ETH Zürich (since 2015); ICIAM Collatz Prize (2019), Infosys Prize (2019), SIAM Germund Dahlquist Prize and ETH Rössler Prize (2023), with ERC Starting and Consolidator Grants.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oscillators · second-order ODE networks · universal approximation of causal operators · sequence models with memory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paper defines an abstract class of neural oscillators: systems of second-order ordinary differential equations, coupled and driven by an input signal, followed by a readout. Such systems underlie recurrent sequence models built from coupled oscillators, graph-learning architectures and physical or analog neural networks. The main theorem states that neural oscillators approximate any continuous causal operator between time-dependent functions to any desired accuracy. The proof rests on a result the authors consider of independent interest: forced harmonic oscillators followed by a nonlinear readout already suffice. Every causal map from an input history to an output, a convolution with a memory kernel, a hysteresis or a nonlinear functional of the past, can therefore be approximated by a physically interpretable class of ODE models (the exact function spaces and theorem numbers were not seen).</w:t>
      </w:r>
    </w:p>
    <w:p>
      <w:pPr>
        <w:keepNext/>
        <w:spacing w:after="40" w:before="80"/>
      </w:pPr>
      <w:r>
        <w:rPr>
          <w:b/>
          <w:bCs/>
          <w:color w:val="215CAF"/>
        </w:rPr>
        <w:t xml:space="preserve">Key equation.</w:t>
      </w:r>
      <w:r>
        <w:rPr>
          <w:i/>
          <w:iCs/>
          <w:color w:val="5B6573"/>
          <w:sz w:val="18"/>
          <w:szCs w:val="18"/>
        </w:rPr>
        <w:t xml:space="preserve">  Neural oscillator and the universality statement (representative formulation)</w:t>
      </w:r>
    </w:p>
    <w:p>
      <w:pPr>
        <w:pStyle w:val="Equation"/>
      </w:pPr>
      <m:oMathPara>
        <m:oMathParaPr>
          <m:jc m:val="center"/>
        </m:oMathParaPr>
        <m:oMath>
          <m:acc>
            <m:accPr>
              <m:chr m:val="̈"/>
            </m:accPr>
            <m:e>
              <m:r>
                <m:rPr>
                  <m:sty m:val="b"/>
                </m:rPr>
                <m:t>y</m:t>
              </m:r>
            </m:e>
          </m:acc>
          <m:d>
            <m:dPr>
              <m:begChr m:val="("/>
              <m:sepChr m:val=""/>
              <m:endChr m:val=")"/>
              <m:grow/>
            </m:dPr>
            <m:e>
              <m:r>
                <m:t>t</m:t>
              </m:r>
            </m:e>
          </m:d>
          <m:r>
            <m:rPr>
              <m:sty m:val="p"/>
            </m:rPr>
            <m:t>=</m:t>
          </m:r>
          <m:r>
            <m:t>σ</m:t>
          </m:r>
          <m:d>
            <m:dPr>
              <m:begChr m:val="("/>
              <m:sepChr m:val=""/>
              <m:endChr m:val=")"/>
              <m:grow/>
            </m:dPr>
            <m:e>
              <m:r>
                <m:t>W</m:t>
              </m:r>
              <m:r>
                <m:rPr>
                  <m:sty m:val="b"/>
                </m:rPr>
                <m:t>y</m:t>
              </m:r>
              <m:d>
                <m:dPr>
                  <m:begChr m:val="("/>
                  <m:sepChr m:val=""/>
                  <m:endChr m:val=")"/>
                  <m:grow/>
                </m:dPr>
                <m:e>
                  <m:r>
                    <m:t>t</m:t>
                  </m:r>
                </m:e>
              </m:d>
              <m:r>
                <m:rPr>
                  <m:sty m:val="p"/>
                </m:rPr>
                <m:t>+</m:t>
              </m:r>
              <m:r>
                <m:t>V</m:t>
              </m:r>
              <m:r>
                <m:rPr>
                  <m:sty m:val="b"/>
                </m:rPr>
                <m:t>u</m:t>
              </m:r>
              <m:d>
                <m:dPr>
                  <m:begChr m:val="("/>
                  <m:sepChr m:val=""/>
                  <m:endChr m:val=")"/>
                  <m:grow/>
                </m:dPr>
                <m:e>
                  <m:r>
                    <m:t>t</m:t>
                  </m:r>
                </m:e>
              </m:d>
              <m:r>
                <m:rPr>
                  <m:sty m:val="p"/>
                </m:rPr>
                <m:t>+</m:t>
              </m:r>
              <m:r>
                <m:rPr>
                  <m:sty m:val="b"/>
                </m:rPr>
                <m:t>b</m:t>
              </m:r>
            </m:e>
          </m:d>
          <m:r>
            <m:rPr>
              <m:sty m:val="p"/>
            </m:rPr>
            <m:t>,</m:t>
          </m:r>
          <m:r>
            <m:t>  </m:t>
          </m:r>
          <m:r>
            <m:t>Ψ</m:t>
          </m:r>
          <m:d>
            <m:dPr>
              <m:begChr m:val="("/>
              <m:sepChr m:val=""/>
              <m:endChr m:val=")"/>
              <m:grow/>
            </m:dPr>
            <m:e>
              <m:r>
                <m:rPr>
                  <m:sty m:val="b"/>
                </m:rPr>
                <m:t>u</m:t>
              </m:r>
            </m:e>
          </m:d>
          <m:d>
            <m:dPr>
              <m:begChr m:val="("/>
              <m:sepChr m:val=""/>
              <m:endChr m:val=")"/>
              <m:grow/>
            </m:dPr>
            <m:e>
              <m:r>
                <m:t>t</m:t>
              </m:r>
            </m:e>
          </m:d>
          <m:r>
            <m:rPr>
              <m:sty m:val="p"/>
            </m:rPr>
            <m:t>=</m:t>
          </m:r>
          <m:r>
            <m:rPr>
              <m:scr m:val="script"/>
              <m:sty m:val="p"/>
            </m:rPr>
            <m:t>R</m:t>
          </m:r>
          <m:d>
            <m:dPr>
              <m:begChr m:val="("/>
              <m:sepChr m:val=""/>
              <m:endChr m:val=")"/>
              <m:grow/>
            </m:dPr>
            <m:e>
              <m:r>
                <m:rPr>
                  <m:sty m:val="b"/>
                </m:rPr>
                <m:t>y</m:t>
              </m:r>
              <m:d>
                <m:dPr>
                  <m:begChr m:val="("/>
                  <m:sepChr m:val=""/>
                  <m:endChr m:val=")"/>
                  <m:grow/>
                </m:dPr>
                <m:e>
                  <m:r>
                    <m:t>t</m:t>
                  </m:r>
                </m:e>
              </m:d>
            </m:e>
          </m:d>
        </m:oMath>
      </m:oMathPara>
    </w:p>
    <w:p>
      <w:pPr>
        <w:pStyle w:val="Equation"/>
      </w:pPr>
      <m:oMathPara>
        <m:oMathParaPr>
          <m:jc m:val="center"/>
        </m:oMathParaPr>
        <m:oMath>
          <m:limLow>
            <m:e>
              <m:r>
                <m:rPr>
                  <m:nor/>
                </m:rPr>
                <m:t>sup</m:t>
              </m:r>
            </m:e>
            <m:lim>
              <m:r>
                <m:rPr>
                  <m:sty m:val="b"/>
                </m:rPr>
                <m:t>u</m:t>
              </m:r>
              <m:r>
                <m:rPr>
                  <m:sty m:val="p"/>
                </m:rPr>
                <m:t>∈</m:t>
              </m:r>
              <m:r>
                <m:t>K</m:t>
              </m:r>
            </m:lim>
          </m:limLow>
          <m:r>
            <m:t> </m:t>
          </m:r>
          <m:limLow>
            <m:e>
              <m:r>
                <m:rPr>
                  <m:nor/>
                </m:rPr>
                <m:t>sup</m:t>
              </m:r>
            </m:e>
            <m:lim>
              <m:r>
                <m:t>t</m:t>
              </m:r>
              <m:r>
                <m:rPr>
                  <m:sty m:val="p"/>
                </m:rPr>
                <m:t>∈</m:t>
              </m:r>
              <m:d>
                <m:dPr>
                  <m:begChr m:val="["/>
                  <m:sepChr m:val=""/>
                  <m:endChr m:val="]"/>
                  <m:grow/>
                </m:dPr>
                <m:e>
                  <m:r>
                    <m:t>0</m:t>
                  </m:r>
                  <m:r>
                    <m:rPr>
                      <m:sty m:val="p"/>
                    </m:rPr>
                    <m:t>,</m:t>
                  </m:r>
                  <m:r>
                    <m:t>T</m:t>
                  </m:r>
                </m:e>
              </m:d>
            </m:lim>
          </m:limLow>
          <m:d>
            <m:dPr>
              <m:begChr m:val="|"/>
              <m:sepChr m:val=""/>
              <m:endChr m:val="|"/>
              <m:grow/>
            </m:dPr>
            <m:e>
              <m:r>
                <m:t>Φ</m:t>
              </m:r>
              <m:d>
                <m:dPr>
                  <m:begChr m:val="("/>
                  <m:sepChr m:val=""/>
                  <m:endChr m:val=")"/>
                  <m:grow/>
                </m:dPr>
                <m:e>
                  <m:r>
                    <m:rPr>
                      <m:sty m:val="b"/>
                    </m:rPr>
                    <m:t>u</m:t>
                  </m:r>
                </m:e>
              </m:d>
              <m:d>
                <m:dPr>
                  <m:begChr m:val="("/>
                  <m:sepChr m:val=""/>
                  <m:endChr m:val=")"/>
                  <m:grow/>
                </m:dPr>
                <m:e>
                  <m:r>
                    <m:t>t</m:t>
                  </m:r>
                </m:e>
              </m:d>
              <m:r>
                <m:rPr>
                  <m:sty m:val="p"/>
                </m:rPr>
                <m:t>−</m:t>
              </m:r>
              <m:r>
                <m:t>Ψ</m:t>
              </m:r>
              <m:d>
                <m:dPr>
                  <m:begChr m:val="("/>
                  <m:sepChr m:val=""/>
                  <m:endChr m:val=")"/>
                  <m:grow/>
                </m:dPr>
                <m:e>
                  <m:r>
                    <m:rPr>
                      <m:sty m:val="b"/>
                    </m:rPr>
                    <m:t>u</m:t>
                  </m:r>
                </m:e>
              </m:d>
              <m:d>
                <m:dPr>
                  <m:begChr m:val="("/>
                  <m:sepChr m:val=""/>
                  <m:endChr m:val=")"/>
                  <m:grow/>
                </m:dPr>
                <m:e>
                  <m:r>
                    <m:t>t</m:t>
                  </m:r>
                </m:e>
              </m:d>
            </m:e>
          </m:d>
          <m:r>
            <m:rPr>
              <m:sty m:val="p"/>
            </m:rPr>
            <m:t>&lt;</m:t>
          </m:r>
          <m:r>
            <m:t>ε</m:t>
          </m:r>
        </m:oMath>
      </m:oMathPara>
    </w:p>
    <w:p>
      <w:pPr>
        <w:spacing w:after="100"/>
        <w:jc w:val="both"/>
      </w:pPr>
      <m:oMath>
        <m:r>
          <m:rPr>
            <m:sty m:val="b"/>
          </m:rPr>
          <m:t>u</m:t>
        </m:r>
      </m:oMath>
      <w:r>
        <w:rPr>
          <w:color w:val="3A4350"/>
          <w:sz w:val="19"/>
          <w:szCs w:val="19"/>
        </w:rPr>
        <w:t xml:space="preserve"> is the input signal, </w:t>
      </w:r>
      <m:oMath>
        <m:r>
          <m:rPr>
            <m:sty m:val="b"/>
          </m:rPr>
          <m:t>y</m:t>
        </m:r>
      </m:oMath>
      <w:r>
        <w:rPr>
          <w:color w:val="3A4350"/>
          <w:sz w:val="19"/>
          <w:szCs w:val="19"/>
        </w:rPr>
        <w:t xml:space="preserve"> the oscillator states, </w:t>
      </w:r>
      <m:oMath>
        <m:r>
          <m:rPr>
            <m:scr m:val="script"/>
            <m:sty m:val="p"/>
          </m:rPr>
          <m:t>R</m:t>
        </m:r>
      </m:oMath>
      <w:r>
        <w:rPr>
          <w:color w:val="3A4350"/>
          <w:sz w:val="19"/>
          <w:szCs w:val="19"/>
        </w:rPr>
        <w:t xml:space="preserve"> the readout, </w:t>
      </w:r>
      <m:oMath>
        <m:r>
          <m:t>Φ</m:t>
        </m:r>
      </m:oMath>
      <w:r>
        <w:rPr>
          <w:color w:val="3A4350"/>
          <w:sz w:val="19"/>
          <w:szCs w:val="19"/>
        </w:rPr>
        <w:t xml:space="preserve"> any continuous causal operator, </w:t>
      </w:r>
      <m:oMath>
        <m:r>
          <m:t>K</m:t>
        </m:r>
      </m:oMath>
      <w:r>
        <w:rPr>
          <w:color w:val="3A4350"/>
          <w:sz w:val="19"/>
          <w:szCs w:val="19"/>
        </w:rPr>
        <w:t xml:space="preserve"> a compact set of inputs and </w:t>
      </w:r>
      <m:oMath>
        <m:r>
          <m:t>ε</m:t>
        </m:r>
        <m:r>
          <m:rPr>
            <m:sty m:val="p"/>
          </m:rPr>
          <m:t>&gt;</m:t>
        </m:r>
        <m:r>
          <m:t>0</m:t>
        </m:r>
      </m:oMath>
      <w:r>
        <w:rPr>
          <w:color w:val="3A4350"/>
          <w:sz w:val="19"/>
          <w:szCs w:val="19"/>
        </w:rPr>
        <w:t xml:space="preserve"> arbitrary; a memory term </w:t>
      </w:r>
      <m:oMath>
        <m:r>
          <m:t>Φ</m:t>
        </m:r>
        <m:d>
          <m:dPr>
            <m:begChr m:val="("/>
            <m:sepChr m:val=""/>
            <m:endChr m:val=")"/>
            <m:grow/>
          </m:dPr>
          <m:e>
            <m:r>
              <m:t>c</m:t>
            </m:r>
          </m:e>
        </m:d>
        <m:d>
          <m:dPr>
            <m:begChr m:val="("/>
            <m:sepChr m:val=""/>
            <m:endChr m:val=")"/>
            <m:grow/>
          </m:dPr>
          <m:e>
            <m:r>
              <m:t>t</m:t>
            </m:r>
          </m:e>
        </m:d>
        <m:r>
          <m:rPr>
            <m:sty m:val="p"/>
          </m:rPr>
          <m:t>=</m:t>
        </m:r>
        <m:nary>
          <m:naryPr>
            <m:chr m:val="∫"/>
            <m:limLoc m:val="subSup"/>
            <m:subHide m:val="off"/>
            <m:supHide m:val="off"/>
          </m:naryPr>
          <m:sub>
            <m:r>
              <m:t>0</m:t>
            </m:r>
          </m:sub>
          <m:sup>
            <m:r>
              <m:t>τ</m:t>
            </m:r>
          </m:sup>
          <m:e>
            <m:r>
              <m:t>κ</m:t>
            </m:r>
          </m:e>
        </m:nary>
        <m:d>
          <m:dPr>
            <m:begChr m:val="("/>
            <m:sepChr m:val=""/>
            <m:endChr m:val=")"/>
            <m:grow/>
          </m:dPr>
          <m:e>
            <m:r>
              <m:t>s</m:t>
            </m:r>
          </m:e>
        </m:d>
        <m:r>
          <m:t> </m:t>
        </m:r>
        <m:sSub>
          <m:e>
            <m:r>
              <m:rPr>
                <m:sty m:val="p"/>
              </m:rPr>
              <m:t>∂</m:t>
            </m:r>
          </m:e>
          <m:sub>
            <m:r>
              <m:t>t</m:t>
            </m:r>
          </m:sub>
        </m:sSub>
        <m:r>
          <m:t>c</m:t>
        </m:r>
        <m:d>
          <m:dPr>
            <m:begChr m:val="("/>
            <m:sepChr m:val=""/>
            <m:endChr m:val=")"/>
            <m:grow/>
          </m:dPr>
          <m:e>
            <m:r>
              <m:t>t</m:t>
            </m:r>
            <m:r>
              <m:rPr>
                <m:sty m:val="p"/>
              </m:rPr>
              <m:t>−</m:t>
            </m:r>
            <m:r>
              <m:t>s</m:t>
            </m:r>
          </m:e>
        </m:d>
        <m:r>
          <m:t> </m:t>
        </m:r>
        <m:r>
          <m:t>d</m:t>
        </m:r>
        <m:r>
          <m:t>s</m:t>
        </m:r>
      </m:oMath>
      <w:r>
        <w:rPr>
          <w:color w:val="3A4350"/>
          <w:sz w:val="19"/>
          <w:szCs w:val="19"/>
        </w:rPr>
        <w:t xml:space="preserve"> is one such operator.</w:t>
      </w:r>
    </w:p>
    <w:p>
      <w:pPr>
        <w:spacing w:after="100" w:before="80"/>
        <w:jc w:val="both"/>
      </w:pPr>
      <w:r>
        <w:rPr>
          <w:b/>
          <w:bCs/>
          <w:color w:val="215CAF"/>
        </w:rPr>
        <w:t xml:space="preserve">Link to the candidate system and to seawater intrusion. </w:t>
      </w:r>
      <w:r>
        <w:t xml:space="preserve">Belongs to sections 1.2 and 1.4. The memory terms of the candidate system, the delayed recharge of N1 and the exchange with the silt–clay layers, are continuous causal operators, so a learned oscillator closure can represent them; a bank of forced, damped oscillators is a generalised multi-rate mass-transfer model in which each mode acts as one exchange rate. Universality is not identifiability: the operator must still be pinned by data, which in the candidate system is the role of chloride.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universality theorem for networks of oscillators (second-order ODEs) as approximators of causal operators, which makes learned memory closures credible as a class. Proposed extension: restrict the oscillators to the overdamped regime, where every mode relaxes exponentially and the learned kernel is completely monotone (Proposition 3); whether universality survives within that physically admissible class is a precise mathematical question for the COST project.</w:t>
      </w:r>
    </w:p>
    <w:p>
      <w:pPr>
        <w:pStyle w:val="Heading2"/>
        <w:keepNext/>
      </w:pPr>
      <w:r>
        <w:rPr>
          <w:color w:val="215CAF"/>
        </w:rPr>
        <w:t xml:space="preserve">E2  </w:t>
      </w:r>
      <w:r>
        <w:rPr>
          <w:color w:val="1F3864"/>
        </w:rPr>
        <w:t xml:space="preserve">Convergence of Regularized Particle Filters for Stochastic Reaction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Zhou Fang, Ankit Gupta, Mustafa Khammash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Numerical Analysis, 61(2), 399–430 (2023; journal, volume and pages from a citing paper's reference list and the ETH Research Collection); arXiv 2110.07746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ppuctqe-siimhf8gt5zy">
              <w:r>
                <w:rPr>
                  <w:color w:val="1D4ED8"/>
                  <w:sz w:val="18"/>
                  <w:szCs w:val="18"/>
                  <w:u w:val="single"/>
                </w:rPr>
                <w:t xml:space="preserve">https://doi.org/10.1137/21M1453025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Biosystems Science and Engineering (D-BSSE), ETH Zürich, Basel: the search summary of the paper and the ETH Research Collection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Khammash is Professor at the Department of Biosystems Science and Engineering of ETH Zürich and Fellow of IEEE, IFAC and JSPS (IEEE Control Systems Society profile).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filtering of stochastic reaction networks · regularised particle filters · convergence · multiscale and hybrid models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Filtering a stochastic reaction network means estimating chemical species that are not observed from noisy, partial time courses of those that are. Plain particle filters can fail through sample degeneracy; the regularised particle filter adds artificial noise to the particles to prevent it, but the noise biases the estimate, so it was unclear whether the filter is reliable for reaction networks. The main theorem gives conditions under which the regularised filter converges to the exact filter: every reaction that increases the population must have a propensity that grows at most linearly, together with mild further conditions. The paper also builds efficient filters for models at several scales: the continuous-time Markov chain, tau-leaping and piecewise-deterministic (hybrid) approximations.</w:t>
      </w:r>
    </w:p>
    <w:p>
      <w:pPr>
        <w:keepNext/>
        <w:spacing w:after="40" w:before="80"/>
      </w:pPr>
      <w:r>
        <w:rPr>
          <w:b/>
          <w:bCs/>
          <w:color w:val="215CAF"/>
        </w:rPr>
        <w:t xml:space="preserve">Key equation.</w:t>
      </w:r>
      <w:r>
        <w:rPr>
          <w:i/>
          <w:iCs/>
          <w:color w:val="5B6573"/>
          <w:sz w:val="18"/>
          <w:szCs w:val="18"/>
        </w:rPr>
        <w:t xml:space="preserve">  Random time-change representation of a reaction network and the filter (representative formulation)</w:t>
      </w:r>
    </w:p>
    <w:p>
      <w:pPr>
        <w:pStyle w:val="Equation"/>
      </w:pPr>
      <m:oMathPara>
        <m:oMathParaPr>
          <m:jc m:val="center"/>
        </m:oMathParaPr>
        <m:oMath>
          <m:r>
            <m:t>X</m:t>
          </m:r>
          <m:d>
            <m:dPr>
              <m:begChr m:val="("/>
              <m:sepChr m:val=""/>
              <m:endChr m:val=")"/>
              <m:grow/>
            </m:dPr>
            <m:e>
              <m:r>
                <m:t>t</m:t>
              </m:r>
            </m:e>
          </m:d>
          <m:r>
            <m:rPr>
              <m:sty m:val="p"/>
            </m:rPr>
            <m:t>=</m:t>
          </m:r>
          <m:r>
            <m:t>X</m:t>
          </m:r>
          <m:d>
            <m:dPr>
              <m:begChr m:val="("/>
              <m:sepChr m:val=""/>
              <m:endChr m:val=")"/>
              <m:grow/>
            </m:dPr>
            <m:e>
              <m:r>
                <m:t>0</m:t>
              </m:r>
            </m:e>
          </m:d>
          <m:r>
            <m:rPr>
              <m:sty m:val="p"/>
            </m:rPr>
            <m:t>+</m:t>
          </m:r>
          <m:nary>
            <m:naryPr>
              <m:chr m:val="∑"/>
              <m:limLoc m:val="undOvr"/>
              <m:subHide m:val="off"/>
              <m:supHide m:val="on"/>
            </m:naryPr>
            <m:sub>
              <m:r>
                <m:t>r</m:t>
              </m:r>
            </m:sub>
            <m:sup>
              <m:r>
                <m:t>​</m:t>
              </m:r>
            </m:sup>
            <m:e>
              <m:sSub>
                <m:e>
                  <m:r>
                    <m:rPr>
                      <m:sty m:val="b"/>
                    </m:rPr>
                    <m:t>ν</m:t>
                  </m:r>
                </m:e>
                <m:sub>
                  <m:r>
                    <m:t>r</m:t>
                  </m:r>
                </m:sub>
              </m:sSub>
            </m:e>
          </m:nary>
          <m:sSub>
            <m:e>
              <m:r>
                <m:t>Y</m:t>
              </m:r>
            </m:e>
            <m:sub>
              <m:r>
                <m:t>r</m:t>
              </m:r>
            </m:sub>
          </m:sSub>
          <m:d>
            <m:dPr>
              <m:begChr m:val="("/>
              <m:sepChr m:val=""/>
              <m:endChr m:val=")"/>
              <m:grow/>
            </m:dPr>
            <m:e>
              <m:nary>
                <m:naryPr>
                  <m:chr m:val="∫"/>
                  <m:limLoc m:val="subSup"/>
                  <m:subHide m:val="off"/>
                  <m:supHide m:val="off"/>
                </m:naryPr>
                <m:sub>
                  <m:r>
                    <m:t>0</m:t>
                  </m:r>
                </m:sub>
                <m:sup>
                  <m:r>
                    <m:t>t</m:t>
                  </m:r>
                </m:sup>
                <m:e>
                  <m:sSub>
                    <m:e>
                      <m:r>
                        <m:t>λ</m:t>
                      </m:r>
                    </m:e>
                    <m:sub>
                      <m:r>
                        <m:t>r</m:t>
                      </m:r>
                    </m:sub>
                  </m:sSub>
                </m:e>
              </m:nary>
              <m:d>
                <m:dPr>
                  <m:begChr m:val="("/>
                  <m:sepChr m:val=""/>
                  <m:endChr m:val=")"/>
                  <m:grow/>
                </m:dPr>
                <m:e>
                  <m:r>
                    <m:t>X</m:t>
                  </m:r>
                  <m:d>
                    <m:dPr>
                      <m:begChr m:val="("/>
                      <m:sepChr m:val=""/>
                      <m:endChr m:val=")"/>
                      <m:grow/>
                    </m:dPr>
                    <m:e>
                      <m:r>
                        <m:t>s</m:t>
                      </m:r>
                    </m:e>
                  </m:d>
                </m:e>
              </m:d>
              <m:r>
                <m:t>d</m:t>
              </m:r>
              <m:r>
                <m:t>s</m:t>
              </m:r>
            </m:e>
          </m:d>
        </m:oMath>
      </m:oMathPara>
    </w:p>
    <w:p>
      <w:pPr>
        <w:pStyle w:val="Equation"/>
      </w:pPr>
      <m:oMathPara>
        <m:oMathParaPr>
          <m:jc m:val="center"/>
        </m:oMathParaPr>
        <m:oMath>
          <m:sSub>
            <m:e>
              <m:r>
                <m:t>π</m:t>
              </m:r>
            </m:e>
            <m:sub>
              <m:r>
                <m:t>t</m:t>
              </m:r>
            </m:sub>
          </m:sSub>
          <m:d>
            <m:dPr>
              <m:begChr m:val="("/>
              <m:sepChr m:val=""/>
              <m:endChr m:val=")"/>
              <m:grow/>
            </m:dPr>
            <m:e>
              <m:r>
                <m:t>φ</m:t>
              </m:r>
            </m:e>
          </m:d>
          <m:r>
            <m:rPr>
              <m:sty m:val="p"/>
            </m:rPr>
            <m:t>=</m:t>
          </m:r>
          <m:r>
            <m:rPr>
              <m:scr m:val="double-struck"/>
              <m:sty m:val="p"/>
            </m:rPr>
            <m:t>E</m:t>
          </m:r>
          <m:d>
            <m:dPr>
              <m:begChr m:val="["/>
              <m:sepChr m:val=""/>
              <m:endChr m:val="]"/>
              <m:grow/>
            </m:dPr>
            <m:e>
              <m:r>
                <m:t>φ</m:t>
              </m:r>
              <m:d>
                <m:dPr>
                  <m:begChr m:val="("/>
                  <m:sepChr m:val=""/>
                  <m:endChr m:val=")"/>
                  <m:grow/>
                </m:dPr>
                <m:e>
                  <m:r>
                    <m:t>X</m:t>
                  </m:r>
                  <m:d>
                    <m:dPr>
                      <m:begChr m:val="("/>
                      <m:sepChr m:val=""/>
                      <m:endChr m:val=")"/>
                      <m:grow/>
                    </m:dPr>
                    <m:e>
                      <m:r>
                        <m:t>t</m:t>
                      </m:r>
                    </m:e>
                  </m:d>
                </m:e>
              </m:d>
              <m:r>
                <m:rPr>
                  <m:sty m:val="p"/>
                </m:rPr>
                <m:t>∣</m:t>
              </m:r>
              <m:sSub>
                <m:e>
                  <m:r>
                    <m:rPr>
                      <m:scr m:val="script"/>
                      <m:sty m:val="p"/>
                    </m:rPr>
                    <m:t>Y</m:t>
                  </m:r>
                </m:e>
                <m:sub>
                  <m:r>
                    <m:t>t</m:t>
                  </m:r>
                </m:sub>
              </m:sSub>
            </m:e>
          </m:d>
          <m:r>
            <m:rPr>
              <m:sty m:val="p"/>
            </m:rPr>
            <m:t>,</m:t>
          </m:r>
          <m:r>
            <m:t>  </m:t>
          </m:r>
          <m:sSubSup>
            <m:e>
              <m:r>
                <m:t>π</m:t>
              </m:r>
            </m:e>
            <m:sub>
              <m:r>
                <m:t>t</m:t>
              </m:r>
            </m:sub>
            <m:sup>
              <m:r>
                <m:t>N</m:t>
              </m:r>
              <m:r>
                <m:rPr>
                  <m:sty m:val="p"/>
                </m:rPr>
                <m:t>,</m:t>
              </m:r>
              <m:r>
                <m:t>h</m:t>
              </m:r>
            </m:sup>
          </m:sSubSup>
          <m:d>
            <m:dPr>
              <m:begChr m:val="("/>
              <m:sepChr m:val=""/>
              <m:endChr m:val=")"/>
              <m:grow/>
            </m:dPr>
            <m:e>
              <m:r>
                <m:t>φ</m:t>
              </m:r>
            </m:e>
          </m:d>
          <m:r>
            <m:rPr>
              <m:sty m:val="p"/>
            </m:rPr>
            <m:t>→</m:t>
          </m:r>
          <m:sSub>
            <m:e>
              <m:r>
                <m:t>π</m:t>
              </m:r>
            </m:e>
            <m:sub>
              <m:r>
                <m:t>t</m:t>
              </m:r>
            </m:sub>
          </m:sSub>
          <m:d>
            <m:dPr>
              <m:begChr m:val="("/>
              <m:sepChr m:val=""/>
              <m:endChr m:val=")"/>
              <m:grow/>
            </m:dPr>
            <m:e>
              <m:r>
                <m:t>φ</m:t>
              </m:r>
            </m:e>
          </m:d>
          <m:r>
            <m:t> </m:t>
          </m:r>
          <m:d>
            <m:dPr>
              <m:begChr m:val="("/>
              <m:sepChr m:val=""/>
              <m:endChr m:val=")"/>
              <m:grow/>
            </m:dPr>
            <m:e>
              <m:r>
                <m:t>N</m:t>
              </m:r>
              <m:r>
                <m:rPr>
                  <m:sty m:val="p"/>
                </m:rPr>
                <m:t>→</m:t>
              </m:r>
              <m:r>
                <m:rPr>
                  <m:sty m:val="p"/>
                </m:rPr>
                <m:t>∞</m:t>
              </m:r>
              <m:r>
                <m:rPr>
                  <m:sty m:val="p"/>
                </m:rPr>
                <m:t>,</m:t>
              </m:r>
              <m:r>
                <m:t> </m:t>
              </m:r>
              <m:r>
                <m:t>h</m:t>
              </m:r>
              <m:r>
                <m:rPr>
                  <m:sty m:val="p"/>
                </m:rPr>
                <m:t>→</m:t>
              </m:r>
              <m:r>
                <m:t>0</m:t>
              </m:r>
            </m:e>
          </m:d>
        </m:oMath>
      </m:oMathPara>
    </w:p>
    <w:p>
      <w:pPr>
        <w:spacing w:after="100"/>
        <w:jc w:val="both"/>
      </w:pPr>
      <m:oMath>
        <m:sSub>
          <m:e>
            <m:r>
              <m:rPr>
                <m:sty m:val="b"/>
              </m:rPr>
              <m:t>ν</m:t>
            </m:r>
          </m:e>
          <m:sub>
            <m:r>
              <m:t>r</m:t>
            </m:r>
          </m:sub>
        </m:sSub>
      </m:oMath>
      <w:r>
        <w:rPr>
          <w:color w:val="3A4350"/>
          <w:sz w:val="19"/>
          <w:szCs w:val="19"/>
        </w:rPr>
        <w:t xml:space="preserve"> are the stoichiometric vectors, </w:t>
      </w:r>
      <m:oMath>
        <m:sSub>
          <m:e>
            <m:r>
              <m:t>Y</m:t>
            </m:r>
          </m:e>
          <m:sub>
            <m:r>
              <m:t>r</m:t>
            </m:r>
          </m:sub>
        </m:sSub>
      </m:oMath>
      <w:r>
        <w:rPr>
          <w:color w:val="3A4350"/>
          <w:sz w:val="19"/>
          <w:szCs w:val="19"/>
        </w:rPr>
        <w:t xml:space="preserve"> independent unit Poisson processes, </w:t>
      </w:r>
      <m:oMath>
        <m:sSub>
          <m:e>
            <m:r>
              <m:t>λ</m:t>
            </m:r>
          </m:e>
          <m:sub>
            <m:r>
              <m:t>r</m:t>
            </m:r>
          </m:sub>
        </m:sSub>
      </m:oMath>
      <w:r>
        <w:rPr>
          <w:color w:val="3A4350"/>
          <w:sz w:val="19"/>
          <w:szCs w:val="19"/>
        </w:rPr>
        <w:t xml:space="preserve"> the propensities, </w:t>
      </w:r>
      <m:oMath>
        <m:sSub>
          <m:e>
            <m:r>
              <m:rPr>
                <m:scr m:val="script"/>
                <m:sty m:val="p"/>
              </m:rPr>
              <m:t>Y</m:t>
            </m:r>
          </m:e>
          <m:sub>
            <m:r>
              <m:t>t</m:t>
            </m:r>
          </m:sub>
        </m:sSub>
      </m:oMath>
      <w:r>
        <w:rPr>
          <w:color w:val="3A4350"/>
          <w:sz w:val="19"/>
          <w:szCs w:val="19"/>
        </w:rPr>
        <w:t xml:space="preserve"> the observations up to time </w:t>
      </w:r>
      <m:oMath>
        <m:r>
          <m:t>t</m:t>
        </m:r>
      </m:oMath>
      <w:r>
        <w:rPr>
          <w:color w:val="3A4350"/>
          <w:sz w:val="19"/>
          <w:szCs w:val="19"/>
        </w:rPr>
        <w:t xml:space="preserve">, </w:t>
      </w:r>
      <m:oMath>
        <m:r>
          <m:t>N</m:t>
        </m:r>
      </m:oMath>
      <w:r>
        <w:rPr>
          <w:color w:val="3A4350"/>
          <w:sz w:val="19"/>
          <w:szCs w:val="19"/>
        </w:rPr>
        <w:t xml:space="preserve"> the number of particles and </w:t>
      </w:r>
      <m:oMath>
        <m:r>
          <m:t>h</m:t>
        </m:r>
      </m:oMath>
      <w:r>
        <w:rPr>
          <w:color w:val="3A4350"/>
          <w:sz w:val="19"/>
          <w:szCs w:val="19"/>
        </w:rPr>
        <w:t xml:space="preserve"> the bandwidth of the regularisation.</w:t>
      </w:r>
    </w:p>
    <w:p>
      <w:pPr>
        <w:spacing w:after="100" w:before="80"/>
        <w:jc w:val="both"/>
      </w:pPr>
      <w:r>
        <w:rPr>
          <w:b/>
          <w:bCs/>
          <w:color w:val="215CAF"/>
        </w:rPr>
        <w:t xml:space="preserve">Link to the candidate system and to seawater intrusion. </w:t>
      </w:r>
      <w:r>
        <w:t xml:space="preserve">Belongs to sections 1.7 and 1.8. The state of a reaction network moves only in the span of its stoichiometric vectors, the span to which the candidate closure is confined, and the theorem says when a regularised ensemble filter on such a state stays consistent. That is the question behind the transport-map or particle step of the hybrid filter (N2) and behind augmented-state filtering of reaction rates. As at the wells, the exchanger composition is hidden while the dissolved ions are observed; the paper works with molecule counts, so the transfer to concentrations needs the large-volume limit.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convergence guarantee for regularised particle filters on reaction networks, with an explicit condition on the stoichiometry and the propensities. Proposed extension: draw the regularising noise inside the stoichiometric span, so that the jitter never creates chloride or charge, and check the growth condition of the theorem on the learned rates of the candidate closure, whose uptake is bounded by the availability of the consumed ion.</w:t>
      </w:r>
    </w:p>
    <w:p>
      <w:pPr>
        <w:pStyle w:val="Heading2"/>
        <w:keepNext/>
      </w:pPr>
      <w:r>
        <w:rPr>
          <w:color w:val="215CAF"/>
        </w:rPr>
        <w:t xml:space="preserve">E3  </w:t>
      </w:r>
      <w:r>
        <w:rPr>
          <w:color w:val="1F3864"/>
        </w:rPr>
        <w:t xml:space="preserve">Impulse Response Functions for Nonlinear, Nonstationary, and Heterogeneous Systems, Estimated by Deconvolution and Demixing of Noisy Time Series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James W. Kirchner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Sensors, 22(9), article 3291 (2022); code in the EnviDat repository (10.16904/envidat.312)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obb_ibagra2quobvd3fa">
              <w:r>
                <w:rPr>
                  <w:color w:val="1D4ED8"/>
                  <w:sz w:val="18"/>
                  <w:szCs w:val="18"/>
                  <w:u w:val="single"/>
                </w:rPr>
                <w:t xml:space="preserve">https://doi.org/10.3390/s22093291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Environmental Systems Science, ETH Zürich, with WSL and the University of California, Berkeley: the PubMed Central record (PMC9105515).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W. Kirchner is at the Department of Environmental Systems Science of ETH Zürich and at WSL (positions and distinctions not verified); his follow-up paper on ensemble rainfall–runoff analysis was selected as a highlight paper of Hydrology and Earth System Sciences.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impulse response functions · deconvolution · demixing · nonstationary and nonlinear systems · serially correlated noise · catchment and aquifer memory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Classical impulse-response methods (unit hydrographs, transfer functions) assume a homogeneous, linear and stationary system with well-behaved noise. The paper derives nonparametric estimators that need no assumed shape and deconvolve impulse responses from signals contaminated by autoregressive moving-average or nonstationary noise. It shows how to demix the responses of the components of a heterogeneous system from their combined output, and how to extend the estimators to nonstationary coupling between input and output, even when responses overlap. Benchmark tests and an R script accompany the paper; a 2024 follow-up applies the tools to rainfall–runoff data.</w:t>
      </w:r>
    </w:p>
    <w:p>
      <w:pPr>
        <w:keepNext/>
        <w:spacing w:after="40" w:before="80"/>
      </w:pPr>
      <w:r>
        <w:rPr>
          <w:b/>
          <w:bCs/>
          <w:color w:val="215CAF"/>
        </w:rPr>
        <w:t xml:space="preserve">Key equation.</w:t>
      </w:r>
      <w:r>
        <w:rPr>
          <w:i/>
          <w:iCs/>
          <w:color w:val="5B6573"/>
          <w:sz w:val="18"/>
          <w:szCs w:val="18"/>
        </w:rPr>
        <w:t xml:space="preserve">  Demixed, lagged response to several inputs with correlated noise (representative formulation)</w:t>
      </w:r>
    </w:p>
    <w:p>
      <w:pPr>
        <w:pStyle w:val="Equation"/>
      </w:pPr>
      <m:oMathPara>
        <m:oMathParaPr>
          <m:jc m:val="center"/>
        </m:oMathParaPr>
        <m:oMath>
          <m:sSub>
            <m:e>
              <m:r>
                <m:t>y</m:t>
              </m:r>
            </m:e>
            <m:sub>
              <m:r>
                <m:t>t</m:t>
              </m:r>
            </m:sub>
          </m:sSub>
          <m:r>
            <m:rPr>
              <m:sty m:val="p"/>
            </m:rPr>
            <m:t>=</m:t>
          </m:r>
          <m:nary>
            <m:naryPr>
              <m:chr m:val="∑"/>
              <m:limLoc m:val="undOvr"/>
              <m:subHide m:val="off"/>
              <m:supHide m:val="on"/>
            </m:naryPr>
            <m:sub>
              <m:r>
                <m:t>j</m:t>
              </m:r>
            </m:sub>
            <m:sup>
              <m:r>
                <m:t>​</m:t>
              </m:r>
            </m:sup>
            <m:e>
              <m:nary>
                <m:naryPr>
                  <m:chr m:val="∑"/>
                  <m:limLoc m:val="undOvr"/>
                  <m:subHide m:val="off"/>
                  <m:supHide m:val="off"/>
                </m:naryPr>
                <m:sub>
                  <m:r>
                    <m:t>k</m:t>
                  </m:r>
                  <m:r>
                    <m:rPr>
                      <m:sty m:val="p"/>
                    </m:rPr>
                    <m:t>=</m:t>
                  </m:r>
                  <m:r>
                    <m:t>0</m:t>
                  </m:r>
                </m:sub>
                <m:sup>
                  <m:r>
                    <m:t>m</m:t>
                  </m:r>
                </m:sup>
                <m:e>
                  <m:sSub>
                    <m:e>
                      <m:r>
                        <m:t>β</m:t>
                      </m:r>
                    </m:e>
                    <m:sub>
                      <m:r>
                        <m:t>j</m:t>
                      </m:r>
                      <m:r>
                        <m:t>k</m:t>
                      </m:r>
                    </m:sub>
                  </m:sSub>
                </m:e>
              </m:nary>
            </m:e>
          </m:nary>
          <m:r>
            <m:t> </m:t>
          </m:r>
          <m:sSub>
            <m:e>
              <m:r>
                <m:t>p</m:t>
              </m:r>
            </m:e>
            <m:sub>
              <m:r>
                <m:t>j</m:t>
              </m:r>
              <m:r>
                <m:rPr>
                  <m:sty m:val="p"/>
                </m:rPr>
                <m:t>,</m:t>
              </m:r>
              <m:r>
                <m:t>t</m:t>
              </m:r>
              <m:r>
                <m:rPr>
                  <m:sty m:val="p"/>
                </m:rPr>
                <m:t>−</m:t>
              </m:r>
              <m:r>
                <m:t>k</m:t>
              </m:r>
            </m:sub>
          </m:sSub>
          <m:r>
            <m:rPr>
              <m:sty m:val="p"/>
            </m:rPr>
            <m:t>+</m:t>
          </m:r>
          <m:sSub>
            <m:e>
              <m:r>
                <m:t>ε</m:t>
              </m:r>
            </m:e>
            <m:sub>
              <m:r>
                <m:t>t</m:t>
              </m:r>
            </m:sub>
          </m:sSub>
          <m:r>
            <m:rPr>
              <m:sty m:val="p"/>
            </m:rPr>
            <m:t>,</m:t>
          </m:r>
          <m:r>
            <m:t>  </m:t>
          </m:r>
          <m:r>
            <m:t>ϕ</m:t>
          </m:r>
          <m:d>
            <m:dPr>
              <m:begChr m:val="("/>
              <m:sepChr m:val=""/>
              <m:endChr m:val=")"/>
              <m:grow/>
            </m:dPr>
            <m:e>
              <m:r>
                <m:t>B</m:t>
              </m:r>
            </m:e>
          </m:d>
          <m:r>
            <m:t> </m:t>
          </m:r>
          <m:sSub>
            <m:e>
              <m:r>
                <m:t>ε</m:t>
              </m:r>
            </m:e>
            <m:sub>
              <m:r>
                <m:t>t</m:t>
              </m:r>
            </m:sub>
          </m:sSub>
          <m:r>
            <m:rPr>
              <m:sty m:val="p"/>
            </m:rPr>
            <m:t>=</m:t>
          </m:r>
          <m:r>
            <m:t>ϑ</m:t>
          </m:r>
          <m:d>
            <m:dPr>
              <m:begChr m:val="("/>
              <m:sepChr m:val=""/>
              <m:endChr m:val=")"/>
              <m:grow/>
            </m:dPr>
            <m:e>
              <m:r>
                <m:t>B</m:t>
              </m:r>
            </m:e>
          </m:d>
          <m:r>
            <m:t> </m:t>
          </m:r>
          <m:sSub>
            <m:e>
              <m:r>
                <m:t>η</m:t>
              </m:r>
            </m:e>
            <m:sub>
              <m:r>
                <m:t>t</m:t>
              </m:r>
            </m:sub>
          </m:sSub>
        </m:oMath>
      </m:oMathPara>
    </w:p>
    <w:p>
      <w:pPr>
        <w:spacing w:after="100"/>
        <w:jc w:val="both"/>
      </w:pPr>
      <m:oMath>
        <m:sSub>
          <m:e>
            <m:r>
              <m:t>p</m:t>
            </m:r>
          </m:e>
          <m:sub>
            <m:r>
              <m:t>j</m:t>
            </m:r>
          </m:sub>
        </m:sSub>
      </m:oMath>
      <w:r>
        <w:rPr>
          <w:color w:val="3A4350"/>
          <w:sz w:val="19"/>
          <w:szCs w:val="19"/>
        </w:rPr>
        <w:t xml:space="preserve"> are the inputs (for example the recharge of zone </w:t>
      </w:r>
      <m:oMath>
        <m:r>
          <m:t>j</m:t>
        </m:r>
      </m:oMath>
      <w:r>
        <w:rPr>
          <w:color w:val="3A4350"/>
          <w:sz w:val="19"/>
          <w:szCs w:val="19"/>
        </w:rPr>
        <w:t xml:space="preserve">), </w:t>
      </w:r>
      <m:oMath>
        <m:sSub>
          <m:e>
            <m:r>
              <m:t>β</m:t>
            </m:r>
          </m:e>
          <m:sub>
            <m:r>
              <m:t>j</m:t>
            </m:r>
            <m:r>
              <m:t>k</m:t>
            </m:r>
          </m:sub>
        </m:sSub>
      </m:oMath>
      <w:r>
        <w:rPr>
          <w:color w:val="3A4350"/>
          <w:sz w:val="19"/>
          <w:szCs w:val="19"/>
        </w:rPr>
        <w:t xml:space="preserve"> the response of component </w:t>
      </w:r>
      <m:oMath>
        <m:r>
          <m:t>j</m:t>
        </m:r>
      </m:oMath>
      <w:r>
        <w:rPr>
          <w:color w:val="3A4350"/>
          <w:sz w:val="19"/>
          <w:szCs w:val="19"/>
        </w:rPr>
        <w:t xml:space="preserve"> at lag </w:t>
      </w:r>
      <m:oMath>
        <m:r>
          <m:t>k</m:t>
        </m:r>
      </m:oMath>
      <w:r>
        <w:rPr>
          <w:color w:val="3A4350"/>
          <w:sz w:val="19"/>
          <w:szCs w:val="19"/>
        </w:rPr>
        <w:t xml:space="preserve">, </w:t>
      </w:r>
      <m:oMath>
        <m:r>
          <m:t>B</m:t>
        </m:r>
      </m:oMath>
      <w:r>
        <w:rPr>
          <w:color w:val="3A4350"/>
          <w:sz w:val="19"/>
          <w:szCs w:val="19"/>
        </w:rPr>
        <w:t xml:space="preserve"> the backshift operator and </w:t>
      </w:r>
      <m:oMath>
        <m:r>
          <m:t>ϕ</m:t>
        </m:r>
      </m:oMath>
      <w:r>
        <w:rPr>
          <w:color w:val="3A4350"/>
          <w:sz w:val="19"/>
          <w:szCs w:val="19"/>
        </w:rPr>
        <w:t xml:space="preserve">, </w:t>
      </w:r>
      <m:oMath>
        <m:r>
          <m:t>ϑ</m:t>
        </m:r>
      </m:oMath>
      <w:r>
        <w:rPr>
          <w:color w:val="3A4350"/>
          <w:sz w:val="19"/>
          <w:szCs w:val="19"/>
        </w:rPr>
        <w:t xml:space="preserve"> the autoregressive and moving-average polynomials of the noise; nonstationarity enters by letting </w:t>
      </w:r>
      <m:oMath>
        <m:r>
          <m:t>β</m:t>
        </m:r>
      </m:oMath>
      <w:r>
        <w:rPr>
          <w:color w:val="3A4350"/>
          <w:sz w:val="19"/>
          <w:szCs w:val="19"/>
        </w:rPr>
        <w:t xml:space="preserve"> depend on the state or the season.</w:t>
      </w:r>
    </w:p>
    <w:p>
      <w:pPr>
        <w:spacing w:after="100" w:before="80"/>
        <w:jc w:val="both"/>
      </w:pPr>
      <w:r>
        <w:rPr>
          <w:b/>
          <w:bCs/>
          <w:color w:val="215CAF"/>
        </w:rPr>
        <w:t xml:space="preserve">Link to the candidate system and to seawater intrusion. </w:t>
      </w:r>
      <w:r>
        <w:t xml:space="preserve">Belongs to sections 1.2 and 1.4. The estimated responses are empirical memory kernels: of heads to recharge for proposal N1 and of chloride to pumping for the transport equation. Demixing addresses the identifiability warning of Proposition 1, whether the contributions of separate pathways (recharge and closure, mobile and immobile zones) can be told apart from one combined signal. The chloride series of wells 503 and 341 and future head records at Fushë-Kuqe are the inputs.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Whole response kernels estimated without an assumed shape, for nonlinear, nonstationary and heterogeneous systems with serially correlated noise. Proposed extension: deconvolve the chloride and head records to obtain an empirical memory kernel, and require the learned completely monotone kernel of the candidate system to reproduce it; a kernel that cannot be demixed from the recharge response is a direct test of Proposition 1 on data.</w:t>
      </w:r>
    </w:p>
    <w:p>
      <w:pPr>
        <w:pStyle w:val="Heading2"/>
        <w:keepNext/>
      </w:pPr>
      <w:r>
        <w:rPr>
          <w:color w:val="215CAF"/>
        </w:rPr>
        <w:t xml:space="preserve">E4  </w:t>
      </w:r>
      <w:r>
        <w:rPr>
          <w:color w:val="1F3864"/>
        </w:rPr>
        <w:t xml:space="preserve">Upscaling Mixing-Controlled Reactions in Unsaturated Porous Media</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Perez, Puyguiraud, Hidalgo, Jiménez-Martínez, Parashar, Dentz (given names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Transport in Porous Media, 146(1–2), 177–196 (published online 2021; year of the issue not verified); open access (PMC9849197)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ag2qcfd3yp1medck6hpx">
              <w:r>
                <w:rPr>
                  <w:color w:val="1D4ED8"/>
                  <w:sz w:val="18"/>
                  <w:szCs w:val="18"/>
                  <w:u w:val="single"/>
                </w:rPr>
                <w:t xml:space="preserve">https://doi.org/10.1007/s11242-021-01710-2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Desert Research Institute (Reno), IDAEA-CSIC (Barcelona), Université de Rennes 1/CNRS, Eawag and ETH Zürich: the affiliation block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Distinctions of the authors were not seen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mixing-controlled reactions · upscaling · dispersive lamellae · unsaturated porous media · effective dispersion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A fast irreversible reaction takes place where two solutions mix as one displaces the other through the water phase of an unsaturated porous medium. Using pore geometries and water distributions from earlier experiments together with numerical simulations, the paper upscales the reactive mixing with a dispersive-lamella approach, in which the heterogeneity of the flow enters through effective dispersion coefficients. The main result is that reactive mixing, and with it the reaction rate, increases significantly as saturation decreases, because the water phase becomes more heterogeneous.</w:t>
      </w:r>
    </w:p>
    <w:p>
      <w:pPr>
        <w:keepNext/>
        <w:spacing w:after="40" w:before="80"/>
      </w:pPr>
      <w:r>
        <w:rPr>
          <w:b/>
          <w:bCs/>
          <w:color w:val="215CAF"/>
        </w:rPr>
        <w:t xml:space="preserve">Key equation.</w:t>
      </w:r>
      <w:r>
        <w:rPr>
          <w:i/>
          <w:iCs/>
          <w:color w:val="5B6573"/>
          <w:sz w:val="18"/>
          <w:szCs w:val="18"/>
        </w:rPr>
        <w:t xml:space="preserve">  Reaction rate controlled by the mixing of a conservative component (representative formulation)</w:t>
      </w:r>
    </w:p>
    <w:p>
      <w:pPr>
        <w:pStyle w:val="Equation"/>
      </w:pPr>
      <m:oMathPara>
        <m:oMathParaPr>
          <m:jc m:val="center"/>
        </m:oMathParaPr>
        <m:oMath>
          <m:sSub>
            <m:e>
              <m:r>
                <m:t>r</m:t>
              </m:r>
            </m:e>
            <m:sub>
              <m:r>
                <m:t>C</m:t>
              </m:r>
            </m:sub>
          </m:sSub>
          <m:r>
            <m:rPr>
              <m:sty m:val="p"/>
            </m:rPr>
            <m:t>=</m:t>
          </m:r>
          <m:r>
            <m:rPr>
              <m:sty m:val="p"/>
            </m:rPr>
            <m:t>−</m:t>
          </m:r>
          <m:r>
            <m:t>D</m:t>
          </m:r>
          <m:sSup>
            <m:e>
              <m:d>
                <m:dPr>
                  <m:begChr m:val="|"/>
                  <m:sepChr m:val=""/>
                  <m:endChr m:val="|"/>
                  <m:grow/>
                </m:dPr>
                <m:e>
                  <m:r>
                    <m:rPr>
                      <m:sty m:val="p"/>
                    </m:rPr>
                    <m:t>∇</m:t>
                  </m:r>
                  <m:r>
                    <m:t>X</m:t>
                  </m:r>
                </m:e>
              </m:d>
            </m:e>
            <m:sup>
              <m:r>
                <m:t>2</m:t>
              </m:r>
            </m:sup>
          </m:sSup>
          <m:f>
            <m:fPr>
              <m:type m:val="bar"/>
            </m:fPr>
            <m:num>
              <m:sSup>
                <m:e>
                  <m:r>
                    <m:t>d</m:t>
                  </m:r>
                </m:e>
                <m:sup>
                  <m:r>
                    <m:t>2</m:t>
                  </m:r>
                </m:sup>
              </m:sSup>
              <m:sSub>
                <m:e>
                  <m:r>
                    <m:t>c</m:t>
                  </m:r>
                </m:e>
                <m:sub>
                  <m:r>
                    <m:t>C</m:t>
                  </m:r>
                </m:sub>
              </m:sSub>
            </m:num>
            <m:den>
              <m:r>
                <m:t>d</m:t>
              </m:r>
              <m:sSup>
                <m:e>
                  <m:r>
                    <m:t>X</m:t>
                  </m:r>
                </m:e>
                <m:sup>
                  <m:r>
                    <m:t>2</m:t>
                  </m:r>
                </m:sup>
              </m:sSup>
            </m:den>
          </m:f>
          <m:r>
            <m:rPr>
              <m:sty m:val="p"/>
            </m:rPr>
            <m:t>,</m:t>
          </m:r>
          <m:r>
            <m:t>  </m:t>
          </m:r>
          <m:f>
            <m:fPr>
              <m:type m:val="bar"/>
            </m:fPr>
            <m:num>
              <m:r>
                <m:t>d</m:t>
              </m:r>
              <m:sSub>
                <m:e>
                  <m:r>
                    <m:t>M</m:t>
                  </m:r>
                </m:e>
                <m:sub>
                  <m:r>
                    <m:t>C</m:t>
                  </m:r>
                </m:sub>
              </m:sSub>
            </m:num>
            <m:den>
              <m:r>
                <m:t>d</m:t>
              </m:r>
              <m:r>
                <m:t>t</m:t>
              </m:r>
            </m:den>
          </m:f>
          <m:r>
            <m:rPr>
              <m:sty m:val="p"/>
            </m:rPr>
            <m:t>=</m:t>
          </m:r>
          <m:nary>
            <m:naryPr>
              <m:chr m:val="∫"/>
              <m:limLoc m:val="subSup"/>
              <m:subHide m:val="off"/>
              <m:supHide m:val="on"/>
            </m:naryPr>
            <m:sub>
              <m:r>
                <m:t>Ω</m:t>
              </m:r>
            </m:sub>
            <m:sup>
              <m:r>
                <m:t>​</m:t>
              </m:r>
            </m:sup>
            <m:e>
              <m:sSub>
                <m:e>
                  <m:r>
                    <m:t>r</m:t>
                  </m:r>
                </m:e>
                <m:sub>
                  <m:r>
                    <m:t>C</m:t>
                  </m:r>
                </m:sub>
              </m:sSub>
            </m:e>
          </m:nary>
          <m:r>
            <m:t> </m:t>
          </m:r>
          <m:r>
            <m:t>d</m:t>
          </m:r>
          <m:r>
            <m:t>V</m:t>
          </m:r>
        </m:oMath>
      </m:oMathPara>
    </w:p>
    <w:p>
      <w:pPr>
        <w:spacing w:after="100"/>
        <w:jc w:val="both"/>
      </w:pPr>
      <m:oMath>
        <m:r>
          <m:t>X</m:t>
        </m:r>
      </m:oMath>
      <w:r>
        <w:rPr>
          <w:color w:val="3A4350"/>
          <w:sz w:val="19"/>
          <w:szCs w:val="19"/>
        </w:rPr>
        <w:t xml:space="preserve"> is the mixing ratio carried by a conservative component, </w:t>
      </w:r>
      <m:oMath>
        <m:sSub>
          <m:e>
            <m:r>
              <m:t>c</m:t>
            </m:r>
          </m:e>
          <m:sub>
            <m:r>
              <m:t>C</m:t>
            </m:r>
          </m:sub>
        </m:sSub>
        <m:d>
          <m:dPr>
            <m:begChr m:val="("/>
            <m:sepChr m:val=""/>
            <m:endChr m:val=")"/>
            <m:grow/>
          </m:dPr>
          <m:e>
            <m:r>
              <m:t>X</m:t>
            </m:r>
          </m:e>
        </m:d>
      </m:oMath>
      <w:r>
        <w:rPr>
          <w:color w:val="3A4350"/>
          <w:sz w:val="19"/>
          <w:szCs w:val="19"/>
        </w:rPr>
        <w:t xml:space="preserve"> the equilibrium concentration of the product, </w:t>
      </w:r>
      <m:oMath>
        <m:r>
          <m:t>D</m:t>
        </m:r>
      </m:oMath>
      <w:r>
        <w:rPr>
          <w:color w:val="3A4350"/>
          <w:sz w:val="19"/>
          <w:szCs w:val="19"/>
        </w:rPr>
        <w:t xml:space="preserve"> the (effective) dispersion coefficient and </w:t>
      </w:r>
      <m:oMath>
        <m:sSub>
          <m:e>
            <m:r>
              <m:t>M</m:t>
            </m:r>
          </m:e>
          <m:sub>
            <m:r>
              <m:t>C</m:t>
            </m:r>
          </m:sub>
        </m:sSub>
      </m:oMath>
      <w:r>
        <w:rPr>
          <w:color w:val="3A4350"/>
          <w:sz w:val="19"/>
          <w:szCs w:val="19"/>
        </w:rPr>
        <w:t xml:space="preserve"> the mass produced; in the lamella model an effective dispersion </w:t>
      </w:r>
      <m:oMath>
        <m:sSub>
          <m:e>
            <m:r>
              <m:t>D</m:t>
            </m:r>
          </m:e>
          <m:sub>
            <m:r>
              <m:rPr>
                <m:nor/>
              </m:rPr>
              <m:t>eff</m:t>
            </m:r>
          </m:sub>
        </m:sSub>
        <m:d>
          <m:dPr>
            <m:begChr m:val="("/>
            <m:sepChr m:val=""/>
            <m:endChr m:val=")"/>
            <m:grow/>
          </m:dPr>
          <m:e>
            <m:r>
              <m:t>t</m:t>
            </m:r>
          </m:e>
        </m:d>
      </m:oMath>
      <w:r>
        <w:rPr>
          <w:color w:val="3A4350"/>
          <w:sz w:val="19"/>
          <w:szCs w:val="19"/>
        </w:rPr>
        <w:t xml:space="preserve"> sets </w:t>
      </w:r>
      <m:oMath>
        <m:sSup>
          <m:e>
            <m:d>
              <m:dPr>
                <m:begChr m:val="|"/>
                <m:sepChr m:val=""/>
                <m:endChr m:val="|"/>
                <m:grow/>
              </m:dPr>
              <m:e>
                <m:r>
                  <m:rPr>
                    <m:sty m:val="p"/>
                  </m:rPr>
                  <m:t>∇</m:t>
                </m:r>
                <m:r>
                  <m:t>X</m:t>
                </m:r>
              </m:e>
            </m:d>
          </m:e>
          <m:sup>
            <m:r>
              <m:t>2</m:t>
            </m:r>
          </m:sup>
        </m:sSup>
      </m:oMath>
      <w:r>
        <w:rPr>
          <w:color w:val="3A4350"/>
          <w:sz w:val="19"/>
          <w:szCs w:val="19"/>
        </w:rPr>
        <w:t xml:space="preserve">.</w:t>
      </w:r>
    </w:p>
    <w:p>
      <w:pPr>
        <w:spacing w:after="100" w:before="80"/>
        <w:jc w:val="both"/>
      </w:pPr>
      <w:r>
        <w:rPr>
          <w:b/>
          <w:bCs/>
          <w:color w:val="215CAF"/>
        </w:rPr>
        <w:t xml:space="preserve">Link to the candidate system and to seawater intrusion. </w:t>
      </w:r>
      <w:r>
        <w:t xml:space="preserve">Belongs to sections 1.3 and 1.5. When mixing is incomplete, reactions computed from mean concentrations miss part of the rate; the missing part is a closure term, and here it is a function of the gradient of a conservative component. At Fushë-Kuqe the conservative component is chloride and its mixing ratio is the seawater fraction of section 9.1, so exchange and calcite reactions driven by the mixing of seawater with fresh water have a physically derived closure candidate. The pore-scale, unsaturated setting is an analogy, not a field result.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Upscaling of mixing-controlled reaction rates through dispersive lamellae with an effective dispersion that depends on saturation. Proposed extension: add </w:t>
      </w:r>
      <m:oMath>
        <m:r>
          <m:t>D</m:t>
        </m:r>
        <m:sSup>
          <m:e>
            <m:d>
              <m:dPr>
                <m:begChr m:val="|"/>
                <m:sepChr m:val=""/>
                <m:endChr m:val="|"/>
                <m:grow/>
              </m:dPr>
              <m:e>
                <m:r>
                  <m:rPr>
                    <m:sty m:val="p"/>
                  </m:rPr>
                  <m:t>∇</m:t>
                </m:r>
                <m:r>
                  <m:t>f</m:t>
                </m:r>
              </m:e>
            </m:d>
          </m:e>
          <m:sup>
            <m:r>
              <m:t>2</m:t>
            </m:r>
          </m:sup>
        </m:sSup>
      </m:oMath>
      <w:r>
        <w:t xml:space="preserve">, the dissipation of the seawater fraction computed from chloride, to the dictionary of the learned reactive closure, so that rates driven by incomplete mixing at the front enter with a physical form rather than a black box.</w:t>
      </w:r>
    </w:p>
    <w:p>
      <w:pPr>
        <w:pStyle w:val="Heading2"/>
        <w:keepNext/>
      </w:pPr>
      <w:r>
        <w:rPr>
          <w:color w:val="215CAF"/>
        </w:rPr>
        <w:t xml:space="preserve">E5  </w:t>
      </w:r>
      <w:r>
        <w:rPr>
          <w:color w:val="1F3864"/>
        </w:rPr>
        <w:t xml:space="preserve">Neural Jump Ordinary Differential Equations: Consistent Continuous-Time Prediction and Filtering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Calypso Herrera, Florian Krach, Josef Teichmann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2021), main conference; arXiv 2006.04727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1m6ubmz0p_mbaigbkdhw">
              <w:r>
                <w:rPr>
                  <w:color w:val="1D4ED8"/>
                  <w:sz w:val="18"/>
                  <w:szCs w:val="18"/>
                  <w:u w:val="single"/>
                </w:rPr>
                <w:t xml:space="preserve">https://iclr.cc/virtual/2021/poster/3339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Mathematics, ETH Zürich: the conference slides and the ETH Research Collection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 Teichmann is at the Department of Mathematics of ETH Zürich (position and distinctions not verified in the searches).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continuous-time prediction · irregular observations · neural ODE with jumps · L²-optimal prediction · filtering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Neural Jump ODE learns the conditional expectation of a stochastic process continuously in time from paths observed at irregular times. Between observations a neural ODE evolves a latent state; at each new observation a jump updates it. The main result is that the output converges to the L²-optimal prediction, the conditional expectation given the information available so far, which the authors frame as a special filtering problem; earlier continuous-time recurrent models had no such guarantee. A 2024 follow-up extends a path-dependent version to noisy observations and to observation times that depend on the process.</w:t>
      </w:r>
    </w:p>
    <w:p>
      <w:pPr>
        <w:keepNext/>
        <w:spacing w:after="40" w:before="80"/>
      </w:pPr>
      <w:r>
        <w:rPr>
          <w:b/>
          <w:bCs/>
          <w:color w:val="215CAF"/>
        </w:rPr>
        <w:t xml:space="preserve">Key equation.</w:t>
      </w:r>
      <w:r>
        <w:rPr>
          <w:i/>
          <w:iCs/>
          <w:color w:val="5B6573"/>
          <w:sz w:val="18"/>
          <w:szCs w:val="18"/>
        </w:rPr>
        <w:t xml:space="preserve">  Neural ODE between observations, jump at observations, and the convergence statement (representative formulation)</w:t>
      </w:r>
    </w:p>
    <w:p>
      <w:pPr>
        <w:pStyle w:val="Equation"/>
      </w:pPr>
      <m:oMathPara>
        <m:oMathParaPr>
          <m:jc m:val="center"/>
        </m:oMathParaPr>
        <m:oMath>
          <m:f>
            <m:fPr>
              <m:type m:val="bar"/>
            </m:fPr>
            <m:num>
              <m:r>
                <m:t>d</m:t>
              </m:r>
              <m:sSub>
                <m:e>
                  <m:r>
                    <m:t>H</m:t>
                  </m:r>
                </m:e>
                <m:sub>
                  <m:r>
                    <m:t>t</m:t>
                  </m:r>
                </m:sub>
              </m:sSub>
            </m:num>
            <m:den>
              <m:r>
                <m:t>d</m:t>
              </m:r>
              <m:r>
                <m:t>t</m:t>
              </m:r>
            </m:den>
          </m:f>
          <m:r>
            <m:rPr>
              <m:sty m:val="p"/>
            </m:rPr>
            <m:t>=</m:t>
          </m:r>
          <m:sSub>
            <m:e>
              <m:r>
                <m:t>f</m:t>
              </m:r>
            </m:e>
            <m:sub>
              <m:r>
                <m:t>θ</m:t>
              </m:r>
            </m:sub>
          </m:sSub>
          <m:d>
            <m:dPr>
              <m:begChr m:val="("/>
              <m:sepChr m:val=""/>
              <m:endChr m:val=")"/>
              <m:grow/>
            </m:dPr>
            <m:e>
              <m:sSub>
                <m:e>
                  <m:r>
                    <m:t>H</m:t>
                  </m:r>
                </m:e>
                <m:sub>
                  <m:r>
                    <m:t>t</m:t>
                  </m:r>
                </m:sub>
              </m:sSub>
              <m:r>
                <m:rPr>
                  <m:sty m:val="p"/>
                </m:rPr>
                <m:t>,</m:t>
              </m:r>
              <m:sSub>
                <m:e>
                  <m:r>
                    <m:t>X</m:t>
                  </m:r>
                </m:e>
                <m:sub>
                  <m:sSub>
                    <m:e>
                      <m:r>
                        <m:t>t</m:t>
                      </m:r>
                    </m:e>
                    <m:sub>
                      <m:r>
                        <m:t>τ</m:t>
                      </m:r>
                      <m:d>
                        <m:dPr>
                          <m:begChr m:val="("/>
                          <m:sepChr m:val=""/>
                          <m:endChr m:val=")"/>
                          <m:grow/>
                        </m:dPr>
                        <m:e>
                          <m:r>
                            <m:t>t</m:t>
                          </m:r>
                        </m:e>
                      </m:d>
                    </m:sub>
                  </m:sSub>
                </m:sub>
              </m:sSub>
              <m:r>
                <m:rPr>
                  <m:sty m:val="p"/>
                </m:rPr>
                <m:t>,</m:t>
              </m:r>
              <m:sSub>
                <m:e>
                  <m:r>
                    <m:t>t</m:t>
                  </m:r>
                </m:e>
                <m:sub>
                  <m:r>
                    <m:t>τ</m:t>
                  </m:r>
                  <m:d>
                    <m:dPr>
                      <m:begChr m:val="("/>
                      <m:sepChr m:val=""/>
                      <m:endChr m:val=")"/>
                      <m:grow/>
                    </m:dPr>
                    <m:e>
                      <m:r>
                        <m:t>t</m:t>
                      </m:r>
                    </m:e>
                  </m:d>
                </m:sub>
              </m:sSub>
              <m:r>
                <m:rPr>
                  <m:sty m:val="p"/>
                </m:rPr>
                <m:t>,</m:t>
              </m:r>
              <m:r>
                <m:t>t</m:t>
              </m:r>
              <m:r>
                <m:rPr>
                  <m:sty m:val="p"/>
                </m:rPr>
                <m:t>−</m:t>
              </m:r>
              <m:sSub>
                <m:e>
                  <m:r>
                    <m:t>t</m:t>
                  </m:r>
                </m:e>
                <m:sub>
                  <m:r>
                    <m:t>τ</m:t>
                  </m:r>
                  <m:d>
                    <m:dPr>
                      <m:begChr m:val="("/>
                      <m:sepChr m:val=""/>
                      <m:endChr m:val=")"/>
                      <m:grow/>
                    </m:dPr>
                    <m:e>
                      <m:r>
                        <m:t>t</m:t>
                      </m:r>
                    </m:e>
                  </m:d>
                </m:sub>
              </m:sSub>
            </m:e>
          </m:d>
          <m:r>
            <m:rPr>
              <m:sty m:val="p"/>
            </m:rPr>
            <m:t>,</m:t>
          </m:r>
          <m:r>
            <m:t>  </m:t>
          </m:r>
          <m:sSub>
            <m:e>
              <m:r>
                <m:t>H</m:t>
              </m:r>
            </m:e>
            <m:sub>
              <m:sSub>
                <m:e>
                  <m:r>
                    <m:t>t</m:t>
                  </m:r>
                </m:e>
                <m:sub>
                  <m:r>
                    <m:t>i</m:t>
                  </m:r>
                </m:sub>
              </m:sSub>
            </m:sub>
          </m:sSub>
          <m:r>
            <m:rPr>
              <m:sty m:val="p"/>
            </m:rPr>
            <m:t>=</m:t>
          </m:r>
          <m:sSub>
            <m:e>
              <m:r>
                <m:t>ρ</m:t>
              </m:r>
            </m:e>
            <m:sub>
              <m:r>
                <m:t>θ</m:t>
              </m:r>
            </m:sub>
          </m:sSub>
          <m:d>
            <m:dPr>
              <m:begChr m:val="("/>
              <m:sepChr m:val=""/>
              <m:endChr m:val=")"/>
              <m:grow/>
            </m:dPr>
            <m:e>
              <m:sSub>
                <m:e>
                  <m:r>
                    <m:t>H</m:t>
                  </m:r>
                </m:e>
                <m:sub>
                  <m:sSub>
                    <m:e>
                      <m:r>
                        <m:t>t</m:t>
                      </m:r>
                    </m:e>
                    <m:sub>
                      <m:r>
                        <m:t>i</m:t>
                      </m:r>
                    </m:sub>
                  </m:sSub>
                  <m:r>
                    <m:rPr>
                      <m:sty m:val="p"/>
                    </m:rPr>
                    <m:t>−</m:t>
                  </m:r>
                </m:sub>
              </m:sSub>
              <m:r>
                <m:rPr>
                  <m:sty m:val="p"/>
                </m:rPr>
                <m:t>,</m:t>
              </m:r>
              <m:sSub>
                <m:e>
                  <m:r>
                    <m:t>X</m:t>
                  </m:r>
                </m:e>
                <m:sub>
                  <m:sSub>
                    <m:e>
                      <m:r>
                        <m:t>t</m:t>
                      </m:r>
                    </m:e>
                    <m:sub>
                      <m:r>
                        <m:t>i</m:t>
                      </m:r>
                    </m:sub>
                  </m:sSub>
                </m:sub>
              </m:sSub>
            </m:e>
          </m:d>
        </m:oMath>
      </m:oMathPara>
    </w:p>
    <w:p>
      <w:pPr>
        <w:pStyle w:val="Equation"/>
      </w:pPr>
      <m:oMathPara>
        <m:oMathParaPr>
          <m:jc m:val="center"/>
        </m:oMathParaPr>
        <m:oMath>
          <m:sSub>
            <m:e>
              <m:r>
                <m:t>g</m:t>
              </m:r>
            </m:e>
            <m:sub>
              <m:r>
                <m:t>θ</m:t>
              </m:r>
            </m:sub>
          </m:sSub>
          <m:d>
            <m:dPr>
              <m:begChr m:val="("/>
              <m:sepChr m:val=""/>
              <m:endChr m:val=")"/>
              <m:grow/>
            </m:dPr>
            <m:e>
              <m:sSub>
                <m:e>
                  <m:r>
                    <m:t>H</m:t>
                  </m:r>
                </m:e>
                <m:sub>
                  <m:r>
                    <m:t>t</m:t>
                  </m:r>
                </m:sub>
              </m:sSub>
            </m:e>
          </m:d>
          <m:r>
            <m:rPr>
              <m:sty m:val="p"/>
            </m:rPr>
            <m:t>→</m:t>
          </m:r>
          <m:r>
            <m:rPr>
              <m:scr m:val="double-struck"/>
              <m:sty m:val="p"/>
            </m:rPr>
            <m:t>E</m:t>
          </m:r>
          <m:d>
            <m:dPr>
              <m:begChr m:val="["/>
              <m:sepChr m:val=""/>
              <m:endChr m:val="]"/>
              <m:grow/>
            </m:dPr>
            <m:e>
              <m:sSub>
                <m:e>
                  <m:r>
                    <m:t>X</m:t>
                  </m:r>
                </m:e>
                <m:sub>
                  <m:r>
                    <m:t>t</m:t>
                  </m:r>
                </m:sub>
              </m:sSub>
              <m:r>
                <m:rPr>
                  <m:sty m:val="p"/>
                </m:rPr>
                <m:t>∣</m:t>
              </m:r>
              <m:sSub>
                <m:e>
                  <m:r>
                    <m:rPr>
                      <m:scr m:val="script"/>
                      <m:sty m:val="p"/>
                    </m:rPr>
                    <m:t>A</m:t>
                  </m:r>
                </m:e>
                <m:sub>
                  <m:r>
                    <m:t>t</m:t>
                  </m:r>
                </m:sub>
              </m:sSub>
            </m:e>
          </m:d>
          <m:r>
            <m:t> </m:t>
          </m:r>
          <m:r>
            <m:rPr>
              <m:nor/>
            </m:rPr>
            <m:t>in </m:t>
          </m:r>
          <m:sSup>
            <m:e>
              <m:r>
                <m:t>L</m:t>
              </m:r>
            </m:e>
            <m:sup>
              <m:r>
                <m:t>2</m:t>
              </m:r>
            </m:sup>
          </m:sSup>
        </m:oMath>
      </m:oMathPara>
    </w:p>
    <w:p>
      <w:pPr>
        <w:spacing w:after="100"/>
        <w:jc w:val="both"/>
      </w:pPr>
      <m:oMath>
        <m:sSub>
          <m:e>
            <m:r>
              <m:t>H</m:t>
            </m:r>
          </m:e>
          <m:sub>
            <m:r>
              <m:t>t</m:t>
            </m:r>
          </m:sub>
        </m:sSub>
      </m:oMath>
      <w:r>
        <w:rPr>
          <w:color w:val="3A4350"/>
          <w:sz w:val="19"/>
          <w:szCs w:val="19"/>
        </w:rPr>
        <w:t xml:space="preserve"> is the latent state, </w:t>
      </w:r>
      <m:oMath>
        <m:sSub>
          <m:e>
            <m:r>
              <m:t>t</m:t>
            </m:r>
          </m:e>
          <m:sub>
            <m:r>
              <m:t>τ</m:t>
            </m:r>
            <m:d>
              <m:dPr>
                <m:begChr m:val="("/>
                <m:sepChr m:val=""/>
                <m:endChr m:val=")"/>
                <m:grow/>
              </m:dPr>
              <m:e>
                <m:r>
                  <m:t>t</m:t>
                </m:r>
              </m:e>
            </m:d>
          </m:sub>
        </m:sSub>
      </m:oMath>
      <w:r>
        <w:rPr>
          <w:color w:val="3A4350"/>
          <w:sz w:val="19"/>
          <w:szCs w:val="19"/>
        </w:rPr>
        <w:t xml:space="preserve"> the last observation time before </w:t>
      </w:r>
      <m:oMath>
        <m:r>
          <m:t>t</m:t>
        </m:r>
      </m:oMath>
      <w:r>
        <w:rPr>
          <w:color w:val="3A4350"/>
          <w:sz w:val="19"/>
          <w:szCs w:val="19"/>
        </w:rPr>
        <w:t xml:space="preserve">, </w:t>
      </w:r>
      <m:oMath>
        <m:sSub>
          <m:e>
            <m:r>
              <m:t>ρ</m:t>
            </m:r>
          </m:e>
          <m:sub>
            <m:r>
              <m:t>θ</m:t>
            </m:r>
          </m:sub>
        </m:sSub>
      </m:oMath>
      <w:r>
        <w:rPr>
          <w:color w:val="3A4350"/>
          <w:sz w:val="19"/>
          <w:szCs w:val="19"/>
        </w:rPr>
        <w:t xml:space="preserve"> the jump network, </w:t>
      </w:r>
      <m:oMath>
        <m:sSub>
          <m:e>
            <m:r>
              <m:t>g</m:t>
            </m:r>
          </m:e>
          <m:sub>
            <m:r>
              <m:t>θ</m:t>
            </m:r>
          </m:sub>
        </m:sSub>
      </m:oMath>
      <w:r>
        <w:rPr>
          <w:color w:val="3A4350"/>
          <w:sz w:val="19"/>
          <w:szCs w:val="19"/>
        </w:rPr>
        <w:t xml:space="preserve"> the readout and </w:t>
      </w:r>
      <m:oMath>
        <m:sSub>
          <m:e>
            <m:r>
              <m:rPr>
                <m:scr m:val="script"/>
                <m:sty m:val="p"/>
              </m:rPr>
              <m:t>A</m:t>
            </m:r>
          </m:e>
          <m:sub>
            <m:r>
              <m:t>t</m:t>
            </m:r>
          </m:sub>
        </m:sSub>
      </m:oMath>
      <w:r>
        <w:rPr>
          <w:color w:val="3A4350"/>
          <w:sz w:val="19"/>
          <w:szCs w:val="19"/>
        </w:rPr>
        <w:t xml:space="preserve"> the information of the observations up to time </w:t>
      </w:r>
      <m:oMath>
        <m:r>
          <m:t>t</m:t>
        </m:r>
      </m:oMath>
      <w:r>
        <w:rPr>
          <w:color w:val="3A4350"/>
          <w:sz w:val="19"/>
          <w:szCs w:val="19"/>
        </w:rPr>
        <w:t xml:space="preserve">.</w:t>
      </w:r>
    </w:p>
    <w:p>
      <w:pPr>
        <w:spacing w:after="100" w:before="80"/>
        <w:jc w:val="both"/>
      </w:pPr>
      <w:r>
        <w:rPr>
          <w:b/>
          <w:bCs/>
          <w:color w:val="215CAF"/>
        </w:rPr>
        <w:t xml:space="preserve">Link to the candidate system and to seawater intrusion. </w:t>
      </w:r>
      <w:r>
        <w:t xml:space="preserve">Belongs to section 1.7. The chemistry of an aquifer is sampled in campaigns at irregular dates (four analyses in 2016, chloride in 1984, 1999 and 2001 at Fushë-Kuqe), exactly the observation regime of the theory. A learned filter with a consistency guarantee complements the augmented-state ensemble smoother between campaigns, and its path-dependent version carries memory.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neural continuous-time model proven to converge to the L²-optimal prediction from irregularly observed paths. Proposed extension: impose the stoichiometric span on the jump map, so that every update conserves chloride and the charge balance, and use the learned predictor as a cheap forecast of the major ions between sampling campaigns.</w:t>
      </w:r>
    </w:p>
    <w:p>
      <w:pPr>
        <w:pStyle w:val="Heading2"/>
        <w:keepNext/>
      </w:pPr>
      <w:r>
        <w:rPr>
          <w:color w:val="215CAF"/>
        </w:rPr>
        <w:t xml:space="preserve">E6  </w:t>
      </w:r>
      <w:r>
        <w:rPr>
          <w:color w:val="1F3864"/>
        </w:rPr>
        <w:t xml:space="preserve">Invariance, Causality and Robustness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Bühlmann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Statistical Science, 35(3), 404–426 (2020); rejoinder 35(3), 434–436 (DOI 10.1214/20-STS797)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ulxbrpbeiohdmyc2b_9x">
              <w:r>
                <w:rPr>
                  <w:color w:val="1D4ED8"/>
                  <w:sz w:val="18"/>
                  <w:szCs w:val="18"/>
                  <w:u w:val="single"/>
                </w:rPr>
                <w:t xml:space="preserve">https://doi.org/10.1214/19-STS721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Statistics, ETH Zürich: the manuscript on the server of the Seminar for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Bühlmann (Seminar for Statistics, ETH Zürich); the paper is his 2018 Neyman Lecture.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invariance across environments · causal inference · distributional robustness · anchor regression · causal regularisation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lecture connects causal inference with the robustness of predictions through invariance: a causal model is one whose conditional relations are stable across environments or perturbations. Causality is cast as risk minimisation with a matching notion of distributional robustness, and invariance can be estimated from heterogeneous or perturbation data. Anchor regression and causal regularisation interpolate between least squares and invariance-based (instrumental-variable-type) estimation, giving predictions that are more robust and models that are more causally interpretable than standard regression. A rejoinder answers discussions by Didelez and by Wager.</w:t>
      </w:r>
    </w:p>
    <w:p>
      <w:pPr>
        <w:keepNext/>
        <w:spacing w:after="40" w:before="80"/>
      </w:pPr>
      <w:r>
        <w:rPr>
          <w:b/>
          <w:bCs/>
          <w:color w:val="215CAF"/>
        </w:rPr>
        <w:t xml:space="preserve">Key equation.</w:t>
      </w:r>
      <w:r>
        <w:rPr>
          <w:i/>
          <w:iCs/>
          <w:color w:val="5B6573"/>
          <w:sz w:val="18"/>
          <w:szCs w:val="18"/>
        </w:rPr>
        <w:t xml:space="preserve">  Anchor regression as a worst case over shifts (representative formulation; not seen in the paper)</w:t>
      </w:r>
    </w:p>
    <w:p>
      <w:pPr>
        <w:pStyle w:val="Equation"/>
      </w:pPr>
      <m:oMathPara>
        <m:oMathParaPr>
          <m:jc m:val="center"/>
        </m:oMathParaPr>
        <m:oMath>
          <m:sSup>
            <m:e>
              <m:acc>
                <m:accPr>
                  <m:chr m:val="̂"/>
                </m:accPr>
                <m:e>
                  <m:r>
                    <m:t>b</m:t>
                  </m:r>
                </m:e>
              </m:acc>
            </m:e>
            <m:sup>
              <m:r>
                <m:t>γ</m:t>
              </m:r>
            </m:sup>
          </m:sSup>
          <m:r>
            <m:rPr>
              <m:sty m:val="p"/>
            </m:rPr>
            <m:t>=</m:t>
          </m:r>
          <m:limLow>
            <m:e>
              <m:r>
                <m:rPr>
                  <m:nor/>
                </m:rPr>
                <m:t>arg min</m:t>
              </m:r>
            </m:e>
            <m:lim>
              <m:r>
                <m:t>b</m:t>
              </m:r>
            </m:lim>
          </m:limLow>
          <m:d>
            <m:dPr>
              <m:begChr m:val="("/>
              <m:sepChr m:val=""/>
              <m:endChr m:val=")"/>
              <m:grow/>
            </m:dPr>
            <m:e>
              <m:r>
                <m:rPr>
                  <m:scr m:val="double-struck"/>
                  <m:sty m:val="p"/>
                </m:rPr>
                <m:t>E</m:t>
              </m:r>
              <m:d>
                <m:dPr>
                  <m:begChr m:val="["/>
                  <m:sepChr m:val=""/>
                  <m:endChr m:val="]"/>
                  <m:grow/>
                </m:dPr>
                <m:e>
                  <m:sSup>
                    <m:e>
                      <m:d>
                        <m:dPr>
                          <m:begChr m:val="("/>
                          <m:sepChr m:val=""/>
                          <m:endChr m:val=")"/>
                          <m:grow/>
                        </m:dPr>
                        <m:e>
                          <m:d>
                            <m:dPr>
                              <m:begChr m:val="("/>
                              <m:sepChr m:val=""/>
                              <m:endChr m:val=")"/>
                              <m:grow/>
                            </m:dPr>
                            <m:e>
                              <m:r>
                                <m:t>I</m:t>
                              </m:r>
                              <m:r>
                                <m:rPr>
                                  <m:sty m:val="p"/>
                                </m:rPr>
                                <m:t>−</m:t>
                              </m:r>
                              <m:sSub>
                                <m:e>
                                  <m:r>
                                    <m:t>P</m:t>
                                  </m:r>
                                </m:e>
                                <m:sub>
                                  <m:r>
                                    <m:t>A</m:t>
                                  </m:r>
                                </m:sub>
                              </m:sSub>
                            </m:e>
                          </m:d>
                          <m:d>
                            <m:dPr>
                              <m:begChr m:val="("/>
                              <m:sepChr m:val=""/>
                              <m:endChr m:val=")"/>
                              <m:grow/>
                            </m:dPr>
                            <m:e>
                              <m:r>
                                <m:t>Y</m:t>
                              </m:r>
                              <m:r>
                                <m:rPr>
                                  <m:sty m:val="p"/>
                                </m:rPr>
                                <m:t>−</m:t>
                              </m:r>
                              <m:r>
                                <m:t>X</m:t>
                              </m:r>
                              <m:r>
                                <m:t>b</m:t>
                              </m:r>
                            </m:e>
                          </m:d>
                        </m:e>
                      </m:d>
                    </m:e>
                    <m:sup>
                      <m:r>
                        <m:t>2</m:t>
                      </m:r>
                    </m:sup>
                  </m:sSup>
                </m:e>
              </m:d>
              <m:r>
                <m:rPr>
                  <m:sty m:val="p"/>
                </m:rPr>
                <m:t>+</m:t>
              </m:r>
              <m:r>
                <m:t>γ</m:t>
              </m:r>
              <m:r>
                <m:t> </m:t>
              </m:r>
              <m:r>
                <m:rPr>
                  <m:scr m:val="double-struck"/>
                  <m:sty m:val="p"/>
                </m:rPr>
                <m:t>E</m:t>
              </m:r>
              <m:d>
                <m:dPr>
                  <m:begChr m:val="["/>
                  <m:sepChr m:val=""/>
                  <m:endChr m:val="]"/>
                  <m:grow/>
                </m:dPr>
                <m:e>
                  <m:sSup>
                    <m:e>
                      <m:d>
                        <m:dPr>
                          <m:begChr m:val="("/>
                          <m:sepChr m:val=""/>
                          <m:endChr m:val=")"/>
                          <m:grow/>
                        </m:dPr>
                        <m:e>
                          <m:sSub>
                            <m:e>
                              <m:r>
                                <m:t>P</m:t>
                              </m:r>
                            </m:e>
                            <m:sub>
                              <m:r>
                                <m:t>A</m:t>
                              </m:r>
                            </m:sub>
                          </m:sSub>
                          <m:d>
                            <m:dPr>
                              <m:begChr m:val="("/>
                              <m:sepChr m:val=""/>
                              <m:endChr m:val=")"/>
                              <m:grow/>
                            </m:dPr>
                            <m:e>
                              <m:r>
                                <m:t>Y</m:t>
                              </m:r>
                              <m:r>
                                <m:rPr>
                                  <m:sty m:val="p"/>
                                </m:rPr>
                                <m:t>−</m:t>
                              </m:r>
                              <m:r>
                                <m:t>X</m:t>
                              </m:r>
                              <m:r>
                                <m:t>b</m:t>
                              </m:r>
                            </m:e>
                          </m:d>
                        </m:e>
                      </m:d>
                    </m:e>
                    <m:sup>
                      <m:r>
                        <m:t>2</m:t>
                      </m:r>
                    </m:sup>
                  </m:sSup>
                </m:e>
              </m:d>
            </m:e>
          </m:d>
          <m:r>
            <m:rPr>
              <m:sty m:val="p"/>
            </m:rPr>
            <m:t>=</m:t>
          </m:r>
          <m:limLow>
            <m:e>
              <m:r>
                <m:rPr>
                  <m:nor/>
                </m:rPr>
                <m:t>arg min</m:t>
              </m:r>
            </m:e>
            <m:lim>
              <m:r>
                <m:t>b</m:t>
              </m:r>
            </m:lim>
          </m:limLow>
          <m:r>
            <m:t> </m:t>
          </m:r>
          <m:limLow>
            <m:e>
              <m:r>
                <m:rPr>
                  <m:nor/>
                </m:rPr>
                <m:t>sup</m:t>
              </m:r>
            </m:e>
            <m:lim>
              <m:r>
                <m:t>v</m:t>
              </m:r>
              <m:r>
                <m:rPr>
                  <m:sty m:val="p"/>
                </m:rPr>
                <m:t>∈</m:t>
              </m:r>
              <m:sSub>
                <m:e>
                  <m:r>
                    <m:t>C</m:t>
                  </m:r>
                </m:e>
                <m:sub>
                  <m:r>
                    <m:t>γ</m:t>
                  </m:r>
                </m:sub>
              </m:sSub>
            </m:lim>
          </m:limLow>
          <m:r>
            <m:t> </m:t>
          </m:r>
          <m:sSub>
            <m:e>
              <m:r>
                <m:rPr>
                  <m:scr m:val="double-struck"/>
                  <m:sty m:val="p"/>
                </m:rPr>
                <m:t>E</m:t>
              </m:r>
            </m:e>
            <m:sub>
              <m:r>
                <m:t>v</m:t>
              </m:r>
            </m:sub>
          </m:sSub>
          <m:d>
            <m:dPr>
              <m:begChr m:val="["/>
              <m:sepChr m:val=""/>
              <m:endChr m:val="]"/>
              <m:grow/>
            </m:dPr>
            <m:e>
              <m:sSup>
                <m:e>
                  <m:d>
                    <m:dPr>
                      <m:begChr m:val="("/>
                      <m:sepChr m:val=""/>
                      <m:endChr m:val=")"/>
                      <m:grow/>
                    </m:dPr>
                    <m:e>
                      <m:r>
                        <m:t>Y</m:t>
                      </m:r>
                      <m:r>
                        <m:rPr>
                          <m:sty m:val="p"/>
                        </m:rPr>
                        <m:t>−</m:t>
                      </m:r>
                      <m:r>
                        <m:t>X</m:t>
                      </m:r>
                      <m:r>
                        <m:t>b</m:t>
                      </m:r>
                    </m:e>
                  </m:d>
                </m:e>
                <m:sup>
                  <m:r>
                    <m:t>2</m:t>
                  </m:r>
                </m:sup>
              </m:sSup>
            </m:e>
          </m:d>
        </m:oMath>
      </m:oMathPara>
    </w:p>
    <w:p>
      <w:pPr>
        <w:spacing w:after="100"/>
        <w:jc w:val="both"/>
      </w:pPr>
      <m:oMath>
        <m:r>
          <m:t>A</m:t>
        </m:r>
      </m:oMath>
      <w:r>
        <w:rPr>
          <w:color w:val="3A4350"/>
          <w:sz w:val="19"/>
          <w:szCs w:val="19"/>
        </w:rPr>
        <w:t xml:space="preserve"> are the anchors (variables that index the environments), </w:t>
      </w:r>
      <m:oMath>
        <m:sSub>
          <m:e>
            <m:r>
              <m:t>P</m:t>
            </m:r>
          </m:e>
          <m:sub>
            <m:r>
              <m:t>A</m:t>
            </m:r>
          </m:sub>
        </m:sSub>
      </m:oMath>
      <w:r>
        <w:rPr>
          <w:color w:val="3A4350"/>
          <w:sz w:val="19"/>
          <w:szCs w:val="19"/>
        </w:rPr>
        <w:t xml:space="preserve"> the projection on them, </w:t>
      </w:r>
      <m:oMath>
        <m:r>
          <m:t>γ</m:t>
        </m:r>
        <m:r>
          <m:rPr>
            <m:sty m:val="p"/>
          </m:rPr>
          <m:t>≥</m:t>
        </m:r>
        <m:r>
          <m:t>0</m:t>
        </m:r>
      </m:oMath>
      <w:r>
        <w:rPr>
          <w:color w:val="3A4350"/>
          <w:sz w:val="19"/>
          <w:szCs w:val="19"/>
        </w:rPr>
        <w:t xml:space="preserve"> the strength of the regularisation and </w:t>
      </w:r>
      <m:oMath>
        <m:sSub>
          <m:e>
            <m:r>
              <m:t>C</m:t>
            </m:r>
          </m:e>
          <m:sub>
            <m:r>
              <m:t>γ</m:t>
            </m:r>
          </m:sub>
        </m:sSub>
      </m:oMath>
      <w:r>
        <w:rPr>
          <w:color w:val="3A4350"/>
          <w:sz w:val="19"/>
          <w:szCs w:val="19"/>
        </w:rPr>
        <w:t xml:space="preserve"> the class of shifts against which the prediction is protected.</w:t>
      </w:r>
    </w:p>
    <w:p>
      <w:pPr>
        <w:spacing w:after="100" w:before="80"/>
        <w:jc w:val="both"/>
      </w:pPr>
      <w:r>
        <w:rPr>
          <w:b/>
          <w:bCs/>
          <w:color w:val="215CAF"/>
        </w:rPr>
        <w:t xml:space="preserve">Link to the candidate system and to seawater intrusion. </w:t>
      </w:r>
      <w:r>
        <w:t xml:space="preserve">Belongs to sections 1.6 and 1.9. A closure term that describes a real process should have coefficients that are invariant across environments (wells, seasons, pumping regimes), so invariance is an identifiability principle for the learned closure; and the worst-case risk over a class of shifts is an upper expectation, the form of the robust report of proposal N3. The four Fushë-Kuqe wells along the gradient from Ca–Mg–HCO₃ to Na–Cl water are natural environments. (Anchor regression itself appeared in an earlier document of the series; this lecture did not.)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Causality as invariance across environments and as distributionally robust risk minimisation, in one framework. Proposed extension: treat the wells or the sampling campaigns as environments and keep in the learned closure only terms whose coefficients are invariant across them; report the forecasts of the candidate system as the worst case over the shifts, which connects the identifiability of section 1.6 with the robust reporting of N3.</w:t>
      </w:r>
    </w:p>
    <w:p>
      <w:pPr>
        <w:pStyle w:val="Heading2"/>
        <w:keepNext/>
      </w:pPr>
      <w:r>
        <w:rPr>
          <w:color w:val="215CAF"/>
        </w:rPr>
        <w:t xml:space="preserve">E7  </w:t>
      </w:r>
      <w:r>
        <w:rPr>
          <w:color w:val="1F3864"/>
        </w:rPr>
        <w:t xml:space="preserve">Nonlinear Reconstruction for Operator Learning of PDEs with Discontinuities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Lanthaler, Roberto Molinaro, Patrik Hadorn,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2023), oral presentation; arXiv 2210.01074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_6e4mopma_hb_m0xa2z0">
              <w:r>
                <w:rPr>
                  <w:color w:val="1D4ED8"/>
                  <w:sz w:val="18"/>
                  <w:szCs w:val="18"/>
                  <w:u w:val="single"/>
                </w:rPr>
                <w:t xml:space="preserve">https://iclr.cc/virtual/2023/oral/12757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the ETH Research Collection record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Mishra: see [E1]; the paper was selected as an oral presentation at ICLR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operator learning · lower bounds · linear and nonlinear reconstruction · DeepONet and Fourier neural operators · discontinuous solutions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paper proves lower bounds showing that operator-learning methods with linear reconstruction, which write the output as a linear combination of fixed basis functions (DeepONet, PCA-Net), cannot efficiently approximate the solution operators of PDEs whose solutions are discontinuous. Methods with nonlinear reconstruction escape these bounds; Fourier neural operators and a new shift-DeepONet belong to this class. The theory is confirmed on advection, the inviscid Burgers equation and the compressible Euler equations.</w:t>
      </w:r>
    </w:p>
    <w:p>
      <w:pPr>
        <w:keepNext/>
        <w:spacing w:after="40" w:before="80"/>
      </w:pPr>
      <w:r>
        <w:rPr>
          <w:b/>
          <w:bCs/>
          <w:color w:val="215CAF"/>
        </w:rPr>
        <w:t xml:space="preserve">Key equation.</w:t>
      </w:r>
      <w:r>
        <w:rPr>
          <w:i/>
          <w:iCs/>
          <w:color w:val="5B6573"/>
          <w:sz w:val="18"/>
          <w:szCs w:val="18"/>
        </w:rPr>
        <w:t xml:space="preserve">  The obstruction for linear reconstruction (representative formulation of a bound of this type)</w:t>
      </w:r>
    </w:p>
    <w:p>
      <w:pPr>
        <w:pStyle w:val="Equation"/>
      </w:pPr>
      <m:oMathPara>
        <m:oMathParaPr>
          <m:jc m:val="center"/>
        </m:oMathParaPr>
        <m:oMath>
          <m:r>
            <m:rPr>
              <m:scr m:val="script"/>
              <m:sty m:val="p"/>
            </m:rPr>
            <m:t>N</m:t>
          </m:r>
          <m:d>
            <m:dPr>
              <m:begChr m:val="("/>
              <m:sepChr m:val=""/>
              <m:endChr m:val=")"/>
              <m:grow/>
            </m:dPr>
            <m:e>
              <m:r>
                <m:t>u</m:t>
              </m:r>
            </m:e>
          </m:d>
          <m:r>
            <m:rPr>
              <m:sty m:val="p"/>
            </m:rPr>
            <m:t>=</m:t>
          </m:r>
          <m:nary>
            <m:naryPr>
              <m:chr m:val="∑"/>
              <m:limLoc m:val="undOvr"/>
              <m:subHide m:val="off"/>
              <m:supHide m:val="off"/>
            </m:naryPr>
            <m:sub>
              <m:r>
                <m:t>k</m:t>
              </m:r>
              <m:r>
                <m:rPr>
                  <m:sty m:val="p"/>
                </m:rPr>
                <m:t>=</m:t>
              </m:r>
              <m:r>
                <m:t>1</m:t>
              </m:r>
            </m:sub>
            <m:sup>
              <m:r>
                <m:t>p</m:t>
              </m:r>
            </m:sup>
            <m:e>
              <m:sSub>
                <m:e>
                  <m:r>
                    <m:t>β</m:t>
                  </m:r>
                </m:e>
                <m:sub>
                  <m:r>
                    <m:t>k</m:t>
                  </m:r>
                </m:sub>
              </m:sSub>
            </m:e>
          </m:nary>
          <m:d>
            <m:dPr>
              <m:begChr m:val="("/>
              <m:sepChr m:val=""/>
              <m:endChr m:val=")"/>
              <m:grow/>
            </m:dPr>
            <m:e>
              <m:r>
                <m:t>u</m:t>
              </m:r>
            </m:e>
          </m:d>
          <m:r>
            <m:t> </m:t>
          </m:r>
          <m:sSub>
            <m:e>
              <m:r>
                <m:t>τ</m:t>
              </m:r>
            </m:e>
            <m:sub>
              <m:r>
                <m:t>k</m:t>
              </m:r>
            </m:sub>
          </m:sSub>
          <m:r>
            <m:t> </m:t>
          </m:r>
          <m:r>
            <m:rPr>
              <m:sty m:val="p"/>
            </m:rPr>
            <m:t>⇒</m:t>
          </m:r>
          <m:r>
            <m:t> </m:t>
          </m:r>
          <m:r>
            <m:rPr>
              <m:scr m:val="double-struck"/>
              <m:sty m:val="p"/>
            </m:rPr>
            <m:t>E</m:t>
          </m:r>
          <m:d>
            <m:dPr>
              <m:begChr m:val="["/>
              <m:sepChr m:val=""/>
              <m:endChr m:val="]"/>
              <m:grow/>
            </m:dPr>
            <m:e>
              <m:sSup>
                <m:e>
                  <m:d>
                    <m:dPr>
                      <m:begChr m:val="∥"/>
                      <m:sepChr m:val=""/>
                      <m:endChr m:val="∥"/>
                      <m:grow/>
                    </m:dPr>
                    <m:e>
                      <m:r>
                        <m:rPr>
                          <m:scr m:val="script"/>
                          <m:sty m:val="p"/>
                        </m:rPr>
                        <m:t>G</m:t>
                      </m:r>
                      <m:d>
                        <m:dPr>
                          <m:begChr m:val="("/>
                          <m:sepChr m:val=""/>
                          <m:endChr m:val=")"/>
                          <m:grow/>
                        </m:dPr>
                        <m:e>
                          <m:r>
                            <m:t>u</m:t>
                          </m:r>
                        </m:e>
                      </m:d>
                      <m:r>
                        <m:rPr>
                          <m:sty m:val="p"/>
                        </m:rPr>
                        <m:t>−</m:t>
                      </m:r>
                      <m:r>
                        <m:rPr>
                          <m:scr m:val="script"/>
                          <m:sty m:val="p"/>
                        </m:rPr>
                        <m:t>N</m:t>
                      </m:r>
                      <m:d>
                        <m:dPr>
                          <m:begChr m:val="("/>
                          <m:sepChr m:val=""/>
                          <m:endChr m:val=")"/>
                          <m:grow/>
                        </m:dPr>
                        <m:e>
                          <m:r>
                            <m:t>u</m:t>
                          </m:r>
                        </m:e>
                      </m:d>
                    </m:e>
                  </m:d>
                </m:e>
                <m:sup>
                  <m:r>
                    <m:t>2</m:t>
                  </m:r>
                </m:sup>
              </m:sSup>
            </m:e>
          </m:d>
          <m:r>
            <m:rPr>
              <m:sty m:val="p"/>
            </m:rPr>
            <m:t>≥</m:t>
          </m:r>
          <m:nary>
            <m:naryPr>
              <m:chr m:val="∑"/>
              <m:limLoc m:val="undOvr"/>
              <m:subHide m:val="off"/>
              <m:supHide m:val="on"/>
            </m:naryPr>
            <m:sub>
              <m:r>
                <m:t>j</m:t>
              </m:r>
              <m:r>
                <m:rPr>
                  <m:sty m:val="p"/>
                </m:rPr>
                <m:t>&gt;</m:t>
              </m:r>
              <m:r>
                <m:t>p</m:t>
              </m:r>
            </m:sub>
            <m:sup>
              <m:r>
                <m:t>​</m:t>
              </m:r>
            </m:sup>
            <m:e>
              <m:sSub>
                <m:e>
                  <m:r>
                    <m:t>λ</m:t>
                  </m:r>
                </m:e>
                <m:sub>
                  <m:r>
                    <m:t>j</m:t>
                  </m:r>
                </m:sub>
              </m:sSub>
            </m:e>
          </m:nary>
        </m:oMath>
      </m:oMathPara>
    </w:p>
    <w:p>
      <w:pPr>
        <w:spacing w:after="100"/>
        <w:jc w:val="both"/>
      </w:pPr>
      <m:oMath>
        <m:r>
          <m:rPr>
            <m:scr m:val="script"/>
            <m:sty m:val="p"/>
          </m:rPr>
          <m:t>G</m:t>
        </m:r>
      </m:oMath>
      <w:r>
        <w:rPr>
          <w:color w:val="3A4350"/>
          <w:sz w:val="19"/>
          <w:szCs w:val="19"/>
        </w:rPr>
        <w:t xml:space="preserve"> is the solution operator, </w:t>
      </w:r>
      <m:oMath>
        <m:sSub>
          <m:e>
            <m:r>
              <m:t>τ</m:t>
            </m:r>
          </m:e>
          <m:sub>
            <m:r>
              <m:t>k</m:t>
            </m:r>
          </m:sub>
        </m:sSub>
      </m:oMath>
      <w:r>
        <w:rPr>
          <w:color w:val="3A4350"/>
          <w:sz w:val="19"/>
          <w:szCs w:val="19"/>
        </w:rPr>
        <w:t xml:space="preserve"> fixed output basis functions, </w:t>
      </w:r>
      <m:oMath>
        <m:sSub>
          <m:e>
            <m:r>
              <m:t>β</m:t>
            </m:r>
          </m:e>
          <m:sub>
            <m:r>
              <m:t>k</m:t>
            </m:r>
          </m:sub>
        </m:sSub>
      </m:oMath>
      <w:r>
        <w:rPr>
          <w:color w:val="3A4350"/>
          <w:sz w:val="19"/>
          <w:szCs w:val="19"/>
        </w:rPr>
        <w:t xml:space="preserve"> learned coefficients and </w:t>
      </w:r>
      <m:oMath>
        <m:sSub>
          <m:e>
            <m:r>
              <m:t>λ</m:t>
            </m:r>
          </m:e>
          <m:sub>
            <m:r>
              <m:t>j</m:t>
            </m:r>
          </m:sub>
        </m:sSub>
      </m:oMath>
      <w:r>
        <w:rPr>
          <w:color w:val="3A4350"/>
          <w:sz w:val="19"/>
          <w:szCs w:val="19"/>
        </w:rPr>
        <w:t xml:space="preserve"> the eigenvalues of the covariance of the outputs, which decay slowly when the outputs contain moving discontinuities.</w:t>
      </w:r>
    </w:p>
    <w:p>
      <w:pPr>
        <w:spacing w:after="100" w:before="80"/>
        <w:jc w:val="both"/>
      </w:pPr>
      <w:r>
        <w:rPr>
          <w:b/>
          <w:bCs/>
          <w:color w:val="215CAF"/>
        </w:rPr>
        <w:t xml:space="preserve">Link to the candidate system and to seawater intrusion. </w:t>
      </w:r>
      <w:r>
        <w:t xml:space="preserve">Belongs to sections 1.8 and 1.10. A saltwater front is a moving sharp transition, the case in which linear reconstructions fail; the same obstruction explains why a linear (Gaussian) analysis struggles at the front, where section 9.7 finds the forecast furthest from Gaussian. Surrogates of the candidate transport equation for design and assimilation should use nonlinear reconstruction or coordinates that move with the front.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Lower bounds that separate linear from nonlinear reconstruction in operator learning for PDEs with discontinuities. Proposed extension: build the surrogate of the coupled flow and transport system in a frame that moves with the chloride front, or with nonlinear reconstruction, and use the same lower bound to decide where a linear ensemble analysis is sufficient, consistently with the switch of proposal N2.</w:t>
      </w:r>
    </w:p>
    <w:p>
      <w:pPr>
        <w:pStyle w:val="Heading1"/>
        <w:pageBreakBefore/>
      </w:pPr>
      <w:r>
        <w:rPr>
          <w:color w:val="1F3864"/>
        </w:rPr>
        <w:t xml:space="preserve">8. Synthesis: what the 30 articles show together</w:t>
      </w:r>
    </w:p>
    <w:p>
      <w:pPr>
        <w:spacing w:after="120"/>
        <w:jc w:val="both"/>
      </w:pPr>
      <w:r>
        <w:t xml:space="preserve">The 30 papers surround the candidate system from six directions: closures that are learned but constrained; memory and non-locality; reactions, mixing and homogenisation; the assimilation of augmented states; identifiability; and honest reporting. The table gives, for each paper, its role, the question it answers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Homogenisation</w:t>
            </w:r>
          </w:p>
        </w:tc>
        <w:tc>
          <w:tcPr>
            <w:tcW w:type="dxa" w:w="3100"/>
            <w:tcMar>
              <w:top w:type="dxa" w:w="60"/>
              <w:left w:type="dxa" w:w="100"/>
              <w:bottom w:type="dxa" w:w="60"/>
              <w:right w:type="dxa" w:w="100"/>
            </w:tcMar>
            <w:vAlign w:val="top"/>
          </w:tcPr>
          <w:p>
            <w:r>
              <w:rPr>
                <w:sz w:val="17"/>
                <w:szCs w:val="17"/>
              </w:rPr>
              <w:t xml:space="preserve">What does a random incompressible flow add to transport?</w:t>
            </w:r>
          </w:p>
        </w:tc>
        <w:tc>
          <w:tcPr>
            <w:tcW w:type="dxa" w:w="3738"/>
            <w:tcMar>
              <w:top w:type="dxa" w:w="60"/>
              <w:left w:type="dxa" w:w="100"/>
              <w:bottom w:type="dxa" w:w="60"/>
              <w:right w:type="dxa" w:w="100"/>
            </w:tcMar>
            <w:vAlign w:val="top"/>
          </w:tcPr>
          <w:p>
            <w:r>
              <w:rPr>
                <w:sz w:val="17"/>
                <w:szCs w:val="17"/>
              </w:rPr>
              <w:t xml:space="preserve">A transport-noise term, forced by the mathematics.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Memory kernels</w:t>
            </w:r>
          </w:p>
        </w:tc>
        <w:tc>
          <w:tcPr>
            <w:tcW w:type="dxa" w:w="3100"/>
            <w:shd w:fill="F7F9FC" w:color="auto" w:val="clear"/>
            <w:tcMar>
              <w:top w:type="dxa" w:w="60"/>
              <w:left w:type="dxa" w:w="100"/>
              <w:bottom w:type="dxa" w:w="60"/>
              <w:right w:type="dxa" w:w="100"/>
            </w:tcMar>
            <w:vAlign w:val="top"/>
          </w:tcPr>
          <w:p>
            <w:r>
              <w:rPr>
                <w:sz w:val="17"/>
                <w:szCs w:val="17"/>
              </w:rPr>
              <w:t xml:space="preserve">Can memory kernels be learned with guarantees?</w:t>
            </w:r>
          </w:p>
        </w:tc>
        <w:tc>
          <w:tcPr>
            <w:tcW w:type="dxa" w:w="3738"/>
            <w:shd w:fill="F7F9FC" w:color="auto" w:val="clear"/>
            <w:tcMar>
              <w:top w:type="dxa" w:w="60"/>
              <w:left w:type="dxa" w:w="100"/>
              <w:bottom w:type="dxa" w:w="60"/>
              <w:right w:type="dxa" w:w="100"/>
            </w:tcMar>
            <w:vAlign w:val="top"/>
          </w:tcPr>
          <w:p>
            <w:r>
              <w:rPr>
                <w:sz w:val="17"/>
                <w:szCs w:val="17"/>
              </w:rPr>
              <w:t xml:space="preserve">Nonparametric priors with contraction rates (Bayesian).</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Identifiability in layers</w:t>
            </w:r>
          </w:p>
        </w:tc>
        <w:tc>
          <w:tcPr>
            <w:tcW w:type="dxa" w:w="3100"/>
            <w:tcMar>
              <w:top w:type="dxa" w:w="60"/>
              <w:left w:type="dxa" w:w="100"/>
              <w:bottom w:type="dxa" w:w="60"/>
              <w:right w:type="dxa" w:w="100"/>
            </w:tcMar>
            <w:vAlign w:val="top"/>
          </w:tcPr>
          <w:p>
            <w:r>
              <w:rPr>
                <w:sz w:val="17"/>
                <w:szCs w:val="17"/>
              </w:rPr>
              <w:t xml:space="preserve">Which layer-wise rates do data identify?</w:t>
            </w:r>
          </w:p>
        </w:tc>
        <w:tc>
          <w:tcPr>
            <w:tcW w:type="dxa" w:w="3738"/>
            <w:tcMar>
              <w:top w:type="dxa" w:w="60"/>
              <w:left w:type="dxa" w:w="100"/>
              <w:bottom w:type="dxa" w:w="60"/>
              <w:right w:type="dxa" w:w="100"/>
            </w:tcMar>
            <w:vAlign w:val="top"/>
          </w:tcPr>
          <w:p>
            <w:r>
              <w:rPr>
                <w:sz w:val="17"/>
                <w:szCs w:val="17"/>
              </w:rPr>
              <w:t xml:space="preserve">Profile the likelihood, then reduce the model.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Derived reactive closure</w:t>
            </w:r>
          </w:p>
        </w:tc>
        <w:tc>
          <w:tcPr>
            <w:tcW w:type="dxa" w:w="3100"/>
            <w:shd w:fill="F7F9FC" w:color="auto" w:val="clear"/>
            <w:tcMar>
              <w:top w:type="dxa" w:w="60"/>
              <w:left w:type="dxa" w:w="100"/>
              <w:bottom w:type="dxa" w:w="60"/>
              <w:right w:type="dxa" w:w="100"/>
            </w:tcMar>
            <w:vAlign w:val="top"/>
          </w:tcPr>
          <w:p>
            <w:r>
              <w:rPr>
                <w:sz w:val="17"/>
                <w:szCs w:val="17"/>
              </w:rPr>
              <w:t xml:space="preserve">What closure does a homogenised reactive filter have?</w:t>
            </w:r>
          </w:p>
        </w:tc>
        <w:tc>
          <w:tcPr>
            <w:tcW w:type="dxa" w:w="3738"/>
            <w:shd w:fill="F7F9FC" w:color="auto" w:val="clear"/>
            <w:tcMar>
              <w:top w:type="dxa" w:w="60"/>
              <w:left w:type="dxa" w:w="100"/>
              <w:bottom w:type="dxa" w:w="60"/>
              <w:right w:type="dxa" w:w="100"/>
            </w:tcMar>
            <w:vAlign w:val="top"/>
          </w:tcPr>
          <w:p>
            <w:r>
              <w:rPr>
                <w:sz w:val="17"/>
                <w:szCs w:val="17"/>
              </w:rPr>
              <w:t xml:space="preserve">A rate with an internal state, reduced by regime.</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Upscaled uptake</w:t>
            </w:r>
          </w:p>
        </w:tc>
        <w:tc>
          <w:tcPr>
            <w:tcW w:type="dxa" w:w="3100"/>
            <w:tcMar>
              <w:top w:type="dxa" w:w="60"/>
              <w:left w:type="dxa" w:w="100"/>
              <w:bottom w:type="dxa" w:w="60"/>
              <w:right w:type="dxa" w:w="100"/>
            </w:tcMar>
            <w:vAlign w:val="top"/>
          </w:tcPr>
          <w:p>
            <w:r>
              <w:rPr>
                <w:sz w:val="17"/>
                <w:szCs w:val="17"/>
              </w:rPr>
              <w:t xml:space="preserve">Does a macro-scale rate reveal its mechanism?</w:t>
            </w:r>
          </w:p>
        </w:tc>
        <w:tc>
          <w:tcPr>
            <w:tcW w:type="dxa" w:w="3738"/>
            <w:tcMar>
              <w:top w:type="dxa" w:w="60"/>
              <w:left w:type="dxa" w:w="100"/>
              <w:bottom w:type="dxa" w:w="60"/>
              <w:right w:type="dxa" w:w="100"/>
            </w:tcMar>
            <w:vAlign w:val="top"/>
          </w:tcPr>
          <w:p>
            <w:r>
              <w:rPr>
                <w:sz w:val="17"/>
                <w:szCs w:val="17"/>
              </w:rPr>
              <w:t xml:space="preserve">No: different mechanisms give the same law.</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O6</w:t>
            </w:r>
          </w:p>
        </w:tc>
        <w:tc>
          <w:tcPr>
            <w:tcW w:type="dxa" w:w="2100"/>
            <w:shd w:fill="F7F9FC" w:color="auto" w:val="clear"/>
            <w:tcMar>
              <w:top w:type="dxa" w:w="60"/>
              <w:left w:type="dxa" w:w="100"/>
              <w:bottom w:type="dxa" w:w="60"/>
              <w:right w:type="dxa" w:w="100"/>
            </w:tcMar>
            <w:vAlign w:val="top"/>
          </w:tcPr>
          <w:p>
            <w:r>
              <w:rPr>
                <w:sz w:val="17"/>
                <w:szCs w:val="17"/>
              </w:rPr>
              <w:t xml:space="preserve">Identifiable surrogates</w:t>
            </w:r>
          </w:p>
        </w:tc>
        <w:tc>
          <w:tcPr>
            <w:tcW w:type="dxa" w:w="3100"/>
            <w:shd w:fill="F7F9FC" w:color="auto" w:val="clear"/>
            <w:tcMar>
              <w:top w:type="dxa" w:w="60"/>
              <w:left w:type="dxa" w:w="100"/>
              <w:bottom w:type="dxa" w:w="60"/>
              <w:right w:type="dxa" w:w="100"/>
            </w:tcMar>
            <w:vAlign w:val="top"/>
          </w:tcPr>
          <w:p>
            <w:r>
              <w:rPr>
                <w:sz w:val="17"/>
                <w:szCs w:val="17"/>
              </w:rPr>
              <w:t xml:space="preserve">Which parameter combinations can data see?</w:t>
            </w:r>
          </w:p>
        </w:tc>
        <w:tc>
          <w:tcPr>
            <w:tcW w:type="dxa" w:w="3738"/>
            <w:shd w:fill="F7F9FC" w:color="auto" w:val="clear"/>
            <w:tcMar>
              <w:top w:type="dxa" w:w="60"/>
              <w:left w:type="dxa" w:w="100"/>
              <w:bottom w:type="dxa" w:w="60"/>
              <w:right w:type="dxa" w:w="100"/>
            </w:tcMar>
            <w:vAlign w:val="top"/>
          </w:tcPr>
          <w:p>
            <w:r>
              <w:rPr>
                <w:sz w:val="17"/>
                <w:szCs w:val="17"/>
              </w:rPr>
              <w:t xml:space="preserve">Map the model onto an identifiable surrogate.</w:t>
            </w:r>
          </w:p>
        </w:tc>
      </w:tr>
      <w:tr>
        <w:trPr>
          <w:cantSplit/>
        </w:trPr>
        <w:tc>
          <w:tcPr>
            <w:tcW w:type="dxa" w:w="700"/>
            <w:tcMar>
              <w:top w:type="dxa" w:w="60"/>
              <w:left w:type="dxa" w:w="100"/>
              <w:bottom w:type="dxa" w:w="60"/>
              <w:right w:type="dxa" w:w="100"/>
            </w:tcMar>
            <w:vAlign w:val="top"/>
          </w:tcPr>
          <w:p>
            <w:r>
              <w:rPr>
                <w:sz w:val="17"/>
                <w:szCs w:val="17"/>
              </w:rPr>
              <w:t xml:space="preserve">O7</w:t>
            </w:r>
          </w:p>
        </w:tc>
        <w:tc>
          <w:tcPr>
            <w:tcW w:type="dxa" w:w="2100"/>
            <w:tcMar>
              <w:top w:type="dxa" w:w="60"/>
              <w:left w:type="dxa" w:w="100"/>
              <w:bottom w:type="dxa" w:w="60"/>
              <w:right w:type="dxa" w:w="100"/>
            </w:tcMar>
            <w:vAlign w:val="top"/>
          </w:tcPr>
          <w:p>
            <w:r>
              <w:rPr>
                <w:sz w:val="17"/>
                <w:szCs w:val="17"/>
              </w:rPr>
              <w:t xml:space="preserve">Adjoints of learned closures</w:t>
            </w:r>
          </w:p>
        </w:tc>
        <w:tc>
          <w:tcPr>
            <w:tcW w:type="dxa" w:w="3100"/>
            <w:tcMar>
              <w:top w:type="dxa" w:w="60"/>
              <w:left w:type="dxa" w:w="100"/>
              <w:bottom w:type="dxa" w:w="60"/>
              <w:right w:type="dxa" w:w="100"/>
            </w:tcMar>
            <w:vAlign w:val="top"/>
          </w:tcPr>
          <w:p>
            <w:r>
              <w:rPr>
                <w:sz w:val="17"/>
                <w:szCs w:val="17"/>
              </w:rPr>
              <w:t xml:space="preserve">Can learned closures enter variational assimilation?</w:t>
            </w:r>
          </w:p>
        </w:tc>
        <w:tc>
          <w:tcPr>
            <w:tcW w:type="dxa" w:w="3738"/>
            <w:tcMar>
              <w:top w:type="dxa" w:w="60"/>
              <w:left w:type="dxa" w:w="100"/>
              <w:bottom w:type="dxa" w:w="60"/>
              <w:right w:type="dxa" w:w="100"/>
            </w:tcMar>
            <w:vAlign w:val="top"/>
          </w:tcPr>
          <w:p>
            <w:r>
              <w:rPr>
                <w:sz w:val="17"/>
                <w:szCs w:val="17"/>
              </w:rPr>
              <w:t xml:space="preserve">Yes: consistent tangent-linear and adjoint models.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O8</w:t>
            </w:r>
          </w:p>
        </w:tc>
        <w:tc>
          <w:tcPr>
            <w:tcW w:type="dxa" w:w="2100"/>
            <w:shd w:fill="F7F9FC" w:color="auto" w:val="clear"/>
            <w:tcMar>
              <w:top w:type="dxa" w:w="60"/>
              <w:left w:type="dxa" w:w="100"/>
              <w:bottom w:type="dxa" w:w="60"/>
              <w:right w:type="dxa" w:w="100"/>
            </w:tcMar>
            <w:vAlign w:val="top"/>
          </w:tcPr>
          <w:p>
            <w:r>
              <w:rPr>
                <w:sz w:val="17"/>
                <w:szCs w:val="17"/>
              </w:rPr>
              <w:t xml:space="preserve">Multifidelity calibration</w:t>
            </w:r>
          </w:p>
        </w:tc>
        <w:tc>
          <w:tcPr>
            <w:tcW w:type="dxa" w:w="3100"/>
            <w:shd w:fill="F7F9FC" w:color="auto" w:val="clear"/>
            <w:tcMar>
              <w:top w:type="dxa" w:w="60"/>
              <w:left w:type="dxa" w:w="100"/>
              <w:bottom w:type="dxa" w:w="60"/>
              <w:right w:type="dxa" w:w="100"/>
            </w:tcMar>
            <w:vAlign w:val="top"/>
          </w:tcPr>
          <w:p>
            <w:r>
              <w:rPr>
                <w:sz w:val="17"/>
                <w:szCs w:val="17"/>
              </w:rPr>
              <w:t xml:space="preserve">How to calibrate an expensive simulator?</w:t>
            </w:r>
          </w:p>
        </w:tc>
        <w:tc>
          <w:tcPr>
            <w:tcW w:type="dxa" w:w="3738"/>
            <w:shd w:fill="F7F9FC" w:color="auto" w:val="clear"/>
            <w:tcMar>
              <w:top w:type="dxa" w:w="60"/>
              <w:left w:type="dxa" w:w="100"/>
              <w:bottom w:type="dxa" w:w="60"/>
              <w:right w:type="dxa" w:w="100"/>
            </w:tcMar>
            <w:vAlign w:val="top"/>
          </w:tcPr>
          <w:p>
            <w:r>
              <w:rPr>
                <w:sz w:val="17"/>
                <w:szCs w:val="17"/>
              </w:rPr>
              <w:t xml:space="preserve">Cheap runs, occasional expensive corrections (Bayesian).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Online-learned reactions</w:t>
            </w:r>
          </w:p>
        </w:tc>
        <w:tc>
          <w:tcPr>
            <w:tcW w:type="dxa" w:w="3100"/>
            <w:tcMar>
              <w:top w:type="dxa" w:w="60"/>
              <w:left w:type="dxa" w:w="100"/>
              <w:bottom w:type="dxa" w:w="60"/>
              <w:right w:type="dxa" w:w="100"/>
            </w:tcMar>
            <w:vAlign w:val="top"/>
          </w:tcPr>
          <w:p>
            <w:r>
              <w:rPr>
                <w:sz w:val="17"/>
                <w:szCs w:val="17"/>
              </w:rPr>
              <w:t xml:space="preserve">Can a learned reaction term run stably in 3-D transport?</w:t>
            </w:r>
          </w:p>
        </w:tc>
        <w:tc>
          <w:tcPr>
            <w:tcW w:type="dxa" w:w="3738"/>
            <w:tcMar>
              <w:top w:type="dxa" w:w="60"/>
              <w:left w:type="dxa" w:w="100"/>
              <w:bottom w:type="dxa" w:w="60"/>
              <w:right w:type="dxa" w:w="100"/>
            </w:tcMar>
            <w:vAlign w:val="top"/>
          </w:tcPr>
          <w:p>
            <w:r>
              <w:rPr>
                <w:sz w:val="17"/>
                <w:szCs w:val="17"/>
              </w:rPr>
              <w:t xml:space="preserve">Yes, if trained online; drift remains in slow zones.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Stable compressed chemistry</w:t>
            </w:r>
          </w:p>
        </w:tc>
        <w:tc>
          <w:tcPr>
            <w:tcW w:type="dxa" w:w="3100"/>
            <w:shd w:fill="F7F9FC" w:color="auto" w:val="clear"/>
            <w:tcMar>
              <w:top w:type="dxa" w:w="60"/>
              <w:left w:type="dxa" w:w="100"/>
              <w:bottom w:type="dxa" w:w="60"/>
              <w:right w:type="dxa" w:w="100"/>
            </w:tcMar>
            <w:vAlign w:val="top"/>
          </w:tcPr>
          <w:p>
            <w:r>
              <w:rPr>
                <w:sz w:val="17"/>
                <w:szCs w:val="17"/>
              </w:rPr>
              <w:t xml:space="preserve">How to make learned chemistry stable?</w:t>
            </w:r>
          </w:p>
        </w:tc>
        <w:tc>
          <w:tcPr>
            <w:tcW w:type="dxa" w:w="3738"/>
            <w:shd w:fill="F7F9FC" w:color="auto" w:val="clear"/>
            <w:tcMar>
              <w:top w:type="dxa" w:w="60"/>
              <w:left w:type="dxa" w:w="100"/>
              <w:bottom w:type="dxa" w:w="60"/>
              <w:right w:type="dxa" w:w="100"/>
            </w:tcMar>
            <w:vAlign w:val="top"/>
          </w:tcPr>
          <w:p>
            <w:r>
              <w:rPr>
                <w:sz w:val="17"/>
                <w:szCs w:val="17"/>
              </w:rPr>
              <w:t xml:space="preserve">Multi-step training and an 80% compression.</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Locally active reactions</w:t>
            </w:r>
          </w:p>
        </w:tc>
        <w:tc>
          <w:tcPr>
            <w:tcW w:type="dxa" w:w="3100"/>
            <w:tcMar>
              <w:top w:type="dxa" w:w="60"/>
              <w:left w:type="dxa" w:w="100"/>
              <w:bottom w:type="dxa" w:w="60"/>
              <w:right w:type="dxa" w:w="100"/>
            </w:tcMar>
            <w:vAlign w:val="top"/>
          </w:tcPr>
          <w:p>
            <w:r>
              <w:rPr>
                <w:sz w:val="17"/>
                <w:szCs w:val="17"/>
              </w:rPr>
              <w:t xml:space="preserve">Must every reaction be solved everywhere?</w:t>
            </w:r>
          </w:p>
        </w:tc>
        <w:tc>
          <w:tcPr>
            <w:tcW w:type="dxa" w:w="3738"/>
            <w:tcMar>
              <w:top w:type="dxa" w:w="60"/>
              <w:left w:type="dxa" w:w="100"/>
              <w:bottom w:type="dxa" w:w="60"/>
              <w:right w:type="dxa" w:w="100"/>
            </w:tcMar>
            <w:vAlign w:val="top"/>
          </w:tcPr>
          <w:p>
            <w:r>
              <w:rPr>
                <w:sz w:val="17"/>
                <w:szCs w:val="17"/>
              </w:rPr>
              <w:t xml:space="preserve">No: choose the active submechanism locally.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Source–sink separability</w:t>
            </w:r>
          </w:p>
        </w:tc>
        <w:tc>
          <w:tcPr>
            <w:tcW w:type="dxa" w:w="3100"/>
            <w:shd w:fill="F7F9FC" w:color="auto" w:val="clear"/>
            <w:tcMar>
              <w:top w:type="dxa" w:w="60"/>
              <w:left w:type="dxa" w:w="100"/>
              <w:bottom w:type="dxa" w:w="60"/>
              <w:right w:type="dxa" w:w="100"/>
            </w:tcMar>
            <w:vAlign w:val="top"/>
          </w:tcPr>
          <w:p>
            <w:r>
              <w:rPr>
                <w:sz w:val="17"/>
                <w:szCs w:val="17"/>
              </w:rPr>
              <w:t xml:space="preserve">Can sources and sinks be told apart?</w:t>
            </w:r>
          </w:p>
        </w:tc>
        <w:tc>
          <w:tcPr>
            <w:tcW w:type="dxa" w:w="3738"/>
            <w:shd w:fill="F7F9FC" w:color="auto" w:val="clear"/>
            <w:tcMar>
              <w:top w:type="dxa" w:w="60"/>
              <w:left w:type="dxa" w:w="100"/>
              <w:bottom w:type="dxa" w:w="60"/>
              <w:right w:type="dxa" w:w="100"/>
            </w:tcMar>
            <w:vAlign w:val="top"/>
          </w:tcPr>
          <w:p>
            <w:r>
              <w:rPr>
                <w:sz w:val="17"/>
                <w:szCs w:val="17"/>
              </w:rPr>
              <w:t xml:space="preserve">As far as posterior correlations allow (Bayesian).</w:t>
            </w:r>
          </w:p>
        </w:tc>
      </w:tr>
      <w:tr>
        <w:trPr>
          <w:cantSplit/>
        </w:trPr>
        <w:tc>
          <w:tcPr>
            <w:tcW w:type="dxa" w:w="700"/>
            <w:tcMar>
              <w:top w:type="dxa" w:w="60"/>
              <w:left w:type="dxa" w:w="100"/>
              <w:bottom w:type="dxa" w:w="60"/>
              <w:right w:type="dxa" w:w="100"/>
            </w:tcMar>
            <w:vAlign w:val="top"/>
          </w:tcPr>
          <w:p>
            <w:r>
              <w:rPr>
                <w:sz w:val="17"/>
                <w:szCs w:val="17"/>
              </w:rPr>
              <w:t xml:space="preserve">H5</w:t>
            </w:r>
          </w:p>
        </w:tc>
        <w:tc>
          <w:tcPr>
            <w:tcW w:type="dxa" w:w="2100"/>
            <w:tcMar>
              <w:top w:type="dxa" w:w="60"/>
              <w:left w:type="dxa" w:w="100"/>
              <w:bottom w:type="dxa" w:w="60"/>
              <w:right w:type="dxa" w:w="100"/>
            </w:tcMar>
            <w:vAlign w:val="top"/>
          </w:tcPr>
          <w:p>
            <w:r>
              <w:rPr>
                <w:sz w:val="17"/>
                <w:szCs w:val="17"/>
              </w:rPr>
              <w:t xml:space="preserve">Variational reconstruction</w:t>
            </w:r>
          </w:p>
        </w:tc>
        <w:tc>
          <w:tcPr>
            <w:tcW w:type="dxa" w:w="3100"/>
            <w:tcMar>
              <w:top w:type="dxa" w:w="60"/>
              <w:left w:type="dxa" w:w="100"/>
              <w:bottom w:type="dxa" w:w="60"/>
              <w:right w:type="dxa" w:w="100"/>
            </w:tcMar>
            <w:vAlign w:val="top"/>
          </w:tcPr>
          <w:p>
            <w:r>
              <w:rPr>
                <w:sz w:val="17"/>
                <w:szCs w:val="17"/>
              </w:rPr>
              <w:t xml:space="preserve">Can PDE inversion do without networks?</w:t>
            </w:r>
          </w:p>
        </w:tc>
        <w:tc>
          <w:tcPr>
            <w:tcW w:type="dxa" w:w="3738"/>
            <w:tcMar>
              <w:top w:type="dxa" w:w="60"/>
              <w:left w:type="dxa" w:w="100"/>
              <w:bottom w:type="dxa" w:w="60"/>
              <w:right w:type="dxa" w:w="100"/>
            </w:tcMar>
            <w:vAlign w:val="top"/>
          </w:tcPr>
          <w:p>
            <w:r>
              <w:rPr>
                <w:sz w:val="17"/>
                <w:szCs w:val="17"/>
              </w:rPr>
              <w:t xml:space="preserve">Minimise residual and misfit together, by scales.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H6</w:t>
            </w:r>
          </w:p>
        </w:tc>
        <w:tc>
          <w:tcPr>
            <w:tcW w:type="dxa" w:w="2100"/>
            <w:shd w:fill="F7F9FC" w:color="auto" w:val="clear"/>
            <w:tcMar>
              <w:top w:type="dxa" w:w="60"/>
              <w:left w:type="dxa" w:w="100"/>
              <w:bottom w:type="dxa" w:w="60"/>
              <w:right w:type="dxa" w:w="100"/>
            </w:tcMar>
            <w:vAlign w:val="top"/>
          </w:tcPr>
          <w:p>
            <w:r>
              <w:rPr>
                <w:sz w:val="17"/>
                <w:szCs w:val="17"/>
              </w:rPr>
              <w:t xml:space="preserve">Reproducible inference</w:t>
            </w:r>
          </w:p>
        </w:tc>
        <w:tc>
          <w:tcPr>
            <w:tcW w:type="dxa" w:w="3100"/>
            <w:shd w:fill="F7F9FC" w:color="auto" w:val="clear"/>
            <w:tcMar>
              <w:top w:type="dxa" w:w="60"/>
              <w:left w:type="dxa" w:w="100"/>
              <w:bottom w:type="dxa" w:w="60"/>
              <w:right w:type="dxa" w:w="100"/>
            </w:tcMar>
            <w:vAlign w:val="top"/>
          </w:tcPr>
          <w:p>
            <w:r>
              <w:rPr>
                <w:sz w:val="17"/>
                <w:szCs w:val="17"/>
              </w:rPr>
              <w:t xml:space="preserve">Are credible sets reproducible if the model is wrong?</w:t>
            </w:r>
          </w:p>
        </w:tc>
        <w:tc>
          <w:tcPr>
            <w:tcW w:type="dxa" w:w="3738"/>
            <w:shd w:fill="F7F9FC" w:color="auto" w:val="clear"/>
            <w:tcMar>
              <w:top w:type="dxa" w:w="60"/>
              <w:left w:type="dxa" w:w="100"/>
              <w:bottom w:type="dxa" w:w="60"/>
              <w:right w:type="dxa" w:w="100"/>
            </w:tcMar>
            <w:vAlign w:val="top"/>
          </w:tcPr>
          <w:p>
            <w:r>
              <w:rPr>
                <w:sz w:val="17"/>
                <w:szCs w:val="17"/>
              </w:rPr>
              <w:t xml:space="preserve">Bagged posteriors are (Bayesian, with a theorem).</w:t>
            </w:r>
          </w:p>
        </w:tc>
      </w:tr>
      <w:tr>
        <w:trPr>
          <w:cantSplit/>
        </w:trPr>
        <w:tc>
          <w:tcPr>
            <w:tcW w:type="dxa" w:w="700"/>
            <w:tcMar>
              <w:top w:type="dxa" w:w="60"/>
              <w:left w:type="dxa" w:w="100"/>
              <w:bottom w:type="dxa" w:w="60"/>
              <w:right w:type="dxa" w:w="100"/>
            </w:tcMar>
            <w:vAlign w:val="top"/>
          </w:tcPr>
          <w:p>
            <w:r>
              <w:rPr>
                <w:sz w:val="17"/>
                <w:szCs w:val="17"/>
              </w:rPr>
              <w:t xml:space="preserve">H7</w:t>
            </w:r>
          </w:p>
        </w:tc>
        <w:tc>
          <w:tcPr>
            <w:tcW w:type="dxa" w:w="2100"/>
            <w:tcMar>
              <w:top w:type="dxa" w:w="60"/>
              <w:left w:type="dxa" w:w="100"/>
              <w:bottom w:type="dxa" w:w="60"/>
              <w:right w:type="dxa" w:w="100"/>
            </w:tcMar>
            <w:vAlign w:val="top"/>
          </w:tcPr>
          <w:p>
            <w:r>
              <w:rPr>
                <w:sz w:val="17"/>
                <w:szCs w:val="17"/>
              </w:rPr>
              <w:t xml:space="preserve">Guaranteed sets</w:t>
            </w:r>
          </w:p>
        </w:tc>
        <w:tc>
          <w:tcPr>
            <w:tcW w:type="dxa" w:w="3100"/>
            <w:tcMar>
              <w:top w:type="dxa" w:w="60"/>
              <w:left w:type="dxa" w:w="100"/>
              <w:bottom w:type="dxa" w:w="60"/>
              <w:right w:type="dxa" w:w="100"/>
            </w:tcMar>
            <w:vAlign w:val="top"/>
          </w:tcPr>
          <w:p>
            <w:r>
              <w:rPr>
                <w:sz w:val="17"/>
                <w:szCs w:val="17"/>
              </w:rPr>
              <w:t xml:space="preserve">How to report all parameters fitting bounded errors?</w:t>
            </w:r>
          </w:p>
        </w:tc>
        <w:tc>
          <w:tcPr>
            <w:tcW w:type="dxa" w:w="3738"/>
            <w:tcMar>
              <w:top w:type="dxa" w:w="60"/>
              <w:left w:type="dxa" w:w="100"/>
              <w:bottom w:type="dxa" w:w="60"/>
              <w:right w:type="dxa" w:w="100"/>
            </w:tcMar>
            <w:vAlign w:val="top"/>
          </w:tcPr>
          <w:p>
            <w:r>
              <w:rPr>
                <w:sz w:val="17"/>
                <w:szCs w:val="17"/>
              </w:rPr>
              <w:t xml:space="preserve">Tight ellipsoids from a sum-of-squares hierarchy.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M1</w:t>
            </w:r>
          </w:p>
        </w:tc>
        <w:tc>
          <w:tcPr>
            <w:tcW w:type="dxa" w:w="2100"/>
            <w:shd w:fill="F7F9FC" w:color="auto" w:val="clear"/>
            <w:tcMar>
              <w:top w:type="dxa" w:w="60"/>
              <w:left w:type="dxa" w:w="100"/>
              <w:bottom w:type="dxa" w:w="60"/>
              <w:right w:type="dxa" w:w="100"/>
            </w:tcMar>
            <w:vAlign w:val="top"/>
          </w:tcPr>
          <w:p>
            <w:r>
              <w:rPr>
                <w:sz w:val="17"/>
                <w:szCs w:val="17"/>
              </w:rPr>
              <w:t xml:space="preserve">Memory closures</w:t>
            </w:r>
          </w:p>
        </w:tc>
        <w:tc>
          <w:tcPr>
            <w:tcW w:type="dxa" w:w="3100"/>
            <w:shd w:fill="F7F9FC" w:color="auto" w:val="clear"/>
            <w:tcMar>
              <w:top w:type="dxa" w:w="60"/>
              <w:left w:type="dxa" w:w="100"/>
              <w:bottom w:type="dxa" w:w="60"/>
              <w:right w:type="dxa" w:w="100"/>
            </w:tcMar>
            <w:vAlign w:val="top"/>
          </w:tcPr>
          <w:p>
            <w:r>
              <w:rPr>
                <w:sz w:val="17"/>
                <w:szCs w:val="17"/>
              </w:rPr>
              <w:t xml:space="preserve">How to learn a closure with memory?</w:t>
            </w:r>
          </w:p>
        </w:tc>
        <w:tc>
          <w:tcPr>
            <w:tcW w:type="dxa" w:w="3738"/>
            <w:shd w:fill="F7F9FC" w:color="auto" w:val="clear"/>
            <w:tcMar>
              <w:top w:type="dxa" w:w="60"/>
              <w:left w:type="dxa" w:w="100"/>
              <w:bottom w:type="dxa" w:w="60"/>
              <w:right w:type="dxa" w:w="100"/>
            </w:tcMar>
            <w:vAlign w:val="top"/>
          </w:tcPr>
          <w:p>
            <w:r>
              <w:rPr>
                <w:sz w:val="17"/>
                <w:szCs w:val="17"/>
              </w:rPr>
              <w:t xml:space="preserve">Neural delay equations, justified by Mori–Zwanzig.</w:t>
            </w:r>
          </w:p>
        </w:tc>
      </w:tr>
      <w:tr>
        <w:trPr>
          <w:cantSplit/>
        </w:trPr>
        <w:tc>
          <w:tcPr>
            <w:tcW w:type="dxa" w:w="700"/>
            <w:tcMar>
              <w:top w:type="dxa" w:w="60"/>
              <w:left w:type="dxa" w:w="100"/>
              <w:bottom w:type="dxa" w:w="60"/>
              <w:right w:type="dxa" w:w="100"/>
            </w:tcMar>
            <w:vAlign w:val="top"/>
          </w:tcPr>
          <w:p>
            <w:r>
              <w:rPr>
                <w:sz w:val="17"/>
                <w:szCs w:val="17"/>
              </w:rPr>
              <w:t xml:space="preserve">M2</w:t>
            </w:r>
          </w:p>
        </w:tc>
        <w:tc>
          <w:tcPr>
            <w:tcW w:type="dxa" w:w="2100"/>
            <w:tcMar>
              <w:top w:type="dxa" w:w="60"/>
              <w:left w:type="dxa" w:w="100"/>
              <w:bottom w:type="dxa" w:w="60"/>
              <w:right w:type="dxa" w:w="100"/>
            </w:tcMar>
            <w:vAlign w:val="top"/>
          </w:tcPr>
          <w:p>
            <w:r>
              <w:rPr>
                <w:sz w:val="17"/>
                <w:szCs w:val="17"/>
              </w:rPr>
              <w:t xml:space="preserve">Learning model forms</w:t>
            </w:r>
          </w:p>
        </w:tc>
        <w:tc>
          <w:tcPr>
            <w:tcW w:type="dxa" w:w="3100"/>
            <w:tcMar>
              <w:top w:type="dxa" w:w="60"/>
              <w:left w:type="dxa" w:w="100"/>
              <w:bottom w:type="dxa" w:w="60"/>
              <w:right w:type="dxa" w:w="100"/>
            </w:tcMar>
            <w:vAlign w:val="top"/>
          </w:tcPr>
          <w:p>
            <w:r>
              <w:rPr>
                <w:sz w:val="17"/>
                <w:szCs w:val="17"/>
              </w:rPr>
              <w:t xml:space="preserve">Can the form of reaction terms be learned?</w:t>
            </w:r>
          </w:p>
        </w:tc>
        <w:tc>
          <w:tcPr>
            <w:tcW w:type="dxa" w:w="3738"/>
            <w:tcMar>
              <w:top w:type="dxa" w:w="60"/>
              <w:left w:type="dxa" w:w="100"/>
              <w:bottom w:type="dxa" w:w="60"/>
              <w:right w:type="dxa" w:w="100"/>
            </w:tcMar>
            <w:vAlign w:val="top"/>
          </w:tcPr>
          <w:p>
            <w:r>
              <w:rPr>
                <w:sz w:val="17"/>
                <w:szCs w:val="17"/>
              </w:rPr>
              <w:t xml:space="preserve">Jointly with states and parameters (Bayesian).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M3</w:t>
            </w:r>
          </w:p>
        </w:tc>
        <w:tc>
          <w:tcPr>
            <w:tcW w:type="dxa" w:w="2100"/>
            <w:shd w:fill="F7F9FC" w:color="auto" w:val="clear"/>
            <w:tcMar>
              <w:top w:type="dxa" w:w="60"/>
              <w:left w:type="dxa" w:w="100"/>
              <w:bottom w:type="dxa" w:w="60"/>
              <w:right w:type="dxa" w:w="100"/>
            </w:tcMar>
            <w:vAlign w:val="top"/>
          </w:tcPr>
          <w:p>
            <w:r>
              <w:rPr>
                <w:sz w:val="17"/>
                <w:szCs w:val="17"/>
              </w:rPr>
              <w:t xml:space="preserve">Non-local transport</w:t>
            </w:r>
          </w:p>
        </w:tc>
        <w:tc>
          <w:tcPr>
            <w:tcW w:type="dxa" w:w="3100"/>
            <w:shd w:fill="F7F9FC" w:color="auto" w:val="clear"/>
            <w:tcMar>
              <w:top w:type="dxa" w:w="60"/>
              <w:left w:type="dxa" w:w="100"/>
              <w:bottom w:type="dxa" w:w="60"/>
              <w:right w:type="dxa" w:w="100"/>
            </w:tcMar>
            <w:vAlign w:val="top"/>
          </w:tcPr>
          <w:p>
            <w:r>
              <w:rPr>
                <w:sz w:val="17"/>
                <w:szCs w:val="17"/>
              </w:rPr>
              <w:t xml:space="preserve">What does flow variability do to dispersion?</w:t>
            </w:r>
          </w:p>
        </w:tc>
        <w:tc>
          <w:tcPr>
            <w:tcW w:type="dxa" w:w="3738"/>
            <w:shd w:fill="F7F9FC" w:color="auto" w:val="clear"/>
            <w:tcMar>
              <w:top w:type="dxa" w:w="60"/>
              <w:left w:type="dxa" w:w="100"/>
              <w:bottom w:type="dxa" w:w="60"/>
              <w:right w:type="dxa" w:w="100"/>
            </w:tcMar>
            <w:vAlign w:val="top"/>
          </w:tcPr>
          <w:p>
            <w:r>
              <w:rPr>
                <w:sz w:val="17"/>
                <w:szCs w:val="17"/>
              </w:rPr>
              <w:t xml:space="preserve">An exact space–time non-local operator.</w:t>
            </w:r>
          </w:p>
        </w:tc>
      </w:tr>
      <w:tr>
        <w:trPr>
          <w:cantSplit/>
        </w:trPr>
        <w:tc>
          <w:tcPr>
            <w:tcW w:type="dxa" w:w="700"/>
            <w:tcMar>
              <w:top w:type="dxa" w:w="60"/>
              <w:left w:type="dxa" w:w="100"/>
              <w:bottom w:type="dxa" w:w="60"/>
              <w:right w:type="dxa" w:w="100"/>
            </w:tcMar>
            <w:vAlign w:val="top"/>
          </w:tcPr>
          <w:p>
            <w:r>
              <w:rPr>
                <w:sz w:val="17"/>
                <w:szCs w:val="17"/>
              </w:rPr>
              <w:t xml:space="preserve">M4</w:t>
            </w:r>
          </w:p>
        </w:tc>
        <w:tc>
          <w:tcPr>
            <w:tcW w:type="dxa" w:w="2100"/>
            <w:tcMar>
              <w:top w:type="dxa" w:w="60"/>
              <w:left w:type="dxa" w:w="100"/>
              <w:bottom w:type="dxa" w:w="60"/>
              <w:right w:type="dxa" w:w="100"/>
            </w:tcMar>
            <w:vAlign w:val="top"/>
          </w:tcPr>
          <w:p>
            <w:r>
              <w:rPr>
                <w:sz w:val="17"/>
                <w:szCs w:val="17"/>
              </w:rPr>
              <w:t xml:space="preserve">Filtering heads</w:t>
            </w:r>
          </w:p>
        </w:tc>
        <w:tc>
          <w:tcPr>
            <w:tcW w:type="dxa" w:w="3100"/>
            <w:tcMar>
              <w:top w:type="dxa" w:w="60"/>
              <w:left w:type="dxa" w:w="100"/>
              <w:bottom w:type="dxa" w:w="60"/>
              <w:right w:type="dxa" w:w="100"/>
            </w:tcMar>
            <w:vAlign w:val="top"/>
          </w:tcPr>
          <w:p>
            <w:r>
              <w:rPr>
                <w:sz w:val="17"/>
                <w:szCs w:val="17"/>
              </w:rPr>
              <w:t xml:space="preserve">How to assimilate elliptic observations?</w:t>
            </w:r>
          </w:p>
        </w:tc>
        <w:tc>
          <w:tcPr>
            <w:tcW w:type="dxa" w:w="3738"/>
            <w:tcMar>
              <w:top w:type="dxa" w:w="60"/>
              <w:left w:type="dxa" w:w="100"/>
              <w:bottom w:type="dxa" w:w="60"/>
              <w:right w:type="dxa" w:w="100"/>
            </w:tcMar>
            <w:vAlign w:val="top"/>
          </w:tcPr>
          <w:p>
            <w:r>
              <w:rPr>
                <w:sz w:val="17"/>
                <w:szCs w:val="17"/>
              </w:rPr>
              <w:t xml:space="preserve">A low-rank gain from the observation Jacobian.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M5</w:t>
            </w:r>
          </w:p>
        </w:tc>
        <w:tc>
          <w:tcPr>
            <w:tcW w:type="dxa" w:w="2100"/>
            <w:shd w:fill="F7F9FC" w:color="auto" w:val="clear"/>
            <w:tcMar>
              <w:top w:type="dxa" w:w="60"/>
              <w:left w:type="dxa" w:w="100"/>
              <w:bottom w:type="dxa" w:w="60"/>
              <w:right w:type="dxa" w:w="100"/>
            </w:tcMar>
            <w:vAlign w:val="top"/>
          </w:tcPr>
          <w:p>
            <w:r>
              <w:rPr>
                <w:sz w:val="17"/>
                <w:szCs w:val="17"/>
              </w:rPr>
              <w:t xml:space="preserve">Constrained closures</w:t>
            </w:r>
          </w:p>
        </w:tc>
        <w:tc>
          <w:tcPr>
            <w:tcW w:type="dxa" w:w="3100"/>
            <w:shd w:fill="F7F9FC" w:color="auto" w:val="clear"/>
            <w:tcMar>
              <w:top w:type="dxa" w:w="60"/>
              <w:left w:type="dxa" w:w="100"/>
              <w:bottom w:type="dxa" w:w="60"/>
              <w:right w:type="dxa" w:w="100"/>
            </w:tcMar>
            <w:vAlign w:val="top"/>
          </w:tcPr>
          <w:p>
            <w:r>
              <w:rPr>
                <w:sz w:val="17"/>
                <w:szCs w:val="17"/>
              </w:rPr>
              <w:t xml:space="preserve">Do hard constraints help learned closures?</w:t>
            </w:r>
          </w:p>
        </w:tc>
        <w:tc>
          <w:tcPr>
            <w:tcW w:type="dxa" w:w="3738"/>
            <w:shd w:fill="F7F9FC" w:color="auto" w:val="clear"/>
            <w:tcMar>
              <w:top w:type="dxa" w:w="60"/>
              <w:left w:type="dxa" w:w="100"/>
              <w:bottom w:type="dxa" w:w="60"/>
              <w:right w:type="dxa" w:w="100"/>
            </w:tcMar>
            <w:vAlign w:val="top"/>
          </w:tcPr>
          <w:p>
            <w:r>
              <w:rPr>
                <w:sz w:val="17"/>
                <w:szCs w:val="17"/>
              </w:rPr>
              <w:t xml:space="preserve">Exact energy conservation improves stability.</w:t>
            </w:r>
          </w:p>
        </w:tc>
      </w:tr>
      <w:tr>
        <w:trPr>
          <w:cantSplit/>
        </w:trPr>
        <w:tc>
          <w:tcPr>
            <w:tcW w:type="dxa" w:w="700"/>
            <w:tcMar>
              <w:top w:type="dxa" w:w="60"/>
              <w:left w:type="dxa" w:w="100"/>
              <w:bottom w:type="dxa" w:w="60"/>
              <w:right w:type="dxa" w:w="100"/>
            </w:tcMar>
            <w:vAlign w:val="top"/>
          </w:tcPr>
          <w:p>
            <w:r>
              <w:rPr>
                <w:sz w:val="17"/>
                <w:szCs w:val="17"/>
              </w:rPr>
              <w:t xml:space="preserve">M6</w:t>
            </w:r>
          </w:p>
        </w:tc>
        <w:tc>
          <w:tcPr>
            <w:tcW w:type="dxa" w:w="2100"/>
            <w:tcMar>
              <w:top w:type="dxa" w:w="60"/>
              <w:left w:type="dxa" w:w="100"/>
              <w:bottom w:type="dxa" w:w="60"/>
              <w:right w:type="dxa" w:w="100"/>
            </w:tcMar>
            <w:vAlign w:val="top"/>
          </w:tcPr>
          <w:p>
            <w:r>
              <w:rPr>
                <w:sz w:val="17"/>
                <w:szCs w:val="17"/>
              </w:rPr>
              <w:t xml:space="preserve">Functions inside PDEs</w:t>
            </w:r>
          </w:p>
        </w:tc>
        <w:tc>
          <w:tcPr>
            <w:tcW w:type="dxa" w:w="3100"/>
            <w:tcMar>
              <w:top w:type="dxa" w:w="60"/>
              <w:left w:type="dxa" w:w="100"/>
              <w:bottom w:type="dxa" w:w="60"/>
              <w:right w:type="dxa" w:w="100"/>
            </w:tcMar>
            <w:vAlign w:val="top"/>
          </w:tcPr>
          <w:p>
            <w:r>
              <w:rPr>
                <w:sz w:val="17"/>
                <w:szCs w:val="17"/>
              </w:rPr>
              <w:t xml:space="preserve">How well are learned constitutive laws determined?</w:t>
            </w:r>
          </w:p>
        </w:tc>
        <w:tc>
          <w:tcPr>
            <w:tcW w:type="dxa" w:w="3738"/>
            <w:tcMar>
              <w:top w:type="dxa" w:w="60"/>
              <w:left w:type="dxa" w:w="100"/>
              <w:bottom w:type="dxa" w:w="60"/>
              <w:right w:type="dxa" w:w="100"/>
            </w:tcMar>
            <w:vAlign w:val="top"/>
          </w:tcPr>
          <w:p>
            <w:r>
              <w:rPr>
                <w:sz w:val="17"/>
                <w:szCs w:val="17"/>
              </w:rPr>
              <w:t xml:space="preserve">Linearised posterior; decorrelating data (Bayesian).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M7</w:t>
            </w:r>
          </w:p>
        </w:tc>
        <w:tc>
          <w:tcPr>
            <w:tcW w:type="dxa" w:w="2100"/>
            <w:shd w:fill="F7F9FC" w:color="auto" w:val="clear"/>
            <w:tcMar>
              <w:top w:type="dxa" w:w="60"/>
              <w:left w:type="dxa" w:w="100"/>
              <w:bottom w:type="dxa" w:w="60"/>
              <w:right w:type="dxa" w:w="100"/>
            </w:tcMar>
            <w:vAlign w:val="top"/>
          </w:tcPr>
          <w:p>
            <w:r>
              <w:rPr>
                <w:sz w:val="17"/>
                <w:szCs w:val="17"/>
              </w:rPr>
              <w:t xml:space="preserve">Stoichiometric learning</w:t>
            </w:r>
          </w:p>
        </w:tc>
        <w:tc>
          <w:tcPr>
            <w:tcW w:type="dxa" w:w="3100"/>
            <w:shd w:fill="F7F9FC" w:color="auto" w:val="clear"/>
            <w:tcMar>
              <w:top w:type="dxa" w:w="60"/>
              <w:left w:type="dxa" w:w="100"/>
              <w:bottom w:type="dxa" w:w="60"/>
              <w:right w:type="dxa" w:w="100"/>
            </w:tcMar>
            <w:vAlign w:val="top"/>
          </w:tcPr>
          <w:p>
            <w:r>
              <w:rPr>
                <w:sz w:val="17"/>
                <w:szCs w:val="17"/>
              </w:rPr>
              <w:t xml:space="preserve">Can a network learn reactions consistently?</w:t>
            </w:r>
          </w:p>
        </w:tc>
        <w:tc>
          <w:tcPr>
            <w:tcW w:type="dxa" w:w="3738"/>
            <w:shd w:fill="F7F9FC" w:color="auto" w:val="clear"/>
            <w:tcMar>
              <w:top w:type="dxa" w:w="60"/>
              <w:left w:type="dxa" w:w="100"/>
              <w:bottom w:type="dxa" w:w="60"/>
              <w:right w:type="dxa" w:w="100"/>
            </w:tcMar>
            <w:vAlign w:val="top"/>
          </w:tcPr>
          <w:p>
            <w:r>
              <w:rPr>
                <w:sz w:val="17"/>
                <w:szCs w:val="17"/>
              </w:rPr>
              <w:t xml:space="preserve">Weights that are a mass-action network.</w:t>
            </w:r>
          </w:p>
        </w:tc>
      </w:tr>
      <w:tr>
        <w:trPr>
          <w:cantSplit/>
        </w:trPr>
        <w:tc>
          <w:tcPr>
            <w:tcW w:type="dxa" w:w="700"/>
            <w:tcMar>
              <w:top w:type="dxa" w:w="60"/>
              <w:left w:type="dxa" w:w="100"/>
              <w:bottom w:type="dxa" w:w="60"/>
              <w:right w:type="dxa" w:w="100"/>
            </w:tcMar>
            <w:vAlign w:val="top"/>
          </w:tcPr>
          <w:p>
            <w:r>
              <w:rPr>
                <w:sz w:val="17"/>
                <w:szCs w:val="17"/>
              </w:rPr>
              <w:t xml:space="preserve">M8</w:t>
            </w:r>
          </w:p>
        </w:tc>
        <w:tc>
          <w:tcPr>
            <w:tcW w:type="dxa" w:w="2100"/>
            <w:tcMar>
              <w:top w:type="dxa" w:w="60"/>
              <w:left w:type="dxa" w:w="100"/>
              <w:bottom w:type="dxa" w:w="60"/>
              <w:right w:type="dxa" w:w="100"/>
            </w:tcMar>
            <w:vAlign w:val="top"/>
          </w:tcPr>
          <w:p>
            <w:r>
              <w:rPr>
                <w:sz w:val="17"/>
                <w:szCs w:val="17"/>
              </w:rPr>
              <w:t xml:space="preserve">Transport maps</w:t>
            </w:r>
          </w:p>
        </w:tc>
        <w:tc>
          <w:tcPr>
            <w:tcW w:type="dxa" w:w="3100"/>
            <w:tcMar>
              <w:top w:type="dxa" w:w="60"/>
              <w:left w:type="dxa" w:w="100"/>
              <w:bottom w:type="dxa" w:w="60"/>
              <w:right w:type="dxa" w:w="100"/>
            </w:tcMar>
            <w:vAlign w:val="top"/>
          </w:tcPr>
          <w:p>
            <w:r>
              <w:rPr>
                <w:sz w:val="17"/>
                <w:szCs w:val="17"/>
              </w:rPr>
              <w:t xml:space="preserve">How fast can a transport map be estimated?</w:t>
            </w:r>
          </w:p>
        </w:tc>
        <w:tc>
          <w:tcPr>
            <w:tcW w:type="dxa" w:w="3738"/>
            <w:tcMar>
              <w:top w:type="dxa" w:w="60"/>
              <w:left w:type="dxa" w:w="100"/>
              <w:bottom w:type="dxa" w:w="60"/>
              <w:right w:type="dxa" w:w="100"/>
            </w:tcMar>
            <w:vAlign w:val="top"/>
          </w:tcPr>
          <w:p>
            <w:r>
              <w:rPr>
                <w:sz w:val="17"/>
                <w:szCs w:val="17"/>
              </w:rPr>
              <w:t xml:space="preserve">Minimax rates: reliable only when smooth and low-dimensional.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E1</w:t>
            </w:r>
          </w:p>
        </w:tc>
        <w:tc>
          <w:tcPr>
            <w:tcW w:type="dxa" w:w="2100"/>
            <w:shd w:fill="F7F9FC" w:color="auto" w:val="clear"/>
            <w:tcMar>
              <w:top w:type="dxa" w:w="60"/>
              <w:left w:type="dxa" w:w="100"/>
              <w:bottom w:type="dxa" w:w="60"/>
              <w:right w:type="dxa" w:w="100"/>
            </w:tcMar>
            <w:vAlign w:val="top"/>
          </w:tcPr>
          <w:p>
            <w:r>
              <w:rPr>
                <w:sz w:val="17"/>
                <w:szCs w:val="17"/>
              </w:rPr>
              <w:t xml:space="preserve">Universal memories</w:t>
            </w:r>
          </w:p>
        </w:tc>
        <w:tc>
          <w:tcPr>
            <w:tcW w:type="dxa" w:w="3100"/>
            <w:shd w:fill="F7F9FC" w:color="auto" w:val="clear"/>
            <w:tcMar>
              <w:top w:type="dxa" w:w="60"/>
              <w:left w:type="dxa" w:w="100"/>
              <w:bottom w:type="dxa" w:w="60"/>
              <w:right w:type="dxa" w:w="100"/>
            </w:tcMar>
            <w:vAlign w:val="top"/>
          </w:tcPr>
          <w:p>
            <w:r>
              <w:rPr>
                <w:sz w:val="17"/>
                <w:szCs w:val="17"/>
              </w:rPr>
              <w:t xml:space="preserve">Can learned ODEs represent any memory?</w:t>
            </w:r>
          </w:p>
        </w:tc>
        <w:tc>
          <w:tcPr>
            <w:tcW w:type="dxa" w:w="3738"/>
            <w:shd w:fill="F7F9FC" w:color="auto" w:val="clear"/>
            <w:tcMar>
              <w:top w:type="dxa" w:w="60"/>
              <w:left w:type="dxa" w:w="100"/>
              <w:bottom w:type="dxa" w:w="60"/>
              <w:right w:type="dxa" w:w="100"/>
            </w:tcMar>
            <w:vAlign w:val="top"/>
          </w:tcPr>
          <w:p>
            <w:r>
              <w:rPr>
                <w:sz w:val="17"/>
                <w:szCs w:val="17"/>
              </w:rPr>
              <w:t xml:space="preserve">Yes: neural oscillators are universal.</w:t>
            </w:r>
          </w:p>
        </w:tc>
      </w:tr>
      <w:tr>
        <w:trPr>
          <w:cantSplit/>
        </w:trPr>
        <w:tc>
          <w:tcPr>
            <w:tcW w:type="dxa" w:w="700"/>
            <w:tcMar>
              <w:top w:type="dxa" w:w="60"/>
              <w:left w:type="dxa" w:w="100"/>
              <w:bottom w:type="dxa" w:w="60"/>
              <w:right w:type="dxa" w:w="100"/>
            </w:tcMar>
            <w:vAlign w:val="top"/>
          </w:tcPr>
          <w:p>
            <w:r>
              <w:rPr>
                <w:sz w:val="17"/>
                <w:szCs w:val="17"/>
              </w:rPr>
              <w:t xml:space="preserve">E2</w:t>
            </w:r>
          </w:p>
        </w:tc>
        <w:tc>
          <w:tcPr>
            <w:tcW w:type="dxa" w:w="2100"/>
            <w:tcMar>
              <w:top w:type="dxa" w:w="60"/>
              <w:left w:type="dxa" w:w="100"/>
              <w:bottom w:type="dxa" w:w="60"/>
              <w:right w:type="dxa" w:w="100"/>
            </w:tcMar>
            <w:vAlign w:val="top"/>
          </w:tcPr>
          <w:p>
            <w:r>
              <w:rPr>
                <w:sz w:val="17"/>
                <w:szCs w:val="17"/>
              </w:rPr>
              <w:t xml:space="preserve">Filters on reaction networks</w:t>
            </w:r>
          </w:p>
        </w:tc>
        <w:tc>
          <w:tcPr>
            <w:tcW w:type="dxa" w:w="3100"/>
            <w:tcMar>
              <w:top w:type="dxa" w:w="60"/>
              <w:left w:type="dxa" w:w="100"/>
              <w:bottom w:type="dxa" w:w="60"/>
              <w:right w:type="dxa" w:w="100"/>
            </w:tcMar>
            <w:vAlign w:val="top"/>
          </w:tcPr>
          <w:p>
            <w:r>
              <w:rPr>
                <w:sz w:val="17"/>
                <w:szCs w:val="17"/>
              </w:rPr>
              <w:t xml:space="preserve">When do regularised particle filters converge?</w:t>
            </w:r>
          </w:p>
        </w:tc>
        <w:tc>
          <w:tcPr>
            <w:tcW w:type="dxa" w:w="3738"/>
            <w:tcMar>
              <w:top w:type="dxa" w:w="60"/>
              <w:left w:type="dxa" w:w="100"/>
              <w:bottom w:type="dxa" w:w="60"/>
              <w:right w:type="dxa" w:w="100"/>
            </w:tcMar>
            <w:vAlign w:val="top"/>
          </w:tcPr>
          <w:p>
            <w:r>
              <w:rPr>
                <w:sz w:val="17"/>
                <w:szCs w:val="17"/>
              </w:rPr>
              <w:t xml:space="preserve">Under a growth condition on the reactions.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E3</w:t>
            </w:r>
          </w:p>
        </w:tc>
        <w:tc>
          <w:tcPr>
            <w:tcW w:type="dxa" w:w="2100"/>
            <w:shd w:fill="F7F9FC" w:color="auto" w:val="clear"/>
            <w:tcMar>
              <w:top w:type="dxa" w:w="60"/>
              <w:left w:type="dxa" w:w="100"/>
              <w:bottom w:type="dxa" w:w="60"/>
              <w:right w:type="dxa" w:w="100"/>
            </w:tcMar>
            <w:vAlign w:val="top"/>
          </w:tcPr>
          <w:p>
            <w:r>
              <w:rPr>
                <w:sz w:val="17"/>
                <w:szCs w:val="17"/>
              </w:rPr>
              <w:t xml:space="preserve">Kernels from records</w:t>
            </w:r>
          </w:p>
        </w:tc>
        <w:tc>
          <w:tcPr>
            <w:tcW w:type="dxa" w:w="3100"/>
            <w:shd w:fill="F7F9FC" w:color="auto" w:val="clear"/>
            <w:tcMar>
              <w:top w:type="dxa" w:w="60"/>
              <w:left w:type="dxa" w:w="100"/>
              <w:bottom w:type="dxa" w:w="60"/>
              <w:right w:type="dxa" w:w="100"/>
            </w:tcMar>
            <w:vAlign w:val="top"/>
          </w:tcPr>
          <w:p>
            <w:r>
              <w:rPr>
                <w:sz w:val="17"/>
                <w:szCs w:val="17"/>
              </w:rPr>
              <w:t xml:space="preserve">Can response kernels be estimated without a shape?</w:t>
            </w:r>
          </w:p>
        </w:tc>
        <w:tc>
          <w:tcPr>
            <w:tcW w:type="dxa" w:w="3738"/>
            <w:shd w:fill="F7F9FC" w:color="auto" w:val="clear"/>
            <w:tcMar>
              <w:top w:type="dxa" w:w="60"/>
              <w:left w:type="dxa" w:w="100"/>
              <w:bottom w:type="dxa" w:w="60"/>
              <w:right w:type="dxa" w:w="100"/>
            </w:tcMar>
            <w:vAlign w:val="top"/>
          </w:tcPr>
          <w:p>
            <w:r>
              <w:rPr>
                <w:sz w:val="17"/>
                <w:szCs w:val="17"/>
              </w:rPr>
              <w:t xml:space="preserve">Deconvolution and demixing of noisy series.</w:t>
            </w:r>
          </w:p>
        </w:tc>
      </w:tr>
      <w:tr>
        <w:trPr>
          <w:cantSplit/>
        </w:trPr>
        <w:tc>
          <w:tcPr>
            <w:tcW w:type="dxa" w:w="700"/>
            <w:tcMar>
              <w:top w:type="dxa" w:w="60"/>
              <w:left w:type="dxa" w:w="100"/>
              <w:bottom w:type="dxa" w:w="60"/>
              <w:right w:type="dxa" w:w="100"/>
            </w:tcMar>
            <w:vAlign w:val="top"/>
          </w:tcPr>
          <w:p>
            <w:r>
              <w:rPr>
                <w:sz w:val="17"/>
                <w:szCs w:val="17"/>
              </w:rPr>
              <w:t xml:space="preserve">E4</w:t>
            </w:r>
          </w:p>
        </w:tc>
        <w:tc>
          <w:tcPr>
            <w:tcW w:type="dxa" w:w="2100"/>
            <w:tcMar>
              <w:top w:type="dxa" w:w="60"/>
              <w:left w:type="dxa" w:w="100"/>
              <w:bottom w:type="dxa" w:w="60"/>
              <w:right w:type="dxa" w:w="100"/>
            </w:tcMar>
            <w:vAlign w:val="top"/>
          </w:tcPr>
          <w:p>
            <w:r>
              <w:rPr>
                <w:sz w:val="17"/>
                <w:szCs w:val="17"/>
              </w:rPr>
              <w:t xml:space="preserve">Mixing-controlled reactions</w:t>
            </w:r>
          </w:p>
        </w:tc>
        <w:tc>
          <w:tcPr>
            <w:tcW w:type="dxa" w:w="3100"/>
            <w:tcMar>
              <w:top w:type="dxa" w:w="60"/>
              <w:left w:type="dxa" w:w="100"/>
              <w:bottom w:type="dxa" w:w="60"/>
              <w:right w:type="dxa" w:w="100"/>
            </w:tcMar>
            <w:vAlign w:val="top"/>
          </w:tcPr>
          <w:p>
            <w:r>
              <w:rPr>
                <w:sz w:val="17"/>
                <w:szCs w:val="17"/>
              </w:rPr>
              <w:t xml:space="preserve">How does incomplete mixing change rates?</w:t>
            </w:r>
          </w:p>
        </w:tc>
        <w:tc>
          <w:tcPr>
            <w:tcW w:type="dxa" w:w="3738"/>
            <w:tcMar>
              <w:top w:type="dxa" w:w="60"/>
              <w:left w:type="dxa" w:w="100"/>
              <w:bottom w:type="dxa" w:w="60"/>
              <w:right w:type="dxa" w:w="100"/>
            </w:tcMar>
            <w:vAlign w:val="top"/>
          </w:tcPr>
          <w:p>
            <w:r>
              <w:rPr>
                <w:sz w:val="17"/>
                <w:szCs w:val="17"/>
              </w:rPr>
              <w:t xml:space="preserve">Through the gradient of the mixing ratio.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E5</w:t>
            </w:r>
          </w:p>
        </w:tc>
        <w:tc>
          <w:tcPr>
            <w:tcW w:type="dxa" w:w="2100"/>
            <w:shd w:fill="F7F9FC" w:color="auto" w:val="clear"/>
            <w:tcMar>
              <w:top w:type="dxa" w:w="60"/>
              <w:left w:type="dxa" w:w="100"/>
              <w:bottom w:type="dxa" w:w="60"/>
              <w:right w:type="dxa" w:w="100"/>
            </w:tcMar>
            <w:vAlign w:val="top"/>
          </w:tcPr>
          <w:p>
            <w:r>
              <w:rPr>
                <w:sz w:val="17"/>
                <w:szCs w:val="17"/>
              </w:rPr>
              <w:t xml:space="preserve">Learned filters</w:t>
            </w:r>
          </w:p>
        </w:tc>
        <w:tc>
          <w:tcPr>
            <w:tcW w:type="dxa" w:w="3100"/>
            <w:shd w:fill="F7F9FC" w:color="auto" w:val="clear"/>
            <w:tcMar>
              <w:top w:type="dxa" w:w="60"/>
              <w:left w:type="dxa" w:w="100"/>
              <w:bottom w:type="dxa" w:w="60"/>
              <w:right w:type="dxa" w:w="100"/>
            </w:tcMar>
            <w:vAlign w:val="top"/>
          </w:tcPr>
          <w:p>
            <w:r>
              <w:rPr>
                <w:sz w:val="17"/>
                <w:szCs w:val="17"/>
              </w:rPr>
              <w:t xml:space="preserve">Can a learned predictor be optimal for irregular data?</w:t>
            </w:r>
          </w:p>
        </w:tc>
        <w:tc>
          <w:tcPr>
            <w:tcW w:type="dxa" w:w="3738"/>
            <w:shd w:fill="F7F9FC" w:color="auto" w:val="clear"/>
            <w:tcMar>
              <w:top w:type="dxa" w:w="60"/>
              <w:left w:type="dxa" w:w="100"/>
              <w:bottom w:type="dxa" w:w="60"/>
              <w:right w:type="dxa" w:w="100"/>
            </w:tcMar>
            <w:vAlign w:val="top"/>
          </w:tcPr>
          <w:p>
            <w:r>
              <w:rPr>
                <w:sz w:val="17"/>
                <w:szCs w:val="17"/>
              </w:rPr>
              <w:t xml:space="preserve">Yes: Neural Jump ODEs converge in L².</w:t>
            </w:r>
          </w:p>
        </w:tc>
      </w:tr>
      <w:tr>
        <w:trPr>
          <w:cantSplit/>
        </w:trPr>
        <w:tc>
          <w:tcPr>
            <w:tcW w:type="dxa" w:w="700"/>
            <w:tcMar>
              <w:top w:type="dxa" w:w="60"/>
              <w:left w:type="dxa" w:w="100"/>
              <w:bottom w:type="dxa" w:w="60"/>
              <w:right w:type="dxa" w:w="100"/>
            </w:tcMar>
            <w:vAlign w:val="top"/>
          </w:tcPr>
          <w:p>
            <w:r>
              <w:rPr>
                <w:sz w:val="17"/>
                <w:szCs w:val="17"/>
              </w:rPr>
              <w:t xml:space="preserve">E6</w:t>
            </w:r>
          </w:p>
        </w:tc>
        <w:tc>
          <w:tcPr>
            <w:tcW w:type="dxa" w:w="2100"/>
            <w:tcMar>
              <w:top w:type="dxa" w:w="60"/>
              <w:left w:type="dxa" w:w="100"/>
              <w:bottom w:type="dxa" w:w="60"/>
              <w:right w:type="dxa" w:w="100"/>
            </w:tcMar>
            <w:vAlign w:val="top"/>
          </w:tcPr>
          <w:p>
            <w:r>
              <w:rPr>
                <w:sz w:val="17"/>
                <w:szCs w:val="17"/>
              </w:rPr>
              <w:t xml:space="preserve">Invariance and robustness</w:t>
            </w:r>
          </w:p>
        </w:tc>
        <w:tc>
          <w:tcPr>
            <w:tcW w:type="dxa" w:w="3100"/>
            <w:tcMar>
              <w:top w:type="dxa" w:w="60"/>
              <w:left w:type="dxa" w:w="100"/>
              <w:bottom w:type="dxa" w:w="60"/>
              <w:right w:type="dxa" w:w="100"/>
            </w:tcMar>
            <w:vAlign w:val="top"/>
          </w:tcPr>
          <w:p>
            <w:r>
              <w:rPr>
                <w:sz w:val="17"/>
                <w:szCs w:val="17"/>
              </w:rPr>
              <w:t xml:space="preserve">What links causality and robust prediction?</w:t>
            </w:r>
          </w:p>
        </w:tc>
        <w:tc>
          <w:tcPr>
            <w:tcW w:type="dxa" w:w="3738"/>
            <w:tcMar>
              <w:top w:type="dxa" w:w="60"/>
              <w:left w:type="dxa" w:w="100"/>
              <w:bottom w:type="dxa" w:w="60"/>
              <w:right w:type="dxa" w:w="100"/>
            </w:tcMar>
            <w:vAlign w:val="top"/>
          </w:tcPr>
          <w:p>
            <w:r>
              <w:rPr>
                <w:sz w:val="17"/>
                <w:szCs w:val="17"/>
              </w:rPr>
              <w:t xml:space="preserve">Invariance across environments.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E7</w:t>
            </w:r>
          </w:p>
        </w:tc>
        <w:tc>
          <w:tcPr>
            <w:tcW w:type="dxa" w:w="2100"/>
            <w:shd w:fill="F7F9FC" w:color="auto" w:val="clear"/>
            <w:tcMar>
              <w:top w:type="dxa" w:w="60"/>
              <w:left w:type="dxa" w:w="100"/>
              <w:bottom w:type="dxa" w:w="60"/>
              <w:right w:type="dxa" w:w="100"/>
            </w:tcMar>
            <w:vAlign w:val="top"/>
          </w:tcPr>
          <w:p>
            <w:r>
              <w:rPr>
                <w:sz w:val="17"/>
                <w:szCs w:val="17"/>
              </w:rPr>
              <w:t xml:space="preserve">Fronts and surrogates</w:t>
            </w:r>
          </w:p>
        </w:tc>
        <w:tc>
          <w:tcPr>
            <w:tcW w:type="dxa" w:w="3100"/>
            <w:shd w:fill="F7F9FC" w:color="auto" w:val="clear"/>
            <w:tcMar>
              <w:top w:type="dxa" w:w="60"/>
              <w:left w:type="dxa" w:w="100"/>
              <w:bottom w:type="dxa" w:w="60"/>
              <w:right w:type="dxa" w:w="100"/>
            </w:tcMar>
            <w:vAlign w:val="top"/>
          </w:tcPr>
          <w:p>
            <w:r>
              <w:rPr>
                <w:sz w:val="17"/>
                <w:szCs w:val="17"/>
              </w:rPr>
              <w:t xml:space="preserve">Why do linear surrogates fail at fronts?</w:t>
            </w:r>
          </w:p>
        </w:tc>
        <w:tc>
          <w:tcPr>
            <w:tcW w:type="dxa" w:w="3738"/>
            <w:shd w:fill="F7F9FC" w:color="auto" w:val="clear"/>
            <w:tcMar>
              <w:top w:type="dxa" w:w="60"/>
              <w:left w:type="dxa" w:w="100"/>
              <w:bottom w:type="dxa" w:w="60"/>
              <w:right w:type="dxa" w:w="100"/>
            </w:tcMar>
            <w:vAlign w:val="top"/>
          </w:tcPr>
          <w:p>
            <w:r>
              <w:rPr>
                <w:sz w:val="17"/>
                <w:szCs w:val="17"/>
              </w:rPr>
              <w:t xml:space="preserve">Lower bounds for linear reconstruction.</w:t>
            </w:r>
          </w:p>
        </w:tc>
      </w:tr>
    </w:tbl>
    <w:p>
      <w:pPr>
        <w:spacing w:after="160"/>
      </w:pPr>
    </w:p>
    <w:p>
      <w:pPr>
        <w:pStyle w:val="Heading3"/>
      </w:pPr>
      <w:r>
        <w:rPr>
          <w:color w:val="1F3864"/>
        </w:rPr>
        <w:t xml:space="preserve">8.1 Learned closures that obey physics</w:t>
      </w:r>
    </w:p>
    <w:p>
      <w:pPr>
        <w:spacing w:after="120"/>
        <w:jc w:val="both"/>
      </w:pPr>
      <w:r>
        <w:t xml:space="preserve">The candidate transport equation learns its reactive closure but confines it to the span of the stoichiometric matrix. Part II shows why constraints of this kind matter. A learned reaction term inside a three-dimensional transport model runs stably only when trained online, inside the model, and still drifts where chemical ageing is long [H1]; training over several steps and compressing the chemical state make it stable [H2], and solving only the locally active reactions halves its cost [H3]. Hard constraints improve learned closures in fluid mechanics [M5], and a network whose weights are stoichiometric coefficients learns kinetics that are consistent by construction [M7]. Homogenisation derives closures instead of learning them: a reactive filter yields a rate that carries an internal state [O4], and an upscaled uptake law shows that the macro-scale rate does not determine the micro-scale mechanism [O5]. Together they justify the design of section 9.3: learn rates in a known span, with an internal state, limited by availability, and never read them as mechanisms.</w:t>
      </w:r>
    </w:p>
    <w:p>
      <w:pPr>
        <w:pStyle w:val="Heading3"/>
      </w:pPr>
      <w:r>
        <w:rPr>
          <w:color w:val="1F3864"/>
        </w:rPr>
        <w:t xml:space="preserve">8.2 Memory and non-locality</w:t>
      </w:r>
    </w:p>
    <w:p>
      <w:pPr>
        <w:spacing w:after="120"/>
        <w:jc w:val="both"/>
      </w:pPr>
      <w:r>
        <w:t xml:space="preserve">Memory enters the system in two ways. It is produced by eliminating unresolved variables: delay closures follow from the Mori–Zwanzig formalism [M1], flows that switch between coherent states make transport non-local in space and time with an exact operator [M3], and homogenisation of a random incompressible flow produces transport noise when the flow decorrelates fast [O1]. Learning it needs representations and guarantees: neural oscillators approximate any causal memory operator [E1], nonparametric priors on kernels have posterior contraction rates [O2], and response kernels can be estimated from noisy records without an assumed shape [E3]. Proposition 3 adds a physical restriction that none of these papers imposes: a kernel produced by mass transfer is completely monotone. Proving universality or contraction within that class is an open mathematical problem, and a natural task for the COST project.</w:t>
      </w:r>
    </w:p>
    <w:p>
      <w:pPr>
        <w:pStyle w:val="Heading3"/>
      </w:pPr>
      <w:r>
        <w:rPr>
          <w:color w:val="1F3864"/>
        </w:rPr>
        <w:t xml:space="preserve">8.3 Reactions, mixing and homogenisation</w:t>
      </w:r>
    </w:p>
    <w:p>
      <w:pPr>
        <w:spacing w:after="120"/>
        <w:jc w:val="both"/>
      </w:pPr>
      <w:r>
        <w:t xml:space="preserve">Incomplete mixing changes reaction rates through the gradient of a conservative mixing ratio [E4], which in a coastal aquifer is the seawater fraction computed from chloride; homogenisation turns pore-scale reactions into macro-scale closures with an internal state [O4] and into effective uptake laws [O5]. The learned chemistry of atmospheric transport models [H1, H2, H3] is the closest large-scale precedent for a learned multi-species reactive closure.</w:t>
      </w:r>
    </w:p>
    <w:p>
      <w:pPr>
        <w:pStyle w:val="Heading3"/>
      </w:pPr>
      <w:r>
        <w:rPr>
          <w:color w:val="1F3864"/>
        </w:rPr>
        <w:t xml:space="preserve">8.4 Assimilating an augmented state</w:t>
      </w:r>
    </w:p>
    <w:p>
      <w:pPr>
        <w:spacing w:after="120"/>
        <w:jc w:val="both"/>
      </w:pPr>
      <w:r>
        <w:t xml:space="preserve">The candidate system is estimated by augmenting the state with the parameters of the closures and the memory. Bayesian learning of model forms does this for coupled reaction–advection models [M2]; heads, which depend on everything through an elliptic equation, need the low-rank Kalman gain of [M4]; variational alternatives need adjoints of the learned closures, which can be built and tested [O7], or a direct minimisation of the discrete residual [H5]; and expensive simulators can be calibrated mostly with cheap runs [O8]. Filters with guarantees exist for reaction networks [E2] and for irregularly sampled processes [E5]. The minimax theory of transport maps [M8] sets the budget of the hybrid filter of N2, and the lower bounds for linear reconstruction [E7] explain why a Gaussian analysis struggles at the front, where section 9.7 finds the forecast furthest from Gaussian.</w:t>
      </w:r>
    </w:p>
    <w:p>
      <w:pPr>
        <w:pStyle w:val="Heading3"/>
      </w:pPr>
      <w:r>
        <w:rPr>
          <w:color w:val="1F3864"/>
        </w:rPr>
        <w:t xml:space="preserve">8.5 What can be identified, and how to report it</w:t>
      </w:r>
    </w:p>
    <w:p>
      <w:pPr>
        <w:spacing w:after="120"/>
        <w:jc w:val="both"/>
      </w:pPr>
      <w:r>
        <w:t xml:space="preserve">Identifiability is the condition for all of this to work. Profile likelihood tells which layer-wise rates the data identify [O3]; identifiable surrogates reveal which combinations of parameters the data see [O6]; posterior correlations measure the separability of sources and sinks [H4]; linearised posteriors show which data decorrelate functions learned inside PDEs [M6]; and invariance across environments selects terms that describe real processes [E6]. Reporting must survive misspecification, because a learned closure is never exact: bagged posteriors give reproducible credible sets [H6], set-membership estimation gives guaranteed sets under bounded errors [H7], and the worst case over a class of shifts [E6] is an upper expectation, the form of the robust report of proposal N3.</w:t>
      </w:r>
    </w:p>
    <w:p>
      <w:pPr>
        <w:pStyle w:val="Heading3"/>
      </w:pPr>
      <w:r>
        <w:rPr>
          <w:color w:val="1F3864"/>
        </w:rPr>
        <w:t xml:space="preserve">8.6 Why the candidate system is new</w:t>
      </w:r>
    </w:p>
    <w:p>
      <w:pPr>
        <w:spacing w:after="120"/>
        <w:jc w:val="both"/>
      </w:pPr>
      <w:r>
        <w:t xml:space="preserve">To our knowledge, and within the 30 papers of Part II and the 41 earlier documents of this series, no work combines the elements of the candidate system of section 1.10: variable-density flow with a learned closure and memory, coupled to multi-species reactive transport whose learned closure is confined to the stoichiometric span and limited by availability; a completely monotone memory kernel; chloride as the reaction invariant that pins transport; an assimilation with a cut; a hybrid filter switched by a departure from Gaussianity measured against the observation error; and robust reporting. Each element has support in Part II: learned reaction terms [H1, H2, H3], stoichiometric learning [M7], memory closures [M1, E1], non-local transport and transport noise [M3, O1], identifiability [O3, O6, H4] and honest reporting [E6, H6, H7]. The combination is new, and section 9 shows that it works on a twin of the Fushë-Kuqe aquifer and reads the field chemistry. It is also a natural core for a COST action: it needs the analysis of homogenisation and stochastic transport (Oxford), learned chemistry and inversion in transport models (Harvard), closures, filtering and transport maps (MIT), and operator learning, filtering theory and hydrology (ETH Zürich), and it answers a need of coastal agencies that already collect major-ion analyses.</w:t>
      </w:r>
    </w:p>
    <w:p>
      <w:pPr>
        <w:pStyle w:val="Heading3"/>
      </w:pPr>
      <w:r>
        <w:rPr>
          <w:color w:val="1F3864"/>
        </w:rPr>
        <w:t xml:space="preserve">8.7 Lessons for SWI-Goal-OED</w:t>
      </w:r>
    </w:p>
    <w:p>
      <w:pPr>
        <w:pStyle w:val="ListParagraph"/>
        <w:numPr>
          <w:ilvl w:val="0"/>
          <w:numId w:val="2"/>
        </w:numPr>
        <w:spacing w:after="60"/>
        <w:jc w:val="both"/>
      </w:pPr>
      <w:r>
        <w:t xml:space="preserve">Split the departures from mixing of every chemistry campaign into reaction extents with intervals (section 9.5): they show which closure terms the transport equation needs before any model is fitted.</w:t>
      </w:r>
    </w:p>
    <w:p>
      <w:pPr>
        <w:pStyle w:val="ListParagraph"/>
        <w:numPr>
          <w:ilvl w:val="0"/>
          <w:numId w:val="2"/>
        </w:numPr>
        <w:spacing w:after="60"/>
        <w:jc w:val="both"/>
      </w:pPr>
      <w:r>
        <w:t xml:space="preserve">Confine the learned reactive closure to the stoichiometric span, limit its rates by availability and train it inside the smoother, not offline [H1, H2, M7].</w:t>
      </w:r>
    </w:p>
    <w:p>
      <w:pPr>
        <w:pStyle w:val="ListParagraph"/>
        <w:numPr>
          <w:ilvl w:val="0"/>
          <w:numId w:val="2"/>
        </w:numPr>
        <w:spacing w:after="60"/>
        <w:jc w:val="both"/>
      </w:pPr>
      <w:r>
        <w:t xml:space="preserve">Estimate transport and memory from chloride first and the closure second (the cut of Proposition 5): in section 9.6 this calibrated the chloride forecasts that management needs most.</w:t>
      </w:r>
    </w:p>
    <w:p>
      <w:pPr>
        <w:pStyle w:val="ListParagraph"/>
        <w:numPr>
          <w:ilvl w:val="0"/>
          <w:numId w:val="2"/>
        </w:numPr>
        <w:spacing w:after="60"/>
        <w:jc w:val="both"/>
      </w:pPr>
      <w:r>
        <w:t xml:space="preserve">Give the memory kernel a completely monotone form, keep only as many rates as the data identify [O3], and check it against kernels deconvolved from records [E3].</w:t>
      </w:r>
    </w:p>
    <w:p>
      <w:pPr>
        <w:pStyle w:val="ListParagraph"/>
        <w:numPr>
          <w:ilvl w:val="0"/>
          <w:numId w:val="2"/>
        </w:numPr>
        <w:spacing w:after="60"/>
        <w:jc w:val="both"/>
      </w:pPr>
      <w:r>
        <w:t xml:space="preserve">Use the transport-map analysis of N2 only where the departure of the forecast from Gaussianity exceeds the observation error (section 9.7) [M8].</w:t>
      </w:r>
    </w:p>
    <w:p>
      <w:pPr>
        <w:pStyle w:val="ListParagraph"/>
        <w:numPr>
          <w:ilvl w:val="0"/>
          <w:numId w:val="2"/>
        </w:numPr>
        <w:spacing w:after="60"/>
        <w:jc w:val="both"/>
      </w:pPr>
      <w:r>
        <w:t xml:space="preserve">Report forecasts with bagged posteriors or guaranteed sets and with the robust band of N3, because a learned closure is misspecified by construction (section 9.6) [H6, H7].</w:t>
      </w:r>
    </w:p>
    <w:p>
      <w:pPr>
        <w:pStyle w:val="Heading3"/>
      </w:pPr>
      <w:r>
        <w:rPr>
          <w:color w:val="1F3864"/>
        </w:rPr>
        <w:t xml:space="preserve">8.8 Further reading</w:t>
      </w:r>
    </w:p>
    <w:p>
      <w:pPr>
        <w:spacing w:after="120"/>
        <w:jc w:val="both"/>
      </w:pPr>
      <w:r>
        <w:t xml:space="preserve">Papers closely related to the topic that were left out because of the number of papers per institution, weaker relevance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Parthipan, R., Christensen, H. M., Hosking, J. S. &amp; Wischik, D. J. (2023). Using probabilistic machine learning to better model temporal patterns in parameterizations: a case study with the Lorenz 96 model. </w:t>
            </w:r>
            <w:r>
              <w:rPr>
                <w:i/>
                <w:iCs/>
                <w:sz w:val="17"/>
                <w:szCs w:val="17"/>
              </w:rPr>
              <w:t xml:space="preserve">Geoscientific Model Development</w:t>
            </w:r>
            <w:r>
              <w:rPr>
                <w:sz w:val="17"/>
                <w:szCs w:val="17"/>
              </w:rPr>
              <w:t xml:space="preserve">, 16(15), 4501–4519. </w:t>
            </w:r>
            <w:hyperlink w:history="1" r:id="rId8jens8g9hk9hdygswcf6v">
              <w:r>
                <w:rPr>
                  <w:color w:val="1D4ED8"/>
                  <w:sz w:val="17"/>
                  <w:szCs w:val="17"/>
                  <w:u w:val="single"/>
                </w:rPr>
                <w:t xml:space="preserve">https://doi.org/10.5194/gmd-16-4501-2023</w:t>
              </w:r>
            </w:hyperlink>
          </w:p>
        </w:tc>
        <w:tc>
          <w:tcPr>
            <w:tcW w:type="dxa" w:w="3038"/>
            <w:tcMar>
              <w:top w:type="dxa" w:w="60"/>
              <w:left w:type="dxa" w:w="100"/>
              <w:bottom w:type="dxa" w:w="60"/>
              <w:right w:type="dxa" w:w="100"/>
            </w:tcMar>
            <w:vAlign w:val="top"/>
          </w:tcPr>
          <w:p>
            <w:r>
              <w:rPr>
                <w:sz w:val="17"/>
                <w:szCs w:val="17"/>
              </w:rPr>
              <w:t xml:space="preserve">Learned stochastic closures with memory beyond red noise, chosen by the likelihood of held-out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Fehrman, B. (2023). Large-scale regularity in stochastic homogenization with divergence-free drift. </w:t>
            </w:r>
            <w:r>
              <w:rPr>
                <w:i/>
                <w:iCs/>
                <w:sz w:val="17"/>
                <w:szCs w:val="17"/>
              </w:rPr>
              <w:t xml:space="preserve">The Annals of Applied Probability</w:t>
            </w:r>
            <w:r>
              <w:rPr>
                <w:sz w:val="17"/>
                <w:szCs w:val="17"/>
              </w:rPr>
              <w:t xml:space="preserve">, 33(4), 2559–2599. </w:t>
            </w:r>
            <w:hyperlink w:history="1" r:id="rIdimmrlwg5uehbwojjprirv">
              <w:r>
                <w:rPr>
                  <w:color w:val="1D4ED8"/>
                  <w:sz w:val="17"/>
                  <w:szCs w:val="17"/>
                  <w:u w:val="single"/>
                </w:rPr>
                <w:t xml:space="preserve">https://doi.org/10.1214/22-AAP1872</w:t>
              </w:r>
            </w:hyperlink>
          </w:p>
        </w:tc>
        <w:tc>
          <w:tcPr>
            <w:tcW w:type="dxa" w:w="3038"/>
            <w:shd w:fill="F7F9FC" w:color="auto" w:val="clear"/>
            <w:tcMar>
              <w:top w:type="dxa" w:w="60"/>
              <w:left w:type="dxa" w:w="100"/>
              <w:bottom w:type="dxa" w:w="60"/>
              <w:right w:type="dxa" w:w="100"/>
            </w:tcMar>
            <w:vAlign w:val="top"/>
          </w:tcPr>
          <w:p>
            <w:r>
              <w:rPr>
                <w:sz w:val="17"/>
                <w:szCs w:val="17"/>
              </w:rPr>
              <w:t xml:space="preserve">The companion of [O1]: when the random environment homogenises.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Varon, D., Jacob, D. J. et al. (2023). Continuous weekly monitoring of methane emissions from the Permian Basin by inversion of TROPOMI satellite observations. </w:t>
            </w:r>
            <w:r>
              <w:rPr>
                <w:i/>
                <w:iCs/>
                <w:sz w:val="17"/>
                <w:szCs w:val="17"/>
              </w:rPr>
              <w:t xml:space="preserve">Atmospheric Chemistry and Physics</w:t>
            </w:r>
            <w:r>
              <w:rPr>
                <w:sz w:val="17"/>
                <w:szCs w:val="17"/>
              </w:rPr>
              <w:t xml:space="preserve">, 23(13), 7503–7520 (full author list not verified). </w:t>
            </w:r>
            <w:hyperlink w:history="1" r:id="rIdpf2os5p1pvabgclrqz7ot">
              <w:r>
                <w:rPr>
                  <w:color w:val="1D4ED8"/>
                  <w:sz w:val="17"/>
                  <w:szCs w:val="17"/>
                  <w:u w:val="single"/>
                </w:rPr>
                <w:t xml:space="preserve">https://doi.org/10.5194/acp-23-7503-2023</w:t>
              </w:r>
            </w:hyperlink>
          </w:p>
        </w:tc>
        <w:tc>
          <w:tcPr>
            <w:tcW w:type="dxa" w:w="3038"/>
            <w:tcMar>
              <w:top w:type="dxa" w:w="60"/>
              <w:left w:type="dxa" w:w="100"/>
              <w:bottom w:type="dxa" w:w="60"/>
              <w:right w:type="dxa" w:w="100"/>
            </w:tcMar>
            <w:vAlign w:val="top"/>
          </w:tcPr>
          <w:p>
            <w:r>
              <w:rPr>
                <w:sz w:val="17"/>
                <w:szCs w:val="17"/>
              </w:rPr>
              <w:t xml:space="preserve">Sequential Kalman updating of a source field, validated on held-out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Lin, H., Long, M. S., Sander, R., Sandu, A., Yantosca, R. M., Estrada, L. A., Shen, L. &amp; Jacob, D. J. (2023). An adaptive auto-reduction solver for speeding up integration of chemical kinetics in atmospheric chemistry models: implementation and evaluation in the Kinetic Pre-Processor (KPP) version 3.0.0. </w:t>
            </w:r>
            <w:r>
              <w:rPr>
                <w:i/>
                <w:iCs/>
                <w:sz w:val="17"/>
                <w:szCs w:val="17"/>
              </w:rPr>
              <w:t xml:space="preserve">Journal of Advances in Modeling Earth Systems</w:t>
            </w:r>
            <w:r>
              <w:rPr>
                <w:sz w:val="17"/>
                <w:szCs w:val="17"/>
              </w:rPr>
              <w:t xml:space="preserve">, 15(2), e2022MS003293. </w:t>
            </w:r>
            <w:hyperlink w:history="1" r:id="rIdvylrh_8-8bxql29rwpepb">
              <w:r>
                <w:rPr>
                  <w:color w:val="1D4ED8"/>
                  <w:sz w:val="17"/>
                  <w:szCs w:val="17"/>
                  <w:u w:val="single"/>
                </w:rPr>
                <w:t xml:space="preserve">https://doi.org/10.1029/2022MS003293</w:t>
              </w:r>
            </w:hyperlink>
          </w:p>
        </w:tc>
        <w:tc>
          <w:tcPr>
            <w:tcW w:type="dxa" w:w="3038"/>
            <w:shd w:fill="F7F9FC" w:color="auto" w:val="clear"/>
            <w:tcMar>
              <w:top w:type="dxa" w:w="60"/>
              <w:left w:type="dxa" w:w="100"/>
              <w:bottom w:type="dxa" w:w="60"/>
              <w:right w:type="dxa" w:w="100"/>
            </w:tcMar>
            <w:vAlign w:val="top"/>
          </w:tcPr>
          <w:p>
            <w:r>
              <w:rPr>
                <w:sz w:val="17"/>
                <w:szCs w:val="17"/>
              </w:rPr>
              <w:t xml:space="preserve">Local reduction of stiff multi-species kinetics, to keep chemistry affordable inside an ensemble.</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Flierl, G. R. &amp; Souza, A. N. (2024). On the non-local nature of turbulent fluxes of passive scalars. </w:t>
            </w:r>
            <w:r>
              <w:rPr>
                <w:i/>
                <w:iCs/>
                <w:sz w:val="17"/>
                <w:szCs w:val="17"/>
              </w:rPr>
              <w:t xml:space="preserve">Journal of Fluid Mechanics</w:t>
            </w:r>
            <w:r>
              <w:rPr>
                <w:sz w:val="17"/>
                <w:szCs w:val="17"/>
              </w:rPr>
              <w:t xml:space="preserve">, 986, A8. </w:t>
            </w:r>
            <w:hyperlink w:history="1" r:id="rIdvvzqjipfcoyipk_mtrpzb">
              <w:r>
                <w:rPr>
                  <w:color w:val="1D4ED8"/>
                  <w:sz w:val="17"/>
                  <w:szCs w:val="17"/>
                  <w:u w:val="single"/>
                </w:rPr>
                <w:t xml:space="preserve">https://doi.org/10.1017/jfm.2024.302</w:t>
              </w:r>
            </w:hyperlink>
          </w:p>
        </w:tc>
        <w:tc>
          <w:tcPr>
            <w:tcW w:type="dxa" w:w="3038"/>
            <w:tcMar>
              <w:top w:type="dxa" w:w="60"/>
              <w:left w:type="dxa" w:w="100"/>
              <w:bottom w:type="dxa" w:w="60"/>
              <w:right w:type="dxa" w:w="100"/>
            </w:tcMar>
            <w:vAlign w:val="top"/>
          </w:tcPr>
          <w:p>
            <w:r>
              <w:rPr>
                <w:sz w:val="17"/>
                <w:szCs w:val="17"/>
              </w:rPr>
              <w:t xml:space="preserve">When the dispersion tensor must give way to a non-local operator, and why up-gradient fluxes need no failure of down-gradient theory.</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Gupta, A. &amp; Lermusiaux, P. F. J. (2023). Generalized neural closure models with interpretability. </w:t>
            </w:r>
            <w:r>
              <w:rPr>
                <w:i/>
                <w:iCs/>
                <w:sz w:val="17"/>
                <w:szCs w:val="17"/>
              </w:rPr>
              <w:t xml:space="preserve">Scientific Reports</w:t>
            </w:r>
            <w:r>
              <w:rPr>
                <w:sz w:val="17"/>
                <w:szCs w:val="17"/>
              </w:rPr>
              <w:t xml:space="preserve">, 13, 10634. </w:t>
            </w:r>
            <w:hyperlink w:history="1" r:id="rIdqdjhjrdj9xybfkmm8ci9x">
              <w:r>
                <w:rPr>
                  <w:color w:val="1D4ED8"/>
                  <w:sz w:val="17"/>
                  <w:szCs w:val="17"/>
                  <w:u w:val="single"/>
                </w:rPr>
                <w:t xml:space="preserve">https://doi.org/10.1038/s41598-023-35319-w</w:t>
              </w:r>
            </w:hyperlink>
          </w:p>
        </w:tc>
        <w:tc>
          <w:tcPr>
            <w:tcW w:type="dxa" w:w="3038"/>
            <w:shd w:fill="F7F9FC" w:color="auto" w:val="clear"/>
            <w:tcMar>
              <w:top w:type="dxa" w:w="60"/>
              <w:left w:type="dxa" w:w="100"/>
              <w:bottom w:type="dxa" w:w="60"/>
              <w:right w:type="dxa" w:w="100"/>
            </w:tcMar>
            <w:vAlign w:val="top"/>
          </w:tcPr>
          <w:p>
            <w:r>
              <w:rPr>
                <w:sz w:val="17"/>
                <w:szCs w:val="17"/>
              </w:rPr>
              <w:t xml:space="preserve">The PDE form of [M1]: an extractable memoryless closure plus delay terms, used to choose among functional forms.</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Lu, P. &amp; Lermusiaux, P. F. J. (2021). Bayesian learning of stochastic dynamical models. </w:t>
            </w:r>
            <w:r>
              <w:rPr>
                <w:i/>
                <w:iCs/>
                <w:sz w:val="17"/>
                <w:szCs w:val="17"/>
              </w:rPr>
              <w:t xml:space="preserve">Physica D</w:t>
            </w:r>
            <w:r>
              <w:rPr>
                <w:sz w:val="17"/>
                <w:szCs w:val="17"/>
              </w:rPr>
              <w:t xml:space="preserve">, 427, 133003. </w:t>
            </w:r>
            <w:hyperlink w:history="1" r:id="rIdout4ld6spc4zo3crietv0">
              <w:r>
                <w:rPr>
                  <w:color w:val="1D4ED8"/>
                  <w:sz w:val="17"/>
                  <w:szCs w:val="17"/>
                  <w:u w:val="single"/>
                </w:rPr>
                <w:t xml:space="preserve">https://doi.org/10.1016/j.physd.2021.133003</w:t>
              </w:r>
            </w:hyperlink>
          </w:p>
        </w:tc>
        <w:tc>
          <w:tcPr>
            <w:tcW w:type="dxa" w:w="3038"/>
            <w:tcMar>
              <w:top w:type="dxa" w:w="60"/>
              <w:left w:type="dxa" w:w="100"/>
              <w:bottom w:type="dxa" w:w="60"/>
              <w:right w:type="dxa" w:w="100"/>
            </w:tcMar>
            <w:vAlign w:val="top"/>
          </w:tcPr>
          <w:p>
            <w:r>
              <w:rPr>
                <w:sz w:val="17"/>
                <w:szCs w:val="17"/>
              </w:rPr>
              <w:t xml:space="preserve">Sequential Bayesian choice among model forms inside a nonlinear filter.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Zhao, H., Deng, H. D., Cohen, A. E., Lim, J., Li, Y., Fraggedakis, D., Jiang, B., Storey, B. D., Chueh, W. C., Braatz, R. D. &amp; Bazant, M. Z. (2023). Learning heterogeneous reaction kinetics from X-ray videos pixel by pixel. </w:t>
            </w:r>
            <w:r>
              <w:rPr>
                <w:i/>
                <w:iCs/>
                <w:sz w:val="17"/>
                <w:szCs w:val="17"/>
              </w:rPr>
              <w:t xml:space="preserve">Nature</w:t>
            </w:r>
            <w:r>
              <w:rPr>
                <w:sz w:val="17"/>
                <w:szCs w:val="17"/>
              </w:rPr>
              <w:t xml:space="preserve">, 621, 289–294. </w:t>
            </w:r>
            <w:hyperlink w:history="1" r:id="rIdd3ci0ifjm0pcz16fd1ltc">
              <w:r>
                <w:rPr>
                  <w:color w:val="1D4ED8"/>
                  <w:sz w:val="17"/>
                  <w:szCs w:val="17"/>
                  <w:u w:val="single"/>
                </w:rPr>
                <w:t xml:space="preserve">https://doi.org/10.1038/s41586-023-06393-x</w:t>
              </w:r>
            </w:hyperlink>
          </w:p>
        </w:tc>
        <w:tc>
          <w:tcPr>
            <w:tcW w:type="dxa" w:w="3038"/>
            <w:shd w:fill="F7F9FC" w:color="auto" w:val="clear"/>
            <w:tcMar>
              <w:top w:type="dxa" w:w="60"/>
              <w:left w:type="dxa" w:w="100"/>
              <w:bottom w:type="dxa" w:w="60"/>
              <w:right w:type="dxa" w:w="100"/>
            </w:tcMar>
            <w:vAlign w:val="top"/>
          </w:tcPr>
          <w:p>
            <w:r>
              <w:rPr>
                <w:sz w:val="17"/>
                <w:szCs w:val="17"/>
              </w:rPr>
              <w:t xml:space="preserve">A position-dependent rate learned inside a PDE and checked against an independent measurement, a model for a variable exchange capacity.</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Ammann, L., Stamm, C., Fenicia, F. &amp; Reichert, P. (2021). Quantifying the uncertainty of a conceptual herbicide transport model with time-dependent, stochastic parameters. </w:t>
            </w:r>
            <w:r>
              <w:rPr>
                <w:i/>
                <w:iCs/>
                <w:sz w:val="17"/>
                <w:szCs w:val="17"/>
              </w:rPr>
              <w:t xml:space="preserve">Water Resources Research</w:t>
            </w:r>
            <w:r>
              <w:rPr>
                <w:sz w:val="17"/>
                <w:szCs w:val="17"/>
              </w:rPr>
              <w:t xml:space="preserve"> (volume not verified). </w:t>
            </w:r>
            <w:hyperlink w:history="1" r:id="rIdah56mr7bmixbhz8182fkm">
              <w:r>
                <w:rPr>
                  <w:color w:val="1D4ED8"/>
                  <w:sz w:val="17"/>
                  <w:szCs w:val="17"/>
                  <w:u w:val="single"/>
                </w:rPr>
                <w:t xml:space="preserve">https://doi.org/10.1029/2020WR028311</w:t>
              </w:r>
            </w:hyperlink>
          </w:p>
        </w:tc>
        <w:tc>
          <w:tcPr>
            <w:tcW w:type="dxa" w:w="3038"/>
            <w:tcMar>
              <w:top w:type="dxa" w:w="60"/>
              <w:left w:type="dxa" w:w="100"/>
              <w:bottom w:type="dxa" w:w="60"/>
              <w:right w:type="dxa" w:w="100"/>
            </w:tcMar>
            <w:vAlign w:val="top"/>
          </w:tcPr>
          <w:p>
            <w:r>
              <w:rPr>
                <w:sz w:val="17"/>
                <w:szCs w:val="17"/>
              </w:rPr>
              <w:t xml:space="preserve">Time-dependent parameters that reveal where a transport model needs more structure (Bayesian).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Kirchner, J. W. (2024). Characterizing nonlinear, nonstationary, and heterogeneous hydrologic behavior using ensemble rainfall–runoff analysis (ERRA): proof of concept. </w:t>
            </w:r>
            <w:r>
              <w:rPr>
                <w:i/>
                <w:iCs/>
                <w:sz w:val="17"/>
                <w:szCs w:val="17"/>
              </w:rPr>
              <w:t xml:space="preserve">Hydrology and Earth System Sciences</w:t>
            </w:r>
            <w:r>
              <w:rPr>
                <w:sz w:val="17"/>
                <w:szCs w:val="17"/>
              </w:rPr>
              <w:t xml:space="preserve">, 28, 4427–4454. </w:t>
            </w:r>
            <w:hyperlink w:history="1" r:id="rIdwegtjnk8-jpwiur8mvy8x">
              <w:r>
                <w:rPr>
                  <w:color w:val="1D4ED8"/>
                  <w:sz w:val="17"/>
                  <w:szCs w:val="17"/>
                  <w:u w:val="single"/>
                </w:rPr>
                <w:t xml:space="preserve">https://doi.org/10.5194/hess-28-4427-2024</w:t>
              </w:r>
            </w:hyperlink>
          </w:p>
        </w:tc>
        <w:tc>
          <w:tcPr>
            <w:tcW w:type="dxa" w:w="3038"/>
            <w:shd w:fill="F7F9FC" w:color="auto" w:val="clear"/>
            <w:tcMar>
              <w:top w:type="dxa" w:w="60"/>
              <w:left w:type="dxa" w:w="100"/>
              <w:bottom w:type="dxa" w:w="60"/>
              <w:right w:type="dxa" w:w="100"/>
            </w:tcMar>
            <w:vAlign w:val="top"/>
          </w:tcPr>
          <w:p>
            <w:r>
              <w:rPr>
                <w:sz w:val="17"/>
                <w:szCs w:val="17"/>
              </w:rPr>
              <w:t xml:space="preserve">The tools of [E3] applied to rainfall and runoff, a route to the memory kernel of recharge in N1.</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Ben-Noah, I., Hidalgo, J. J., Jimenez-Martinez, J. &amp; Dentz, M. (2023). Solute trapping and the mechanisms of non-Fickian transport in partially saturated porous media. </w:t>
            </w:r>
            <w:r>
              <w:rPr>
                <w:i/>
                <w:iCs/>
                <w:sz w:val="17"/>
                <w:szCs w:val="17"/>
              </w:rPr>
              <w:t xml:space="preserve">Water Resources Research</w:t>
            </w:r>
            <w:r>
              <w:rPr>
                <w:sz w:val="17"/>
                <w:szCs w:val="17"/>
              </w:rPr>
              <w:t xml:space="preserve">, e2022WR033613 (volume not verified). </w:t>
            </w:r>
            <w:hyperlink w:history="1" r:id="rIdq4y2x4qhbaedbskthpcih">
              <w:r>
                <w:rPr>
                  <w:color w:val="1D4ED8"/>
                  <w:sz w:val="17"/>
                  <w:szCs w:val="17"/>
                  <w:u w:val="single"/>
                </w:rPr>
                <w:t xml:space="preserve">https://doi.org/10.1029/2022WR033613</w:t>
              </w:r>
            </w:hyperlink>
          </w:p>
        </w:tc>
        <w:tc>
          <w:tcPr>
            <w:tcW w:type="dxa" w:w="3038"/>
            <w:tcMar>
              <w:top w:type="dxa" w:w="60"/>
              <w:left w:type="dxa" w:w="100"/>
              <w:bottom w:type="dxa" w:w="60"/>
              <w:right w:type="dxa" w:w="100"/>
            </w:tcMar>
            <w:vAlign w:val="top"/>
          </w:tcPr>
          <w:p>
            <w:r>
              <w:rPr>
                <w:sz w:val="17"/>
                <w:szCs w:val="17"/>
              </w:rPr>
              <w:t xml:space="preserve">A continuous-time random walk with trapping, a physical mechanism for the memory kernel of transport.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Novati, G., Lascombes de Laroussilhe, H. &amp; Koumoutsakos, P. (2021). Automating turbulence modelling by multi-agent reinforcement learning. </w:t>
            </w:r>
            <w:r>
              <w:rPr>
                <w:i/>
                <w:iCs/>
                <w:sz w:val="17"/>
                <w:szCs w:val="17"/>
              </w:rPr>
              <w:t xml:space="preserve">Nature Machine Intelligence</w:t>
            </w:r>
            <w:r>
              <w:rPr>
                <w:sz w:val="17"/>
                <w:szCs w:val="17"/>
              </w:rPr>
              <w:t xml:space="preserve">, 3, 87–96. </w:t>
            </w:r>
            <w:hyperlink w:history="1" r:id="rIdsk5vw8pelh5vhpksm9a5i">
              <w:r>
                <w:rPr>
                  <w:color w:val="1D4ED8"/>
                  <w:sz w:val="17"/>
                  <w:szCs w:val="17"/>
                  <w:u w:val="single"/>
                </w:rPr>
                <w:t xml:space="preserve">https://doi.org/10.1038/s42256-020-00272-0</w:t>
              </w:r>
            </w:hyperlink>
          </w:p>
        </w:tc>
        <w:tc>
          <w:tcPr>
            <w:tcW w:type="dxa" w:w="3038"/>
            <w:shd w:fill="F7F9FC" w:color="auto" w:val="clear"/>
            <w:tcMar>
              <w:top w:type="dxa" w:w="60"/>
              <w:left w:type="dxa" w:w="100"/>
              <w:bottom w:type="dxa" w:w="60"/>
              <w:right w:type="dxa" w:w="100"/>
            </w:tcMar>
            <w:vAlign w:val="top"/>
          </w:tcPr>
          <w:p>
            <w:r>
              <w:rPr>
                <w:sz w:val="17"/>
                <w:szCs w:val="17"/>
              </w:rPr>
              <w:t xml:space="preserve">A closure learned from the statistics of high-resolution simulations, the idea behind calibrating closures on long-term statistics.</w:t>
            </w:r>
          </w:p>
        </w:tc>
      </w:tr>
    </w:tbl>
    <w:p>
      <w:pPr>
        <w:pStyle w:val="Heading1"/>
        <w:pageBreakBefore/>
      </w:pPr>
      <w:r>
        <w:rPr>
          <w:color w:val="92400E"/>
        </w:rPr>
        <w:t xml:space="preserve">9. The proposed innovation</w:t>
      </w:r>
    </w:p>
    <w:p>
      <w:pPr>
        <w:spacing w:after="120"/>
        <w:jc w:val="both"/>
      </w:pPr>
      <w:r>
        <w:t xml:space="preserve">The chemistry of a salinising aquifer is a trace of the dynamics that the flow equation and a single-salt transport equation leave out. </w:t>
      </w:r>
      <w:r>
        <w:rPr>
          <w:b/>
          <w:bCs/>
        </w:rPr>
        <w:t xml:space="preserve">GJURMA-GO</w:t>
      </w:r>
      <w:r>
        <w:t xml:space="preserve"> (</w:t>
      </w:r>
      <w:r>
        <w:rPr>
          <w:i/>
          <w:iCs/>
        </w:rPr>
        <w:t xml:space="preserve">gjurma</w:t>
      </w:r>
      <w:r>
        <w:t xml:space="preserve">: the trace) reads this trace twice. In the field data it splits the departure of every ion from conservative mixing into named reactions. In a dynamic model it learns a reactive closure with memory that is confined to those reactions, while chloride, which no reaction touches, pins the transport (Propositions 2, 4 and 5).</w:t>
      </w:r>
    </w:p>
    <w:p>
      <w:pPr>
        <w:pStyle w:val="Heading3"/>
      </w:pPr>
      <w:r>
        <w:rPr>
          <w:color w:val="1F3864"/>
        </w:rPr>
        <w:t xml:space="preserve">9.1 The trace in the Fushë-Kuqe chemistry</w:t>
      </w:r>
    </w:p>
    <w:p>
      <w:pPr>
        <w:spacing w:after="120"/>
        <w:jc w:val="both"/>
      </w:pPr>
      <w:r>
        <w:t xml:space="preserve">Sheet 5 of the Fushë-Kuqe data set holds major-ion analyses of four wells along the north-east to south-west flow path (Cenameri and Beqiraj 2016 [B2]): well 193 in the recharge zone, well 340 in the central sector near the Gorre–Fushë-Kuqe abstraction field, and wells 341 and 503 in the Adriatic sector. Sheet 6 holds chloride at wells 341 and 503 in 1984, 1999 and 2001. For each saline well the seawater fraction </w:t>
      </w:r>
      <m:oMath>
        <m:r>
          <m:t>f</m:t>
        </m:r>
      </m:oMath>
      <w:r>
        <w:t xml:space="preserve"> follows from chloride between the fresh end-member (well 193) and seawater, and the departure </w:t>
      </w:r>
      <m:oMath>
        <m:sSub>
          <m:e>
            <m:r>
              <m:t>Δ</m:t>
            </m:r>
          </m:e>
          <m:sub>
            <m:r>
              <m:t>i</m:t>
            </m:r>
          </m:sub>
        </m:sSub>
      </m:oMath>
      <w:r>
        <w:t xml:space="preserve"> of every other ion from conservative mixing (in meq/L) is the integrated closure term of the transport equation at that well:</w:t>
      </w:r>
    </w:p>
    <w:p>
      <w:pPr>
        <w:pStyle w:val="Equation"/>
      </w:pPr>
      <m:oMathPara>
        <m:oMathParaPr>
          <m:jc m:val="center"/>
        </m:oMathParaPr>
        <m:oMath>
          <m:r>
            <m:t>f</m:t>
          </m:r>
          <m:r>
            <m:rPr>
              <m:sty m:val="p"/>
            </m:rPr>
            <m:t>=</m:t>
          </m:r>
          <m:f>
            <m:fPr>
              <m:type m:val="bar"/>
            </m:fPr>
            <m:num>
              <m:sSub>
                <m:e>
                  <m:r>
                    <m:t>c</m:t>
                  </m:r>
                </m:e>
                <m:sub>
                  <m:r>
                    <m:rPr>
                      <m:nor/>
                    </m:rPr>
                    <m:t>Cl</m:t>
                  </m:r>
                </m:sub>
              </m:sSub>
              <m:r>
                <m:rPr>
                  <m:sty m:val="p"/>
                </m:rPr>
                <m:t>−</m:t>
              </m:r>
              <m:sSubSup>
                <m:e>
                  <m:r>
                    <m:t>c</m:t>
                  </m:r>
                </m:e>
                <m:sub>
                  <m:r>
                    <m:rPr>
                      <m:nor/>
                    </m:rPr>
                    <m:t>Cl</m:t>
                  </m:r>
                </m:sub>
                <m:sup>
                  <m:r>
                    <m:rPr>
                      <m:nor/>
                    </m:rPr>
                    <m:t>fresh</m:t>
                  </m:r>
                </m:sup>
              </m:sSubSup>
            </m:num>
            <m:den>
              <m:sSubSup>
                <m:e>
                  <m:r>
                    <m:t>c</m:t>
                  </m:r>
                </m:e>
                <m:sub>
                  <m:r>
                    <m:rPr>
                      <m:nor/>
                    </m:rPr>
                    <m:t>Cl</m:t>
                  </m:r>
                </m:sub>
                <m:sup>
                  <m:r>
                    <m:rPr>
                      <m:nor/>
                    </m:rPr>
                    <m:t>sea</m:t>
                  </m:r>
                </m:sup>
              </m:sSubSup>
              <m:r>
                <m:rPr>
                  <m:sty m:val="p"/>
                </m:rPr>
                <m:t>−</m:t>
              </m:r>
              <m:sSubSup>
                <m:e>
                  <m:r>
                    <m:t>c</m:t>
                  </m:r>
                </m:e>
                <m:sub>
                  <m:r>
                    <m:rPr>
                      <m:nor/>
                    </m:rPr>
                    <m:t>Cl</m:t>
                  </m:r>
                </m:sub>
                <m:sup>
                  <m:r>
                    <m:rPr>
                      <m:nor/>
                    </m:rPr>
                    <m:t>fresh</m:t>
                  </m:r>
                </m:sup>
              </m:sSubSup>
            </m:den>
          </m:f>
          <m:r>
            <m:rPr>
              <m:sty m:val="p"/>
            </m:rPr>
            <m:t>,</m:t>
          </m:r>
          <m:r>
            <m:t>  </m:t>
          </m:r>
          <m:sSub>
            <m:e>
              <m:r>
                <m:t>Δ</m:t>
              </m:r>
            </m:e>
            <m:sub>
              <m:r>
                <m:t>i</m:t>
              </m:r>
            </m:sub>
          </m:sSub>
          <m:r>
            <m:rPr>
              <m:sty m:val="p"/>
            </m:rPr>
            <m:t>=</m:t>
          </m:r>
          <m:sSub>
            <m:e>
              <m:r>
                <m:t>c</m:t>
              </m:r>
            </m:e>
            <m:sub>
              <m:r>
                <m:t>i</m:t>
              </m:r>
            </m:sub>
          </m:sSub>
          <m:r>
            <m:rPr>
              <m:sty m:val="p"/>
            </m:rPr>
            <m:t>−</m:t>
          </m:r>
          <m:d>
            <m:dPr>
              <m:begChr m:val="("/>
              <m:sepChr m:val=""/>
              <m:endChr m:val=")"/>
              <m:grow/>
            </m:dPr>
            <m:e>
              <m:r>
                <m:t>f</m:t>
              </m:r>
              <m:r>
                <m:t> </m:t>
              </m:r>
              <m:sSubSup>
                <m:e>
                  <m:r>
                    <m:t>c</m:t>
                  </m:r>
                </m:e>
                <m:sub>
                  <m:r>
                    <m:t>i</m:t>
                  </m:r>
                </m:sub>
                <m:sup>
                  <m:r>
                    <m:rPr>
                      <m:nor/>
                    </m:rPr>
                    <m:t>sea</m:t>
                  </m:r>
                </m:sup>
              </m:sSubSup>
              <m:r>
                <m:rPr>
                  <m:sty m:val="p"/>
                </m:rPr>
                <m:t>+</m:t>
              </m:r>
              <m:d>
                <m:dPr>
                  <m:begChr m:val="("/>
                  <m:sepChr m:val=""/>
                  <m:endChr m:val=")"/>
                  <m:grow/>
                </m:dPr>
                <m:e>
                  <m:r>
                    <m:t>1</m:t>
                  </m:r>
                  <m:r>
                    <m:rPr>
                      <m:sty m:val="p"/>
                    </m:rPr>
                    <m:t>−</m:t>
                  </m:r>
                  <m:r>
                    <m:t>f</m:t>
                  </m:r>
                </m:e>
              </m:d>
              <m:sSubSup>
                <m:e>
                  <m:r>
                    <m:t>c</m:t>
                  </m:r>
                </m:e>
                <m:sub>
                  <m:r>
                    <m:t>i</m:t>
                  </m:r>
                </m:sub>
                <m:sup>
                  <m:r>
                    <m:rPr>
                      <m:nor/>
                    </m:rPr>
                    <m:t>fresh</m:t>
                  </m:r>
                </m:sup>
              </m:sSubSup>
            </m:e>
          </m:d>
          <m:r>
            <m:rPr>
              <m:sty m:val="p"/>
            </m:rPr>
            <m:t>=</m:t>
          </m:r>
          <m:sSub>
            <m:e>
              <m:d>
                <m:dPr>
                  <m:begChr m:val="("/>
                  <m:sepChr m:val=""/>
                  <m:endChr m:val=")"/>
                  <m:grow/>
                </m:dPr>
                <m:e>
                  <m:r>
                    <m:t>N</m:t>
                  </m:r>
                  <m:r>
                    <m:rPr>
                      <m:sty m:val="b"/>
                    </m:rPr>
                    <m:t>ξ</m:t>
                  </m:r>
                </m:e>
              </m:d>
            </m:e>
            <m:sub>
              <m:r>
                <m:t>i</m:t>
              </m:r>
            </m:sub>
          </m:sSub>
        </m:oMath>
      </m:oMathPara>
    </w:p>
    <w:p>
      <w:pPr>
        <w:spacing w:after="120"/>
        <w:jc w:val="both"/>
      </w:pPr>
      <w:r>
        <w:t xml:space="preserve">The extents </w:t>
      </w:r>
      <m:oMath>
        <m:r>
          <m:rPr>
            <m:sty m:val="b"/>
          </m:rPr>
          <m:t>ξ</m:t>
        </m:r>
      </m:oMath>
      <w:r>
        <w:t xml:space="preserve"> of five reactions are estimated by least squares: Na–Ca, Na–Mg and K–Ca exchange, sulfate reduction and calcite dissolution, with </w:t>
      </w:r>
      <m:oMath>
        <m:r>
          <m:t>N</m:t>
        </m:r>
      </m:oMath>
      <w:r>
        <w:t xml:space="preserve"> written per milliequivalent. On the six non-conservative ions </w:t>
      </w:r>
      <m:oMath>
        <m:r>
          <m:t>N</m:t>
        </m:r>
      </m:oMath>
      <w:r>
        <w:t xml:space="preserve"> has rank 5 and its left null vector is the charge balance, so the residual of the split is the charge imbalance of the departures. A small residual is therefore a consistency check rather than a proof that these reactions occurred; the information lies in the signs and sizes of the extents and in their uncertainty, which is propagated from a 3% analytical error, a 10% uncertainty of the fresh end-member and a seawater salinity between standard seawater and the saltier southern Adriatic (salinity 38.3, density 1.0285).</w:t>
      </w:r>
    </w:p>
    <w:p>
      <w:pPr>
        <w:pStyle w:val="Heading3"/>
      </w:pPr>
      <w:r>
        <w:rPr>
          <w:color w:val="1F3864"/>
        </w:rPr>
        <w:t xml:space="preserve">9.2 The test model</w:t>
      </w:r>
    </w:p>
    <w:p>
      <w:pPr>
        <w:spacing w:after="120"/>
        <w:jc w:val="both"/>
      </w:pPr>
      <w:r>
        <w:t xml:space="preserve">The dynamic part is tested on a coast-perpendicular flow line of 15 km, in 75 cells, with the abstraction field at 6 km and the four wells placed at 1, 2, 4.5 and 12 km (assumed positions: the source gives none). Before 1975 the coastal segment drains to the sea at 15 m/yr. Heavy pumping then draws water landward at 200 m/yr until 1990, a pause reverses the flow at 40 m/yr until 2000, and renewed pumping draws it landward at 50 m/yr from 2000 to the forecast year 2045; all velocities are scaled by an uncertain multiplier. Inland water flows toward the field at 50 m/yr. The truth has dispersion </w:t>
      </w:r>
      <m:oMath>
        <m:sSub>
          <m:e>
            <m:r>
              <m:t>α</m:t>
            </m:r>
          </m:e>
          <m:sub>
            <m:r>
              <m:t>L</m:t>
            </m:r>
          </m:sub>
        </m:sSub>
        <m:d>
          <m:dPr>
            <m:begChr m:val="|"/>
            <m:sepChr m:val=""/>
            <m:endChr m:val="|"/>
            <m:grow/>
          </m:dPr>
          <m:e>
            <m:r>
              <m:t>v</m:t>
            </m:r>
          </m:e>
        </m:d>
      </m:oMath>
      <w:r>
        <w:t xml:space="preserve">; mass transfer with the silt–clay intercalations (rate </w:t>
      </w:r>
      <m:oMath>
        <m:r>
          <m:t>α</m:t>
        </m:r>
      </m:oMath>
      <w:r>
        <w:t xml:space="preserve">, capacity ratio </w:t>
      </w:r>
      <m:oMath>
        <m:r>
          <m:t>β</m:t>
        </m:r>
      </m:oMath>
      <w:r>
        <w:t xml:space="preserve">: the memory term of Proposition 3); sulfate reduction in the organic-rich clays of the coastal segment; and cation exchange in local equilibrium with Gaines–Thomas selectivities and capacity </w:t>
      </w:r>
      <m:oMath>
        <m:r>
          <m:t>E</m:t>
        </m:r>
      </m:oMath>
      <w:r>
        <w:t xml:space="preserve">, solved by Newton's method in every cell and time step. Each of 40 synthetic truths draws its own parameters around the base values (</w:t>
      </w:r>
      <m:oMath>
        <m:r>
          <m:t>E</m:t>
        </m:r>
        <m:r>
          <m:rPr>
            <m:sty m:val="p"/>
          </m:rPr>
          <m:t>=</m:t>
        </m:r>
        <m:r>
          <m:t>60</m:t>
        </m:r>
      </m:oMath>
      <w:r>
        <w:t xml:space="preserve"> meq/L, </w:t>
      </w:r>
      <m:oMath>
        <m:sSub>
          <m:e>
            <m:r>
              <m:t>K</m:t>
            </m:r>
          </m:e>
          <m:sub>
            <m:r>
              <m:rPr>
                <m:nor/>
              </m:rPr>
              <m:t>Na</m:t>
            </m:r>
            <m:r>
              <m:rPr>
                <m:sty m:val="p"/>
              </m:rPr>
              <m:t>∖</m:t>
            </m:r>
            <m:r>
              <m:rPr>
                <m:nor/>
              </m:rPr>
              <m:t>K</m:t>
            </m:r>
          </m:sub>
        </m:sSub>
        <m:r>
          <m:rPr>
            <m:sty m:val="p"/>
          </m:rPr>
          <m:t>=</m:t>
        </m:r>
        <m:r>
          <m:t>0.2</m:t>
        </m:r>
      </m:oMath>
      <w:r>
        <w:t xml:space="preserve">, </w:t>
      </w:r>
      <m:oMath>
        <m:sSub>
          <m:e>
            <m:r>
              <m:t>K</m:t>
            </m:r>
          </m:e>
          <m:sub>
            <m:r>
              <m:rPr>
                <m:nor/>
              </m:rPr>
              <m:t>Na</m:t>
            </m:r>
            <m:r>
              <m:rPr>
                <m:sty m:val="p"/>
              </m:rPr>
              <m:t>∖</m:t>
            </m:r>
            <m:r>
              <m:rPr>
                <m:nor/>
              </m:rPr>
              <m:t>Ca</m:t>
            </m:r>
          </m:sub>
        </m:sSub>
        <m:r>
          <m:rPr>
            <m:sty m:val="p"/>
          </m:rPr>
          <m:t>=</m:t>
        </m:r>
        <m:r>
          <m:t>0.4</m:t>
        </m:r>
      </m:oMath>
      <w:r>
        <w:t xml:space="preserve">, </w:t>
      </w:r>
      <m:oMath>
        <m:sSub>
          <m:e>
            <m:r>
              <m:t>K</m:t>
            </m:r>
          </m:e>
          <m:sub>
            <m:r>
              <m:rPr>
                <m:nor/>
              </m:rPr>
              <m:t>Na</m:t>
            </m:r>
            <m:r>
              <m:rPr>
                <m:sty m:val="p"/>
              </m:rPr>
              <m:t>∖</m:t>
            </m:r>
            <m:r>
              <m:rPr>
                <m:nor/>
              </m:rPr>
              <m:t>Mg</m:t>
            </m:r>
          </m:sub>
        </m:sSub>
        <m:r>
          <m:rPr>
            <m:sty m:val="p"/>
          </m:rPr>
          <m:t>=</m:t>
        </m:r>
        <m:r>
          <m:t>0.5</m:t>
        </m:r>
      </m:oMath>
      <w:r>
        <w:t xml:space="preserve">, sulfate reduction 0.05/yr, </w:t>
      </w:r>
      <m:oMath>
        <m:r>
          <m:t>α</m:t>
        </m:r>
        <m:r>
          <m:rPr>
            <m:sty m:val="p"/>
          </m:rPr>
          <m:t>=</m:t>
        </m:r>
        <m:r>
          <m:t>0.1</m:t>
        </m:r>
      </m:oMath>
      <w:r>
        <w:t xml:space="preserve">/yr, </w:t>
      </w:r>
      <m:oMath>
        <m:r>
          <m:t>β</m:t>
        </m:r>
        <m:r>
          <m:rPr>
            <m:sty m:val="p"/>
          </m:rPr>
          <m:t>=</m:t>
        </m:r>
        <m:r>
          <m:t>0.5</m:t>
        </m:r>
      </m:oMath>
      <w:r>
        <w:t xml:space="preserve">, dispersivity 150 m, coastal seawater fraction 7%).</w:t>
      </w:r>
    </w:p>
    <w:p>
      <w:pPr>
        <w:pStyle w:val="Heading3"/>
      </w:pPr>
      <w:r>
        <w:rPr>
          <w:color w:val="1F3864"/>
        </w:rPr>
        <w:t xml:space="preserve">9.3 The stoichiometric learned closure with memory</w:t>
      </w:r>
    </w:p>
    <w:p>
      <w:pPr>
        <w:spacing w:after="120"/>
        <w:jc w:val="both"/>
      </w:pPr>
      <w:r>
        <w:t xml:space="preserve">Four transport models are fitted to the same data. The </w:t>
      </w:r>
      <w:r>
        <w:rPr>
          <w:b/>
          <w:bCs/>
        </w:rPr>
        <w:t xml:space="preserve">classical</w:t>
      </w:r>
      <w:r>
        <w:t xml:space="preserve"> model is the single-salt equation of the base paper, applied to every ion by conservative mixing (three parameters: velocity multiplier, dispersivity and coastal salinity). The </w:t>
      </w:r>
      <w:r>
        <w:rPr>
          <w:b/>
          <w:bCs/>
        </w:rPr>
        <w:t xml:space="preserve">oracle</w:t>
      </w:r>
      <w:r>
        <w:t xml:space="preserve"> has the true structure with unknown parameters (ten). The two learned models add the memory term of Proposition 3 and a learned closure. In </w:t>
      </w:r>
      <w:r>
        <w:rPr>
          <w:b/>
          <w:bCs/>
        </w:rPr>
        <w:t xml:space="preserve">GJURMA</w:t>
      </w:r>
      <w:r>
        <w:t xml:space="preserve"> each exchange reaction </w:t>
      </w:r>
      <m:oMath>
        <m:r>
          <m:t>j</m:t>
        </m:r>
      </m:oMath>
      <w:r>
        <w:t xml:space="preserve"> (Na–Ca, Na–Mg, K–Ca) is a learned exchanger whose loading </w:t>
      </w:r>
      <m:oMath>
        <m:sSub>
          <m:e>
            <m:r>
              <m:t>q</m:t>
            </m:r>
          </m:e>
          <m:sub>
            <m:r>
              <m:t>j</m:t>
            </m:r>
          </m:sub>
        </m:sSub>
      </m:oMath>
      <w:r>
        <w:t xml:space="preserve"> relaxes toward a learned equilibrium with the seawater fraction:</w:t>
      </w:r>
    </w:p>
    <w:p>
      <w:pPr>
        <w:pStyle w:val="Equation"/>
      </w:pPr>
      <m:oMathPara>
        <m:oMathParaPr>
          <m:jc m:val="center"/>
        </m:oMathParaPr>
        <m:oMath>
          <m:f>
            <m:fPr>
              <m:type m:val="bar"/>
            </m:fPr>
            <m:num>
              <m:r>
                <m:t>d</m:t>
              </m:r>
              <m:sSub>
                <m:e>
                  <m:r>
                    <m:t>q</m:t>
                  </m:r>
                </m:e>
                <m:sub>
                  <m:r>
                    <m:t>j</m:t>
                  </m:r>
                </m:sub>
              </m:sSub>
            </m:num>
            <m:den>
              <m:r>
                <m:t>d</m:t>
              </m:r>
              <m:r>
                <m:t>t</m:t>
              </m:r>
            </m:den>
          </m:f>
          <m:r>
            <m:rPr>
              <m:sty m:val="p"/>
            </m:rPr>
            <m:t>=</m:t>
          </m:r>
          <m:f>
            <m:fPr>
              <m:type m:val="bar"/>
            </m:fPr>
            <m:num>
              <m:r>
                <m:t>1</m:t>
              </m:r>
            </m:num>
            <m:den>
              <m:sSub>
                <m:e>
                  <m:r>
                    <m:t>τ</m:t>
                  </m:r>
                </m:e>
                <m:sub>
                  <m:r>
                    <m:t>j</m:t>
                  </m:r>
                </m:sub>
              </m:sSub>
            </m:den>
          </m:f>
          <m:d>
            <m:dPr>
              <m:begChr m:val="("/>
              <m:sepChr m:val=""/>
              <m:endChr m:val=")"/>
              <m:grow/>
            </m:dPr>
            <m:e>
              <m:f>
                <m:fPr>
                  <m:type m:val="bar"/>
                </m:fPr>
                <m:num>
                  <m:sSub>
                    <m:e>
                      <m:r>
                        <m:t>Q</m:t>
                      </m:r>
                    </m:e>
                    <m:sub>
                      <m:r>
                        <m:t>j</m:t>
                      </m:r>
                    </m:sub>
                  </m:sSub>
                  <m:r>
                    <m:t> </m:t>
                  </m:r>
                  <m:r>
                    <m:t>f</m:t>
                  </m:r>
                </m:num>
                <m:den>
                  <m:r>
                    <m:t>f</m:t>
                  </m:r>
                  <m:r>
                    <m:rPr>
                      <m:sty m:val="p"/>
                    </m:rPr>
                    <m:t>+</m:t>
                  </m:r>
                  <m:sSub>
                    <m:e>
                      <m:r>
                        <m:t>h</m:t>
                      </m:r>
                    </m:e>
                    <m:sub>
                      <m:r>
                        <m:t>j</m:t>
                      </m:r>
                    </m:sub>
                  </m:sSub>
                </m:den>
              </m:f>
              <m:r>
                <m:rPr>
                  <m:sty m:val="p"/>
                </m:rPr>
                <m:t>−</m:t>
              </m:r>
              <m:sSub>
                <m:e>
                  <m:r>
                    <m:t>q</m:t>
                  </m:r>
                </m:e>
                <m:sub>
                  <m:r>
                    <m:t>j</m:t>
                  </m:r>
                </m:sub>
              </m:sSub>
            </m:e>
          </m:d>
          <m:r>
            <m:rPr>
              <m:sty m:val="p"/>
            </m:rPr>
            <m:t>,</m:t>
          </m:r>
          <m:r>
            <m:t>  </m:t>
          </m:r>
          <m:sSub>
            <m:e>
              <m:r>
                <m:t>r</m:t>
              </m:r>
            </m:e>
            <m:sub>
              <m:r>
                <m:t>j</m:t>
              </m:r>
            </m:sub>
          </m:sSub>
          <m:r>
            <m:rPr>
              <m:sty m:val="p"/>
            </m:rPr>
            <m:t>=</m:t>
          </m:r>
          <m:f>
            <m:fPr>
              <m:type m:val="bar"/>
            </m:fPr>
            <m:num>
              <m:r>
                <m:t>d</m:t>
              </m:r>
              <m:sSub>
                <m:e>
                  <m:r>
                    <m:t>q</m:t>
                  </m:r>
                </m:e>
                <m:sub>
                  <m:r>
                    <m:t>j</m:t>
                  </m:r>
                </m:sub>
              </m:sSub>
            </m:num>
            <m:den>
              <m:r>
                <m:t>d</m:t>
              </m:r>
              <m:r>
                <m:t>t</m:t>
              </m:r>
            </m:den>
          </m:f>
          <m:r>
            <m:t> </m:t>
          </m:r>
          <m:sSub>
            <m:e>
              <m:r>
                <m:t>a</m:t>
              </m:r>
            </m:e>
            <m:sub>
              <m:r>
                <m:t>ι</m:t>
              </m:r>
              <m:d>
                <m:dPr>
                  <m:begChr m:val="("/>
                  <m:sepChr m:val=""/>
                  <m:endChr m:val=")"/>
                  <m:grow/>
                </m:dPr>
                <m:e>
                  <m:r>
                    <m:t>j</m:t>
                  </m:r>
                </m:e>
              </m:d>
            </m:sub>
          </m:sSub>
          <m:r>
            <m:rPr>
              <m:sty m:val="p"/>
            </m:rPr>
            <m:t>,</m:t>
          </m:r>
          <m:r>
            <m:t>  </m:t>
          </m:r>
          <m:sSub>
            <m:e>
              <m:r>
                <m:t>a</m:t>
              </m:r>
            </m:e>
            <m:sub>
              <m:r>
                <m:t>ι</m:t>
              </m:r>
            </m:sub>
          </m:sSub>
          <m:r>
            <m:rPr>
              <m:sty m:val="p"/>
            </m:rPr>
            <m:t>=</m:t>
          </m:r>
          <m:r>
            <m:rPr>
              <m:nor/>
            </m:rPr>
            <m:t>min</m:t>
          </m:r>
          <m:d>
            <m:dPr>
              <m:begChr m:val="("/>
              <m:sepChr m:val=""/>
              <m:endChr m:val=")"/>
              <m:grow/>
            </m:dPr>
            <m:e>
              <m:r>
                <m:t>1</m:t>
              </m:r>
              <m:r>
                <m:rPr>
                  <m:sty m:val="p"/>
                </m:rPr>
                <m:t>,</m:t>
              </m:r>
              <m:f>
                <m:fPr>
                  <m:type m:val="bar"/>
                </m:fPr>
                <m:num>
                  <m:sSub>
                    <m:e>
                      <m:r>
                        <m:t>c</m:t>
                      </m:r>
                    </m:e>
                    <m:sub>
                      <m:r>
                        <m:t>ι</m:t>
                      </m:r>
                    </m:sub>
                  </m:sSub>
                </m:num>
                <m:den>
                  <m:sSubSup>
                    <m:e>
                      <m:r>
                        <m:t>c</m:t>
                      </m:r>
                    </m:e>
                    <m:sub>
                      <m:r>
                        <m:t>ι</m:t>
                      </m:r>
                    </m:sub>
                    <m:sup>
                      <m:r>
                        <m:rPr>
                          <m:nor/>
                        </m:rPr>
                        <m:t>mix</m:t>
                      </m:r>
                    </m:sup>
                  </m:sSubSup>
                  <m:d>
                    <m:dPr>
                      <m:begChr m:val="("/>
                      <m:sepChr m:val=""/>
                      <m:endChr m:val=")"/>
                      <m:grow/>
                    </m:dPr>
                    <m:e>
                      <m:r>
                        <m:t>f</m:t>
                      </m:r>
                    </m:e>
                  </m:d>
                </m:den>
              </m:f>
            </m:e>
          </m:d>
          <m:r>
            <m:t> </m:t>
          </m:r>
          <m:r>
            <m:rPr>
              <m:nor/>
            </m:rPr>
            <m:t>during uptake</m:t>
          </m:r>
        </m:oMath>
      </m:oMathPara>
    </w:p>
    <w:p>
      <w:pPr>
        <w:spacing w:after="120"/>
        <w:jc w:val="both"/>
      </w:pPr>
      <w:r>
        <w:t xml:space="preserve">Here </w:t>
      </w:r>
      <m:oMath>
        <m:sSub>
          <m:e>
            <m:r>
              <m:t>a</m:t>
            </m:r>
          </m:e>
          <m:sub>
            <m:r>
              <m:t>ι</m:t>
            </m:r>
          </m:sub>
        </m:sSub>
      </m:oMath>
      <w:r>
        <w:t xml:space="preserve"> limits the uptake by the availability of the consumed ion (Na or K), which keeps concentrations positive. To these are added first-order sulfate reduction in the clay zone and calcite proportional to the total exchange. The source is </w:t>
      </w:r>
      <m:oMath>
        <m:r>
          <m:t>N</m:t>
        </m:r>
        <m:r>
          <m:rPr>
            <m:sty m:val="b"/>
          </m:rPr>
          <m:t>r</m:t>
        </m:r>
      </m:oMath>
      <w:r>
        <w:t xml:space="preserve">, so chloride is untouched; the closure has 11 parameters (16 with transport and memory). The </w:t>
      </w:r>
      <w:r>
        <w:rPr>
          <w:b/>
          <w:bCs/>
        </w:rPr>
        <w:t xml:space="preserve">free</w:t>
      </w:r>
      <w:r>
        <w:t xml:space="preserve"> closure gives every species, chloride included, its own learned exchanger and a first-order term, with no stoichiometry: 35 parameters (40 in all). Both learned models were first tried with closures that react only to the current rate of change of salinity. They could not hold the deficits of strongly retained ions such as potassium behind the front, and the exchanger memory above was needed.</w:t>
      </w:r>
    </w:p>
    <w:p>
      <w:pPr>
        <w:pStyle w:val="Heading3"/>
      </w:pPr>
      <w:r>
        <w:rPr>
          <w:color w:val="1F3864"/>
        </w:rPr>
        <w:t xml:space="preserve">9.4 Assimilation, with and without the cut</w:t>
      </w:r>
    </w:p>
    <w:p>
      <w:pPr>
        <w:spacing w:after="120"/>
        <w:jc w:val="both"/>
      </w:pPr>
      <w:r>
        <w:t xml:space="preserve">Each model is fitted to 34 data, the logarithms of the seven ions at the four wells in 2016 and of chloride at wells 503 and 341 in 1984, 1999 and 2001, with a 5% error. The method is the ensemble smoother with multiple data assimilation [B9]: 100 members and four iterations with inflation 4. GJURMA is run in two ways. Fitted jointly, all its parameters see all data. Fitted with the cut of Proposition 5, the transport and memory parameters are first estimated from the ten chloride data alone, and the closure is then estimated from all data with each member's transport held fixed. The goals are forecasts for 2045 under continued pumping: chloride at the edge of the abstraction field (5 km), sodium and hardness (Ca + Mg) at 3 km, and the length of the coastal strip in which chloride exceeds 250 mg/L.</w:t>
      </w:r>
    </w:p>
    <w:p>
      <w:pPr>
        <w:pStyle w:val="Heading3"/>
      </w:pPr>
      <w:r>
        <w:rPr>
          <w:color w:val="1F3864"/>
        </w:rPr>
        <w:t xml:space="preserve">9.5 What the Fushë-Kuqe chemistry shows</w:t>
      </w:r>
    </w:p>
    <w:p>
      <w:pPr>
        <w:spacing w:after="120"/>
        <w:jc w:val="both"/>
      </w:pPr>
      <w:r>
        <w:t xml:space="preserve">Table 9.1 and Figure 9.1 give the split. At the coastal wells 503 and 341, with about 5% seawater, sodium is 10.5 and 4.9 meq/L below conservative mixing, while calcium is above it at both wells and magnesium at well 503: the signature of seawater entering sediment whose exchanger was loaded by fresh water, which takes up sodium and releases calcium and magnesium [B1]. The split assigns 4.7 and 4.5 meq/L to Na–Ca exchange at the two wells (90% intervals 3.5 to 6.0 and 3.2 to 5.8), 5.8 meq/L to Na–Mg exchange at well 503 but almost none at well 341, 3.6 and 1.7 meq/L to sulfate reduction, and −1.9 and −2.3 meq/L to calcite, that is, precipitation, as expected when exchange raises calcium. At well 340, in the central sector with 2% seawater, the Na–Mg extent changes sign (−1.8, interval −2.2 to −1.5): sodium is released and magnesium taken up, the pattern of an exchanger that is being freshened, consistent with the Na–HCO₃ facies that the source reports between the Mg–Ca–HCO₃ waters of the recharge zone and the Na–Cl waters of the coast [B2]. K–Ca exchange is small but positive at all three wells, and sulfate reduction acts at all three.</w:t>
      </w:r>
    </w:p>
    <w:p>
      <w:pPr>
        <w:spacing w:after="100" w:before="80"/>
        <w:jc w:val="both"/>
      </w:pPr>
      <w:r>
        <w:rPr>
          <w:b/>
          <w:bCs/>
          <w:color w:val="1F3864"/>
        </w:rPr>
        <w:t xml:space="preserve">Table 9.1. </w:t>
      </w:r>
      <w:r>
        <w:t xml:space="preserve">The split of the departures from conservative mixing at the three saline wells of sheet 5 (meq/L): seawater fraction from chloride with standard seawater, and the extents of the five reactions, with 90% intervals over the analytical error (3%), the fresh end-member (10%) and the seawater salinity (standard to southern Adriatic); last column: residual of the split and size of the departure vector.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38"/>
        <w:gridCol w:w="1200"/>
        <w:gridCol w:w="1200"/>
        <w:gridCol w:w="1200"/>
        <w:gridCol w:w="1150"/>
        <w:gridCol w:w="1150"/>
        <w:gridCol w:w="1200"/>
        <w:gridCol w:w="1200"/>
      </w:tblGrid>
      <w:tr>
        <w:trPr>
          <w:cantSplit/>
          <w:tblHeader/>
        </w:trPr>
        <w:tc>
          <w:tcPr>
            <w:tcW w:type="dxa" w:w="1338"/>
            <w:shd w:fill="1F3864" w:color="auto" w:val="clear"/>
            <w:tcMar>
              <w:top w:type="dxa" w:w="60"/>
              <w:left w:type="dxa" w:w="100"/>
              <w:bottom w:type="dxa" w:w="60"/>
              <w:right w:type="dxa" w:w="100"/>
            </w:tcMar>
            <w:vAlign w:val="top"/>
          </w:tcPr>
          <w:p>
            <w:r>
              <w:rPr>
                <w:b/>
                <w:bCs/>
                <w:color w:val="FFFFFF"/>
                <w:sz w:val="15"/>
                <w:szCs w:val="15"/>
              </w:rPr>
              <w:t xml:space="preserve">Well (sector)</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Seawater fraction</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Na–Ca exchange</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Na–Mg exchange</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K–Ca exchange</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Sulfate reduction</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Calcite</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Residual / departure</w:t>
            </w:r>
          </w:p>
        </w:tc>
      </w:tr>
      <w:tr>
        <w:trPr>
          <w:cantSplit/>
        </w:trPr>
        <w:tc>
          <w:tcPr>
            <w:tcW w:type="dxa" w:w="1338"/>
            <w:tcMar>
              <w:top w:type="dxa" w:w="60"/>
              <w:left w:type="dxa" w:w="100"/>
              <w:bottom w:type="dxa" w:w="60"/>
              <w:right w:type="dxa" w:w="100"/>
            </w:tcMar>
            <w:vAlign w:val="top"/>
          </w:tcPr>
          <w:p>
            <w:r>
              <w:rPr>
                <w:sz w:val="15"/>
                <w:szCs w:val="15"/>
              </w:rPr>
              <w:t xml:space="preserve">503 (coast)</w:t>
            </w:r>
          </w:p>
        </w:tc>
        <w:tc>
          <w:tcPr>
            <w:tcW w:type="dxa" w:w="1200"/>
            <w:tcMar>
              <w:top w:type="dxa" w:w="60"/>
              <w:left w:type="dxa" w:w="100"/>
              <w:bottom w:type="dxa" w:w="60"/>
              <w:right w:type="dxa" w:w="100"/>
            </w:tcMar>
            <w:vAlign w:val="top"/>
          </w:tcPr>
          <w:p>
            <w:r>
              <w:rPr>
                <w:sz w:val="15"/>
                <w:szCs w:val="15"/>
              </w:rPr>
              <w:t xml:space="preserve">5.4% (4.7–5.4)</w:t>
            </w:r>
          </w:p>
        </w:tc>
        <w:tc>
          <w:tcPr>
            <w:tcW w:type="dxa" w:w="1200"/>
            <w:tcMar>
              <w:top w:type="dxa" w:w="60"/>
              <w:left w:type="dxa" w:w="100"/>
              <w:bottom w:type="dxa" w:w="60"/>
              <w:right w:type="dxa" w:w="100"/>
            </w:tcMar>
            <w:vAlign w:val="top"/>
          </w:tcPr>
          <w:p>
            <w:r>
              <w:rPr>
                <w:sz w:val="15"/>
                <w:szCs w:val="15"/>
              </w:rPr>
              <w:t xml:space="preserve">4.7 (3.5 to 6.0)</w:t>
            </w:r>
          </w:p>
        </w:tc>
        <w:tc>
          <w:tcPr>
            <w:tcW w:type="dxa" w:w="1200"/>
            <w:tcMar>
              <w:top w:type="dxa" w:w="60"/>
              <w:left w:type="dxa" w:w="100"/>
              <w:bottom w:type="dxa" w:w="60"/>
              <w:right w:type="dxa" w:w="100"/>
            </w:tcMar>
            <w:vAlign w:val="top"/>
          </w:tcPr>
          <w:p>
            <w:r>
              <w:rPr>
                <w:sz w:val="15"/>
                <w:szCs w:val="15"/>
              </w:rPr>
              <w:t xml:space="preserve">5.8 (5.2 to 6.5)</w:t>
            </w:r>
          </w:p>
        </w:tc>
        <w:tc>
          <w:tcPr>
            <w:tcW w:type="dxa" w:w="1150"/>
            <w:tcMar>
              <w:top w:type="dxa" w:w="60"/>
              <w:left w:type="dxa" w:w="100"/>
              <w:bottom w:type="dxa" w:w="60"/>
              <w:right w:type="dxa" w:w="100"/>
            </w:tcMar>
            <w:vAlign w:val="top"/>
          </w:tcPr>
          <w:p>
            <w:r>
              <w:rPr>
                <w:sz w:val="15"/>
                <w:szCs w:val="15"/>
              </w:rPr>
              <w:t xml:space="preserve">0.46 (0.16 to 0.77)</w:t>
            </w:r>
          </w:p>
        </w:tc>
        <w:tc>
          <w:tcPr>
            <w:tcW w:type="dxa" w:w="1150"/>
            <w:tcMar>
              <w:top w:type="dxa" w:w="60"/>
              <w:left w:type="dxa" w:w="100"/>
              <w:bottom w:type="dxa" w:w="60"/>
              <w:right w:type="dxa" w:w="100"/>
            </w:tcMar>
            <w:vAlign w:val="top"/>
          </w:tcPr>
          <w:p>
            <w:r>
              <w:rPr>
                <w:sz w:val="15"/>
                <w:szCs w:val="15"/>
              </w:rPr>
              <w:t xml:space="preserve">3.6 (3.2 to 4.1)</w:t>
            </w:r>
          </w:p>
        </w:tc>
        <w:tc>
          <w:tcPr>
            <w:tcW w:type="dxa" w:w="1200"/>
            <w:tcMar>
              <w:top w:type="dxa" w:w="60"/>
              <w:left w:type="dxa" w:w="100"/>
              <w:bottom w:type="dxa" w:w="60"/>
              <w:right w:type="dxa" w:w="100"/>
            </w:tcMar>
            <w:vAlign w:val="top"/>
          </w:tcPr>
          <w:p>
            <w:r>
              <w:rPr>
                <w:sz w:val="15"/>
                <w:szCs w:val="15"/>
              </w:rPr>
              <w:t xml:space="preserve">−1.9 (−2.8 to −1.1)</w:t>
            </w:r>
          </w:p>
        </w:tc>
        <w:tc>
          <w:tcPr>
            <w:tcW w:type="dxa" w:w="1200"/>
            <w:tcMar>
              <w:top w:type="dxa" w:w="60"/>
              <w:left w:type="dxa" w:w="100"/>
              <w:bottom w:type="dxa" w:w="60"/>
              <w:right w:type="dxa" w:w="100"/>
            </w:tcMar>
            <w:vAlign w:val="top"/>
          </w:tcPr>
          <w:p>
            <w:r>
              <w:rPr>
                <w:sz w:val="15"/>
                <w:szCs w:val="15"/>
              </w:rPr>
              <w:t xml:space="preserve">0.05 / 13.1</w:t>
            </w:r>
          </w:p>
        </w:tc>
      </w:tr>
      <w:tr>
        <w:trPr>
          <w:cantSplit/>
        </w:trPr>
        <w:tc>
          <w:tcPr>
            <w:tcW w:type="dxa" w:w="1338"/>
            <w:shd w:fill="F7F9FC" w:color="auto" w:val="clear"/>
            <w:tcMar>
              <w:top w:type="dxa" w:w="60"/>
              <w:left w:type="dxa" w:w="100"/>
              <w:bottom w:type="dxa" w:w="60"/>
              <w:right w:type="dxa" w:w="100"/>
            </w:tcMar>
            <w:vAlign w:val="top"/>
          </w:tcPr>
          <w:p>
            <w:r>
              <w:rPr>
                <w:sz w:val="15"/>
                <w:szCs w:val="15"/>
              </w:rPr>
              <w:t xml:space="preserve">341 (coast)</w:t>
            </w:r>
          </w:p>
        </w:tc>
        <w:tc>
          <w:tcPr>
            <w:tcW w:type="dxa" w:w="1200"/>
            <w:shd w:fill="F7F9FC" w:color="auto" w:val="clear"/>
            <w:tcMar>
              <w:top w:type="dxa" w:w="60"/>
              <w:left w:type="dxa" w:w="100"/>
              <w:bottom w:type="dxa" w:w="60"/>
              <w:right w:type="dxa" w:w="100"/>
            </w:tcMar>
            <w:vAlign w:val="top"/>
          </w:tcPr>
          <w:p>
            <w:r>
              <w:rPr>
                <w:sz w:val="15"/>
                <w:szCs w:val="15"/>
              </w:rPr>
              <w:t xml:space="preserve">5.3% (4.6–5.4)</w:t>
            </w:r>
          </w:p>
        </w:tc>
        <w:tc>
          <w:tcPr>
            <w:tcW w:type="dxa" w:w="1200"/>
            <w:shd w:fill="F7F9FC" w:color="auto" w:val="clear"/>
            <w:tcMar>
              <w:top w:type="dxa" w:w="60"/>
              <w:left w:type="dxa" w:w="100"/>
              <w:bottom w:type="dxa" w:w="60"/>
              <w:right w:type="dxa" w:w="100"/>
            </w:tcMar>
            <w:vAlign w:val="top"/>
          </w:tcPr>
          <w:p>
            <w:r>
              <w:rPr>
                <w:sz w:val="15"/>
                <w:szCs w:val="15"/>
              </w:rPr>
              <w:t xml:space="preserve">4.5 (3.2 to 5.8)</w:t>
            </w:r>
          </w:p>
        </w:tc>
        <w:tc>
          <w:tcPr>
            <w:tcW w:type="dxa" w:w="1200"/>
            <w:shd w:fill="F7F9FC" w:color="auto" w:val="clear"/>
            <w:tcMar>
              <w:top w:type="dxa" w:w="60"/>
              <w:left w:type="dxa" w:w="100"/>
              <w:bottom w:type="dxa" w:w="60"/>
              <w:right w:type="dxa" w:w="100"/>
            </w:tcMar>
            <w:vAlign w:val="top"/>
          </w:tcPr>
          <w:p>
            <w:r>
              <w:rPr>
                <w:sz w:val="15"/>
                <w:szCs w:val="15"/>
              </w:rPr>
              <w:t xml:space="preserve">0.40 (−0.08 to 0.85)</w:t>
            </w:r>
          </w:p>
        </w:tc>
        <w:tc>
          <w:tcPr>
            <w:tcW w:type="dxa" w:w="1150"/>
            <w:shd w:fill="F7F9FC" w:color="auto" w:val="clear"/>
            <w:tcMar>
              <w:top w:type="dxa" w:w="60"/>
              <w:left w:type="dxa" w:w="100"/>
              <w:bottom w:type="dxa" w:w="60"/>
              <w:right w:type="dxa" w:w="100"/>
            </w:tcMar>
            <w:vAlign w:val="top"/>
          </w:tcPr>
          <w:p>
            <w:r>
              <w:rPr>
                <w:sz w:val="15"/>
                <w:szCs w:val="15"/>
              </w:rPr>
              <w:t xml:space="preserve">0.43 (0.12 to 0.73)</w:t>
            </w:r>
          </w:p>
        </w:tc>
        <w:tc>
          <w:tcPr>
            <w:tcW w:type="dxa" w:w="1150"/>
            <w:shd w:fill="F7F9FC" w:color="auto" w:val="clear"/>
            <w:tcMar>
              <w:top w:type="dxa" w:w="60"/>
              <w:left w:type="dxa" w:w="100"/>
              <w:bottom w:type="dxa" w:w="60"/>
              <w:right w:type="dxa" w:w="100"/>
            </w:tcMar>
            <w:vAlign w:val="top"/>
          </w:tcPr>
          <w:p>
            <w:r>
              <w:rPr>
                <w:sz w:val="15"/>
                <w:szCs w:val="15"/>
              </w:rPr>
              <w:t xml:space="preserve">1.7 (1.3 to 2.2)</w:t>
            </w:r>
          </w:p>
        </w:tc>
        <w:tc>
          <w:tcPr>
            <w:tcW w:type="dxa" w:w="1200"/>
            <w:shd w:fill="F7F9FC" w:color="auto" w:val="clear"/>
            <w:tcMar>
              <w:top w:type="dxa" w:w="60"/>
              <w:left w:type="dxa" w:w="100"/>
              <w:bottom w:type="dxa" w:w="60"/>
              <w:right w:type="dxa" w:w="100"/>
            </w:tcMar>
            <w:vAlign w:val="top"/>
          </w:tcPr>
          <w:p>
            <w:r>
              <w:rPr>
                <w:sz w:val="15"/>
                <w:szCs w:val="15"/>
              </w:rPr>
              <w:t xml:space="preserve">−2.3 (−3.2 to −1.5)</w:t>
            </w:r>
          </w:p>
        </w:tc>
        <w:tc>
          <w:tcPr>
            <w:tcW w:type="dxa" w:w="1200"/>
            <w:shd w:fill="F7F9FC" w:color="auto" w:val="clear"/>
            <w:tcMar>
              <w:top w:type="dxa" w:w="60"/>
              <w:left w:type="dxa" w:w="100"/>
              <w:bottom w:type="dxa" w:w="60"/>
              <w:right w:type="dxa" w:w="100"/>
            </w:tcMar>
            <w:vAlign w:val="top"/>
          </w:tcPr>
          <w:p>
            <w:r>
              <w:rPr>
                <w:sz w:val="15"/>
                <w:szCs w:val="15"/>
              </w:rPr>
              <w:t xml:space="preserve">0.05 / 5.8</w:t>
            </w:r>
          </w:p>
        </w:tc>
      </w:tr>
      <w:tr>
        <w:trPr>
          <w:cantSplit/>
        </w:trPr>
        <w:tc>
          <w:tcPr>
            <w:tcW w:type="dxa" w:w="1338"/>
            <w:tcMar>
              <w:top w:type="dxa" w:w="60"/>
              <w:left w:type="dxa" w:w="100"/>
              <w:bottom w:type="dxa" w:w="60"/>
              <w:right w:type="dxa" w:w="100"/>
            </w:tcMar>
            <w:vAlign w:val="top"/>
          </w:tcPr>
          <w:p>
            <w:r>
              <w:rPr>
                <w:sz w:val="15"/>
                <w:szCs w:val="15"/>
              </w:rPr>
              <w:t xml:space="preserve">340 (centre)</w:t>
            </w:r>
          </w:p>
        </w:tc>
        <w:tc>
          <w:tcPr>
            <w:tcW w:type="dxa" w:w="1200"/>
            <w:tcMar>
              <w:top w:type="dxa" w:w="60"/>
              <w:left w:type="dxa" w:w="100"/>
              <w:bottom w:type="dxa" w:w="60"/>
              <w:right w:type="dxa" w:w="100"/>
            </w:tcMar>
            <w:vAlign w:val="top"/>
          </w:tcPr>
          <w:p>
            <w:r>
              <w:rPr>
                <w:sz w:val="15"/>
                <w:szCs w:val="15"/>
              </w:rPr>
              <w:t xml:space="preserve">2.1% (1.8–2.1)</w:t>
            </w:r>
          </w:p>
        </w:tc>
        <w:tc>
          <w:tcPr>
            <w:tcW w:type="dxa" w:w="1200"/>
            <w:tcMar>
              <w:top w:type="dxa" w:w="60"/>
              <w:left w:type="dxa" w:w="100"/>
              <w:bottom w:type="dxa" w:w="60"/>
              <w:right w:type="dxa" w:w="100"/>
            </w:tcMar>
            <w:vAlign w:val="top"/>
          </w:tcPr>
          <w:p>
            <w:r>
              <w:rPr>
                <w:sz w:val="15"/>
                <w:szCs w:val="15"/>
              </w:rPr>
              <w:t xml:space="preserve">−0.22 (−0.87 to 0.45)</w:t>
            </w:r>
          </w:p>
        </w:tc>
        <w:tc>
          <w:tcPr>
            <w:tcW w:type="dxa" w:w="1200"/>
            <w:tcMar>
              <w:top w:type="dxa" w:w="60"/>
              <w:left w:type="dxa" w:w="100"/>
              <w:bottom w:type="dxa" w:w="60"/>
              <w:right w:type="dxa" w:w="100"/>
            </w:tcMar>
            <w:vAlign w:val="top"/>
          </w:tcPr>
          <w:p>
            <w:r>
              <w:rPr>
                <w:sz w:val="15"/>
                <w:szCs w:val="15"/>
              </w:rPr>
              <w:t xml:space="preserve">−1.8 (−2.2 to −1.5)</w:t>
            </w:r>
          </w:p>
        </w:tc>
        <w:tc>
          <w:tcPr>
            <w:tcW w:type="dxa" w:w="1150"/>
            <w:tcMar>
              <w:top w:type="dxa" w:w="60"/>
              <w:left w:type="dxa" w:w="100"/>
              <w:bottom w:type="dxa" w:w="60"/>
              <w:right w:type="dxa" w:w="100"/>
            </w:tcMar>
            <w:vAlign w:val="top"/>
          </w:tcPr>
          <w:p>
            <w:r>
              <w:rPr>
                <w:sz w:val="15"/>
                <w:szCs w:val="15"/>
              </w:rPr>
              <w:t xml:space="preserve">0.21 (0.03 to 0.39)</w:t>
            </w:r>
          </w:p>
        </w:tc>
        <w:tc>
          <w:tcPr>
            <w:tcW w:type="dxa" w:w="1150"/>
            <w:tcMar>
              <w:top w:type="dxa" w:w="60"/>
              <w:left w:type="dxa" w:w="100"/>
              <w:bottom w:type="dxa" w:w="60"/>
              <w:right w:type="dxa" w:w="100"/>
            </w:tcMar>
            <w:vAlign w:val="top"/>
          </w:tcPr>
          <w:p>
            <w:r>
              <w:rPr>
                <w:sz w:val="15"/>
                <w:szCs w:val="15"/>
              </w:rPr>
              <w:t xml:space="preserve">0.82 (0.55 to 1.11)</w:t>
            </w:r>
          </w:p>
        </w:tc>
        <w:tc>
          <w:tcPr>
            <w:tcW w:type="dxa" w:w="1200"/>
            <w:tcMar>
              <w:top w:type="dxa" w:w="60"/>
              <w:left w:type="dxa" w:w="100"/>
              <w:bottom w:type="dxa" w:w="60"/>
              <w:right w:type="dxa" w:w="100"/>
            </w:tcMar>
            <w:vAlign w:val="top"/>
          </w:tcPr>
          <w:p>
            <w:r>
              <w:rPr>
                <w:sz w:val="15"/>
                <w:szCs w:val="15"/>
              </w:rPr>
              <w:t xml:space="preserve">−0.47 (−1.02 to 0.02)</w:t>
            </w:r>
          </w:p>
        </w:tc>
        <w:tc>
          <w:tcPr>
            <w:tcW w:type="dxa" w:w="1200"/>
            <w:tcMar>
              <w:top w:type="dxa" w:w="60"/>
              <w:left w:type="dxa" w:w="100"/>
              <w:bottom w:type="dxa" w:w="60"/>
              <w:right w:type="dxa" w:w="100"/>
            </w:tcMar>
            <w:vAlign w:val="top"/>
          </w:tcPr>
          <w:p>
            <w:r>
              <w:rPr>
                <w:sz w:val="15"/>
                <w:szCs w:val="15"/>
              </w:rPr>
              <w:t xml:space="preserve">0.02 / 2.9</w:t>
            </w:r>
          </w:p>
        </w:tc>
      </w:tr>
    </w:tbl>
    <w:p>
      <w:pPr>
        <w:spacing w:after="160"/>
      </w:pPr>
    </w:p>
    <w:p>
      <w:pPr>
        <w:keepNext/>
        <w:spacing w:after="60" w:before="120"/>
        <w:jc w:val="center"/>
      </w:pPr>
      <w:r>
        <w:drawing>
          <wp:inline distT="0" distB="0" distL="0" distR="0">
            <wp:extent cx="5943600" cy="1924050"/>
            <wp:effectExtent t="0" r="0" b="0" l="0"/>
            <wp:docPr id="1" name="Departures of the ions from conservative mixing, their split on five reactions and the chloride history of the wells" descr="Departures of the ions from conservative mixing, their split on five reactions and the chloride history of the wells" title="Departures of the ions from conservative mixing, their split on five reactions and the chloride history of the w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Departure of each ion from conservative mixing between the fresh end-member (well 193) and seawater, at the three saline wells (meq/L). (b) The split of these departures on five reactions, with 90% intervals. (c) Chloride at wells 503 and 341 in 1984, 1999 and 2001 (sheet 6) and at the three saline wells in 2016 (sheet 5).</w:t>
      </w:r>
    </w:p>
    <w:p>
      <w:pPr>
        <w:spacing w:after="120"/>
        <w:jc w:val="both"/>
      </w:pPr>
      <w:r>
        <w:t xml:space="preserve">Each extent is the time integral, along the path of the water, of one component of the closure term </w:t>
      </w:r>
      <m:oMath>
        <m:r>
          <m:t>N</m:t>
        </m:r>
        <m:r>
          <m:rPr>
            <m:sty m:val="b"/>
          </m:rPr>
          <m:t>r</m:t>
        </m:r>
      </m:oMath>
      <w:r>
        <w:t xml:space="preserve">: the split shows which terms the transport equation needs, with which sign and how large, before any dynamic model is fitted. It also measures what the classical system misses. A single-salt model predicts every ion by conservative mixing, so at well 503 its sodium is 25.8 meq/L where 15.3 meq/L are observed, an error of 69% of the observed value. The residuals of the split, 0.02–0.05 meq/L against departures of 2.9–13.1 meq/L, are the charge imbalances of the departures and confirm that the analyses are consistent (charge-balance errors between −1.1% and 0.11%). Because the left null vector of </w:t>
      </w:r>
      <m:oMath>
        <m:r>
          <m:t>N</m:t>
        </m:r>
      </m:oMath>
      <w:r>
        <w:t xml:space="preserve"> is the charge balance, a small residual cannot by itself prove that these five reactions occurred, and reactions with the same signature, such as dolomite instead of calcite, cannot be told apart.</w:t>
      </w:r>
    </w:p>
    <w:p>
      <w:pPr>
        <w:pStyle w:val="Heading3"/>
      </w:pPr>
      <w:r>
        <w:rPr>
          <w:color w:val="1F3864"/>
        </w:rPr>
        <w:t xml:space="preserve">9.6 What the twin experiment shows</w:t>
      </w:r>
    </w:p>
    <w:p>
      <w:pPr>
        <w:spacing w:after="120"/>
        <w:jc w:val="both"/>
      </w:pPr>
      <w:r>
        <w:t xml:space="preserve">Figure 9.2(a, b) shows the base truth. The wedge advances to the abstraction field during the heavy pumping of 1975–1990, retreats in the 1990s and advances again; behind the front, exchange removes sodium and releases calcium and magnesium, and sulfate is reduced in the coastal clays, so the departures from mixing in 2016 have the signs found at wells 503 and 341. Table 9.2 and Figure 9.2(c–f) summarise the 40 synthetic truths.</w:t>
      </w:r>
    </w:p>
    <w:p>
      <w:pPr>
        <w:spacing w:after="100" w:before="80"/>
        <w:jc w:val="both"/>
      </w:pPr>
      <w:r>
        <w:rPr>
          <w:b/>
          <w:bCs/>
          <w:color w:val="1F3864"/>
        </w:rPr>
        <w:t xml:space="preserve">Table 9.2. </w:t>
      </w:r>
      <w:r>
        <w:t xml:space="preserve">Twin experiment (40 synthetic truths): mean absolute error of the posterior mean of the four goals in 2045 and, in brackets, the coverage of the 90% interval; last column: median root-mean-square misfit of the 34 data in units of their error.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38"/>
        <w:gridCol w:w="1450"/>
        <w:gridCol w:w="1450"/>
        <w:gridCol w:w="1450"/>
        <w:gridCol w:w="1450"/>
        <w:gridCol w:w="1400"/>
      </w:tblGrid>
      <w:tr>
        <w:trPr>
          <w:cantSplit/>
          <w:tblHeader/>
        </w:trPr>
        <w:tc>
          <w:tcPr>
            <w:tcW w:type="dxa" w:w="2438"/>
            <w:shd w:fill="1F3864" w:color="auto" w:val="clear"/>
            <w:tcMar>
              <w:top w:type="dxa" w:w="60"/>
              <w:left w:type="dxa" w:w="100"/>
              <w:bottom w:type="dxa" w:w="60"/>
              <w:right w:type="dxa" w:w="100"/>
            </w:tcMar>
            <w:vAlign w:val="top"/>
          </w:tcPr>
          <w:p>
            <w:r>
              <w:rPr>
                <w:b/>
                <w:bCs/>
                <w:color w:val="FFFFFF"/>
                <w:sz w:val="15"/>
                <w:szCs w:val="15"/>
              </w:rPr>
              <w:t xml:space="preserve">Model (parameters)</w:t>
            </w:r>
          </w:p>
        </w:tc>
        <w:tc>
          <w:tcPr>
            <w:tcW w:type="dxa" w:w="1450"/>
            <w:shd w:fill="1F3864" w:color="auto" w:val="clear"/>
            <w:tcMar>
              <w:top w:type="dxa" w:w="60"/>
              <w:left w:type="dxa" w:w="100"/>
              <w:bottom w:type="dxa" w:w="60"/>
              <w:right w:type="dxa" w:w="100"/>
            </w:tcMar>
            <w:vAlign w:val="top"/>
          </w:tcPr>
          <w:p>
            <w:r>
              <w:rPr>
                <w:b/>
                <w:bCs/>
                <w:color w:val="FFFFFF"/>
                <w:sz w:val="15"/>
                <w:szCs w:val="15"/>
              </w:rPr>
              <w:t xml:space="preserve">Cl at 5 km (mg/L)</w:t>
            </w:r>
          </w:p>
        </w:tc>
        <w:tc>
          <w:tcPr>
            <w:tcW w:type="dxa" w:w="1450"/>
            <w:shd w:fill="1F3864" w:color="auto" w:val="clear"/>
            <w:tcMar>
              <w:top w:type="dxa" w:w="60"/>
              <w:left w:type="dxa" w:w="100"/>
              <w:bottom w:type="dxa" w:w="60"/>
              <w:right w:type="dxa" w:w="100"/>
            </w:tcMar>
            <w:vAlign w:val="top"/>
          </w:tcPr>
          <w:p>
            <w:r>
              <w:rPr>
                <w:b/>
                <w:bCs/>
                <w:color w:val="FFFFFF"/>
                <w:sz w:val="15"/>
                <w:szCs w:val="15"/>
              </w:rPr>
              <w:t xml:space="preserve">Na at 3 km (mg/L)</w:t>
            </w:r>
          </w:p>
        </w:tc>
        <w:tc>
          <w:tcPr>
            <w:tcW w:type="dxa" w:w="1450"/>
            <w:shd w:fill="1F3864" w:color="auto" w:val="clear"/>
            <w:tcMar>
              <w:top w:type="dxa" w:w="60"/>
              <w:left w:type="dxa" w:w="100"/>
              <w:bottom w:type="dxa" w:w="60"/>
              <w:right w:type="dxa" w:w="100"/>
            </w:tcMar>
            <w:vAlign w:val="top"/>
          </w:tcPr>
          <w:p>
            <w:r>
              <w:rPr>
                <w:b/>
                <w:bCs/>
                <w:color w:val="FFFFFF"/>
                <w:sz w:val="15"/>
                <w:szCs w:val="15"/>
              </w:rPr>
              <w:t xml:space="preserve">Ca + Mg at 3 km (meq/L)</w:t>
            </w:r>
          </w:p>
        </w:tc>
        <w:tc>
          <w:tcPr>
            <w:tcW w:type="dxa" w:w="1450"/>
            <w:shd w:fill="1F3864" w:color="auto" w:val="clear"/>
            <w:tcMar>
              <w:top w:type="dxa" w:w="60"/>
              <w:left w:type="dxa" w:w="100"/>
              <w:bottom w:type="dxa" w:w="60"/>
              <w:right w:type="dxa" w:w="100"/>
            </w:tcMar>
            <w:vAlign w:val="top"/>
          </w:tcPr>
          <w:p>
            <w:r>
              <w:rPr>
                <w:b/>
                <w:bCs/>
                <w:color w:val="FFFFFF"/>
                <w:sz w:val="15"/>
                <w:szCs w:val="15"/>
              </w:rPr>
              <w:t xml:space="preserve">Strip Cl &gt; 250 mg/L (km)</w:t>
            </w:r>
          </w:p>
        </w:tc>
        <w:tc>
          <w:tcPr>
            <w:tcW w:type="dxa" w:w="1400"/>
            <w:shd w:fill="1F3864" w:color="auto" w:val="clear"/>
            <w:tcMar>
              <w:top w:type="dxa" w:w="60"/>
              <w:left w:type="dxa" w:w="100"/>
              <w:bottom w:type="dxa" w:w="60"/>
              <w:right w:type="dxa" w:w="100"/>
            </w:tcMar>
            <w:vAlign w:val="top"/>
          </w:tcPr>
          <w:p>
            <w:r>
              <w:rPr>
                <w:b/>
                <w:bCs/>
                <w:color w:val="FFFFFF"/>
                <w:sz w:val="15"/>
                <w:szCs w:val="15"/>
              </w:rPr>
              <w:t xml:space="preserve">Median data misfit (σ)</w:t>
            </w:r>
          </w:p>
        </w:tc>
      </w:tr>
      <w:tr>
        <w:trPr>
          <w:cantSplit/>
        </w:trPr>
        <w:tc>
          <w:tcPr>
            <w:tcW w:type="dxa" w:w="2438"/>
            <w:tcMar>
              <w:top w:type="dxa" w:w="60"/>
              <w:left w:type="dxa" w:w="100"/>
              <w:bottom w:type="dxa" w:w="60"/>
              <w:right w:type="dxa" w:w="100"/>
            </w:tcMar>
            <w:vAlign w:val="top"/>
          </w:tcPr>
          <w:p>
            <w:r>
              <w:rPr>
                <w:sz w:val="15"/>
                <w:szCs w:val="15"/>
              </w:rPr>
              <w:t xml:space="preserve">Classical, single-salt mixing (3)</w:t>
            </w:r>
          </w:p>
        </w:tc>
        <w:tc>
          <w:tcPr>
            <w:tcW w:type="dxa" w:w="1450"/>
            <w:tcMar>
              <w:top w:type="dxa" w:w="60"/>
              <w:left w:type="dxa" w:w="100"/>
              <w:bottom w:type="dxa" w:w="60"/>
              <w:right w:type="dxa" w:w="100"/>
            </w:tcMar>
            <w:vAlign w:val="top"/>
          </w:tcPr>
          <w:p>
            <w:r>
              <w:rPr>
                <w:sz w:val="15"/>
                <w:szCs w:val="15"/>
              </w:rPr>
              <w:t xml:space="preserve">64.1 (8%)</w:t>
            </w:r>
          </w:p>
        </w:tc>
        <w:tc>
          <w:tcPr>
            <w:tcW w:type="dxa" w:w="1450"/>
            <w:tcMar>
              <w:top w:type="dxa" w:w="60"/>
              <w:left w:type="dxa" w:w="100"/>
              <w:bottom w:type="dxa" w:w="60"/>
              <w:right w:type="dxa" w:w="100"/>
            </w:tcMar>
            <w:vAlign w:val="top"/>
          </w:tcPr>
          <w:p>
            <w:r>
              <w:rPr>
                <w:sz w:val="15"/>
                <w:szCs w:val="15"/>
              </w:rPr>
              <w:t xml:space="preserve">54.5 (18%)</w:t>
            </w:r>
          </w:p>
        </w:tc>
        <w:tc>
          <w:tcPr>
            <w:tcW w:type="dxa" w:w="1450"/>
            <w:tcMar>
              <w:top w:type="dxa" w:w="60"/>
              <w:left w:type="dxa" w:w="100"/>
              <w:bottom w:type="dxa" w:w="60"/>
              <w:right w:type="dxa" w:w="100"/>
            </w:tcMar>
            <w:vAlign w:val="top"/>
          </w:tcPr>
          <w:p>
            <w:r>
              <w:rPr>
                <w:sz w:val="15"/>
                <w:szCs w:val="15"/>
              </w:rPr>
              <w:t xml:space="preserve">4.71 (0%)</w:t>
            </w:r>
          </w:p>
        </w:tc>
        <w:tc>
          <w:tcPr>
            <w:tcW w:type="dxa" w:w="1450"/>
            <w:tcMar>
              <w:top w:type="dxa" w:w="60"/>
              <w:left w:type="dxa" w:w="100"/>
              <w:bottom w:type="dxa" w:w="60"/>
              <w:right w:type="dxa" w:w="100"/>
            </w:tcMar>
            <w:vAlign w:val="top"/>
          </w:tcPr>
          <w:p>
            <w:r>
              <w:rPr>
                <w:sz w:val="15"/>
                <w:szCs w:val="15"/>
              </w:rPr>
              <w:t xml:space="preserve">0.230 (40%)</w:t>
            </w:r>
          </w:p>
        </w:tc>
        <w:tc>
          <w:tcPr>
            <w:tcW w:type="dxa" w:w="1400"/>
            <w:tcMar>
              <w:top w:type="dxa" w:w="60"/>
              <w:left w:type="dxa" w:w="100"/>
              <w:bottom w:type="dxa" w:w="60"/>
              <w:right w:type="dxa" w:w="100"/>
            </w:tcMar>
            <w:vAlign w:val="top"/>
          </w:tcPr>
          <w:p>
            <w:r>
              <w:rPr>
                <w:sz w:val="15"/>
                <w:szCs w:val="15"/>
              </w:rPr>
              <w:t xml:space="preserve">7.01</w:t>
            </w:r>
          </w:p>
        </w:tc>
      </w:tr>
      <w:tr>
        <w:trPr>
          <w:cantSplit/>
        </w:trPr>
        <w:tc>
          <w:tcPr>
            <w:tcW w:type="dxa" w:w="2438"/>
            <w:shd w:fill="F7F9FC" w:color="auto" w:val="clear"/>
            <w:tcMar>
              <w:top w:type="dxa" w:w="60"/>
              <w:left w:type="dxa" w:w="100"/>
              <w:bottom w:type="dxa" w:w="60"/>
              <w:right w:type="dxa" w:w="100"/>
            </w:tcMar>
            <w:vAlign w:val="top"/>
          </w:tcPr>
          <w:p>
            <w:r>
              <w:rPr>
                <w:sz w:val="15"/>
                <w:szCs w:val="15"/>
              </w:rPr>
              <w:t xml:space="preserve">Free learned closure (40)</w:t>
            </w:r>
          </w:p>
        </w:tc>
        <w:tc>
          <w:tcPr>
            <w:tcW w:type="dxa" w:w="1450"/>
            <w:shd w:fill="F7F9FC" w:color="auto" w:val="clear"/>
            <w:tcMar>
              <w:top w:type="dxa" w:w="60"/>
              <w:left w:type="dxa" w:w="100"/>
              <w:bottom w:type="dxa" w:w="60"/>
              <w:right w:type="dxa" w:w="100"/>
            </w:tcMar>
            <w:vAlign w:val="top"/>
          </w:tcPr>
          <w:p>
            <w:r>
              <w:rPr>
                <w:sz w:val="15"/>
                <w:szCs w:val="15"/>
              </w:rPr>
              <w:t xml:space="preserve">23.7 (100%)</w:t>
            </w:r>
          </w:p>
        </w:tc>
        <w:tc>
          <w:tcPr>
            <w:tcW w:type="dxa" w:w="1450"/>
            <w:shd w:fill="F7F9FC" w:color="auto" w:val="clear"/>
            <w:tcMar>
              <w:top w:type="dxa" w:w="60"/>
              <w:left w:type="dxa" w:w="100"/>
              <w:bottom w:type="dxa" w:w="60"/>
              <w:right w:type="dxa" w:w="100"/>
            </w:tcMar>
            <w:vAlign w:val="top"/>
          </w:tcPr>
          <w:p>
            <w:r>
              <w:rPr>
                <w:sz w:val="15"/>
                <w:szCs w:val="15"/>
              </w:rPr>
              <w:t xml:space="preserve">31.5 (93%)</w:t>
            </w:r>
          </w:p>
        </w:tc>
        <w:tc>
          <w:tcPr>
            <w:tcW w:type="dxa" w:w="1450"/>
            <w:shd w:fill="F7F9FC" w:color="auto" w:val="clear"/>
            <w:tcMar>
              <w:top w:type="dxa" w:w="60"/>
              <w:left w:type="dxa" w:w="100"/>
              <w:bottom w:type="dxa" w:w="60"/>
              <w:right w:type="dxa" w:w="100"/>
            </w:tcMar>
            <w:vAlign w:val="top"/>
          </w:tcPr>
          <w:p>
            <w:r>
              <w:rPr>
                <w:sz w:val="15"/>
                <w:szCs w:val="15"/>
              </w:rPr>
              <w:t xml:space="preserve">1.83 (85%)</w:t>
            </w:r>
          </w:p>
        </w:tc>
        <w:tc>
          <w:tcPr>
            <w:tcW w:type="dxa" w:w="1450"/>
            <w:shd w:fill="F7F9FC" w:color="auto" w:val="clear"/>
            <w:tcMar>
              <w:top w:type="dxa" w:w="60"/>
              <w:left w:type="dxa" w:w="100"/>
              <w:bottom w:type="dxa" w:w="60"/>
              <w:right w:type="dxa" w:w="100"/>
            </w:tcMar>
            <w:vAlign w:val="top"/>
          </w:tcPr>
          <w:p>
            <w:r>
              <w:rPr>
                <w:sz w:val="15"/>
                <w:szCs w:val="15"/>
              </w:rPr>
              <w:t xml:space="preserve">0.088 (100%)</w:t>
            </w:r>
          </w:p>
        </w:tc>
        <w:tc>
          <w:tcPr>
            <w:tcW w:type="dxa" w:w="1400"/>
            <w:shd w:fill="F7F9FC" w:color="auto" w:val="clear"/>
            <w:tcMar>
              <w:top w:type="dxa" w:w="60"/>
              <w:left w:type="dxa" w:w="100"/>
              <w:bottom w:type="dxa" w:w="60"/>
              <w:right w:type="dxa" w:w="100"/>
            </w:tcMar>
            <w:vAlign w:val="top"/>
          </w:tcPr>
          <w:p>
            <w:r>
              <w:rPr>
                <w:sz w:val="15"/>
                <w:szCs w:val="15"/>
              </w:rPr>
              <w:t xml:space="preserve">1.94</w:t>
            </w:r>
          </w:p>
        </w:tc>
      </w:tr>
      <w:tr>
        <w:trPr>
          <w:cantSplit/>
        </w:trPr>
        <w:tc>
          <w:tcPr>
            <w:tcW w:type="dxa" w:w="2438"/>
            <w:tcMar>
              <w:top w:type="dxa" w:w="60"/>
              <w:left w:type="dxa" w:w="100"/>
              <w:bottom w:type="dxa" w:w="60"/>
              <w:right w:type="dxa" w:w="100"/>
            </w:tcMar>
            <w:vAlign w:val="top"/>
          </w:tcPr>
          <w:p>
            <w:r>
              <w:rPr>
                <w:sz w:val="15"/>
                <w:szCs w:val="15"/>
              </w:rPr>
              <w:t xml:space="preserve">GJURMA, fitted jointly (16)</w:t>
            </w:r>
          </w:p>
        </w:tc>
        <w:tc>
          <w:tcPr>
            <w:tcW w:type="dxa" w:w="1450"/>
            <w:tcMar>
              <w:top w:type="dxa" w:w="60"/>
              <w:left w:type="dxa" w:w="100"/>
              <w:bottom w:type="dxa" w:w="60"/>
              <w:right w:type="dxa" w:w="100"/>
            </w:tcMar>
            <w:vAlign w:val="top"/>
          </w:tcPr>
          <w:p>
            <w:r>
              <w:rPr>
                <w:sz w:val="15"/>
                <w:szCs w:val="15"/>
              </w:rPr>
              <w:t xml:space="preserve">15.6 (73%)</w:t>
            </w:r>
          </w:p>
        </w:tc>
        <w:tc>
          <w:tcPr>
            <w:tcW w:type="dxa" w:w="1450"/>
            <w:tcMar>
              <w:top w:type="dxa" w:w="60"/>
              <w:left w:type="dxa" w:w="100"/>
              <w:bottom w:type="dxa" w:w="60"/>
              <w:right w:type="dxa" w:w="100"/>
            </w:tcMar>
            <w:vAlign w:val="top"/>
          </w:tcPr>
          <w:p>
            <w:r>
              <w:rPr>
                <w:sz w:val="15"/>
                <w:szCs w:val="15"/>
              </w:rPr>
              <w:t xml:space="preserve">20.0 (50%)</w:t>
            </w:r>
          </w:p>
        </w:tc>
        <w:tc>
          <w:tcPr>
            <w:tcW w:type="dxa" w:w="1450"/>
            <w:tcMar>
              <w:top w:type="dxa" w:w="60"/>
              <w:left w:type="dxa" w:w="100"/>
              <w:bottom w:type="dxa" w:w="60"/>
              <w:right w:type="dxa" w:w="100"/>
            </w:tcMar>
            <w:vAlign w:val="top"/>
          </w:tcPr>
          <w:p>
            <w:r>
              <w:rPr>
                <w:sz w:val="15"/>
                <w:szCs w:val="15"/>
              </w:rPr>
              <w:t xml:space="preserve">0.63 (57%)</w:t>
            </w:r>
          </w:p>
        </w:tc>
        <w:tc>
          <w:tcPr>
            <w:tcW w:type="dxa" w:w="1450"/>
            <w:tcMar>
              <w:top w:type="dxa" w:w="60"/>
              <w:left w:type="dxa" w:w="100"/>
              <w:bottom w:type="dxa" w:w="60"/>
              <w:right w:type="dxa" w:w="100"/>
            </w:tcMar>
            <w:vAlign w:val="top"/>
          </w:tcPr>
          <w:p>
            <w:r>
              <w:rPr>
                <w:sz w:val="15"/>
                <w:szCs w:val="15"/>
              </w:rPr>
              <w:t xml:space="preserve">0.072 (95%)</w:t>
            </w:r>
          </w:p>
        </w:tc>
        <w:tc>
          <w:tcPr>
            <w:tcW w:type="dxa" w:w="1400"/>
            <w:tcMar>
              <w:top w:type="dxa" w:w="60"/>
              <w:left w:type="dxa" w:w="100"/>
              <w:bottom w:type="dxa" w:w="60"/>
              <w:right w:type="dxa" w:w="100"/>
            </w:tcMar>
            <w:vAlign w:val="top"/>
          </w:tcPr>
          <w:p>
            <w:r>
              <w:rPr>
                <w:sz w:val="15"/>
                <w:szCs w:val="15"/>
              </w:rPr>
              <w:t xml:space="preserve">1.46</w:t>
            </w:r>
          </w:p>
        </w:tc>
      </w:tr>
      <w:tr>
        <w:trPr>
          <w:cantSplit/>
        </w:trPr>
        <w:tc>
          <w:tcPr>
            <w:tcW w:type="dxa" w:w="2438"/>
            <w:shd w:fill="F7F9FC" w:color="auto" w:val="clear"/>
            <w:tcMar>
              <w:top w:type="dxa" w:w="60"/>
              <w:left w:type="dxa" w:w="100"/>
              <w:bottom w:type="dxa" w:w="60"/>
              <w:right w:type="dxa" w:w="100"/>
            </w:tcMar>
            <w:vAlign w:val="top"/>
          </w:tcPr>
          <w:p>
            <w:r>
              <w:rPr>
                <w:sz w:val="15"/>
                <w:szCs w:val="15"/>
              </w:rPr>
              <w:t xml:space="preserve">GJURMA, with the cut (16)</w:t>
            </w:r>
          </w:p>
        </w:tc>
        <w:tc>
          <w:tcPr>
            <w:tcW w:type="dxa" w:w="1450"/>
            <w:shd w:fill="F7F9FC" w:color="auto" w:val="clear"/>
            <w:tcMar>
              <w:top w:type="dxa" w:w="60"/>
              <w:left w:type="dxa" w:w="100"/>
              <w:bottom w:type="dxa" w:w="60"/>
              <w:right w:type="dxa" w:w="100"/>
            </w:tcMar>
            <w:vAlign w:val="top"/>
          </w:tcPr>
          <w:p>
            <w:r>
              <w:rPr>
                <w:sz w:val="15"/>
                <w:szCs w:val="15"/>
              </w:rPr>
              <w:t xml:space="preserve">15.3 (98%)</w:t>
            </w:r>
          </w:p>
        </w:tc>
        <w:tc>
          <w:tcPr>
            <w:tcW w:type="dxa" w:w="1450"/>
            <w:shd w:fill="F7F9FC" w:color="auto" w:val="clear"/>
            <w:tcMar>
              <w:top w:type="dxa" w:w="60"/>
              <w:left w:type="dxa" w:w="100"/>
              <w:bottom w:type="dxa" w:w="60"/>
              <w:right w:type="dxa" w:w="100"/>
            </w:tcMar>
            <w:vAlign w:val="top"/>
          </w:tcPr>
          <w:p>
            <w:r>
              <w:rPr>
                <w:sz w:val="15"/>
                <w:szCs w:val="15"/>
              </w:rPr>
              <w:t xml:space="preserve">20.8 (65%)</w:t>
            </w:r>
          </w:p>
        </w:tc>
        <w:tc>
          <w:tcPr>
            <w:tcW w:type="dxa" w:w="1450"/>
            <w:shd w:fill="F7F9FC" w:color="auto" w:val="clear"/>
            <w:tcMar>
              <w:top w:type="dxa" w:w="60"/>
              <w:left w:type="dxa" w:w="100"/>
              <w:bottom w:type="dxa" w:w="60"/>
              <w:right w:type="dxa" w:w="100"/>
            </w:tcMar>
            <w:vAlign w:val="top"/>
          </w:tcPr>
          <w:p>
            <w:r>
              <w:rPr>
                <w:sz w:val="15"/>
                <w:szCs w:val="15"/>
              </w:rPr>
              <w:t xml:space="preserve">0.51 (78%)</w:t>
            </w:r>
          </w:p>
        </w:tc>
        <w:tc>
          <w:tcPr>
            <w:tcW w:type="dxa" w:w="1450"/>
            <w:shd w:fill="F7F9FC" w:color="auto" w:val="clear"/>
            <w:tcMar>
              <w:top w:type="dxa" w:w="60"/>
              <w:left w:type="dxa" w:w="100"/>
              <w:bottom w:type="dxa" w:w="60"/>
              <w:right w:type="dxa" w:w="100"/>
            </w:tcMar>
            <w:vAlign w:val="top"/>
          </w:tcPr>
          <w:p>
            <w:r>
              <w:rPr>
                <w:sz w:val="15"/>
                <w:szCs w:val="15"/>
              </w:rPr>
              <w:t xml:space="preserve">0.049 (100%)</w:t>
            </w:r>
          </w:p>
        </w:tc>
        <w:tc>
          <w:tcPr>
            <w:tcW w:type="dxa" w:w="1400"/>
            <w:shd w:fill="F7F9FC" w:color="auto" w:val="clear"/>
            <w:tcMar>
              <w:top w:type="dxa" w:w="60"/>
              <w:left w:type="dxa" w:w="100"/>
              <w:bottom w:type="dxa" w:w="60"/>
              <w:right w:type="dxa" w:w="100"/>
            </w:tcMar>
            <w:vAlign w:val="top"/>
          </w:tcPr>
          <w:p>
            <w:r>
              <w:rPr>
                <w:sz w:val="15"/>
                <w:szCs w:val="15"/>
              </w:rPr>
              <w:t xml:space="preserve">1.47</w:t>
            </w:r>
          </w:p>
        </w:tc>
      </w:tr>
      <w:tr>
        <w:trPr>
          <w:cantSplit/>
        </w:trPr>
        <w:tc>
          <w:tcPr>
            <w:tcW w:type="dxa" w:w="2438"/>
            <w:tcMar>
              <w:top w:type="dxa" w:w="60"/>
              <w:left w:type="dxa" w:w="100"/>
              <w:bottom w:type="dxa" w:w="60"/>
              <w:right w:type="dxa" w:w="100"/>
            </w:tcMar>
            <w:vAlign w:val="top"/>
          </w:tcPr>
          <w:p>
            <w:r>
              <w:rPr>
                <w:sz w:val="15"/>
                <w:szCs w:val="15"/>
              </w:rPr>
              <w:t xml:space="preserve">Oracle, true structure (10)</w:t>
            </w:r>
          </w:p>
        </w:tc>
        <w:tc>
          <w:tcPr>
            <w:tcW w:type="dxa" w:w="1450"/>
            <w:tcMar>
              <w:top w:type="dxa" w:w="60"/>
              <w:left w:type="dxa" w:w="100"/>
              <w:bottom w:type="dxa" w:w="60"/>
              <w:right w:type="dxa" w:w="100"/>
            </w:tcMar>
            <w:vAlign w:val="top"/>
          </w:tcPr>
          <w:p>
            <w:r>
              <w:rPr>
                <w:sz w:val="15"/>
                <w:szCs w:val="15"/>
              </w:rPr>
              <w:t xml:space="preserve">9.1 (95%)</w:t>
            </w:r>
          </w:p>
        </w:tc>
        <w:tc>
          <w:tcPr>
            <w:tcW w:type="dxa" w:w="1450"/>
            <w:tcMar>
              <w:top w:type="dxa" w:w="60"/>
              <w:left w:type="dxa" w:w="100"/>
              <w:bottom w:type="dxa" w:w="60"/>
              <w:right w:type="dxa" w:w="100"/>
            </w:tcMar>
            <w:vAlign w:val="top"/>
          </w:tcPr>
          <w:p>
            <w:r>
              <w:rPr>
                <w:sz w:val="15"/>
                <w:szCs w:val="15"/>
              </w:rPr>
              <w:t xml:space="preserve">9.6 (93%)</w:t>
            </w:r>
          </w:p>
        </w:tc>
        <w:tc>
          <w:tcPr>
            <w:tcW w:type="dxa" w:w="1450"/>
            <w:tcMar>
              <w:top w:type="dxa" w:w="60"/>
              <w:left w:type="dxa" w:w="100"/>
              <w:bottom w:type="dxa" w:w="60"/>
              <w:right w:type="dxa" w:w="100"/>
            </w:tcMar>
            <w:vAlign w:val="top"/>
          </w:tcPr>
          <w:p>
            <w:r>
              <w:rPr>
                <w:sz w:val="15"/>
                <w:szCs w:val="15"/>
              </w:rPr>
              <w:t xml:space="preserve">0.28 (90%)</w:t>
            </w:r>
          </w:p>
        </w:tc>
        <w:tc>
          <w:tcPr>
            <w:tcW w:type="dxa" w:w="1450"/>
            <w:tcMar>
              <w:top w:type="dxa" w:w="60"/>
              <w:left w:type="dxa" w:w="100"/>
              <w:bottom w:type="dxa" w:w="60"/>
              <w:right w:type="dxa" w:w="100"/>
            </w:tcMar>
            <w:vAlign w:val="top"/>
          </w:tcPr>
          <w:p>
            <w:r>
              <w:rPr>
                <w:sz w:val="15"/>
                <w:szCs w:val="15"/>
              </w:rPr>
              <w:t xml:space="preserve">0.048 (100%)</w:t>
            </w:r>
          </w:p>
        </w:tc>
        <w:tc>
          <w:tcPr>
            <w:tcW w:type="dxa" w:w="1400"/>
            <w:tcMar>
              <w:top w:type="dxa" w:w="60"/>
              <w:left w:type="dxa" w:w="100"/>
              <w:bottom w:type="dxa" w:w="60"/>
              <w:right w:type="dxa" w:w="100"/>
            </w:tcMar>
            <w:vAlign w:val="top"/>
          </w:tcPr>
          <w:p>
            <w:r>
              <w:rPr>
                <w:sz w:val="15"/>
                <w:szCs w:val="15"/>
              </w:rPr>
              <w:t xml:space="preserve">0.92</w:t>
            </w:r>
          </w:p>
        </w:tc>
      </w:tr>
    </w:tbl>
    <w:p>
      <w:pPr>
        <w:spacing w:after="160"/>
      </w:pPr>
    </w:p>
    <w:p>
      <w:pPr>
        <w:keepNext/>
        <w:spacing w:after="60" w:before="120"/>
        <w:jc w:val="center"/>
      </w:pPr>
      <w:r>
        <w:drawing>
          <wp:inline distT="0" distB="0" distL="0" distR="0">
            <wp:extent cx="5943600" cy="3524250"/>
            <wp:effectExtent t="0" r="0" b="0" l="0"/>
            <wp:docPr id="1" name="The base truth and the errors of the five models in the twin experiment" descr="The base truth and the errors of the five models in the twin experiment" title="The base truth and the errors of the five models in the twin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24250"/>
                    </a:xfrm>
                    <a:prstGeom prst="rect">
                      <a:avLst/>
                    </a:prstGeom>
                  </pic:spPr>
                </pic:pic>
              </a:graphicData>
            </a:graphic>
          </wp:inline>
        </w:drawing>
      </w:r>
    </w:p>
    <w:p>
      <w:pPr>
        <w:spacing w:after="200"/>
        <w:jc w:val="both"/>
      </w:pPr>
      <w:r>
        <w:rPr>
          <w:b/>
          <w:bCs/>
          <w:color w:val="3A4350"/>
          <w:sz w:val="18"/>
          <w:szCs w:val="18"/>
        </w:rPr>
        <w:t xml:space="preserve">Figure 9.2.</w:t>
      </w:r>
      <w:r>
        <w:rPr>
          <w:color w:val="3A4350"/>
          <w:sz w:val="18"/>
          <w:szCs w:val="18"/>
        </w:rPr>
        <w:t xml:space="preserve"> (a) Chloride along the flow line in the base truth, from the natural state of 1975 to the forecast year 2045 (triangles: wells; dashed line: abstraction field). (b) Departures of Na, Ca, Mg and SO₄ from conservative mixing in 2016 (meq/L). (c–f) Mean absolute error of the posterior mean of the four goals over 40 truths, with 95% bootstrap intervals; the number at each bar is the coverage of the 90% interval and the number in brackets the number of fitted parameters.</w:t>
      </w:r>
    </w:p>
    <w:p>
      <w:pPr>
        <w:spacing w:after="120"/>
        <w:jc w:val="both"/>
      </w:pPr>
      <w:r>
        <w:t xml:space="preserve">The classical model, which can only mix, misses all four goals: its errors are 64.1 mg/L for chloride at the abstraction field and 54.5 mg/L for sodium at 3 km, and its 90% intervals cover the truth in at most 40% of the cases, because the misfit of the reactive species is blamed on transport. The free closure removes much of the bias at the price of width: its errors are 23.7 and 31.5 mg/L and its intervals cover 85–100%, but they are 2.0–5.0 times wider than those of GJURMA (Table 9.3). It also fits the data worse than GJURMA (median misfit 1.94 against 1.46 σ) despite 40 parameters against 16: with 100 members the ensemble smoother cannot explore 23 directions that the data leave to the prior (section 9.7).</w:t>
      </w:r>
    </w:p>
    <w:p>
      <w:pPr>
        <w:spacing w:after="120"/>
        <w:jc w:val="both"/>
      </w:pPr>
      <w:r>
        <w:t xml:space="preserve">The stoichiometric closure is both more accurate and sharper. With the cut, its errors are 35%, 34%, 72% and 44% below those of the free closure for the four goals, and smaller in 68%, 48%, 85% and 75% of the truths. The gains for chloride, hardness and the strip are clear (95% intervals of the mean difference entirely below zero); for sodium the difference is not significant (−25.0 to 1.5 mg/L). The oracle remains 41–54% better for chloride and sodium: the price of not knowing the reactions.</w:t>
      </w:r>
    </w:p>
    <w:p>
      <w:pPr>
        <w:spacing w:after="100" w:before="80"/>
        <w:jc w:val="both"/>
      </w:pPr>
      <w:r>
        <w:rPr>
          <w:b/>
          <w:bCs/>
          <w:color w:val="1F3864"/>
        </w:rPr>
        <w:t xml:space="preserve">Table 9.3. </w:t>
      </w:r>
      <w:r>
        <w:t xml:space="preserve">Twin experiment: mean width of the 90% intervals of the four goals (units as in Table 9.2) and root-mean-square error of the posterior means of three transport and memory parameters (log scale for the velocity multiplier and the mass-transfer rate, logit scale for the seawater fraction at the coast).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838"/>
        <w:gridCol w:w="1100"/>
        <w:gridCol w:w="1100"/>
        <w:gridCol w:w="1100"/>
        <w:gridCol w:w="1000"/>
        <w:gridCol w:w="1200"/>
        <w:gridCol w:w="1150"/>
        <w:gridCol w:w="1150"/>
      </w:tblGrid>
      <w:tr>
        <w:trPr>
          <w:cantSplit/>
          <w:tblHeader/>
        </w:trPr>
        <w:tc>
          <w:tcPr>
            <w:tcW w:type="dxa" w:w="1838"/>
            <w:shd w:fill="1F3864" w:color="auto" w:val="clear"/>
            <w:tcMar>
              <w:top w:type="dxa" w:w="60"/>
              <w:left w:type="dxa" w:w="100"/>
              <w:bottom w:type="dxa" w:w="60"/>
              <w:right w:type="dxa" w:w="100"/>
            </w:tcMar>
            <w:vAlign w:val="top"/>
          </w:tcPr>
          <w:p>
            <w:r>
              <w:rPr>
                <w:b/>
                <w:bCs/>
                <w:color w:val="FFFFFF"/>
                <w:sz w:val="15"/>
                <w:szCs w:val="15"/>
              </w:rPr>
              <w:t xml:space="preserve">Model</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Width: Cl at 5 km</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Width: Na at 3 km</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Width: Ca + Mg</w:t>
            </w:r>
          </w:p>
        </w:tc>
        <w:tc>
          <w:tcPr>
            <w:tcW w:type="dxa" w:w="1000"/>
            <w:shd w:fill="1F3864" w:color="auto" w:val="clear"/>
            <w:tcMar>
              <w:top w:type="dxa" w:w="60"/>
              <w:left w:type="dxa" w:w="100"/>
              <w:bottom w:type="dxa" w:w="60"/>
              <w:right w:type="dxa" w:w="100"/>
            </w:tcMar>
            <w:vAlign w:val="top"/>
          </w:tcPr>
          <w:p>
            <w:r>
              <w:rPr>
                <w:b/>
                <w:bCs/>
                <w:color w:val="FFFFFF"/>
                <w:sz w:val="15"/>
                <w:szCs w:val="15"/>
              </w:rPr>
              <w:t xml:space="preserve">Width: strip</w:t>
            </w:r>
          </w:p>
        </w:tc>
        <w:tc>
          <w:tcPr>
            <w:tcW w:type="dxa" w:w="1200"/>
            <w:shd w:fill="1F3864" w:color="auto" w:val="clear"/>
            <w:tcMar>
              <w:top w:type="dxa" w:w="60"/>
              <w:left w:type="dxa" w:w="100"/>
              <w:bottom w:type="dxa" w:w="60"/>
              <w:right w:type="dxa" w:w="100"/>
            </w:tcMar>
            <w:vAlign w:val="top"/>
          </w:tcPr>
          <w:p>
            <w:r>
              <w:rPr>
                <w:b/>
                <w:bCs/>
                <w:color w:val="FFFFFF"/>
                <w:sz w:val="15"/>
                <w:szCs w:val="15"/>
              </w:rPr>
              <w:t xml:space="preserve">Error: log velocity multiplier</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Error: logit coastal salinity</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Error: log mass-transfer rate</w:t>
            </w:r>
          </w:p>
        </w:tc>
      </w:tr>
      <w:tr>
        <w:trPr>
          <w:cantSplit/>
        </w:trPr>
        <w:tc>
          <w:tcPr>
            <w:tcW w:type="dxa" w:w="1838"/>
            <w:tcMar>
              <w:top w:type="dxa" w:w="60"/>
              <w:left w:type="dxa" w:w="100"/>
              <w:bottom w:type="dxa" w:w="60"/>
              <w:right w:type="dxa" w:w="100"/>
            </w:tcMar>
            <w:vAlign w:val="top"/>
          </w:tcPr>
          <w:p>
            <w:r>
              <w:rPr>
                <w:sz w:val="15"/>
                <w:szCs w:val="15"/>
              </w:rPr>
              <w:t xml:space="preserve">Classical, single-salt mixing</w:t>
            </w:r>
          </w:p>
        </w:tc>
        <w:tc>
          <w:tcPr>
            <w:tcW w:type="dxa" w:w="1100"/>
            <w:tcMar>
              <w:top w:type="dxa" w:w="60"/>
              <w:left w:type="dxa" w:w="100"/>
              <w:bottom w:type="dxa" w:w="60"/>
              <w:right w:type="dxa" w:w="100"/>
            </w:tcMar>
            <w:vAlign w:val="top"/>
          </w:tcPr>
          <w:p>
            <w:r>
              <w:rPr>
                <w:sz w:val="15"/>
                <w:szCs w:val="15"/>
              </w:rPr>
              <w:t xml:space="preserve">34.1</w:t>
            </w:r>
          </w:p>
        </w:tc>
        <w:tc>
          <w:tcPr>
            <w:tcW w:type="dxa" w:w="1100"/>
            <w:tcMar>
              <w:top w:type="dxa" w:w="60"/>
              <w:left w:type="dxa" w:w="100"/>
              <w:bottom w:type="dxa" w:w="60"/>
              <w:right w:type="dxa" w:w="100"/>
            </w:tcMar>
            <w:vAlign w:val="top"/>
          </w:tcPr>
          <w:p>
            <w:r>
              <w:rPr>
                <w:sz w:val="15"/>
                <w:szCs w:val="15"/>
              </w:rPr>
              <w:t xml:space="preserve">30.4</w:t>
            </w:r>
          </w:p>
        </w:tc>
        <w:tc>
          <w:tcPr>
            <w:tcW w:type="dxa" w:w="1100"/>
            <w:tcMar>
              <w:top w:type="dxa" w:w="60"/>
              <w:left w:type="dxa" w:w="100"/>
              <w:bottom w:type="dxa" w:w="60"/>
              <w:right w:type="dxa" w:w="100"/>
            </w:tcMar>
            <w:vAlign w:val="top"/>
          </w:tcPr>
          <w:p>
            <w:r>
              <w:rPr>
                <w:sz w:val="15"/>
                <w:szCs w:val="15"/>
              </w:rPr>
              <w:t xml:space="preserve">0.35</w:t>
            </w:r>
          </w:p>
        </w:tc>
        <w:tc>
          <w:tcPr>
            <w:tcW w:type="dxa" w:w="1000"/>
            <w:tcMar>
              <w:top w:type="dxa" w:w="60"/>
              <w:left w:type="dxa" w:w="100"/>
              <w:bottom w:type="dxa" w:w="60"/>
              <w:right w:type="dxa" w:w="100"/>
            </w:tcMar>
            <w:vAlign w:val="top"/>
          </w:tcPr>
          <w:p>
            <w:r>
              <w:rPr>
                <w:sz w:val="15"/>
                <w:szCs w:val="15"/>
              </w:rPr>
              <w:t xml:space="preserve">0.126</w:t>
            </w:r>
          </w:p>
        </w:tc>
        <w:tc>
          <w:tcPr>
            <w:tcW w:type="dxa" w:w="1200"/>
            <w:tcMar>
              <w:top w:type="dxa" w:w="60"/>
              <w:left w:type="dxa" w:w="100"/>
              <w:bottom w:type="dxa" w:w="60"/>
              <w:right w:type="dxa" w:w="100"/>
            </w:tcMar>
            <w:vAlign w:val="top"/>
          </w:tcPr>
          <w:p>
            <w:r>
              <w:rPr>
                <w:sz w:val="15"/>
                <w:szCs w:val="15"/>
              </w:rPr>
              <w:t xml:space="preserve">0.449</w:t>
            </w:r>
          </w:p>
        </w:tc>
        <w:tc>
          <w:tcPr>
            <w:tcW w:type="dxa" w:w="1150"/>
            <w:tcMar>
              <w:top w:type="dxa" w:w="60"/>
              <w:left w:type="dxa" w:w="100"/>
              <w:bottom w:type="dxa" w:w="60"/>
              <w:right w:type="dxa" w:w="100"/>
            </w:tcMar>
            <w:vAlign w:val="top"/>
          </w:tcPr>
          <w:p>
            <w:r>
              <w:rPr>
                <w:sz w:val="15"/>
                <w:szCs w:val="15"/>
              </w:rPr>
              <w:t xml:space="preserve">0.191</w:t>
            </w:r>
          </w:p>
        </w:tc>
        <w:tc>
          <w:tcPr>
            <w:tcW w:type="dxa" w:w="1150"/>
            <w:tcMar>
              <w:top w:type="dxa" w:w="60"/>
              <w:left w:type="dxa" w:w="100"/>
              <w:bottom w:type="dxa" w:w="60"/>
              <w:right w:type="dxa" w:w="100"/>
            </w:tcMar>
            <w:vAlign w:val="top"/>
          </w:tcPr>
          <w:p>
            <w:r>
              <w:rPr>
                <w:sz w:val="15"/>
                <w:szCs w:val="15"/>
              </w:rPr>
              <w:t xml:space="preserve">–</w:t>
            </w:r>
          </w:p>
        </w:tc>
      </w:tr>
      <w:tr>
        <w:trPr>
          <w:cantSplit/>
        </w:trPr>
        <w:tc>
          <w:tcPr>
            <w:tcW w:type="dxa" w:w="1838"/>
            <w:shd w:fill="F7F9FC" w:color="auto" w:val="clear"/>
            <w:tcMar>
              <w:top w:type="dxa" w:w="60"/>
              <w:left w:type="dxa" w:w="100"/>
              <w:bottom w:type="dxa" w:w="60"/>
              <w:right w:type="dxa" w:w="100"/>
            </w:tcMar>
            <w:vAlign w:val="top"/>
          </w:tcPr>
          <w:p>
            <w:r>
              <w:rPr>
                <w:sz w:val="15"/>
                <w:szCs w:val="15"/>
              </w:rPr>
              <w:t xml:space="preserve">Free learned closure</w:t>
            </w:r>
          </w:p>
        </w:tc>
        <w:tc>
          <w:tcPr>
            <w:tcW w:type="dxa" w:w="1100"/>
            <w:shd w:fill="F7F9FC" w:color="auto" w:val="clear"/>
            <w:tcMar>
              <w:top w:type="dxa" w:w="60"/>
              <w:left w:type="dxa" w:w="100"/>
              <w:bottom w:type="dxa" w:w="60"/>
              <w:right w:type="dxa" w:w="100"/>
            </w:tcMar>
            <w:vAlign w:val="top"/>
          </w:tcPr>
          <w:p>
            <w:r>
              <w:rPr>
                <w:sz w:val="15"/>
                <w:szCs w:val="15"/>
              </w:rPr>
              <w:t xml:space="preserve">143.5</w:t>
            </w:r>
          </w:p>
        </w:tc>
        <w:tc>
          <w:tcPr>
            <w:tcW w:type="dxa" w:w="1100"/>
            <w:shd w:fill="F7F9FC" w:color="auto" w:val="clear"/>
            <w:tcMar>
              <w:top w:type="dxa" w:w="60"/>
              <w:left w:type="dxa" w:w="100"/>
              <w:bottom w:type="dxa" w:w="60"/>
              <w:right w:type="dxa" w:w="100"/>
            </w:tcMar>
            <w:vAlign w:val="top"/>
          </w:tcPr>
          <w:p>
            <w:r>
              <w:rPr>
                <w:sz w:val="15"/>
                <w:szCs w:val="15"/>
              </w:rPr>
              <w:t xml:space="preserve">158.6</w:t>
            </w:r>
          </w:p>
        </w:tc>
        <w:tc>
          <w:tcPr>
            <w:tcW w:type="dxa" w:w="1100"/>
            <w:shd w:fill="F7F9FC" w:color="auto" w:val="clear"/>
            <w:tcMar>
              <w:top w:type="dxa" w:w="60"/>
              <w:left w:type="dxa" w:w="100"/>
              <w:bottom w:type="dxa" w:w="60"/>
              <w:right w:type="dxa" w:w="100"/>
            </w:tcMar>
            <w:vAlign w:val="top"/>
          </w:tcPr>
          <w:p>
            <w:r>
              <w:rPr>
                <w:sz w:val="15"/>
                <w:szCs w:val="15"/>
              </w:rPr>
              <w:t xml:space="preserve">6.26</w:t>
            </w:r>
          </w:p>
        </w:tc>
        <w:tc>
          <w:tcPr>
            <w:tcW w:type="dxa" w:w="1000"/>
            <w:shd w:fill="F7F9FC" w:color="auto" w:val="clear"/>
            <w:tcMar>
              <w:top w:type="dxa" w:w="60"/>
              <w:left w:type="dxa" w:w="100"/>
              <w:bottom w:type="dxa" w:w="60"/>
              <w:right w:type="dxa" w:w="100"/>
            </w:tcMar>
            <w:vAlign w:val="top"/>
          </w:tcPr>
          <w:p>
            <w:r>
              <w:rPr>
                <w:sz w:val="15"/>
                <w:szCs w:val="15"/>
              </w:rPr>
              <w:t xml:space="preserve">0.536</w:t>
            </w:r>
          </w:p>
        </w:tc>
        <w:tc>
          <w:tcPr>
            <w:tcW w:type="dxa" w:w="1200"/>
            <w:shd w:fill="F7F9FC" w:color="auto" w:val="clear"/>
            <w:tcMar>
              <w:top w:type="dxa" w:w="60"/>
              <w:left w:type="dxa" w:w="100"/>
              <w:bottom w:type="dxa" w:w="60"/>
              <w:right w:type="dxa" w:w="100"/>
            </w:tcMar>
            <w:vAlign w:val="top"/>
          </w:tcPr>
          <w:p>
            <w:r>
              <w:rPr>
                <w:sz w:val="15"/>
                <w:szCs w:val="15"/>
              </w:rPr>
              <w:t xml:space="preserve">0.117</w:t>
            </w:r>
          </w:p>
        </w:tc>
        <w:tc>
          <w:tcPr>
            <w:tcW w:type="dxa" w:w="1150"/>
            <w:shd w:fill="F7F9FC" w:color="auto" w:val="clear"/>
            <w:tcMar>
              <w:top w:type="dxa" w:w="60"/>
              <w:left w:type="dxa" w:w="100"/>
              <w:bottom w:type="dxa" w:w="60"/>
              <w:right w:type="dxa" w:w="100"/>
            </w:tcMar>
            <w:vAlign w:val="top"/>
          </w:tcPr>
          <w:p>
            <w:r>
              <w:rPr>
                <w:sz w:val="15"/>
                <w:szCs w:val="15"/>
              </w:rPr>
              <w:t xml:space="preserve">0.071</w:t>
            </w:r>
          </w:p>
        </w:tc>
        <w:tc>
          <w:tcPr>
            <w:tcW w:type="dxa" w:w="1150"/>
            <w:shd w:fill="F7F9FC" w:color="auto" w:val="clear"/>
            <w:tcMar>
              <w:top w:type="dxa" w:w="60"/>
              <w:left w:type="dxa" w:w="100"/>
              <w:bottom w:type="dxa" w:w="60"/>
              <w:right w:type="dxa" w:w="100"/>
            </w:tcMar>
            <w:vAlign w:val="top"/>
          </w:tcPr>
          <w:p>
            <w:r>
              <w:rPr>
                <w:sz w:val="15"/>
                <w:szCs w:val="15"/>
              </w:rPr>
              <w:t xml:space="preserve">0.673</w:t>
            </w:r>
          </w:p>
        </w:tc>
      </w:tr>
      <w:tr>
        <w:trPr>
          <w:cantSplit/>
        </w:trPr>
        <w:tc>
          <w:tcPr>
            <w:tcW w:type="dxa" w:w="1838"/>
            <w:tcMar>
              <w:top w:type="dxa" w:w="60"/>
              <w:left w:type="dxa" w:w="100"/>
              <w:bottom w:type="dxa" w:w="60"/>
              <w:right w:type="dxa" w:w="100"/>
            </w:tcMar>
            <w:vAlign w:val="top"/>
          </w:tcPr>
          <w:p>
            <w:r>
              <w:rPr>
                <w:sz w:val="15"/>
                <w:szCs w:val="15"/>
              </w:rPr>
              <w:t xml:space="preserve">GJURMA, fitted jointly</w:t>
            </w:r>
          </w:p>
        </w:tc>
        <w:tc>
          <w:tcPr>
            <w:tcW w:type="dxa" w:w="1100"/>
            <w:tcMar>
              <w:top w:type="dxa" w:w="60"/>
              <w:left w:type="dxa" w:w="100"/>
              <w:bottom w:type="dxa" w:w="60"/>
              <w:right w:type="dxa" w:w="100"/>
            </w:tcMar>
            <w:vAlign w:val="top"/>
          </w:tcPr>
          <w:p>
            <w:r>
              <w:rPr>
                <w:sz w:val="15"/>
                <w:szCs w:val="15"/>
              </w:rPr>
              <w:t xml:space="preserve">48.6</w:t>
            </w:r>
          </w:p>
        </w:tc>
        <w:tc>
          <w:tcPr>
            <w:tcW w:type="dxa" w:w="1100"/>
            <w:tcMar>
              <w:top w:type="dxa" w:w="60"/>
              <w:left w:type="dxa" w:w="100"/>
              <w:bottom w:type="dxa" w:w="60"/>
              <w:right w:type="dxa" w:w="100"/>
            </w:tcMar>
            <w:vAlign w:val="top"/>
          </w:tcPr>
          <w:p>
            <w:r>
              <w:rPr>
                <w:sz w:val="15"/>
                <w:szCs w:val="15"/>
              </w:rPr>
              <w:t xml:space="preserve">44.7</w:t>
            </w:r>
          </w:p>
        </w:tc>
        <w:tc>
          <w:tcPr>
            <w:tcW w:type="dxa" w:w="1100"/>
            <w:tcMar>
              <w:top w:type="dxa" w:w="60"/>
              <w:left w:type="dxa" w:w="100"/>
              <w:bottom w:type="dxa" w:w="60"/>
              <w:right w:type="dxa" w:w="100"/>
            </w:tcMar>
            <w:vAlign w:val="top"/>
          </w:tcPr>
          <w:p>
            <w:r>
              <w:rPr>
                <w:sz w:val="15"/>
                <w:szCs w:val="15"/>
              </w:rPr>
              <w:t xml:space="preserve">1.26</w:t>
            </w:r>
          </w:p>
        </w:tc>
        <w:tc>
          <w:tcPr>
            <w:tcW w:type="dxa" w:w="1000"/>
            <w:tcMar>
              <w:top w:type="dxa" w:w="60"/>
              <w:left w:type="dxa" w:w="100"/>
              <w:bottom w:type="dxa" w:w="60"/>
              <w:right w:type="dxa" w:w="100"/>
            </w:tcMar>
            <w:vAlign w:val="top"/>
          </w:tcPr>
          <w:p>
            <w:r>
              <w:rPr>
                <w:sz w:val="15"/>
                <w:szCs w:val="15"/>
              </w:rPr>
              <w:t xml:space="preserve">0.181</w:t>
            </w:r>
          </w:p>
        </w:tc>
        <w:tc>
          <w:tcPr>
            <w:tcW w:type="dxa" w:w="1200"/>
            <w:tcMar>
              <w:top w:type="dxa" w:w="60"/>
              <w:left w:type="dxa" w:w="100"/>
              <w:bottom w:type="dxa" w:w="60"/>
              <w:right w:type="dxa" w:w="100"/>
            </w:tcMar>
            <w:vAlign w:val="top"/>
          </w:tcPr>
          <w:p>
            <w:r>
              <w:rPr>
                <w:sz w:val="15"/>
                <w:szCs w:val="15"/>
              </w:rPr>
              <w:t xml:space="preserve">0.097</w:t>
            </w:r>
          </w:p>
        </w:tc>
        <w:tc>
          <w:tcPr>
            <w:tcW w:type="dxa" w:w="1150"/>
            <w:tcMar>
              <w:top w:type="dxa" w:w="60"/>
              <w:left w:type="dxa" w:w="100"/>
              <w:bottom w:type="dxa" w:w="60"/>
              <w:right w:type="dxa" w:w="100"/>
            </w:tcMar>
            <w:vAlign w:val="top"/>
          </w:tcPr>
          <w:p>
            <w:r>
              <w:rPr>
                <w:sz w:val="15"/>
                <w:szCs w:val="15"/>
              </w:rPr>
              <w:t xml:space="preserve">0.062</w:t>
            </w:r>
          </w:p>
        </w:tc>
        <w:tc>
          <w:tcPr>
            <w:tcW w:type="dxa" w:w="1150"/>
            <w:tcMar>
              <w:top w:type="dxa" w:w="60"/>
              <w:left w:type="dxa" w:w="100"/>
              <w:bottom w:type="dxa" w:w="60"/>
              <w:right w:type="dxa" w:w="100"/>
            </w:tcMar>
            <w:vAlign w:val="top"/>
          </w:tcPr>
          <w:p>
            <w:r>
              <w:rPr>
                <w:sz w:val="15"/>
                <w:szCs w:val="15"/>
              </w:rPr>
              <w:t xml:space="preserve">0.604</w:t>
            </w:r>
          </w:p>
        </w:tc>
      </w:tr>
      <w:tr>
        <w:trPr>
          <w:cantSplit/>
        </w:trPr>
        <w:tc>
          <w:tcPr>
            <w:tcW w:type="dxa" w:w="1838"/>
            <w:shd w:fill="F7F9FC" w:color="auto" w:val="clear"/>
            <w:tcMar>
              <w:top w:type="dxa" w:w="60"/>
              <w:left w:type="dxa" w:w="100"/>
              <w:bottom w:type="dxa" w:w="60"/>
              <w:right w:type="dxa" w:w="100"/>
            </w:tcMar>
            <w:vAlign w:val="top"/>
          </w:tcPr>
          <w:p>
            <w:r>
              <w:rPr>
                <w:sz w:val="15"/>
                <w:szCs w:val="15"/>
              </w:rPr>
              <w:t xml:space="preserve">GJURMA, with the cut</w:t>
            </w:r>
          </w:p>
        </w:tc>
        <w:tc>
          <w:tcPr>
            <w:tcW w:type="dxa" w:w="1100"/>
            <w:shd w:fill="F7F9FC" w:color="auto" w:val="clear"/>
            <w:tcMar>
              <w:top w:type="dxa" w:w="60"/>
              <w:left w:type="dxa" w:w="100"/>
              <w:bottom w:type="dxa" w:w="60"/>
              <w:right w:type="dxa" w:w="100"/>
            </w:tcMar>
            <w:vAlign w:val="top"/>
          </w:tcPr>
          <w:p>
            <w:r>
              <w:rPr>
                <w:sz w:val="15"/>
                <w:szCs w:val="15"/>
              </w:rPr>
              <w:t xml:space="preserve">68.5</w:t>
            </w:r>
          </w:p>
        </w:tc>
        <w:tc>
          <w:tcPr>
            <w:tcW w:type="dxa" w:w="1100"/>
            <w:shd w:fill="F7F9FC" w:color="auto" w:val="clear"/>
            <w:tcMar>
              <w:top w:type="dxa" w:w="60"/>
              <w:left w:type="dxa" w:w="100"/>
              <w:bottom w:type="dxa" w:w="60"/>
              <w:right w:type="dxa" w:w="100"/>
            </w:tcMar>
            <w:vAlign w:val="top"/>
          </w:tcPr>
          <w:p>
            <w:r>
              <w:rPr>
                <w:sz w:val="15"/>
                <w:szCs w:val="15"/>
              </w:rPr>
              <w:t xml:space="preserve">58.7</w:t>
            </w:r>
          </w:p>
        </w:tc>
        <w:tc>
          <w:tcPr>
            <w:tcW w:type="dxa" w:w="1100"/>
            <w:shd w:fill="F7F9FC" w:color="auto" w:val="clear"/>
            <w:tcMar>
              <w:top w:type="dxa" w:w="60"/>
              <w:left w:type="dxa" w:w="100"/>
              <w:bottom w:type="dxa" w:w="60"/>
              <w:right w:type="dxa" w:w="100"/>
            </w:tcMar>
            <w:vAlign w:val="top"/>
          </w:tcPr>
          <w:p>
            <w:r>
              <w:rPr>
                <w:sz w:val="15"/>
                <w:szCs w:val="15"/>
              </w:rPr>
              <w:t xml:space="preserve">1.58</w:t>
            </w:r>
          </w:p>
        </w:tc>
        <w:tc>
          <w:tcPr>
            <w:tcW w:type="dxa" w:w="1000"/>
            <w:shd w:fill="F7F9FC" w:color="auto" w:val="clear"/>
            <w:tcMar>
              <w:top w:type="dxa" w:w="60"/>
              <w:left w:type="dxa" w:w="100"/>
              <w:bottom w:type="dxa" w:w="60"/>
              <w:right w:type="dxa" w:w="100"/>
            </w:tcMar>
            <w:vAlign w:val="top"/>
          </w:tcPr>
          <w:p>
            <w:r>
              <w:rPr>
                <w:sz w:val="15"/>
                <w:szCs w:val="15"/>
              </w:rPr>
              <w:t xml:space="preserve">0.265</w:t>
            </w:r>
          </w:p>
        </w:tc>
        <w:tc>
          <w:tcPr>
            <w:tcW w:type="dxa" w:w="1200"/>
            <w:shd w:fill="F7F9FC" w:color="auto" w:val="clear"/>
            <w:tcMar>
              <w:top w:type="dxa" w:w="60"/>
              <w:left w:type="dxa" w:w="100"/>
              <w:bottom w:type="dxa" w:w="60"/>
              <w:right w:type="dxa" w:w="100"/>
            </w:tcMar>
            <w:vAlign w:val="top"/>
          </w:tcPr>
          <w:p>
            <w:r>
              <w:rPr>
                <w:sz w:val="15"/>
                <w:szCs w:val="15"/>
              </w:rPr>
              <w:t xml:space="preserve">0.075</w:t>
            </w:r>
          </w:p>
        </w:tc>
        <w:tc>
          <w:tcPr>
            <w:tcW w:type="dxa" w:w="1150"/>
            <w:shd w:fill="F7F9FC" w:color="auto" w:val="clear"/>
            <w:tcMar>
              <w:top w:type="dxa" w:w="60"/>
              <w:left w:type="dxa" w:w="100"/>
              <w:bottom w:type="dxa" w:w="60"/>
              <w:right w:type="dxa" w:w="100"/>
            </w:tcMar>
            <w:vAlign w:val="top"/>
          </w:tcPr>
          <w:p>
            <w:r>
              <w:rPr>
                <w:sz w:val="15"/>
                <w:szCs w:val="15"/>
              </w:rPr>
              <w:t xml:space="preserve">0.055</w:t>
            </w:r>
          </w:p>
        </w:tc>
        <w:tc>
          <w:tcPr>
            <w:tcW w:type="dxa" w:w="1150"/>
            <w:shd w:fill="F7F9FC" w:color="auto" w:val="clear"/>
            <w:tcMar>
              <w:top w:type="dxa" w:w="60"/>
              <w:left w:type="dxa" w:w="100"/>
              <w:bottom w:type="dxa" w:w="60"/>
              <w:right w:type="dxa" w:w="100"/>
            </w:tcMar>
            <w:vAlign w:val="top"/>
          </w:tcPr>
          <w:p>
            <w:r>
              <w:rPr>
                <w:sz w:val="15"/>
                <w:szCs w:val="15"/>
              </w:rPr>
              <w:t xml:space="preserve">0.425</w:t>
            </w:r>
          </w:p>
        </w:tc>
      </w:tr>
      <w:tr>
        <w:trPr>
          <w:cantSplit/>
        </w:trPr>
        <w:tc>
          <w:tcPr>
            <w:tcW w:type="dxa" w:w="1838"/>
            <w:tcMar>
              <w:top w:type="dxa" w:w="60"/>
              <w:left w:type="dxa" w:w="100"/>
              <w:bottom w:type="dxa" w:w="60"/>
              <w:right w:type="dxa" w:w="100"/>
            </w:tcMar>
            <w:vAlign w:val="top"/>
          </w:tcPr>
          <w:p>
            <w:r>
              <w:rPr>
                <w:sz w:val="15"/>
                <w:szCs w:val="15"/>
              </w:rPr>
              <w:t xml:space="preserve">Oracle, true structure</w:t>
            </w:r>
          </w:p>
        </w:tc>
        <w:tc>
          <w:tcPr>
            <w:tcW w:type="dxa" w:w="1100"/>
            <w:tcMar>
              <w:top w:type="dxa" w:w="60"/>
              <w:left w:type="dxa" w:w="100"/>
              <w:bottom w:type="dxa" w:w="60"/>
              <w:right w:type="dxa" w:w="100"/>
            </w:tcMar>
            <w:vAlign w:val="top"/>
          </w:tcPr>
          <w:p>
            <w:r>
              <w:rPr>
                <w:sz w:val="15"/>
                <w:szCs w:val="15"/>
              </w:rPr>
              <w:t xml:space="preserve">51.2</w:t>
            </w:r>
          </w:p>
        </w:tc>
        <w:tc>
          <w:tcPr>
            <w:tcW w:type="dxa" w:w="1100"/>
            <w:tcMar>
              <w:top w:type="dxa" w:w="60"/>
              <w:left w:type="dxa" w:w="100"/>
              <w:bottom w:type="dxa" w:w="60"/>
              <w:right w:type="dxa" w:w="100"/>
            </w:tcMar>
            <w:vAlign w:val="top"/>
          </w:tcPr>
          <w:p>
            <w:r>
              <w:rPr>
                <w:sz w:val="15"/>
                <w:szCs w:val="15"/>
              </w:rPr>
              <w:t xml:space="preserve">45.6</w:t>
            </w:r>
          </w:p>
        </w:tc>
        <w:tc>
          <w:tcPr>
            <w:tcW w:type="dxa" w:w="1100"/>
            <w:tcMar>
              <w:top w:type="dxa" w:w="60"/>
              <w:left w:type="dxa" w:w="100"/>
              <w:bottom w:type="dxa" w:w="60"/>
              <w:right w:type="dxa" w:w="100"/>
            </w:tcMar>
            <w:vAlign w:val="top"/>
          </w:tcPr>
          <w:p>
            <w:r>
              <w:rPr>
                <w:sz w:val="15"/>
                <w:szCs w:val="15"/>
              </w:rPr>
              <w:t xml:space="preserve">1.21</w:t>
            </w:r>
          </w:p>
        </w:tc>
        <w:tc>
          <w:tcPr>
            <w:tcW w:type="dxa" w:w="1000"/>
            <w:tcMar>
              <w:top w:type="dxa" w:w="60"/>
              <w:left w:type="dxa" w:w="100"/>
              <w:bottom w:type="dxa" w:w="60"/>
              <w:right w:type="dxa" w:w="100"/>
            </w:tcMar>
            <w:vAlign w:val="top"/>
          </w:tcPr>
          <w:p>
            <w:r>
              <w:rPr>
                <w:sz w:val="15"/>
                <w:szCs w:val="15"/>
              </w:rPr>
              <w:t xml:space="preserve">0.186</w:t>
            </w:r>
          </w:p>
        </w:tc>
        <w:tc>
          <w:tcPr>
            <w:tcW w:type="dxa" w:w="1200"/>
            <w:tcMar>
              <w:top w:type="dxa" w:w="60"/>
              <w:left w:type="dxa" w:w="100"/>
              <w:bottom w:type="dxa" w:w="60"/>
              <w:right w:type="dxa" w:w="100"/>
            </w:tcMar>
            <w:vAlign w:val="top"/>
          </w:tcPr>
          <w:p>
            <w:r>
              <w:rPr>
                <w:sz w:val="15"/>
                <w:szCs w:val="15"/>
              </w:rPr>
              <w:t xml:space="preserve">0.064</w:t>
            </w:r>
          </w:p>
        </w:tc>
        <w:tc>
          <w:tcPr>
            <w:tcW w:type="dxa" w:w="1150"/>
            <w:tcMar>
              <w:top w:type="dxa" w:w="60"/>
              <w:left w:type="dxa" w:w="100"/>
              <w:bottom w:type="dxa" w:w="60"/>
              <w:right w:type="dxa" w:w="100"/>
            </w:tcMar>
            <w:vAlign w:val="top"/>
          </w:tcPr>
          <w:p>
            <w:r>
              <w:rPr>
                <w:sz w:val="15"/>
                <w:szCs w:val="15"/>
              </w:rPr>
              <w:t xml:space="preserve">0.041</w:t>
            </w:r>
          </w:p>
        </w:tc>
        <w:tc>
          <w:tcPr>
            <w:tcW w:type="dxa" w:w="1150"/>
            <w:tcMar>
              <w:top w:type="dxa" w:w="60"/>
              <w:left w:type="dxa" w:w="100"/>
              <w:bottom w:type="dxa" w:w="60"/>
              <w:right w:type="dxa" w:w="100"/>
            </w:tcMar>
            <w:vAlign w:val="top"/>
          </w:tcPr>
          <w:p>
            <w:r>
              <w:rPr>
                <w:sz w:val="15"/>
                <w:szCs w:val="15"/>
              </w:rPr>
              <w:t xml:space="preserve">0.362</w:t>
            </w:r>
          </w:p>
        </w:tc>
      </w:tr>
    </w:tbl>
    <w:p>
      <w:pPr>
        <w:spacing w:after="160"/>
      </w:pPr>
    </w:p>
    <w:p>
      <w:pPr>
        <w:spacing w:after="120"/>
        <w:jc w:val="both"/>
      </w:pPr>
      <w:r>
        <w:t xml:space="preserve">The cut matters for honesty more than for accuracy. Its errors are the same as those of the joint fit for chloride and sodium and smaller for hardness and the strip (by 19% and 32%), but its intervals cover the truth far more often: 98% instead of 73% for chloride at the abstraction field, 65% instead of 50% for sodium and 78% instead of 57% for hardness. This is Proposition 5 at work. Fitted jointly, the misfit of the reactive species pulls the transport parameters, and the chloride forecast inherits a bias that its interval does not show. With the cut, transport is estimated from chloride alone, its estimates are the closest to the oracle (Table 9.3: error of the log velocity multiplier 0.075, against 0.097 jointly, 0.117 for the free closure and 0.064 for the oracle), and the chloride forecast is calibrated.</w:t>
      </w:r>
    </w:p>
    <w:p>
      <w:pPr>
        <w:spacing w:after="120"/>
        <w:jc w:val="both"/>
      </w:pPr>
      <w:r>
        <w:t xml:space="preserve">What remains is a structural error of the learned exchanger. Even with the cut, the sodium and hardness intervals cover 65% and 78%, below the nominal 90%, where the oracle covers 93% and 90%: the closure family cannot represent the equilibrium exchange of the truth exactly, and a posterior within a wrong family is too sure of itself. The remedy is not a larger closure, since the free closure is wider but less accurate, but a richer exchanger inside the same span, a discrepancy term on the reactive species, and the robust report of proposal N3.</w:t>
      </w:r>
    </w:p>
    <w:p>
      <w:pPr>
        <w:pStyle w:val="Heading3"/>
      </w:pPr>
      <w:r>
        <w:rPr>
          <w:color w:val="1F3864"/>
        </w:rPr>
        <w:t xml:space="preserve">9.7 Identifiability, and where the forecast is far from Gaussian</w:t>
      </w:r>
    </w:p>
    <w:p>
      <w:pPr>
        <w:spacing w:after="120"/>
        <w:jc w:val="both"/>
      </w:pPr>
      <w:r>
        <w:t xml:space="preserve">Figure 9.3(a) shows the eigenvalues of the Fisher information of the 34 data in prior-standardised parameters, at the prior mean. Of the 40 directions of the free closure, 17 are informed by the data (information larger than the prior precision); of the 16 of GJURMA, 13; of the 10 of the oracle, 8. The free closure leaves 23 directions to the prior, and it also gives chloride a closure, which competes with transport for the same data (Proposition 4). GJURMA's parameters are 81% informed, like the oracle's (80%): confining the closure to the span of </w:t>
      </w:r>
      <m:oMath>
        <m:r>
          <m:t>N</m:t>
        </m:r>
      </m:oMath>
      <w:r>
        <w:t xml:space="preserve"> is what makes a learned model identifiable from 34 numbers.</w:t>
      </w:r>
    </w:p>
    <w:p>
      <w:pPr>
        <w:keepNext/>
        <w:spacing w:after="60" w:before="120"/>
        <w:jc w:val="center"/>
      </w:pPr>
      <w:r>
        <w:drawing>
          <wp:inline distT="0" distB="0" distL="0" distR="0">
            <wp:extent cx="5943600" cy="2314575"/>
            <wp:effectExtent t="0" r="0" b="0" l="0"/>
            <wp:docPr id="1" name="Fisher spectra of three models and the non-Gaussianity of the forecast along the flow line" descr="Fisher spectra of three models and the non-Gaussianity of the forecast along the flow line" title="Fisher spectra of three models and the non-Gaussianity of the forecast along the flow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14575"/>
                    </a:xfrm>
                    <a:prstGeom prst="rect">
                      <a:avLst/>
                    </a:prstGeom>
                  </pic:spPr>
                </pic:pic>
              </a:graphicData>
            </a:graphic>
          </wp:inline>
        </w:drawing>
      </w:r>
    </w:p>
    <w:p>
      <w:pPr>
        <w:spacing w:after="200"/>
        <w:jc w:val="both"/>
      </w:pPr>
      <w:r>
        <w:rPr>
          <w:b/>
          <w:bCs/>
          <w:color w:val="3A4350"/>
          <w:sz w:val="18"/>
          <w:szCs w:val="18"/>
        </w:rPr>
        <w:t xml:space="preserve">Figure 9.3.</w:t>
      </w:r>
      <w:r>
        <w:rPr>
          <w:color w:val="3A4350"/>
          <w:sz w:val="18"/>
          <w:szCs w:val="18"/>
        </w:rPr>
        <w:t xml:space="preserve"> (a) Eigenvalues of the Fisher information of the 34 data in prior-standardised parameters for the free closure, GJURMA and the oracle (dashed line: information equal to the prior precision). (b) The forecast of 2016 from 400 members drawn from the prior of the truth: mean seawater fraction; Wasserstein distance between the standardised forecast of log chloride and the standard normal; the same distance scaled by the forecast spread and divided by the observation error (shaded: where it exceeds one).</w:t>
      </w:r>
    </w:p>
    <w:p>
      <w:pPr>
        <w:spacing w:after="120"/>
        <w:jc w:val="both"/>
      </w:pPr>
      <w:r>
        <w:t xml:space="preserve">Figure 9.3(b) tests proposal N2 on the forecast of 2016. The standardised distance from the Gaussian is largest 13.5 km inland, where almost no member is salty and the forecast is a nearly certain fresh value with a long tail; there the analysis cannot change anything, so the standardised distance is the wrong switch. Scaled as in section 1.8, the distance exceeds the observation error only between 1.9 and 7.3 km, around the front and the abstraction field, with its maximum (6.1) at 6.1 km. A hybrid filter would therefore use the transport map in 28 of the 75 cells, at wells 341 and 340, and the Kalman analysis elsewhere, including well 503, where the forecast is salty, well determined and close to Gaussian (scaled distance 0.58).</w:t>
      </w:r>
    </w:p>
    <w:p>
      <w:pPr>
        <w:pStyle w:val="Heading3"/>
      </w:pPr>
      <w:r>
        <w:rPr>
          <w:color w:val="1F3864"/>
        </w:rPr>
        <w:t xml:space="preserve">9.8 The field data</w:t>
      </w:r>
    </w:p>
    <w:p>
      <w:pPr>
        <w:spacing w:after="120"/>
        <w:jc w:val="both"/>
      </w:pPr>
      <w:r>
        <w:t xml:space="preserve">Table 9.4 and Figure 9.4 fit the five models to the 34 field data of sheets 5 and 6 with the assumed geometry and history. No model fits within the 5% error: the root-mean-square misfit is 6.5 σ for the free closure, 8.3 and 9.1 σ for GJURMA fitted jointly and with the cut, 9.3 σ for the oracle structure and 12.2 σ for the classical model. The worst ions are sulfate (12.3–19.2 σ) and calcium (9.5–12.4 σ) for every model: a flow line with assumed well positions, one sulfate-reducing zone and a boundary of well-193 water cannot place the chemistry of the four wells at the same time. The chloride history is fitted best with the cut (3.0 σ, against 4.0 σ jointly, 5.0 σ for the free closure, 6.3 σ for the oracle structure and 9.9 σ for the classical model), as Proposition 5 predicts: the cut keeps the misfit of the reactive species away from the transport.</w:t>
      </w:r>
    </w:p>
    <w:p>
      <w:pPr>
        <w:spacing w:after="100" w:before="80"/>
        <w:jc w:val="both"/>
      </w:pPr>
      <w:r>
        <w:rPr>
          <w:b/>
          <w:bCs/>
          <w:color w:val="1F3864"/>
        </w:rPr>
        <w:t xml:space="preserve">Table 9.4. </w:t>
      </w:r>
      <w:r>
        <w:t xml:space="preserve">The field data: root-mean-square misfit of the 34 data, of the six chloride values of 1984–2001 and of sulfate, in units of the 5% error, and the forecasts for 2045 (posterior mean and 90% interval), conditional on the assumed geometry and pumping history.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38"/>
        <w:gridCol w:w="1300"/>
        <w:gridCol w:w="1300"/>
        <w:gridCol w:w="1100"/>
        <w:gridCol w:w="1850"/>
        <w:gridCol w:w="1850"/>
      </w:tblGrid>
      <w:tr>
        <w:trPr>
          <w:cantSplit/>
          <w:tblHeader/>
        </w:trPr>
        <w:tc>
          <w:tcPr>
            <w:tcW w:type="dxa" w:w="2238"/>
            <w:shd w:fill="1F3864" w:color="auto" w:val="clear"/>
            <w:tcMar>
              <w:top w:type="dxa" w:w="60"/>
              <w:left w:type="dxa" w:w="100"/>
              <w:bottom w:type="dxa" w:w="60"/>
              <w:right w:type="dxa" w:w="100"/>
            </w:tcMar>
            <w:vAlign w:val="top"/>
          </w:tcPr>
          <w:p>
            <w:r>
              <w:rPr>
                <w:b/>
                <w:bCs/>
                <w:color w:val="FFFFFF"/>
                <w:sz w:val="15"/>
                <w:szCs w:val="15"/>
              </w:rPr>
              <w:t xml:space="preserve">Model</w:t>
            </w:r>
          </w:p>
        </w:tc>
        <w:tc>
          <w:tcPr>
            <w:tcW w:type="dxa" w:w="1300"/>
            <w:shd w:fill="1F3864" w:color="auto" w:val="clear"/>
            <w:tcMar>
              <w:top w:type="dxa" w:w="60"/>
              <w:left w:type="dxa" w:w="100"/>
              <w:bottom w:type="dxa" w:w="60"/>
              <w:right w:type="dxa" w:w="100"/>
            </w:tcMar>
            <w:vAlign w:val="top"/>
          </w:tcPr>
          <w:p>
            <w:r>
              <w:rPr>
                <w:b/>
                <w:bCs/>
                <w:color w:val="FFFFFF"/>
                <w:sz w:val="15"/>
                <w:szCs w:val="15"/>
              </w:rPr>
              <w:t xml:space="preserve">Misfit, all 34 data (σ)</w:t>
            </w:r>
          </w:p>
        </w:tc>
        <w:tc>
          <w:tcPr>
            <w:tcW w:type="dxa" w:w="1300"/>
            <w:shd w:fill="1F3864" w:color="auto" w:val="clear"/>
            <w:tcMar>
              <w:top w:type="dxa" w:w="60"/>
              <w:left w:type="dxa" w:w="100"/>
              <w:bottom w:type="dxa" w:w="60"/>
              <w:right w:type="dxa" w:w="100"/>
            </w:tcMar>
            <w:vAlign w:val="top"/>
          </w:tcPr>
          <w:p>
            <w:r>
              <w:rPr>
                <w:b/>
                <w:bCs/>
                <w:color w:val="FFFFFF"/>
                <w:sz w:val="15"/>
                <w:szCs w:val="15"/>
              </w:rPr>
              <w:t xml:space="preserve">Misfit, Cl 1984–2001 (σ)</w:t>
            </w:r>
          </w:p>
        </w:tc>
        <w:tc>
          <w:tcPr>
            <w:tcW w:type="dxa" w:w="1100"/>
            <w:shd w:fill="1F3864" w:color="auto" w:val="clear"/>
            <w:tcMar>
              <w:top w:type="dxa" w:w="60"/>
              <w:left w:type="dxa" w:w="100"/>
              <w:bottom w:type="dxa" w:w="60"/>
              <w:right w:type="dxa" w:w="100"/>
            </w:tcMar>
            <w:vAlign w:val="top"/>
          </w:tcPr>
          <w:p>
            <w:r>
              <w:rPr>
                <w:b/>
                <w:bCs/>
                <w:color w:val="FFFFFF"/>
                <w:sz w:val="15"/>
                <w:szCs w:val="15"/>
              </w:rPr>
              <w:t xml:space="preserve">Misfit, SO₄ (σ)</w:t>
            </w:r>
          </w:p>
        </w:tc>
        <w:tc>
          <w:tcPr>
            <w:tcW w:type="dxa" w:w="1850"/>
            <w:shd w:fill="1F3864" w:color="auto" w:val="clear"/>
            <w:tcMar>
              <w:top w:type="dxa" w:w="60"/>
              <w:left w:type="dxa" w:w="100"/>
              <w:bottom w:type="dxa" w:w="60"/>
              <w:right w:type="dxa" w:w="100"/>
            </w:tcMar>
            <w:vAlign w:val="top"/>
          </w:tcPr>
          <w:p>
            <w:r>
              <w:rPr>
                <w:b/>
                <w:bCs/>
                <w:color w:val="FFFFFF"/>
                <w:sz w:val="15"/>
                <w:szCs w:val="15"/>
              </w:rPr>
              <w:t xml:space="preserve">Cl at 5 km in 2045 (mg/L)</w:t>
            </w:r>
          </w:p>
        </w:tc>
        <w:tc>
          <w:tcPr>
            <w:tcW w:type="dxa" w:w="1850"/>
            <w:shd w:fill="1F3864" w:color="auto" w:val="clear"/>
            <w:tcMar>
              <w:top w:type="dxa" w:w="60"/>
              <w:left w:type="dxa" w:w="100"/>
              <w:bottom w:type="dxa" w:w="60"/>
              <w:right w:type="dxa" w:w="100"/>
            </w:tcMar>
            <w:vAlign w:val="top"/>
          </w:tcPr>
          <w:p>
            <w:r>
              <w:rPr>
                <w:b/>
                <w:bCs/>
                <w:color w:val="FFFFFF"/>
                <w:sz w:val="15"/>
                <w:szCs w:val="15"/>
              </w:rPr>
              <w:t xml:space="preserve">Na at 3 km in 2045 (mg/L)</w:t>
            </w:r>
          </w:p>
        </w:tc>
      </w:tr>
      <w:tr>
        <w:trPr>
          <w:cantSplit/>
        </w:trPr>
        <w:tc>
          <w:tcPr>
            <w:tcW w:type="dxa" w:w="2238"/>
            <w:tcMar>
              <w:top w:type="dxa" w:w="60"/>
              <w:left w:type="dxa" w:w="100"/>
              <w:bottom w:type="dxa" w:w="60"/>
              <w:right w:type="dxa" w:w="100"/>
            </w:tcMar>
            <w:vAlign w:val="top"/>
          </w:tcPr>
          <w:p>
            <w:r>
              <w:rPr>
                <w:sz w:val="15"/>
                <w:szCs w:val="15"/>
              </w:rPr>
              <w:t xml:space="preserve">Classical, single-salt mixing</w:t>
            </w:r>
          </w:p>
        </w:tc>
        <w:tc>
          <w:tcPr>
            <w:tcW w:type="dxa" w:w="1300"/>
            <w:tcMar>
              <w:top w:type="dxa" w:w="60"/>
              <w:left w:type="dxa" w:w="100"/>
              <w:bottom w:type="dxa" w:w="60"/>
              <w:right w:type="dxa" w:w="100"/>
            </w:tcMar>
            <w:vAlign w:val="top"/>
          </w:tcPr>
          <w:p>
            <w:r>
              <w:rPr>
                <w:sz w:val="15"/>
                <w:szCs w:val="15"/>
              </w:rPr>
              <w:t xml:space="preserve">12.2</w:t>
            </w:r>
          </w:p>
        </w:tc>
        <w:tc>
          <w:tcPr>
            <w:tcW w:type="dxa" w:w="1300"/>
            <w:tcMar>
              <w:top w:type="dxa" w:w="60"/>
              <w:left w:type="dxa" w:w="100"/>
              <w:bottom w:type="dxa" w:w="60"/>
              <w:right w:type="dxa" w:w="100"/>
            </w:tcMar>
            <w:vAlign w:val="top"/>
          </w:tcPr>
          <w:p>
            <w:r>
              <w:rPr>
                <w:sz w:val="15"/>
                <w:szCs w:val="15"/>
              </w:rPr>
              <w:t xml:space="preserve">9.9</w:t>
            </w:r>
          </w:p>
        </w:tc>
        <w:tc>
          <w:tcPr>
            <w:tcW w:type="dxa" w:w="1100"/>
            <w:tcMar>
              <w:top w:type="dxa" w:w="60"/>
              <w:left w:type="dxa" w:w="100"/>
              <w:bottom w:type="dxa" w:w="60"/>
              <w:right w:type="dxa" w:w="100"/>
            </w:tcMar>
            <w:vAlign w:val="top"/>
          </w:tcPr>
          <w:p>
            <w:r>
              <w:rPr>
                <w:sz w:val="15"/>
                <w:szCs w:val="15"/>
              </w:rPr>
              <w:t xml:space="preserve">19.2</w:t>
            </w:r>
          </w:p>
        </w:tc>
        <w:tc>
          <w:tcPr>
            <w:tcW w:type="dxa" w:w="1850"/>
            <w:tcMar>
              <w:top w:type="dxa" w:w="60"/>
              <w:left w:type="dxa" w:w="100"/>
              <w:bottom w:type="dxa" w:w="60"/>
              <w:right w:type="dxa" w:w="100"/>
            </w:tcMar>
            <w:vAlign w:val="top"/>
          </w:tcPr>
          <w:p>
            <w:r>
              <w:rPr>
                <w:sz w:val="15"/>
                <w:szCs w:val="15"/>
              </w:rPr>
              <w:t xml:space="preserve">568 (538–596)</w:t>
            </w:r>
          </w:p>
        </w:tc>
        <w:tc>
          <w:tcPr>
            <w:tcW w:type="dxa" w:w="1850"/>
            <w:tcMar>
              <w:top w:type="dxa" w:w="60"/>
              <w:left w:type="dxa" w:w="100"/>
              <w:bottom w:type="dxa" w:w="60"/>
              <w:right w:type="dxa" w:w="100"/>
            </w:tcMar>
            <w:vAlign w:val="top"/>
          </w:tcPr>
          <w:p>
            <w:r>
              <w:rPr>
                <w:sz w:val="15"/>
                <w:szCs w:val="15"/>
              </w:rPr>
              <w:t xml:space="preserve">425 (414–435)</w:t>
            </w:r>
          </w:p>
        </w:tc>
      </w:tr>
      <w:tr>
        <w:trPr>
          <w:cantSplit/>
        </w:trPr>
        <w:tc>
          <w:tcPr>
            <w:tcW w:type="dxa" w:w="2238"/>
            <w:shd w:fill="F7F9FC" w:color="auto" w:val="clear"/>
            <w:tcMar>
              <w:top w:type="dxa" w:w="60"/>
              <w:left w:type="dxa" w:w="100"/>
              <w:bottom w:type="dxa" w:w="60"/>
              <w:right w:type="dxa" w:w="100"/>
            </w:tcMar>
            <w:vAlign w:val="top"/>
          </w:tcPr>
          <w:p>
            <w:r>
              <w:rPr>
                <w:sz w:val="15"/>
                <w:szCs w:val="15"/>
              </w:rPr>
              <w:t xml:space="preserve">Free learned closure</w:t>
            </w:r>
          </w:p>
        </w:tc>
        <w:tc>
          <w:tcPr>
            <w:tcW w:type="dxa" w:w="1300"/>
            <w:shd w:fill="F7F9FC" w:color="auto" w:val="clear"/>
            <w:tcMar>
              <w:top w:type="dxa" w:w="60"/>
              <w:left w:type="dxa" w:w="100"/>
              <w:bottom w:type="dxa" w:w="60"/>
              <w:right w:type="dxa" w:w="100"/>
            </w:tcMar>
            <w:vAlign w:val="top"/>
          </w:tcPr>
          <w:p>
            <w:r>
              <w:rPr>
                <w:sz w:val="15"/>
                <w:szCs w:val="15"/>
              </w:rPr>
              <w:t xml:space="preserve">6.5</w:t>
            </w:r>
          </w:p>
        </w:tc>
        <w:tc>
          <w:tcPr>
            <w:tcW w:type="dxa" w:w="1300"/>
            <w:shd w:fill="F7F9FC" w:color="auto" w:val="clear"/>
            <w:tcMar>
              <w:top w:type="dxa" w:w="60"/>
              <w:left w:type="dxa" w:w="100"/>
              <w:bottom w:type="dxa" w:w="60"/>
              <w:right w:type="dxa" w:w="100"/>
            </w:tcMar>
            <w:vAlign w:val="top"/>
          </w:tcPr>
          <w:p>
            <w:r>
              <w:rPr>
                <w:sz w:val="15"/>
                <w:szCs w:val="15"/>
              </w:rPr>
              <w:t xml:space="preserve">5.0</w:t>
            </w:r>
          </w:p>
        </w:tc>
        <w:tc>
          <w:tcPr>
            <w:tcW w:type="dxa" w:w="1100"/>
            <w:shd w:fill="F7F9FC" w:color="auto" w:val="clear"/>
            <w:tcMar>
              <w:top w:type="dxa" w:w="60"/>
              <w:left w:type="dxa" w:w="100"/>
              <w:bottom w:type="dxa" w:w="60"/>
              <w:right w:type="dxa" w:w="100"/>
            </w:tcMar>
            <w:vAlign w:val="top"/>
          </w:tcPr>
          <w:p>
            <w:r>
              <w:rPr>
                <w:sz w:val="15"/>
                <w:szCs w:val="15"/>
              </w:rPr>
              <w:t xml:space="preserve">12.3</w:t>
            </w:r>
          </w:p>
        </w:tc>
        <w:tc>
          <w:tcPr>
            <w:tcW w:type="dxa" w:w="1850"/>
            <w:shd w:fill="F7F9FC" w:color="auto" w:val="clear"/>
            <w:tcMar>
              <w:top w:type="dxa" w:w="60"/>
              <w:left w:type="dxa" w:w="100"/>
              <w:bottom w:type="dxa" w:w="60"/>
              <w:right w:type="dxa" w:w="100"/>
            </w:tcMar>
            <w:vAlign w:val="top"/>
          </w:tcPr>
          <w:p>
            <w:r>
              <w:rPr>
                <w:sz w:val="15"/>
                <w:szCs w:val="15"/>
              </w:rPr>
              <w:t xml:space="preserve">579 (503–693)</w:t>
            </w:r>
          </w:p>
        </w:tc>
        <w:tc>
          <w:tcPr>
            <w:tcW w:type="dxa" w:w="1850"/>
            <w:shd w:fill="F7F9FC" w:color="auto" w:val="clear"/>
            <w:tcMar>
              <w:top w:type="dxa" w:w="60"/>
              <w:left w:type="dxa" w:w="100"/>
              <w:bottom w:type="dxa" w:w="60"/>
              <w:right w:type="dxa" w:w="100"/>
            </w:tcMar>
            <w:vAlign w:val="top"/>
          </w:tcPr>
          <w:p>
            <w:r>
              <w:rPr>
                <w:sz w:val="15"/>
                <w:szCs w:val="15"/>
              </w:rPr>
              <w:t xml:space="preserve">228 (200–257)</w:t>
            </w:r>
          </w:p>
        </w:tc>
      </w:tr>
      <w:tr>
        <w:trPr>
          <w:cantSplit/>
        </w:trPr>
        <w:tc>
          <w:tcPr>
            <w:tcW w:type="dxa" w:w="2238"/>
            <w:tcMar>
              <w:top w:type="dxa" w:w="60"/>
              <w:left w:type="dxa" w:w="100"/>
              <w:bottom w:type="dxa" w:w="60"/>
              <w:right w:type="dxa" w:w="100"/>
            </w:tcMar>
            <w:vAlign w:val="top"/>
          </w:tcPr>
          <w:p>
            <w:r>
              <w:rPr>
                <w:sz w:val="15"/>
                <w:szCs w:val="15"/>
              </w:rPr>
              <w:t xml:space="preserve">GJURMA, fitted jointly</w:t>
            </w:r>
          </w:p>
        </w:tc>
        <w:tc>
          <w:tcPr>
            <w:tcW w:type="dxa" w:w="1300"/>
            <w:tcMar>
              <w:top w:type="dxa" w:w="60"/>
              <w:left w:type="dxa" w:w="100"/>
              <w:bottom w:type="dxa" w:w="60"/>
              <w:right w:type="dxa" w:w="100"/>
            </w:tcMar>
            <w:vAlign w:val="top"/>
          </w:tcPr>
          <w:p>
            <w:r>
              <w:rPr>
                <w:sz w:val="15"/>
                <w:szCs w:val="15"/>
              </w:rPr>
              <w:t xml:space="preserve">8.3</w:t>
            </w:r>
          </w:p>
        </w:tc>
        <w:tc>
          <w:tcPr>
            <w:tcW w:type="dxa" w:w="1300"/>
            <w:tcMar>
              <w:top w:type="dxa" w:w="60"/>
              <w:left w:type="dxa" w:w="100"/>
              <w:bottom w:type="dxa" w:w="60"/>
              <w:right w:type="dxa" w:w="100"/>
            </w:tcMar>
            <w:vAlign w:val="top"/>
          </w:tcPr>
          <w:p>
            <w:r>
              <w:rPr>
                <w:sz w:val="15"/>
                <w:szCs w:val="15"/>
              </w:rPr>
              <w:t xml:space="preserve">4.0</w:t>
            </w:r>
          </w:p>
        </w:tc>
        <w:tc>
          <w:tcPr>
            <w:tcW w:type="dxa" w:w="1100"/>
            <w:tcMar>
              <w:top w:type="dxa" w:w="60"/>
              <w:left w:type="dxa" w:w="100"/>
              <w:bottom w:type="dxa" w:w="60"/>
              <w:right w:type="dxa" w:w="100"/>
            </w:tcMar>
            <w:vAlign w:val="top"/>
          </w:tcPr>
          <w:p>
            <w:r>
              <w:rPr>
                <w:sz w:val="15"/>
                <w:szCs w:val="15"/>
              </w:rPr>
              <w:t xml:space="preserve">17.1</w:t>
            </w:r>
          </w:p>
        </w:tc>
        <w:tc>
          <w:tcPr>
            <w:tcW w:type="dxa" w:w="1850"/>
            <w:tcMar>
              <w:top w:type="dxa" w:w="60"/>
              <w:left w:type="dxa" w:w="100"/>
              <w:bottom w:type="dxa" w:w="60"/>
              <w:right w:type="dxa" w:w="100"/>
            </w:tcMar>
            <w:vAlign w:val="top"/>
          </w:tcPr>
          <w:p>
            <w:r>
              <w:rPr>
                <w:sz w:val="15"/>
                <w:szCs w:val="15"/>
              </w:rPr>
              <w:t xml:space="preserve">624 (586–660)</w:t>
            </w:r>
          </w:p>
        </w:tc>
        <w:tc>
          <w:tcPr>
            <w:tcW w:type="dxa" w:w="1850"/>
            <w:tcMar>
              <w:top w:type="dxa" w:w="60"/>
              <w:left w:type="dxa" w:w="100"/>
              <w:bottom w:type="dxa" w:w="60"/>
              <w:right w:type="dxa" w:w="100"/>
            </w:tcMar>
            <w:vAlign w:val="top"/>
          </w:tcPr>
          <w:p>
            <w:r>
              <w:rPr>
                <w:sz w:val="15"/>
                <w:szCs w:val="15"/>
              </w:rPr>
              <w:t xml:space="preserve">458 (442–477)</w:t>
            </w:r>
          </w:p>
        </w:tc>
      </w:tr>
      <w:tr>
        <w:trPr>
          <w:cantSplit/>
        </w:trPr>
        <w:tc>
          <w:tcPr>
            <w:tcW w:type="dxa" w:w="2238"/>
            <w:shd w:fill="F7F9FC" w:color="auto" w:val="clear"/>
            <w:tcMar>
              <w:top w:type="dxa" w:w="60"/>
              <w:left w:type="dxa" w:w="100"/>
              <w:bottom w:type="dxa" w:w="60"/>
              <w:right w:type="dxa" w:w="100"/>
            </w:tcMar>
            <w:vAlign w:val="top"/>
          </w:tcPr>
          <w:p>
            <w:r>
              <w:rPr>
                <w:sz w:val="15"/>
                <w:szCs w:val="15"/>
              </w:rPr>
              <w:t xml:space="preserve">GJURMA, with the cut</w:t>
            </w:r>
          </w:p>
        </w:tc>
        <w:tc>
          <w:tcPr>
            <w:tcW w:type="dxa" w:w="1300"/>
            <w:shd w:fill="F7F9FC" w:color="auto" w:val="clear"/>
            <w:tcMar>
              <w:top w:type="dxa" w:w="60"/>
              <w:left w:type="dxa" w:w="100"/>
              <w:bottom w:type="dxa" w:w="60"/>
              <w:right w:type="dxa" w:w="100"/>
            </w:tcMar>
            <w:vAlign w:val="top"/>
          </w:tcPr>
          <w:p>
            <w:r>
              <w:rPr>
                <w:sz w:val="15"/>
                <w:szCs w:val="15"/>
              </w:rPr>
              <w:t xml:space="preserve">9.1</w:t>
            </w:r>
          </w:p>
        </w:tc>
        <w:tc>
          <w:tcPr>
            <w:tcW w:type="dxa" w:w="1300"/>
            <w:shd w:fill="F7F9FC" w:color="auto" w:val="clear"/>
            <w:tcMar>
              <w:top w:type="dxa" w:w="60"/>
              <w:left w:type="dxa" w:w="100"/>
              <w:bottom w:type="dxa" w:w="60"/>
              <w:right w:type="dxa" w:w="100"/>
            </w:tcMar>
            <w:vAlign w:val="top"/>
          </w:tcPr>
          <w:p>
            <w:r>
              <w:rPr>
                <w:sz w:val="15"/>
                <w:szCs w:val="15"/>
              </w:rPr>
              <w:t xml:space="preserve">3.0</w:t>
            </w:r>
          </w:p>
        </w:tc>
        <w:tc>
          <w:tcPr>
            <w:tcW w:type="dxa" w:w="1100"/>
            <w:shd w:fill="F7F9FC" w:color="auto" w:val="clear"/>
            <w:tcMar>
              <w:top w:type="dxa" w:w="60"/>
              <w:left w:type="dxa" w:w="100"/>
              <w:bottom w:type="dxa" w:w="60"/>
              <w:right w:type="dxa" w:w="100"/>
            </w:tcMar>
            <w:vAlign w:val="top"/>
          </w:tcPr>
          <w:p>
            <w:r>
              <w:rPr>
                <w:sz w:val="15"/>
                <w:szCs w:val="15"/>
              </w:rPr>
              <w:t xml:space="preserve">18.1</w:t>
            </w:r>
          </w:p>
        </w:tc>
        <w:tc>
          <w:tcPr>
            <w:tcW w:type="dxa" w:w="1850"/>
            <w:shd w:fill="F7F9FC" w:color="auto" w:val="clear"/>
            <w:tcMar>
              <w:top w:type="dxa" w:w="60"/>
              <w:left w:type="dxa" w:w="100"/>
              <w:bottom w:type="dxa" w:w="60"/>
              <w:right w:type="dxa" w:w="100"/>
            </w:tcMar>
            <w:vAlign w:val="top"/>
          </w:tcPr>
          <w:p>
            <w:r>
              <w:rPr>
                <w:sz w:val="15"/>
                <w:szCs w:val="15"/>
              </w:rPr>
              <w:t xml:space="preserve">672 (616–722)</w:t>
            </w:r>
          </w:p>
        </w:tc>
        <w:tc>
          <w:tcPr>
            <w:tcW w:type="dxa" w:w="1850"/>
            <w:shd w:fill="F7F9FC" w:color="auto" w:val="clear"/>
            <w:tcMar>
              <w:top w:type="dxa" w:w="60"/>
              <w:left w:type="dxa" w:w="100"/>
              <w:bottom w:type="dxa" w:w="60"/>
              <w:right w:type="dxa" w:w="100"/>
            </w:tcMar>
            <w:vAlign w:val="top"/>
          </w:tcPr>
          <w:p>
            <w:r>
              <w:rPr>
                <w:sz w:val="15"/>
                <w:szCs w:val="15"/>
              </w:rPr>
              <w:t xml:space="preserve">523 (500–551)</w:t>
            </w:r>
          </w:p>
        </w:tc>
      </w:tr>
      <w:tr>
        <w:trPr>
          <w:cantSplit/>
        </w:trPr>
        <w:tc>
          <w:tcPr>
            <w:tcW w:type="dxa" w:w="2238"/>
            <w:tcMar>
              <w:top w:type="dxa" w:w="60"/>
              <w:left w:type="dxa" w:w="100"/>
              <w:bottom w:type="dxa" w:w="60"/>
              <w:right w:type="dxa" w:w="100"/>
            </w:tcMar>
            <w:vAlign w:val="top"/>
          </w:tcPr>
          <w:p>
            <w:r>
              <w:rPr>
                <w:sz w:val="15"/>
                <w:szCs w:val="15"/>
              </w:rPr>
              <w:t xml:space="preserve">Oracle, true structure</w:t>
            </w:r>
          </w:p>
        </w:tc>
        <w:tc>
          <w:tcPr>
            <w:tcW w:type="dxa" w:w="1300"/>
            <w:tcMar>
              <w:top w:type="dxa" w:w="60"/>
              <w:left w:type="dxa" w:w="100"/>
              <w:bottom w:type="dxa" w:w="60"/>
              <w:right w:type="dxa" w:w="100"/>
            </w:tcMar>
            <w:vAlign w:val="top"/>
          </w:tcPr>
          <w:p>
            <w:r>
              <w:rPr>
                <w:sz w:val="15"/>
                <w:szCs w:val="15"/>
              </w:rPr>
              <w:t xml:space="preserve">9.3</w:t>
            </w:r>
          </w:p>
        </w:tc>
        <w:tc>
          <w:tcPr>
            <w:tcW w:type="dxa" w:w="1300"/>
            <w:tcMar>
              <w:top w:type="dxa" w:w="60"/>
              <w:left w:type="dxa" w:w="100"/>
              <w:bottom w:type="dxa" w:w="60"/>
              <w:right w:type="dxa" w:w="100"/>
            </w:tcMar>
            <w:vAlign w:val="top"/>
          </w:tcPr>
          <w:p>
            <w:r>
              <w:rPr>
                <w:sz w:val="15"/>
                <w:szCs w:val="15"/>
              </w:rPr>
              <w:t xml:space="preserve">6.3</w:t>
            </w:r>
          </w:p>
        </w:tc>
        <w:tc>
          <w:tcPr>
            <w:tcW w:type="dxa" w:w="1100"/>
            <w:tcMar>
              <w:top w:type="dxa" w:w="60"/>
              <w:left w:type="dxa" w:w="100"/>
              <w:bottom w:type="dxa" w:w="60"/>
              <w:right w:type="dxa" w:w="100"/>
            </w:tcMar>
            <w:vAlign w:val="top"/>
          </w:tcPr>
          <w:p>
            <w:r>
              <w:rPr>
                <w:sz w:val="15"/>
                <w:szCs w:val="15"/>
              </w:rPr>
              <w:t xml:space="preserve">17.6</w:t>
            </w:r>
          </w:p>
        </w:tc>
        <w:tc>
          <w:tcPr>
            <w:tcW w:type="dxa" w:w="1850"/>
            <w:tcMar>
              <w:top w:type="dxa" w:w="60"/>
              <w:left w:type="dxa" w:w="100"/>
              <w:bottom w:type="dxa" w:w="60"/>
              <w:right w:type="dxa" w:w="100"/>
            </w:tcMar>
            <w:vAlign w:val="top"/>
          </w:tcPr>
          <w:p>
            <w:r>
              <w:rPr>
                <w:sz w:val="15"/>
                <w:szCs w:val="15"/>
              </w:rPr>
              <w:t xml:space="preserve">572 (538–604)</w:t>
            </w:r>
          </w:p>
        </w:tc>
        <w:tc>
          <w:tcPr>
            <w:tcW w:type="dxa" w:w="1850"/>
            <w:tcMar>
              <w:top w:type="dxa" w:w="60"/>
              <w:left w:type="dxa" w:w="100"/>
              <w:bottom w:type="dxa" w:w="60"/>
              <w:right w:type="dxa" w:w="100"/>
            </w:tcMar>
            <w:vAlign w:val="top"/>
          </w:tcPr>
          <w:p>
            <w:r>
              <w:rPr>
                <w:sz w:val="15"/>
                <w:szCs w:val="15"/>
              </w:rPr>
              <w:t xml:space="preserve">477 (463–489)</w:t>
            </w:r>
          </w:p>
        </w:tc>
      </w:tr>
    </w:tbl>
    <w:p>
      <w:pPr>
        <w:spacing w:after="160"/>
      </w:pPr>
    </w:p>
    <w:p>
      <w:pPr>
        <w:keepNext/>
        <w:spacing w:after="60" w:before="120"/>
        <w:jc w:val="center"/>
      </w:pPr>
      <w:r>
        <w:drawing>
          <wp:inline distT="0" distB="0" distL="0" distR="0">
            <wp:extent cx="5943600" cy="1981200"/>
            <wp:effectExtent t="0" r="0" b="0" l="0"/>
            <wp:docPr id="1" name="Fit of the five models to the field data and their forecasts for 2045" descr="Fit of the five models to the field data and their forecasts for 2045" title="Fit of the five models to the field data and their forecasts for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81200"/>
                    </a:xfrm>
                    <a:prstGeom prst="rect">
                      <a:avLst/>
                    </a:prstGeom>
                  </pic:spPr>
                </pic:pic>
              </a:graphicData>
            </a:graphic>
          </wp:inline>
        </w:drawing>
      </w:r>
    </w:p>
    <w:p>
      <w:pPr>
        <w:spacing w:after="200"/>
        <w:jc w:val="both"/>
      </w:pPr>
      <w:r>
        <w:rPr>
          <w:b/>
          <w:bCs/>
          <w:color w:val="3A4350"/>
          <w:sz w:val="18"/>
          <w:szCs w:val="18"/>
        </w:rPr>
        <w:t xml:space="preserve">Figure 9.4.</w:t>
      </w:r>
      <w:r>
        <w:rPr>
          <w:color w:val="3A4350"/>
          <w:sz w:val="18"/>
          <w:szCs w:val="18"/>
        </w:rPr>
        <w:t xml:space="preserve"> The field data of sheets 5 and 6. (a) Root-mean-square misfit by ion and of the chloride history, in units of the 5% error (legend: misfit of all 34 data). (b) The 28 analyses of 2016, observed and fitted by three models. (c, d) Forecasts for 2045 of chloride at the edge of the abstraction field and of sodium at 3 km, posterior mean and 90% interval.</w:t>
      </w:r>
    </w:p>
    <w:p>
      <w:pPr>
        <w:spacing w:after="120"/>
        <w:jc w:val="both"/>
      </w:pPr>
      <w:r>
        <w:t xml:space="preserve">The forecasts for 2045 disagree by more than their intervals: chloride at the edge of the abstraction field between 568 and 672 mg/L, sodium at 3 km between 228 mg/L (free closure) and 523 mg/L (GJURMA with the cut). With misspecified models, posterior intervals describe the uncertainty within each model, not between them. This is the situation for which proposal N3 reports robust upper and lower expectations, and the reason why the field test of the candidate system needs the two- or three-dimensional variable-density model of the base paper, with real well positions, rather than a flow line.</w:t>
      </w:r>
    </w:p>
    <w:p>
      <w:pPr>
        <w:pStyle w:val="Heading3"/>
      </w:pPr>
      <w:r>
        <w:rPr>
          <w:color w:val="1F3864"/>
        </w:rPr>
        <w:t xml:space="preserve">9.9 How the papers of Part II feed into GJURMA-GO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700"/>
        <w:gridCol w:w="53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GJURMA-GO</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field split: departures from mixing as integrated closure terms (sections 9.1 and 9.5)</w:t>
            </w:r>
          </w:p>
        </w:tc>
        <w:tc>
          <w:tcPr>
            <w:tcW w:type="dxa" w:w="1700"/>
            <w:tcMar>
              <w:top w:type="dxa" w:w="60"/>
              <w:left w:type="dxa" w:w="100"/>
              <w:bottom w:type="dxa" w:w="60"/>
              <w:right w:type="dxa" w:w="100"/>
            </w:tcMar>
            <w:vAlign w:val="top"/>
          </w:tcPr>
          <w:p>
            <w:r>
              <w:rPr>
                <w:sz w:val="17"/>
                <w:szCs w:val="17"/>
              </w:rPr>
              <w:t xml:space="preserve">[E4], [O5], [H7], [M7]</w:t>
            </w:r>
          </w:p>
        </w:tc>
        <w:tc>
          <w:tcPr>
            <w:tcW w:type="dxa" w:w="5338"/>
            <w:tcMar>
              <w:top w:type="dxa" w:w="60"/>
              <w:left w:type="dxa" w:w="100"/>
              <w:bottom w:type="dxa" w:w="60"/>
              <w:right w:type="dxa" w:w="100"/>
            </w:tcMar>
            <w:vAlign w:val="top"/>
          </w:tcPr>
          <w:p>
            <w:r>
              <w:rPr>
                <w:sz w:val="17"/>
                <w:szCs w:val="17"/>
              </w:rPr>
              <w:t xml:space="preserve">Rates driven by the mixing of a conservative component [E4]; macro-scale rates, not mechanisms [O5]; guaranteed sets under bounded analytical errors [H7]; a missing reaction learned as a stoichiometric column [M7].</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Memory from the silt–clay layers (Proposition 3)</w:t>
            </w:r>
          </w:p>
        </w:tc>
        <w:tc>
          <w:tcPr>
            <w:tcW w:type="dxa" w:w="1700"/>
            <w:shd w:fill="F7F9FC" w:color="auto" w:val="clear"/>
            <w:tcMar>
              <w:top w:type="dxa" w:w="60"/>
              <w:left w:type="dxa" w:w="100"/>
              <w:bottom w:type="dxa" w:w="60"/>
              <w:right w:type="dxa" w:w="100"/>
            </w:tcMar>
            <w:vAlign w:val="top"/>
          </w:tcPr>
          <w:p>
            <w:r>
              <w:rPr>
                <w:sz w:val="17"/>
                <w:szCs w:val="17"/>
              </w:rPr>
              <w:t xml:space="preserve">[M1], [M3], [E1], [E3], [O2]</w:t>
            </w:r>
          </w:p>
        </w:tc>
        <w:tc>
          <w:tcPr>
            <w:tcW w:type="dxa" w:w="5338"/>
            <w:shd w:fill="F7F9FC" w:color="auto" w:val="clear"/>
            <w:tcMar>
              <w:top w:type="dxa" w:w="60"/>
              <w:left w:type="dxa" w:w="100"/>
              <w:bottom w:type="dxa" w:w="60"/>
              <w:right w:type="dxa" w:w="100"/>
            </w:tcMar>
            <w:vAlign w:val="top"/>
          </w:tcPr>
          <w:p>
            <w:r>
              <w:rPr>
                <w:sz w:val="17"/>
                <w:szCs w:val="17"/>
              </w:rPr>
              <w:t xml:space="preserve">Delay closures [M1]; memory from switching flow states [M3]; universality of oscillator memories [E1]; kernels deconvolved from records [E3]; kernels with posterior guarantees [O2].</w:t>
            </w:r>
          </w:p>
        </w:tc>
      </w:tr>
      <w:tr>
        <w:trPr>
          <w:cantSplit/>
        </w:trPr>
        <w:tc>
          <w:tcPr>
            <w:tcW w:type="dxa" w:w="2600"/>
            <w:tcMar>
              <w:top w:type="dxa" w:w="60"/>
              <w:left w:type="dxa" w:w="100"/>
              <w:bottom w:type="dxa" w:w="60"/>
              <w:right w:type="dxa" w:w="100"/>
            </w:tcMar>
            <w:vAlign w:val="top"/>
          </w:tcPr>
          <w:p>
            <w:r>
              <w:rPr>
                <w:sz w:val="17"/>
                <w:szCs w:val="17"/>
              </w:rPr>
              <w:t xml:space="preserve">The stoichiometric learned closure with exchanger memory (section 9.3)</w:t>
            </w:r>
          </w:p>
        </w:tc>
        <w:tc>
          <w:tcPr>
            <w:tcW w:type="dxa" w:w="1700"/>
            <w:tcMar>
              <w:top w:type="dxa" w:w="60"/>
              <w:left w:type="dxa" w:w="100"/>
              <w:bottom w:type="dxa" w:w="60"/>
              <w:right w:type="dxa" w:w="100"/>
            </w:tcMar>
            <w:vAlign w:val="top"/>
          </w:tcPr>
          <w:p>
            <w:r>
              <w:rPr>
                <w:sz w:val="17"/>
                <w:szCs w:val="17"/>
              </w:rPr>
              <w:t xml:space="preserve">[H1], [H2], [H3], [M5], [O4]</w:t>
            </w:r>
          </w:p>
        </w:tc>
        <w:tc>
          <w:tcPr>
            <w:tcW w:type="dxa" w:w="5338"/>
            <w:tcMar>
              <w:top w:type="dxa" w:w="60"/>
              <w:left w:type="dxa" w:w="100"/>
              <w:bottom w:type="dxa" w:w="60"/>
              <w:right w:type="dxa" w:w="100"/>
            </w:tcMar>
            <w:vAlign w:val="top"/>
          </w:tcPr>
          <w:p>
            <w:r>
              <w:rPr>
                <w:sz w:val="17"/>
                <w:szCs w:val="17"/>
              </w:rPr>
              <w:t xml:space="preserve">Online-learned reaction terms and their drift [H1]; stable training in a compressed state [H2]; locally active reactions [H3]; hard constraints in closures [M5]; closures with an internal state from homogenisation [O4].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Identifiability: Fisher spectra and the cut through chloride (sections 9.4 and 9.7)</w:t>
            </w:r>
          </w:p>
        </w:tc>
        <w:tc>
          <w:tcPr>
            <w:tcW w:type="dxa" w:w="1700"/>
            <w:shd w:fill="F7F9FC" w:color="auto" w:val="clear"/>
            <w:tcMar>
              <w:top w:type="dxa" w:w="60"/>
              <w:left w:type="dxa" w:w="100"/>
              <w:bottom w:type="dxa" w:w="60"/>
              <w:right w:type="dxa" w:w="100"/>
            </w:tcMar>
            <w:vAlign w:val="top"/>
          </w:tcPr>
          <w:p>
            <w:r>
              <w:rPr>
                <w:sz w:val="17"/>
                <w:szCs w:val="17"/>
              </w:rPr>
              <w:t xml:space="preserve">[O3], [O6], [H4], [M6], [E6]</w:t>
            </w:r>
          </w:p>
        </w:tc>
        <w:tc>
          <w:tcPr>
            <w:tcW w:type="dxa" w:w="5338"/>
            <w:shd w:fill="F7F9FC" w:color="auto" w:val="clear"/>
            <w:tcMar>
              <w:top w:type="dxa" w:w="60"/>
              <w:left w:type="dxa" w:w="100"/>
              <w:bottom w:type="dxa" w:w="60"/>
              <w:right w:type="dxa" w:w="100"/>
            </w:tcMar>
            <w:vAlign w:val="top"/>
          </w:tcPr>
          <w:p>
            <w:r>
              <w:rPr>
                <w:sz w:val="17"/>
                <w:szCs w:val="17"/>
              </w:rPr>
              <w:t xml:space="preserve">Profile likelihood [O3]; identifiable surrogates [O6]; source–sink separability [H4]; decorrelating learned functions [M6]; invariance across environments [E6].</w:t>
            </w:r>
          </w:p>
        </w:tc>
      </w:tr>
      <w:tr>
        <w:trPr>
          <w:cantSplit/>
        </w:trPr>
        <w:tc>
          <w:tcPr>
            <w:tcW w:type="dxa" w:w="2600"/>
            <w:tcMar>
              <w:top w:type="dxa" w:w="60"/>
              <w:left w:type="dxa" w:w="100"/>
              <w:bottom w:type="dxa" w:w="60"/>
              <w:right w:type="dxa" w:w="100"/>
            </w:tcMar>
            <w:vAlign w:val="top"/>
          </w:tcPr>
          <w:p>
            <w:r>
              <w:rPr>
                <w:sz w:val="17"/>
                <w:szCs w:val="17"/>
              </w:rPr>
              <w:t xml:space="preserve">Assimilation of the augmented state (section 9.4)</w:t>
            </w:r>
          </w:p>
        </w:tc>
        <w:tc>
          <w:tcPr>
            <w:tcW w:type="dxa" w:w="1700"/>
            <w:tcMar>
              <w:top w:type="dxa" w:w="60"/>
              <w:left w:type="dxa" w:w="100"/>
              <w:bottom w:type="dxa" w:w="60"/>
              <w:right w:type="dxa" w:w="100"/>
            </w:tcMar>
            <w:vAlign w:val="top"/>
          </w:tcPr>
          <w:p>
            <w:r>
              <w:rPr>
                <w:sz w:val="17"/>
                <w:szCs w:val="17"/>
              </w:rPr>
              <w:t xml:space="preserve">[M2], [M4], [O7], [O8], [H5], [E5]</w:t>
            </w:r>
          </w:p>
        </w:tc>
        <w:tc>
          <w:tcPr>
            <w:tcW w:type="dxa" w:w="5338"/>
            <w:tcMar>
              <w:top w:type="dxa" w:w="60"/>
              <w:left w:type="dxa" w:w="100"/>
              <w:bottom w:type="dxa" w:w="60"/>
              <w:right w:type="dxa" w:w="100"/>
            </w:tcMar>
            <w:vAlign w:val="top"/>
          </w:tcPr>
          <w:p>
            <w:r>
              <w:rPr>
                <w:sz w:val="17"/>
                <w:szCs w:val="17"/>
              </w:rPr>
              <w:t xml:space="preserve">Joint learning of forms, parameters and states [M2]; elliptic observations [M4]; adjoints of learned closures [O7]; multifidelity calibration [O8]; variational reconstruction [H5]; learned filters for irregular sampling [E5].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Where the forecast is not Gaussian (proposal N2, section 9.7)</w:t>
            </w:r>
          </w:p>
        </w:tc>
        <w:tc>
          <w:tcPr>
            <w:tcW w:type="dxa" w:w="1700"/>
            <w:shd w:fill="F7F9FC" w:color="auto" w:val="clear"/>
            <w:tcMar>
              <w:top w:type="dxa" w:w="60"/>
              <w:left w:type="dxa" w:w="100"/>
              <w:bottom w:type="dxa" w:w="60"/>
              <w:right w:type="dxa" w:w="100"/>
            </w:tcMar>
            <w:vAlign w:val="top"/>
          </w:tcPr>
          <w:p>
            <w:r>
              <w:rPr>
                <w:sz w:val="17"/>
                <w:szCs w:val="17"/>
              </w:rPr>
              <w:t xml:space="preserve">[M8], [E2], [E7], [O1]</w:t>
            </w:r>
          </w:p>
        </w:tc>
        <w:tc>
          <w:tcPr>
            <w:tcW w:type="dxa" w:w="5338"/>
            <w:shd w:fill="F7F9FC" w:color="auto" w:val="clear"/>
            <w:tcMar>
              <w:top w:type="dxa" w:w="60"/>
              <w:left w:type="dxa" w:w="100"/>
              <w:bottom w:type="dxa" w:w="60"/>
              <w:right w:type="dxa" w:w="100"/>
            </w:tcMar>
            <w:vAlign w:val="top"/>
          </w:tcPr>
          <w:p>
            <w:r>
              <w:rPr>
                <w:sz w:val="17"/>
                <w:szCs w:val="17"/>
              </w:rPr>
              <w:t xml:space="preserve">Minimax rates for transport maps [M8]; convergent particle filters on reaction networks [E2]; failure of linear reconstruction at fronts [E7]; transport noise as model error [O1].</w:t>
            </w:r>
          </w:p>
        </w:tc>
      </w:tr>
      <w:tr>
        <w:trPr>
          <w:cantSplit/>
        </w:trPr>
        <w:tc>
          <w:tcPr>
            <w:tcW w:type="dxa" w:w="2600"/>
            <w:tcMar>
              <w:top w:type="dxa" w:w="60"/>
              <w:left w:type="dxa" w:w="100"/>
              <w:bottom w:type="dxa" w:w="60"/>
              <w:right w:type="dxa" w:w="100"/>
            </w:tcMar>
            <w:vAlign w:val="top"/>
          </w:tcPr>
          <w:p>
            <w:r>
              <w:rPr>
                <w:sz w:val="17"/>
                <w:szCs w:val="17"/>
              </w:rPr>
              <w:t xml:space="preserve">Honest reports under misspecification (sections 9.6 and 9.8)</w:t>
            </w:r>
          </w:p>
        </w:tc>
        <w:tc>
          <w:tcPr>
            <w:tcW w:type="dxa" w:w="1700"/>
            <w:tcMar>
              <w:top w:type="dxa" w:w="60"/>
              <w:left w:type="dxa" w:w="100"/>
              <w:bottom w:type="dxa" w:w="60"/>
              <w:right w:type="dxa" w:w="100"/>
            </w:tcMar>
            <w:vAlign w:val="top"/>
          </w:tcPr>
          <w:p>
            <w:r>
              <w:rPr>
                <w:sz w:val="17"/>
                <w:szCs w:val="17"/>
              </w:rPr>
              <w:t xml:space="preserve">[H6], [H7], [E6]</w:t>
            </w:r>
          </w:p>
        </w:tc>
        <w:tc>
          <w:tcPr>
            <w:tcW w:type="dxa" w:w="5338"/>
            <w:tcMar>
              <w:top w:type="dxa" w:w="60"/>
              <w:left w:type="dxa" w:w="100"/>
              <w:bottom w:type="dxa" w:w="60"/>
              <w:right w:type="dxa" w:w="100"/>
            </w:tcMar>
            <w:vAlign w:val="top"/>
          </w:tcPr>
          <w:p>
            <w:r>
              <w:rPr>
                <w:sz w:val="17"/>
                <w:szCs w:val="17"/>
              </w:rPr>
              <w:t xml:space="preserve">Reproducible bagged posteriors [H6]; guaranteed sets [H7]; the worst case over shifts as an upper expectation [E6].</w:t>
            </w:r>
          </w:p>
        </w:tc>
      </w:tr>
    </w:tbl>
    <w:p>
      <w:pPr>
        <w:spacing w:after="160"/>
      </w:pPr>
    </w:p>
    <w:p>
      <w:pPr>
        <w:pStyle w:val="Heading3"/>
      </w:pPr>
      <w:r>
        <w:rPr>
          <w:color w:val="1F3864"/>
        </w:rPr>
        <w:t xml:space="preserve">9.10 The candidate system, what is new, and limitations</w:t>
      </w:r>
    </w:p>
    <w:p>
      <w:pPr>
        <w:spacing w:after="120"/>
        <w:jc w:val="both"/>
      </w:pPr>
      <w:r>
        <w:t xml:space="preserve">GJURMA-GO tests the transport half of the candidate system of section 1.10 and gives four results that, to our knowledge, have not been put together before. First, the departures of the major ions from mixing are integrated closure terms that can be split on a stoichiometric basis with uncertainty, so field chemistry tells which closure the transport equation needs before any model is fitted. Second, a learned closure confined to the span of the stoichiometric matrix, with availability-limited rates and its own exchanger memory, is identifiable from a few dozen analyses, and is more accurate and sharper than a free learned closure. Third, the cut through chloride, the reaction invariant, calibrates the forecasts of the conservative quantities that management cares about most. Fourth, the switch of a hybrid filter must be measured against the observation error, not in standardised units. Each result is a building block of the COST proposal: a coupled flow and multi-species transport system whose unknown terms are learned within the constraints of chemistry and assimilated from the data that coastal agencies already collect.</w:t>
      </w:r>
    </w:p>
    <w:p>
      <w:pPr>
        <w:pStyle w:val="ListParagraph"/>
        <w:numPr>
          <w:ilvl w:val="0"/>
          <w:numId w:val="2"/>
        </w:numPr>
        <w:spacing w:after="60"/>
        <w:jc w:val="both"/>
      </w:pPr>
      <w:r>
        <w:rPr>
          <w:b/>
          <w:bCs/>
        </w:rPr>
        <w:t xml:space="preserve">Geometry.</w:t>
      </w:r>
      <w:r>
        <w:t xml:space="preserve"> A one-dimensional flow line with assumed well positions, pumping history and seawater salinity; density is not coupled and the flow closure of N1 is not tested. The next step is the two- or three-dimensional variable-density model of the base paper with the full composition.</w:t>
      </w:r>
    </w:p>
    <w:p>
      <w:pPr>
        <w:pStyle w:val="ListParagraph"/>
        <w:numPr>
          <w:ilvl w:val="0"/>
          <w:numId w:val="2"/>
        </w:numPr>
        <w:spacing w:after="60"/>
        <w:jc w:val="both"/>
      </w:pPr>
      <w:r>
        <w:rPr>
          <w:b/>
          <w:bCs/>
        </w:rPr>
        <w:t xml:space="preserve">Memory.</w:t>
      </w:r>
      <w:r>
        <w:t xml:space="preserve"> The truth uses the same mobile–immobile memory as the learned models, so the test does not ask whether a completely monotone kernel can be learned when the true one differs; multi-rate truths are the next test.</w:t>
      </w:r>
    </w:p>
    <w:p>
      <w:pPr>
        <w:pStyle w:val="ListParagraph"/>
        <w:numPr>
          <w:ilvl w:val="0"/>
          <w:numId w:val="2"/>
        </w:numPr>
        <w:spacing w:after="60"/>
        <w:jc w:val="both"/>
      </w:pPr>
      <w:r>
        <w:rPr>
          <w:b/>
          <w:bCs/>
        </w:rPr>
        <w:t xml:space="preserve">Initial state.</w:t>
      </w:r>
      <w:r>
        <w:t xml:space="preserve"> The truth starts with an exchanger in equilibrium with fresh water. The reversed Na–Mg exchange at well 340 suggests a relic marine exchanger in the central sector, the initial-state term of Proposition 3 and of the Mori–Zwanzig formalism; the simulator can start from it, but it was not used in the reported runs.</w:t>
      </w:r>
    </w:p>
    <w:p>
      <w:pPr>
        <w:pStyle w:val="ListParagraph"/>
        <w:numPr>
          <w:ilvl w:val="0"/>
          <w:numId w:val="2"/>
        </w:numPr>
        <w:spacing w:after="60"/>
        <w:jc w:val="both"/>
      </w:pPr>
      <w:r>
        <w:rPr>
          <w:b/>
          <w:bCs/>
        </w:rPr>
        <w:t xml:space="preserve">Estimation.</w:t>
      </w:r>
      <w:r>
        <w:t xml:space="preserve"> The ensemble smoother with 100 members is approximate for 40 parameters, and the free closure's wide intervals partly reflect this; the sodium and hardness intervals of GJURMA are too narrow (section 9.6) and need a discrepancy term or the robust band of N3.</w:t>
      </w:r>
    </w:p>
    <w:p>
      <w:pPr>
        <w:pStyle w:val="ListParagraph"/>
        <w:numPr>
          <w:ilvl w:val="0"/>
          <w:numId w:val="2"/>
        </w:numPr>
        <w:spacing w:after="60"/>
        <w:jc w:val="both"/>
      </w:pPr>
      <w:r>
        <w:rPr>
          <w:b/>
          <w:bCs/>
        </w:rPr>
        <w:t xml:space="preserve">The field split</w:t>
      </w:r>
      <w:r>
        <w:t xml:space="preserve"> assumes five reactions; reactions with the same signature cannot be told apart, and four analyses at one date cannot show how the extents change in time. Repeated major-ion surveys at the monitoring wells would turn the split into data for the assimilation.</w:t>
      </w:r>
    </w:p>
    <w:p>
      <w:pPr>
        <w:pStyle w:val="ListParagraph"/>
        <w:numPr>
          <w:ilvl w:val="0"/>
          <w:numId w:val="2"/>
        </w:numPr>
        <w:spacing w:after="60"/>
        <w:jc w:val="both"/>
      </w:pPr>
      <w:r>
        <w:rPr>
          <w:b/>
          <w:bCs/>
        </w:rPr>
        <w:t xml:space="preserve">Proposals N2 and N3</w:t>
      </w:r>
      <w:r>
        <w:t xml:space="preserve"> were tested only in part: the switch statistic of N2 was computed but the transport-map analysis was not run, and the robust band of N3 was not computed for this model.</w:t>
      </w:r>
    </w:p>
    <w:p>
      <w:pPr>
        <w:pStyle w:val="Heading1"/>
        <w:pageBreakBefore/>
      </w:pPr>
      <w:r>
        <w:rPr>
          <w:color w:val="1F3864"/>
        </w:rPr>
        <w:t xml:space="preserve">10. References</w:t>
      </w:r>
    </w:p>
    <w:p>
      <w:pPr>
        <w:pStyle w:val="Heading3"/>
      </w:pPr>
      <w:r>
        <w:rPr>
          <w:color w:val="1F3864"/>
        </w:rPr>
        <w:t xml:space="preserve">References of Part I (base paper, data source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Zeqiraj, D. (2026). Goal-oriented Bayesian experimental design for variable-density seawater intrusion: adjoint expected information gain for joint monitoring and managed-aquifer-recharge placement. </w:t>
      </w:r>
      <w:r>
        <w:rPr>
          <w:i/>
          <w:iCs/>
          <w:sz w:val="19"/>
          <w:szCs w:val="19"/>
        </w:rPr>
        <w:t xml:space="preserve">Journal of Hydrology</w:t>
      </w:r>
      <w:r>
        <w:rPr>
          <w:sz w:val="19"/>
          <w:szCs w:val="19"/>
        </w:rPr>
        <w:t xml:space="preserve">, 680, 136559.</w:t>
      </w:r>
      <w:r>
        <w:rPr>
          <w:sz w:val="19"/>
          <w:szCs w:val="19"/>
        </w:rPr>
        <w:t xml:space="preserve"> </w:t>
      </w:r>
      <w:hyperlink w:history="1" r:id="rIdn0gvc3zoe0hb-c3lkh4ha">
        <w:r>
          <w:rPr>
            <w:color w:val="1D4ED8"/>
            <w:sz w:val="19"/>
            <w:szCs w:val="19"/>
            <w:u w:val="single"/>
          </w:rPr>
          <w:t xml:space="preserve">https://doi.org/10.1016/j.jhydrol.2026.136559</w:t>
        </w:r>
      </w:hyperlink>
    </w:p>
    <w:p>
      <w:pPr>
        <w:tabs>
          <w:tab w:val="left" w:pos="567"/>
        </w:tabs>
        <w:spacing w:after="90"/>
        <w:ind w:left="567" w:hanging="567"/>
        <w:jc w:val="left"/>
      </w:pPr>
      <w:r>
        <w:rPr>
          <w:b/>
          <w:bCs/>
          <w:color w:val="1F3864"/>
          <w:sz w:val="19"/>
          <w:szCs w:val="19"/>
        </w:rPr>
        <w:t xml:space="preserve">[B1]	</w:t>
      </w:r>
      <w:r>
        <w:rPr>
          <w:sz w:val="19"/>
          <w:szCs w:val="19"/>
        </w:rPr>
        <w:t xml:space="preserve">Appelo, C. A. J. &amp; Postma, D. (2005). </w:t>
      </w:r>
      <w:r>
        <w:rPr>
          <w:i/>
          <w:iCs/>
          <w:sz w:val="19"/>
          <w:szCs w:val="19"/>
        </w:rPr>
        <w:t xml:space="preserve">Geochemistry, Groundwater and Pollution</w:t>
      </w:r>
      <w:r>
        <w:rPr>
          <w:sz w:val="19"/>
          <w:szCs w:val="19"/>
        </w:rPr>
        <w:t xml:space="preserve">, second edition. Balkema (pages not verified).</w:t>
      </w:r>
    </w:p>
    <w:p>
      <w:pPr>
        <w:tabs>
          <w:tab w:val="left" w:pos="567"/>
        </w:tabs>
        <w:spacing w:after="90"/>
        <w:ind w:left="567" w:hanging="567"/>
        <w:jc w:val="left"/>
      </w:pPr>
      <w:r>
        <w:rPr>
          <w:b/>
          <w:bCs/>
          <w:color w:val="1F3864"/>
          <w:sz w:val="19"/>
          <w:szCs w:val="19"/>
        </w:rPr>
        <w:t xml:space="preserve">[B2]	</w:t>
      </w:r>
      <w:r>
        <w:rPr>
          <w:sz w:val="19"/>
          <w:szCs w:val="19"/>
        </w:rPr>
        <w:t xml:space="preserve">Cenameri, S. &amp; Beqiraj, A. (2016). Assessment of seawater intrusion in Fushë-Kuqe aquifer, Albania. </w:t>
      </w:r>
      <w:r>
        <w:rPr>
          <w:i/>
          <w:iCs/>
          <w:sz w:val="19"/>
          <w:szCs w:val="19"/>
        </w:rPr>
        <w:t xml:space="preserve">Bulletin of the Geological Society of Greece</w:t>
      </w:r>
      <w:r>
        <w:rPr>
          <w:sz w:val="19"/>
          <w:szCs w:val="19"/>
        </w:rPr>
        <w:t xml:space="preserve">, 50(2), 665–670.</w:t>
      </w:r>
      <w:r>
        <w:rPr>
          <w:sz w:val="19"/>
          <w:szCs w:val="19"/>
        </w:rPr>
        <w:t xml:space="preserve"> </w:t>
      </w:r>
      <w:hyperlink w:history="1" r:id="rIdzd4ggv8e4_k_hewzpk4da">
        <w:r>
          <w:rPr>
            <w:color w:val="1D4ED8"/>
            <w:sz w:val="19"/>
            <w:szCs w:val="19"/>
            <w:u w:val="single"/>
          </w:rPr>
          <w:t xml:space="preserve">https://doi.org/10.12681/bgsg.11772</w:t>
        </w:r>
      </w:hyperlink>
    </w:p>
    <w:p>
      <w:pPr>
        <w:tabs>
          <w:tab w:val="left" w:pos="567"/>
        </w:tabs>
        <w:spacing w:after="90"/>
        <w:ind w:left="567" w:hanging="567"/>
        <w:jc w:val="left"/>
      </w:pPr>
      <w:r>
        <w:rPr>
          <w:b/>
          <w:bCs/>
          <w:color w:val="1F3864"/>
          <w:sz w:val="19"/>
          <w:szCs w:val="19"/>
        </w:rPr>
        <w:t xml:space="preserve">[B3]	</w:t>
      </w:r>
      <w:r>
        <w:rPr>
          <w:sz w:val="19"/>
          <w:szCs w:val="19"/>
        </w:rPr>
        <w:t xml:space="preserve">Haggerty, R. &amp; Gorelick, S. M. (1995). Multiple-rate mass transfer for modeling diffusion and surface reactions in media with pore-scale heterogeneity.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Carrera, J., Sánchez-Vila, X., Benet, I., Medina, A., Galarza, G. &amp; Guimerà, J. (1998). On matrix diffusion: formulations, solution methods and qualitative effects. </w:t>
      </w:r>
      <w:r>
        <w:rPr>
          <w:i/>
          <w:iCs/>
          <w:sz w:val="19"/>
          <w:szCs w:val="19"/>
        </w:rPr>
        <w:t xml:space="preserve">Hydrogeology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Zwanzig, R. (2001). </w:t>
      </w:r>
      <w:r>
        <w:rPr>
          <w:i/>
          <w:iCs/>
          <w:sz w:val="19"/>
          <w:szCs w:val="19"/>
        </w:rPr>
        <w:t xml:space="preserve">Nonequilibrium Statistical Mechanics</w:t>
      </w:r>
      <w:r>
        <w:rPr>
          <w:sz w:val="19"/>
          <w:szCs w:val="19"/>
        </w:rPr>
        <w:t xml:space="preserve">. Oxford University Press (pages not verified).</w:t>
      </w:r>
    </w:p>
    <w:p>
      <w:pPr>
        <w:tabs>
          <w:tab w:val="left" w:pos="567"/>
        </w:tabs>
        <w:spacing w:after="90"/>
        <w:ind w:left="567" w:hanging="567"/>
        <w:jc w:val="left"/>
      </w:pPr>
      <w:r>
        <w:rPr>
          <w:b/>
          <w:bCs/>
          <w:color w:val="1F3864"/>
          <w:sz w:val="19"/>
          <w:szCs w:val="19"/>
        </w:rPr>
        <w:t xml:space="preserve">[B6]	</w:t>
      </w:r>
      <w:r>
        <w:rPr>
          <w:sz w:val="19"/>
          <w:szCs w:val="19"/>
        </w:rPr>
        <w:t xml:space="preserve">Chorin, A. J., Hald, O. H. &amp; Kupferman, R. (2002). Optimal prediction with memory. </w:t>
      </w:r>
      <w:r>
        <w:rPr>
          <w:i/>
          <w:iCs/>
          <w:sz w:val="19"/>
          <w:szCs w:val="19"/>
        </w:rPr>
        <w:t xml:space="preserve">Physica D</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Lichtner, P. C. (1985). Continuum model for simultaneous chemical reactions and mass transport in hydrothermal systems. </w:t>
      </w:r>
      <w:r>
        <w:rPr>
          <w:i/>
          <w:iCs/>
          <w:sz w:val="19"/>
          <w:szCs w:val="19"/>
        </w:rPr>
        <w:t xml:space="preserve">Geochimica et Cosmochimica Acta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Saaltink, M. W., Ayora, C. &amp; Carrera, J. (1998). A mathematical formulation for reactive transport that eliminates mineral concentrations.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Emerick, A. A. &amp; Reynolds, A. C. (2013). Ensemble smoother with multiple data assimilation. </w:t>
      </w:r>
      <w:r>
        <w:rPr>
          <w:i/>
          <w:iCs/>
          <w:sz w:val="19"/>
          <w:szCs w:val="19"/>
        </w:rPr>
        <w:t xml:space="preserve">Computers &amp; Geosciences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Iglesias, M. A., Law, K. J. H. &amp; Stuart, A. M. (2013). Ensemble Kalman methods for inverse problems. </w:t>
      </w:r>
      <w:r>
        <w:rPr>
          <w:i/>
          <w:iCs/>
          <w:sz w:val="19"/>
          <w:szCs w:val="19"/>
        </w:rPr>
        <w:t xml:space="preserve">Inverse Problems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Plummer, L. N., Prestemon, E. C. &amp; Parkhurst, D. L. (1994). An interactive code (NETPATH) for modeling net geochemical reactions along a flow path. U.S. Geological Survey report (number not verified).</w:t>
      </w:r>
    </w:p>
    <w:p>
      <w:pPr>
        <w:tabs>
          <w:tab w:val="left" w:pos="567"/>
        </w:tabs>
        <w:spacing w:after="90"/>
        <w:ind w:left="567" w:hanging="567"/>
        <w:jc w:val="left"/>
      </w:pPr>
      <w:r>
        <w:rPr>
          <w:b/>
          <w:bCs/>
          <w:color w:val="1F3864"/>
          <w:sz w:val="19"/>
          <w:szCs w:val="19"/>
        </w:rPr>
        <w:t xml:space="preserve">[B12]	</w:t>
      </w:r>
      <w:r>
        <w:rPr>
          <w:sz w:val="19"/>
          <w:szCs w:val="19"/>
        </w:rPr>
        <w:t xml:space="preserve">Werner, A. D. et al. (2013). Seawater intrusion processes, investigation and management: recent advances and future challenges. </w:t>
      </w:r>
      <w:r>
        <w:rPr>
          <w:i/>
          <w:iCs/>
          <w:sz w:val="19"/>
          <w:szCs w:val="19"/>
        </w:rPr>
        <w:t xml:space="preserve">Advances in Water Resources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Voss, C. I. &amp; Souza, W. R. (1987). Variable density flow and solute transport simulation of regional aquifers containing a narrow freshwater–saltwater transition zone.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Plummer, M. (2015). Cuts in Bayesian graphical models. </w:t>
      </w:r>
      <w:r>
        <w:rPr>
          <w:i/>
          <w:iCs/>
          <w:sz w:val="19"/>
          <w:szCs w:val="19"/>
        </w:rPr>
        <w:t xml:space="preserve">Statistics and Computing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Gaines, G. L. &amp; Thomas, H. C. (1953). Adsorption studies on clay minerals. II. A formulation of the thermodynamics of exchange adsorption. </w:t>
      </w:r>
      <w:r>
        <w:rPr>
          <w:i/>
          <w:iCs/>
          <w:sz w:val="19"/>
          <w:szCs w:val="19"/>
        </w:rPr>
        <w:t xml:space="preserve">The Journal of Chemical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Widder, D. V. (1941). </w:t>
      </w:r>
      <w:r>
        <w:rPr>
          <w:i/>
          <w:iCs/>
          <w:sz w:val="19"/>
          <w:szCs w:val="19"/>
        </w:rPr>
        <w:t xml:space="preserve">The Laplace Transform</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Cohen, S. N. (2020). Uncertainty and filtering of hidden Markov models in discrete time. </w:t>
      </w:r>
      <w:r>
        <w:rPr>
          <w:i/>
          <w:iCs/>
          <w:sz w:val="19"/>
          <w:szCs w:val="19"/>
        </w:rPr>
        <w:t xml:space="preserve">Probability, Uncertainty and Quantitative Risk</w:t>
      </w:r>
      <w:r>
        <w:rPr>
          <w:sz w:val="19"/>
          <w:szCs w:val="19"/>
        </w:rPr>
        <w:t xml:space="preserve">, 5, article 4.</w:t>
      </w:r>
      <w:r>
        <w:rPr>
          <w:sz w:val="19"/>
          <w:szCs w:val="19"/>
        </w:rPr>
        <w:t xml:space="preserve"> </w:t>
      </w:r>
      <w:hyperlink w:history="1" r:id="rId-ywxhc0eu7i6tjnipcq4b">
        <w:r>
          <w:rPr>
            <w:color w:val="1D4ED8"/>
            <w:sz w:val="19"/>
            <w:szCs w:val="19"/>
            <w:u w:val="single"/>
          </w:rPr>
          <w:t xml:space="preserve">https://doi.org/10.1186/s41546-020-00046-x</w:t>
        </w:r>
      </w:hyperlink>
    </w:p>
    <w:p>
      <w:pPr>
        <w:tabs>
          <w:tab w:val="left" w:pos="567"/>
        </w:tabs>
        <w:spacing w:after="90"/>
        <w:ind w:left="567" w:hanging="567"/>
        <w:jc w:val="left"/>
      </w:pPr>
      <w:r>
        <w:rPr>
          <w:b/>
          <w:bCs/>
          <w:color w:val="1F3864"/>
          <w:sz w:val="19"/>
          <w:szCs w:val="19"/>
        </w:rPr>
        <w:t xml:space="preserve">[B18]	</w:t>
      </w:r>
      <w:r>
        <w:rPr>
          <w:sz w:val="19"/>
          <w:szCs w:val="19"/>
        </w:rPr>
        <w:t xml:space="preserve">Carrillo, J. A., Hoffmann, F., Stuart, A. M. &amp; Vaes, U. (2024). The mean-field ensemble Kalman filter: near-Gaussian setting. </w:t>
      </w:r>
      <w:r>
        <w:rPr>
          <w:i/>
          <w:iCs/>
          <w:sz w:val="19"/>
          <w:szCs w:val="19"/>
        </w:rPr>
        <w:t xml:space="preserve">SIAM Journal on Numerical Analysis</w:t>
      </w:r>
      <w:r>
        <w:rPr>
          <w:sz w:val="19"/>
          <w:szCs w:val="19"/>
        </w:rPr>
        <w:t xml:space="preserve">, 62(6).</w:t>
      </w:r>
      <w:r>
        <w:rPr>
          <w:sz w:val="19"/>
          <w:szCs w:val="19"/>
        </w:rPr>
        <w:t xml:space="preserve"> </w:t>
      </w:r>
      <w:hyperlink w:history="1" r:id="rIdgikw-gn2dwmhzuutftklt">
        <w:r>
          <w:rPr>
            <w:color w:val="1D4ED8"/>
            <w:sz w:val="19"/>
            <w:szCs w:val="19"/>
            <w:u w:val="single"/>
          </w:rPr>
          <w:t xml:space="preserve">https://doi.org/10.1137/24M1628207</w:t>
        </w:r>
      </w:hyperlink>
    </w:p>
    <w:p>
      <w:pPr>
        <w:tabs>
          <w:tab w:val="left" w:pos="567"/>
        </w:tabs>
        <w:spacing w:after="90"/>
        <w:ind w:left="567" w:hanging="567"/>
        <w:jc w:val="left"/>
      </w:pPr>
      <w:r>
        <w:rPr>
          <w:b/>
          <w:bCs/>
          <w:color w:val="1F3864"/>
          <w:sz w:val="19"/>
          <w:szCs w:val="19"/>
        </w:rPr>
        <w:t xml:space="preserve">[B19]	</w:t>
      </w:r>
      <w:r>
        <w:rPr>
          <w:sz w:val="19"/>
          <w:szCs w:val="19"/>
        </w:rPr>
        <w:t xml:space="preserve">Levine, M. E. &amp; Stuart, A. M. (2022). A framework for machine learning of model error in dynamical systems. </w:t>
      </w:r>
      <w:r>
        <w:rPr>
          <w:i/>
          <w:iCs/>
          <w:sz w:val="19"/>
          <w:szCs w:val="19"/>
        </w:rPr>
        <w:t xml:space="preserve">Communications of the American Mathematical Society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Wu, J.-L., Levine, M. E., Schneider, T. &amp; Stuart, A. (2024). Learning about structural errors in models of complex dynamical systems. </w:t>
      </w:r>
      <w:r>
        <w:rPr>
          <w:i/>
          <w:iCs/>
          <w:sz w:val="19"/>
          <w:szCs w:val="19"/>
        </w:rPr>
        <w:t xml:space="preserve">Journal of Computational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[B21]	</w:t>
      </w:r>
      <w:r>
        <w:rPr>
          <w:sz w:val="19"/>
          <w:szCs w:val="19"/>
        </w:rPr>
        <w:t xml:space="preserve">Spantini, A., Baptista, R. &amp; Marzouk, Y. (2022). Coupling techniques for nonlinear ensemble filtering. </w:t>
      </w:r>
      <w:r>
        <w:rPr>
          <w:i/>
          <w:iCs/>
          <w:sz w:val="19"/>
          <w:szCs w:val="19"/>
        </w:rPr>
        <w:t xml:space="preserve">SIAM Review</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[B22]	</w:t>
      </w:r>
      <w:r>
        <w:rPr>
          <w:sz w:val="19"/>
          <w:szCs w:val="19"/>
        </w:rPr>
        <w:t xml:space="preserve">Hong, H., Ovchinnikov, A., Pogudin, G. &amp; Yap, C. (2020). Global identifiability of differential models. </w:t>
      </w:r>
      <w:r>
        <w:rPr>
          <w:i/>
          <w:iCs/>
          <w:sz w:val="19"/>
          <w:szCs w:val="19"/>
        </w:rPr>
        <w:t xml:space="preserve">Communications on Pure and Applied Mathematics</w:t>
      </w:r>
      <w:r>
        <w:rPr>
          <w:sz w:val="19"/>
          <w:szCs w:val="19"/>
        </w:rPr>
        <w:t xml:space="preserve"> (volume, pages and DOI not verified).</w:t>
      </w:r>
    </w:p>
    <w:p>
      <w:pPr>
        <w:pStyle w:val="Heading3"/>
      </w:pPr>
      <w:r>
        <w:rPr>
          <w:color w:val="1F3864"/>
        </w:rPr>
        <w:t xml:space="preserve">References of Part II (the 30 papers)</w:t>
      </w:r>
    </w:p>
    <w:p>
      <w:pPr>
        <w:tabs>
          <w:tab w:val="left" w:pos="567"/>
        </w:tabs>
        <w:spacing w:after="90"/>
        <w:ind w:left="567" w:hanging="567"/>
        <w:jc w:val="left"/>
      </w:pPr>
      <w:r>
        <w:rPr>
          <w:b/>
          <w:bCs/>
          <w:color w:val="002147"/>
          <w:sz w:val="19"/>
          <w:szCs w:val="19"/>
        </w:rPr>
        <w:t xml:space="preserve">[O1]	</w:t>
      </w:r>
      <w:r>
        <w:rPr>
          <w:sz w:val="19"/>
          <w:szCs w:val="19"/>
        </w:rPr>
        <w:t xml:space="preserve">Fehrman, B. (2024). Stochastic homogenization with space-time ergodic divergence-free drift. </w:t>
      </w:r>
      <w:r>
        <w:rPr>
          <w:i/>
          <w:iCs/>
          <w:sz w:val="19"/>
          <w:szCs w:val="19"/>
        </w:rPr>
        <w:t xml:space="preserve">The Annals of Probability</w:t>
      </w:r>
      <w:r>
        <w:rPr>
          <w:sz w:val="19"/>
          <w:szCs w:val="19"/>
        </w:rPr>
        <w:t xml:space="preserve">, 52(1), 350–380.</w:t>
      </w:r>
      <w:r>
        <w:rPr>
          <w:sz w:val="19"/>
          <w:szCs w:val="19"/>
        </w:rPr>
        <w:t xml:space="preserve"> </w:t>
      </w:r>
      <w:hyperlink w:history="1" r:id="rId13nxh60u-sbhw2c3ul4i3">
        <w:r>
          <w:rPr>
            <w:color w:val="1D4ED8"/>
            <w:sz w:val="19"/>
            <w:szCs w:val="19"/>
            <w:u w:val="single"/>
          </w:rPr>
          <w:t xml:space="preserve">https://doi.org/10.1214/23-AOP1663</w:t>
        </w:r>
      </w:hyperlink>
    </w:p>
    <w:p>
      <w:pPr>
        <w:tabs>
          <w:tab w:val="left" w:pos="567"/>
        </w:tabs>
        <w:spacing w:after="90"/>
        <w:ind w:left="567" w:hanging="567"/>
        <w:jc w:val="left"/>
      </w:pPr>
      <w:r>
        <w:rPr>
          <w:b/>
          <w:bCs/>
          <w:color w:val="002147"/>
          <w:sz w:val="19"/>
          <w:szCs w:val="19"/>
        </w:rPr>
        <w:t xml:space="preserve">[O2]	</w:t>
      </w:r>
      <w:r>
        <w:rPr>
          <w:sz w:val="19"/>
          <w:szCs w:val="19"/>
        </w:rPr>
        <w:t xml:space="preserve">Donnet, S., Rivoirard, V. &amp; Rousseau, J. (2020). Nonparametric Bayesian estimation for multivariate Hawkes processes. </w:t>
      </w:r>
      <w:r>
        <w:rPr>
          <w:i/>
          <w:iCs/>
          <w:sz w:val="19"/>
          <w:szCs w:val="19"/>
        </w:rPr>
        <w:t xml:space="preserve">The Annals of Statistics</w:t>
      </w:r>
      <w:r>
        <w:rPr>
          <w:sz w:val="19"/>
          <w:szCs w:val="19"/>
        </w:rPr>
        <w:t xml:space="preserve">, 48(5), 2698–2727.</w:t>
      </w:r>
      <w:r>
        <w:rPr>
          <w:sz w:val="19"/>
          <w:szCs w:val="19"/>
        </w:rPr>
        <w:t xml:space="preserve"> </w:t>
      </w:r>
      <w:hyperlink w:history="1" r:id="rIddhhnxsqpvdd5j_1fpotgk">
        <w:r>
          <w:rPr>
            <w:color w:val="1D4ED8"/>
            <w:sz w:val="19"/>
            <w:szCs w:val="19"/>
            <w:u w:val="single"/>
          </w:rPr>
          <w:t xml:space="preserve">https://doi.org/10.1214/19-AOS1903</w:t>
        </w:r>
      </w:hyperlink>
    </w:p>
    <w:p>
      <w:pPr>
        <w:tabs>
          <w:tab w:val="left" w:pos="567"/>
        </w:tabs>
        <w:spacing w:after="90"/>
        <w:ind w:left="567" w:hanging="567"/>
        <w:jc w:val="left"/>
      </w:pPr>
      <w:r>
        <w:rPr>
          <w:b/>
          <w:bCs/>
          <w:color w:val="002147"/>
          <w:sz w:val="19"/>
          <w:szCs w:val="19"/>
        </w:rPr>
        <w:t xml:space="preserve">[O3]	</w:t>
      </w:r>
      <w:r>
        <w:rPr>
          <w:sz w:val="19"/>
          <w:szCs w:val="19"/>
        </w:rPr>
        <w:t xml:space="preserve">Simpson, M. J., Browning, A. P., Drovandi, C., Carr, E. J., Maclaren, O. J. &amp; Baker, R. E. (2021). Profile likelihood analysis for a stochastic model of diffusion in heterogeneous media. </w:t>
      </w:r>
      <w:r>
        <w:rPr>
          <w:i/>
          <w:iCs/>
          <w:sz w:val="19"/>
          <w:szCs w:val="19"/>
        </w:rPr>
        <w:t xml:space="preserve">Proceedings of the Royal Society A</w:t>
      </w:r>
      <w:r>
        <w:rPr>
          <w:sz w:val="19"/>
          <w:szCs w:val="19"/>
        </w:rPr>
        <w:t xml:space="preserve">, 477, 20210214.</w:t>
      </w:r>
      <w:r>
        <w:rPr>
          <w:sz w:val="19"/>
          <w:szCs w:val="19"/>
        </w:rPr>
        <w:t xml:space="preserve"> </w:t>
      </w:r>
      <w:hyperlink w:history="1" r:id="rIdqwjwltv8uqk-z5soa-pld">
        <w:r>
          <w:rPr>
            <w:color w:val="1D4ED8"/>
            <w:sz w:val="19"/>
            <w:szCs w:val="19"/>
            <w:u w:val="single"/>
          </w:rPr>
          <w:t xml:space="preserve">https://doi.org/10.1098/rspa.2021.0214</w:t>
        </w:r>
      </w:hyperlink>
    </w:p>
    <w:p>
      <w:pPr>
        <w:tabs>
          <w:tab w:val="left" w:pos="567"/>
        </w:tabs>
        <w:spacing w:after="90"/>
        <w:ind w:left="567" w:hanging="567"/>
        <w:jc w:val="left"/>
      </w:pPr>
      <w:r>
        <w:rPr>
          <w:b/>
          <w:bCs/>
          <w:color w:val="002147"/>
          <w:sz w:val="19"/>
          <w:szCs w:val="19"/>
        </w:rPr>
        <w:t xml:space="preserve">[O4]	</w:t>
      </w:r>
      <w:r>
        <w:rPr>
          <w:sz w:val="19"/>
          <w:szCs w:val="19"/>
        </w:rPr>
        <w:t xml:space="preserve">Kiradjiev, K., Breward, C., Griffiths, I. &amp; Schwendeman, D. (2021). A homogenised model for a reactive filter. </w:t>
      </w:r>
      <w:r>
        <w:rPr>
          <w:i/>
          <w:iCs/>
          <w:sz w:val="19"/>
          <w:szCs w:val="19"/>
        </w:rPr>
        <w:t xml:space="preserve">SIAM Journal on Applied Mathematics</w:t>
      </w:r>
      <w:r>
        <w:rPr>
          <w:sz w:val="19"/>
          <w:szCs w:val="19"/>
        </w:rPr>
        <w:t xml:space="preserve">, 81(2), 591–619.</w:t>
      </w:r>
      <w:r>
        <w:rPr>
          <w:sz w:val="19"/>
          <w:szCs w:val="19"/>
        </w:rPr>
        <w:t xml:space="preserve"> </w:t>
      </w:r>
      <w:hyperlink w:history="1" r:id="rIdmrwll3daijuu5tov7ra5d">
        <w:r>
          <w:rPr>
            <w:color w:val="1D4ED8"/>
            <w:sz w:val="19"/>
            <w:szCs w:val="19"/>
            <w:u w:val="single"/>
          </w:rPr>
          <w:t xml:space="preserve">https://doi.org/10.1137/19M1305495</w:t>
        </w:r>
      </w:hyperlink>
    </w:p>
    <w:p>
      <w:pPr>
        <w:tabs>
          <w:tab w:val="left" w:pos="567"/>
        </w:tabs>
        <w:spacing w:after="90"/>
        <w:ind w:left="567" w:hanging="567"/>
        <w:jc w:val="left"/>
      </w:pPr>
      <w:r>
        <w:rPr>
          <w:b/>
          <w:bCs/>
          <w:color w:val="002147"/>
          <w:sz w:val="19"/>
          <w:szCs w:val="19"/>
        </w:rPr>
        <w:t xml:space="preserve">[O5]	</w:t>
      </w:r>
      <w:r>
        <w:rPr>
          <w:sz w:val="19"/>
          <w:szCs w:val="19"/>
        </w:rPr>
        <w:t xml:space="preserve">Dalwadi, M. P. &amp; King, J. R. (2020). A systematic upscaling of nonlinear chemical uptake within a biofilm. </w:t>
      </w:r>
      <w:r>
        <w:rPr>
          <w:i/>
          <w:iCs/>
          <w:sz w:val="19"/>
          <w:szCs w:val="19"/>
        </w:rPr>
        <w:t xml:space="preserve">SIAM Journal on Applied Mathematics</w:t>
      </w:r>
      <w:r>
        <w:rPr>
          <w:sz w:val="19"/>
          <w:szCs w:val="19"/>
        </w:rPr>
        <w:t xml:space="preserve">, 80(4), 1723–1750.</w:t>
      </w:r>
      <w:r>
        <w:rPr>
          <w:sz w:val="19"/>
          <w:szCs w:val="19"/>
        </w:rPr>
        <w:t xml:space="preserve"> </w:t>
      </w:r>
      <w:hyperlink w:history="1" r:id="rIdfaoqmq6rmnu19_4nlwlzn">
        <w:r>
          <w:rPr>
            <w:color w:val="1D4ED8"/>
            <w:sz w:val="19"/>
            <w:szCs w:val="19"/>
            <w:u w:val="single"/>
          </w:rPr>
          <w:t xml:space="preserve">https://doi.org/10.1137/19M130220X</w:t>
        </w:r>
      </w:hyperlink>
    </w:p>
    <w:p>
      <w:pPr>
        <w:tabs>
          <w:tab w:val="left" w:pos="567"/>
        </w:tabs>
        <w:spacing w:after="90"/>
        <w:ind w:left="567" w:hanging="567"/>
        <w:jc w:val="left"/>
      </w:pPr>
      <w:r>
        <w:rPr>
          <w:b/>
          <w:bCs/>
          <w:color w:val="002147"/>
          <w:sz w:val="19"/>
          <w:szCs w:val="19"/>
        </w:rPr>
        <w:t xml:space="preserve">[O6]	</w:t>
      </w:r>
      <w:r>
        <w:rPr>
          <w:sz w:val="19"/>
          <w:szCs w:val="19"/>
        </w:rPr>
        <w:t xml:space="preserve">Browning, A. P. &amp; Simpson, M. J. (2023). Geometric analysis enables biological insight from complex non-identifiable models using simple surrogates. </w:t>
      </w:r>
      <w:r>
        <w:rPr>
          <w:i/>
          <w:iCs/>
          <w:sz w:val="19"/>
          <w:szCs w:val="19"/>
        </w:rPr>
        <w:t xml:space="preserve">PLOS Computational Biology</w:t>
      </w:r>
      <w:r>
        <w:rPr>
          <w:sz w:val="19"/>
          <w:szCs w:val="19"/>
        </w:rPr>
        <w:t xml:space="preserve">, 19(1), e1010844.</w:t>
      </w:r>
      <w:r>
        <w:rPr>
          <w:sz w:val="19"/>
          <w:szCs w:val="19"/>
        </w:rPr>
        <w:t xml:space="preserve"> </w:t>
      </w:r>
      <w:hyperlink w:history="1" r:id="rIdizlomb3dkicyfm_0b9joj">
        <w:r>
          <w:rPr>
            <w:color w:val="1D4ED8"/>
            <w:sz w:val="19"/>
            <w:szCs w:val="19"/>
            <w:u w:val="single"/>
          </w:rPr>
          <w:t xml:space="preserve">https://doi.org/10.1371/journal.pcbi.1010844</w:t>
        </w:r>
      </w:hyperlink>
    </w:p>
    <w:p>
      <w:pPr>
        <w:tabs>
          <w:tab w:val="left" w:pos="567"/>
        </w:tabs>
        <w:spacing w:after="90"/>
        <w:ind w:left="567" w:hanging="567"/>
        <w:jc w:val="left"/>
      </w:pPr>
      <w:r>
        <w:rPr>
          <w:b/>
          <w:bCs/>
          <w:color w:val="002147"/>
          <w:sz w:val="19"/>
          <w:szCs w:val="19"/>
        </w:rPr>
        <w:t xml:space="preserve">[O7]	</w:t>
      </w:r>
      <w:r>
        <w:rPr>
          <w:sz w:val="19"/>
          <w:szCs w:val="19"/>
        </w:rPr>
        <w:t xml:space="preserve">Hatfield, Chantry, Dueben, Lopez, Geer &amp; Palmer, T. N. (2021). Building tangent-linear and adjoint models for data assimilation with neural networks. </w:t>
      </w:r>
      <w:r>
        <w:rPr>
          <w:i/>
          <w:iCs/>
          <w:sz w:val="19"/>
          <w:szCs w:val="19"/>
        </w:rPr>
        <w:t xml:space="preserve">Journal of Advances in Modeling Earth Systems</w:t>
      </w:r>
      <w:r>
        <w:rPr>
          <w:sz w:val="19"/>
          <w:szCs w:val="19"/>
        </w:rPr>
        <w:t xml:space="preserve">, 13(9) (article number not verified).</w:t>
      </w:r>
      <w:r>
        <w:rPr>
          <w:sz w:val="19"/>
          <w:szCs w:val="19"/>
        </w:rPr>
        <w:t xml:space="preserve"> </w:t>
      </w:r>
      <w:hyperlink w:history="1" r:id="rIdisdxvkqej5hqzbrfkpwl-">
        <w:r>
          <w:rPr>
            <w:color w:val="1D4ED8"/>
            <w:sz w:val="19"/>
            <w:szCs w:val="19"/>
            <w:u w:val="single"/>
          </w:rPr>
          <w:t xml:space="preserve">https://doi.org/10.1029/2021MS002521</w:t>
        </w:r>
      </w:hyperlink>
    </w:p>
    <w:p>
      <w:pPr>
        <w:tabs>
          <w:tab w:val="left" w:pos="567"/>
        </w:tabs>
        <w:spacing w:after="90"/>
        <w:ind w:left="567" w:hanging="567"/>
        <w:jc w:val="left"/>
      </w:pPr>
      <w:r>
        <w:rPr>
          <w:b/>
          <w:bCs/>
          <w:color w:val="002147"/>
          <w:sz w:val="19"/>
          <w:szCs w:val="19"/>
        </w:rPr>
        <w:t xml:space="preserve">[O8]	</w:t>
      </w:r>
      <w:r>
        <w:rPr>
          <w:sz w:val="19"/>
          <w:szCs w:val="19"/>
        </w:rPr>
        <w:t xml:space="preserve">Prescott, T. P. &amp; Baker, R. E. (2020). Multifidelity approximate Bayesian computation. </w:t>
      </w:r>
      <w:r>
        <w:rPr>
          <w:i/>
          <w:iCs/>
          <w:sz w:val="19"/>
          <w:szCs w:val="19"/>
        </w:rPr>
        <w:t xml:space="preserve">SIAM/ASA Journal on Uncertainty Quantification</w:t>
      </w:r>
      <w:r>
        <w:rPr>
          <w:sz w:val="19"/>
          <w:szCs w:val="19"/>
        </w:rPr>
        <w:t xml:space="preserve">, 8(1), 114–138.</w:t>
      </w:r>
      <w:r>
        <w:rPr>
          <w:sz w:val="19"/>
          <w:szCs w:val="19"/>
        </w:rPr>
        <w:t xml:space="preserve"> </w:t>
      </w:r>
      <w:hyperlink w:history="1" r:id="rId0jld3shethvxwrybuq49g">
        <w:r>
          <w:rPr>
            <w:color w:val="1D4ED8"/>
            <w:sz w:val="19"/>
            <w:szCs w:val="19"/>
            <w:u w:val="single"/>
          </w:rPr>
          <w:t xml:space="preserve">https://doi.org/10.1137/18M1229742</w:t>
        </w:r>
      </w:hyperlink>
    </w:p>
    <w:p>
      <w:pPr>
        <w:tabs>
          <w:tab w:val="left" w:pos="567"/>
        </w:tabs>
        <w:spacing w:after="90"/>
        <w:ind w:left="567" w:hanging="567"/>
        <w:jc w:val="left"/>
      </w:pPr>
      <w:r>
        <w:rPr>
          <w:b/>
          <w:bCs/>
          <w:color w:val="A51C30"/>
          <w:sz w:val="19"/>
          <w:szCs w:val="19"/>
        </w:rPr>
        <w:t xml:space="preserve">[H1]	</w:t>
      </w:r>
      <w:r>
        <w:rPr>
          <w:sz w:val="19"/>
          <w:szCs w:val="19"/>
        </w:rPr>
        <w:t xml:space="preserve">Kelp, M. M., Jacob, D. J., Lin &amp; Sulprizio (given names not verified) (2022). An online-learned neural network chemical solver for stable long-term global simulations of atmospheric chemistry. </w:t>
      </w:r>
      <w:r>
        <w:rPr>
          <w:i/>
          <w:iCs/>
          <w:sz w:val="19"/>
          <w:szCs w:val="19"/>
        </w:rPr>
        <w:t xml:space="preserve">Journal of Advances in Modeling Earth Systems</w:t>
      </w:r>
      <w:r>
        <w:rPr>
          <w:sz w:val="19"/>
          <w:szCs w:val="19"/>
        </w:rPr>
        <w:t xml:space="preserve">, 14(6), e2021MS002926.</w:t>
      </w:r>
      <w:r>
        <w:rPr>
          <w:sz w:val="19"/>
          <w:szCs w:val="19"/>
        </w:rPr>
        <w:t xml:space="preserve"> </w:t>
      </w:r>
      <w:hyperlink w:history="1" r:id="rIdz090apnn1gzxzvo04v_pw">
        <w:r>
          <w:rPr>
            <w:color w:val="1D4ED8"/>
            <w:sz w:val="19"/>
            <w:szCs w:val="19"/>
            <w:u w:val="single"/>
          </w:rPr>
          <w:t xml:space="preserve">https://doi.org/10.1029/2021MS002926</w:t>
        </w:r>
      </w:hyperlink>
    </w:p>
    <w:p>
      <w:pPr>
        <w:tabs>
          <w:tab w:val="left" w:pos="567"/>
        </w:tabs>
        <w:spacing w:after="90"/>
        <w:ind w:left="567" w:hanging="567"/>
        <w:jc w:val="left"/>
      </w:pPr>
      <w:r>
        <w:rPr>
          <w:b/>
          <w:bCs/>
          <w:color w:val="A51C30"/>
          <w:sz w:val="19"/>
          <w:szCs w:val="19"/>
        </w:rPr>
        <w:t xml:space="preserve">[H2]	</w:t>
      </w:r>
      <w:r>
        <w:rPr>
          <w:sz w:val="19"/>
          <w:szCs w:val="19"/>
        </w:rPr>
        <w:t xml:space="preserve">Kelp, M. M., Jacob, D. J., Kutz, J. N., Marshall, J. D. &amp; Tessum, C. W. (2020). Toward stable, general machine-learned models of the atmospheric chemical system. </w:t>
      </w:r>
      <w:r>
        <w:rPr>
          <w:i/>
          <w:iCs/>
          <w:sz w:val="19"/>
          <w:szCs w:val="19"/>
        </w:rPr>
        <w:t xml:space="preserve">Journal of Geophysical Research: Atmospheres</w:t>
      </w:r>
      <w:r>
        <w:rPr>
          <w:sz w:val="19"/>
          <w:szCs w:val="19"/>
        </w:rPr>
        <w:t xml:space="preserve">, 125, e2020JD032759.</w:t>
      </w:r>
      <w:r>
        <w:rPr>
          <w:sz w:val="19"/>
          <w:szCs w:val="19"/>
        </w:rPr>
        <w:t xml:space="preserve"> </w:t>
      </w:r>
      <w:hyperlink w:history="1" r:id="rIdgvi9iuxnux9bdlunr2lmm">
        <w:r>
          <w:rPr>
            <w:color w:val="1D4ED8"/>
            <w:sz w:val="19"/>
            <w:szCs w:val="19"/>
            <w:u w:val="single"/>
          </w:rPr>
          <w:t xml:space="preserve">https://doi.org/10.1029/2020JD032759</w:t>
        </w:r>
      </w:hyperlink>
    </w:p>
    <w:p>
      <w:pPr>
        <w:tabs>
          <w:tab w:val="left" w:pos="567"/>
        </w:tabs>
        <w:spacing w:after="90"/>
        <w:ind w:left="567" w:hanging="567"/>
        <w:jc w:val="left"/>
      </w:pPr>
      <w:r>
        <w:rPr>
          <w:b/>
          <w:bCs/>
          <w:color w:val="A51C30"/>
          <w:sz w:val="19"/>
          <w:szCs w:val="19"/>
        </w:rPr>
        <w:t xml:space="preserve">[H3]	</w:t>
      </w:r>
      <w:r>
        <w:rPr>
          <w:sz w:val="19"/>
          <w:szCs w:val="19"/>
        </w:rPr>
        <w:t xml:space="preserve">Shen, L., Jacob, D. J., Santillana, M., Bates, K., Zhuang, J. &amp; Chen, W. (2022). A machine-learning-guided adaptive algorithm to reduce the computational cost of integrating kinetics in global atmospheric chemistry models: application to GEOS-Chem versions 12.0.0 and 12.9.1. </w:t>
      </w:r>
      <w:r>
        <w:rPr>
          <w:i/>
          <w:iCs/>
          <w:sz w:val="19"/>
          <w:szCs w:val="19"/>
        </w:rPr>
        <w:t xml:space="preserve">Geoscientific Model Development</w:t>
      </w:r>
      <w:r>
        <w:rPr>
          <w:sz w:val="19"/>
          <w:szCs w:val="19"/>
        </w:rPr>
        <w:t xml:space="preserve">, 15(4), 1677–1687.</w:t>
      </w:r>
      <w:r>
        <w:rPr>
          <w:sz w:val="19"/>
          <w:szCs w:val="19"/>
        </w:rPr>
        <w:t xml:space="preserve"> </w:t>
      </w:r>
      <w:hyperlink w:history="1" r:id="rIdasc_jn5jdqphaoea7p4rl">
        <w:r>
          <w:rPr>
            <w:color w:val="1D4ED8"/>
            <w:sz w:val="19"/>
            <w:szCs w:val="19"/>
            <w:u w:val="single"/>
          </w:rPr>
          <w:t xml:space="preserve">https://doi.org/10.5194/gmd-15-1677-2022</w:t>
        </w:r>
      </w:hyperlink>
    </w:p>
    <w:p>
      <w:pPr>
        <w:tabs>
          <w:tab w:val="left" w:pos="567"/>
        </w:tabs>
        <w:spacing w:after="90"/>
        <w:ind w:left="567" w:hanging="567"/>
        <w:jc w:val="left"/>
      </w:pPr>
      <w:r>
        <w:rPr>
          <w:b/>
          <w:bCs/>
          <w:color w:val="A51C30"/>
          <w:sz w:val="19"/>
          <w:szCs w:val="19"/>
        </w:rPr>
        <w:t xml:space="preserve">[H4]	</w:t>
      </w:r>
      <w:r>
        <w:rPr>
          <w:sz w:val="19"/>
          <w:szCs w:val="19"/>
        </w:rPr>
        <w:t xml:space="preserve">Zhang, Y., Jacob, D. J., Lu, X., Maasakkers, J. D., Scarpelli, T. R., Sheng, J.-X., Shen, L., Qu, Z., Sulprizio, M. P., Chang, J., Bloom, A. A., Ma, S., Worden, J., Parker, R. J. &amp; Boesch, H. (2021). Attribution of the accelerating increase in atmospheric methane during 2010–2018 by inverse analysis of GOSAT observations. </w:t>
      </w:r>
      <w:r>
        <w:rPr>
          <w:i/>
          <w:iCs/>
          <w:sz w:val="19"/>
          <w:szCs w:val="19"/>
        </w:rPr>
        <w:t xml:space="preserve">Atmospheric Chemistry and Physics</w:t>
      </w:r>
      <w:r>
        <w:rPr>
          <w:sz w:val="19"/>
          <w:szCs w:val="19"/>
        </w:rPr>
        <w:t xml:space="preserve">, 21(5), 3643–3666.</w:t>
      </w:r>
      <w:r>
        <w:rPr>
          <w:sz w:val="19"/>
          <w:szCs w:val="19"/>
        </w:rPr>
        <w:t xml:space="preserve"> </w:t>
      </w:r>
      <w:hyperlink w:history="1" r:id="rIdv76ki3x41is630mzvbitw">
        <w:r>
          <w:rPr>
            <w:color w:val="1D4ED8"/>
            <w:sz w:val="19"/>
            <w:szCs w:val="19"/>
            <w:u w:val="single"/>
          </w:rPr>
          <w:t xml:space="preserve">https://doi.org/10.5194/acp-21-3643-2021</w:t>
        </w:r>
      </w:hyperlink>
    </w:p>
    <w:p>
      <w:pPr>
        <w:tabs>
          <w:tab w:val="left" w:pos="567"/>
        </w:tabs>
        <w:spacing w:after="90"/>
        <w:ind w:left="567" w:hanging="567"/>
        <w:jc w:val="left"/>
      </w:pPr>
      <w:r>
        <w:rPr>
          <w:b/>
          <w:bCs/>
          <w:color w:val="A51C30"/>
          <w:sz w:val="19"/>
          <w:szCs w:val="19"/>
        </w:rPr>
        <w:t xml:space="preserve">[H5]	</w:t>
      </w:r>
      <w:r>
        <w:rPr>
          <w:sz w:val="19"/>
          <w:szCs w:val="19"/>
        </w:rPr>
        <w:t xml:space="preserve">Karnakov, P., Litvinov, S. &amp; Koumoutsakos, P. (2023). Flow reconstruction by multiresolution optimization of a discrete loss with automatic differentiation. </w:t>
      </w:r>
      <w:r>
        <w:rPr>
          <w:i/>
          <w:iCs/>
          <w:sz w:val="19"/>
          <w:szCs w:val="19"/>
        </w:rPr>
        <w:t xml:space="preserve">The European Physical Journal E</w:t>
      </w:r>
      <w:r>
        <w:rPr>
          <w:sz w:val="19"/>
          <w:szCs w:val="19"/>
        </w:rPr>
        <w:t xml:space="preserve">, 46, 59.</w:t>
      </w:r>
      <w:r>
        <w:rPr>
          <w:sz w:val="19"/>
          <w:szCs w:val="19"/>
        </w:rPr>
        <w:t xml:space="preserve"> </w:t>
      </w:r>
      <w:hyperlink w:history="1" r:id="rId0fekrjgkq1zblcnmwe1lf">
        <w:r>
          <w:rPr>
            <w:color w:val="1D4ED8"/>
            <w:sz w:val="19"/>
            <w:szCs w:val="19"/>
            <w:u w:val="single"/>
          </w:rPr>
          <w:t xml:space="preserve">https://doi.org/10.1140/epje/s10189-023-00313-7</w:t>
        </w:r>
      </w:hyperlink>
    </w:p>
    <w:p>
      <w:pPr>
        <w:tabs>
          <w:tab w:val="left" w:pos="567"/>
        </w:tabs>
        <w:spacing w:after="90"/>
        <w:ind w:left="567" w:hanging="567"/>
        <w:jc w:val="left"/>
      </w:pPr>
      <w:r>
        <w:rPr>
          <w:b/>
          <w:bCs/>
          <w:color w:val="A51C30"/>
          <w:sz w:val="19"/>
          <w:szCs w:val="19"/>
        </w:rPr>
        <w:t xml:space="preserve">[H6]	</w:t>
      </w:r>
      <w:r>
        <w:rPr>
          <w:sz w:val="19"/>
          <w:szCs w:val="19"/>
        </w:rPr>
        <w:t xml:space="preserve">Huggins, J. H. &amp; Miller, J. W. (2024). Reproducible parameter inference using bagged posteriors. </w:t>
      </w:r>
      <w:r>
        <w:rPr>
          <w:i/>
          <w:iCs/>
          <w:sz w:val="19"/>
          <w:szCs w:val="19"/>
        </w:rPr>
        <w:t xml:space="preserve">Electronic Journal of Statistics</w:t>
      </w:r>
      <w:r>
        <w:rPr>
          <w:sz w:val="19"/>
          <w:szCs w:val="19"/>
        </w:rPr>
        <w:t xml:space="preserve">, 18(1), 1549–1585.</w:t>
      </w:r>
      <w:r>
        <w:rPr>
          <w:sz w:val="19"/>
          <w:szCs w:val="19"/>
        </w:rPr>
        <w:t xml:space="preserve"> </w:t>
      </w:r>
      <w:hyperlink w:history="1" r:id="rId6vwqamzadunhggzqhnlxy">
        <w:r>
          <w:rPr>
            <w:color w:val="1D4ED8"/>
            <w:sz w:val="19"/>
            <w:szCs w:val="19"/>
            <w:u w:val="single"/>
          </w:rPr>
          <w:t xml:space="preserve">https://doi.org/10.1214/24-EJS2237</w:t>
        </w:r>
      </w:hyperlink>
    </w:p>
    <w:p>
      <w:pPr>
        <w:tabs>
          <w:tab w:val="left" w:pos="567"/>
        </w:tabs>
        <w:spacing w:after="90"/>
        <w:ind w:left="567" w:hanging="567"/>
        <w:jc w:val="left"/>
      </w:pPr>
      <w:r>
        <w:rPr>
          <w:b/>
          <w:bCs/>
          <w:color w:val="A51C30"/>
          <w:sz w:val="19"/>
          <w:szCs w:val="19"/>
        </w:rPr>
        <w:t xml:space="preserve">[H7]	</w:t>
      </w:r>
      <w:r>
        <w:rPr>
          <w:sz w:val="19"/>
          <w:szCs w:val="19"/>
        </w:rPr>
        <w:t xml:space="preserve">Tang, Y., Lasserre, J.-B. &amp; Yang, H. (2024). Uncertainty quantification of set-membership estimation in control and perception: revisiting the minimum enclosing ellipsoid. </w:t>
      </w:r>
      <w:r>
        <w:rPr>
          <w:i/>
          <w:iCs/>
          <w:sz w:val="19"/>
          <w:szCs w:val="19"/>
        </w:rPr>
        <w:t xml:space="preserve">Proceedings of the Learning for Dynamics and Control Conference (L4DC 2024)</w:t>
      </w:r>
      <w:r>
        <w:rPr>
          <w:sz w:val="19"/>
          <w:szCs w:val="19"/>
        </w:rPr>
        <w:t xml:space="preserve">, PMLR 242, 286–298.</w:t>
      </w:r>
      <w:r>
        <w:rPr>
          <w:sz w:val="19"/>
          <w:szCs w:val="19"/>
        </w:rPr>
        <w:t xml:space="preserve"> </w:t>
      </w:r>
      <w:hyperlink w:history="1" r:id="rIdzmuaqeh7s3mijfhwvsla1">
        <w:r>
          <w:rPr>
            <w:color w:val="1D4ED8"/>
            <w:sz w:val="19"/>
            <w:szCs w:val="19"/>
            <w:u w:val="single"/>
          </w:rPr>
          <w:t xml:space="preserve">https://proceedings.mlr.press/v242/tang24a.html</w:t>
        </w:r>
      </w:hyperlink>
    </w:p>
    <w:p>
      <w:pPr>
        <w:tabs>
          <w:tab w:val="left" w:pos="567"/>
        </w:tabs>
        <w:spacing w:after="90"/>
        <w:ind w:left="567" w:hanging="567"/>
        <w:jc w:val="left"/>
      </w:pPr>
      <w:r>
        <w:rPr>
          <w:b/>
          <w:bCs/>
          <w:color w:val="4D4D4F"/>
          <w:sz w:val="19"/>
          <w:szCs w:val="19"/>
        </w:rPr>
        <w:t xml:space="preserve">[M1]	</w:t>
      </w:r>
      <w:r>
        <w:rPr>
          <w:sz w:val="19"/>
          <w:szCs w:val="19"/>
        </w:rPr>
        <w:t xml:space="preserve">Gupta, A. &amp; Lermusiaux, P. F. J. (2021). Neural closure models for dynamical systems. </w:t>
      </w:r>
      <w:r>
        <w:rPr>
          <w:i/>
          <w:iCs/>
          <w:sz w:val="19"/>
          <w:szCs w:val="19"/>
        </w:rPr>
        <w:t xml:space="preserve">Proceedings of the Royal Society A</w:t>
      </w:r>
      <w:r>
        <w:rPr>
          <w:sz w:val="19"/>
          <w:szCs w:val="19"/>
        </w:rPr>
        <w:t xml:space="preserve">, 477(2252), 1–29 (article number not verified).</w:t>
      </w:r>
      <w:r>
        <w:rPr>
          <w:sz w:val="19"/>
          <w:szCs w:val="19"/>
        </w:rPr>
        <w:t xml:space="preserve"> </w:t>
      </w:r>
      <w:hyperlink w:history="1" r:id="rIdhxgjg5bza97tv5lqo1roy">
        <w:r>
          <w:rPr>
            <w:color w:val="1D4ED8"/>
            <w:sz w:val="19"/>
            <w:szCs w:val="19"/>
            <w:u w:val="single"/>
          </w:rPr>
          <w:t xml:space="preserve">https://doi.org/10.1098/rspa.2020.1004</w:t>
        </w:r>
      </w:hyperlink>
    </w:p>
    <w:p>
      <w:pPr>
        <w:tabs>
          <w:tab w:val="left" w:pos="567"/>
        </w:tabs>
        <w:spacing w:after="90"/>
        <w:ind w:left="567" w:hanging="567"/>
        <w:jc w:val="left"/>
      </w:pPr>
      <w:r>
        <w:rPr>
          <w:b/>
          <w:bCs/>
          <w:color w:val="4D4D4F"/>
          <w:sz w:val="19"/>
          <w:szCs w:val="19"/>
        </w:rPr>
        <w:t xml:space="preserve">[M2]	</w:t>
      </w:r>
      <w:r>
        <w:rPr>
          <w:sz w:val="19"/>
          <w:szCs w:val="19"/>
        </w:rPr>
        <w:t xml:space="preserve">Gupta, A. &amp; Lermusiaux, P. F. J. (2023). Bayesian learning of coupled biogeochemical–physical models. </w:t>
      </w:r>
      <w:r>
        <w:rPr>
          <w:i/>
          <w:iCs/>
          <w:sz w:val="19"/>
          <w:szCs w:val="19"/>
        </w:rPr>
        <w:t xml:space="preserve">Progress in Oceanography</w:t>
      </w:r>
      <w:r>
        <w:rPr>
          <w:sz w:val="19"/>
          <w:szCs w:val="19"/>
        </w:rPr>
        <w:t xml:space="preserve">, 216, 103050.</w:t>
      </w:r>
      <w:r>
        <w:rPr>
          <w:sz w:val="19"/>
          <w:szCs w:val="19"/>
        </w:rPr>
        <w:t xml:space="preserve"> </w:t>
      </w:r>
      <w:hyperlink w:history="1" r:id="rIdyugog-yirbsugrjhl-yvg">
        <w:r>
          <w:rPr>
            <w:color w:val="1D4ED8"/>
            <w:sz w:val="19"/>
            <w:szCs w:val="19"/>
            <w:u w:val="single"/>
          </w:rPr>
          <w:t xml:space="preserve">https://doi.org/10.1016/j.pocean.2023.103050</w:t>
        </w:r>
      </w:hyperlink>
    </w:p>
    <w:p>
      <w:pPr>
        <w:tabs>
          <w:tab w:val="left" w:pos="567"/>
        </w:tabs>
        <w:spacing w:after="90"/>
        <w:ind w:left="567" w:hanging="567"/>
        <w:jc w:val="left"/>
      </w:pPr>
      <w:r>
        <w:rPr>
          <w:b/>
          <w:bCs/>
          <w:color w:val="4D4D4F"/>
          <w:sz w:val="19"/>
          <w:szCs w:val="19"/>
        </w:rPr>
        <w:t xml:space="preserve">[M3]	</w:t>
      </w:r>
      <w:r>
        <w:rPr>
          <w:sz w:val="19"/>
          <w:szCs w:val="19"/>
        </w:rPr>
        <w:t xml:space="preserve">Souza, A. N., Lutz, T. &amp; Flierl, G. R. (2023). Statistical non-locality of dynamically coherent structures. </w:t>
      </w:r>
      <w:r>
        <w:rPr>
          <w:i/>
          <w:iCs/>
          <w:sz w:val="19"/>
          <w:szCs w:val="19"/>
        </w:rPr>
        <w:t xml:space="preserve">Journal of Fluid Mechanics</w:t>
      </w:r>
      <w:r>
        <w:rPr>
          <w:sz w:val="19"/>
          <w:szCs w:val="19"/>
        </w:rPr>
        <w:t xml:space="preserve">, 966, A44.</w:t>
      </w:r>
      <w:r>
        <w:rPr>
          <w:sz w:val="19"/>
          <w:szCs w:val="19"/>
        </w:rPr>
        <w:t xml:space="preserve"> </w:t>
      </w:r>
      <w:hyperlink w:history="1" r:id="rIdjubouciffhdk9k-x6yhnz">
        <w:r>
          <w:rPr>
            <w:color w:val="1D4ED8"/>
            <w:sz w:val="19"/>
            <w:szCs w:val="19"/>
            <w:u w:val="single"/>
          </w:rPr>
          <w:t xml:space="preserve">https://doi.org/10.1017/jfm.2023.467</w:t>
        </w:r>
      </w:hyperlink>
    </w:p>
    <w:p>
      <w:pPr>
        <w:tabs>
          <w:tab w:val="left" w:pos="567"/>
        </w:tabs>
        <w:spacing w:after="90"/>
        <w:ind w:left="567" w:hanging="567"/>
        <w:jc w:val="left"/>
      </w:pPr>
      <w:r>
        <w:rPr>
          <w:b/>
          <w:bCs/>
          <w:color w:val="4D4D4F"/>
          <w:sz w:val="19"/>
          <w:szCs w:val="19"/>
        </w:rPr>
        <w:t xml:space="preserve">[M4]	</w:t>
      </w:r>
      <w:r>
        <w:rPr>
          <w:sz w:val="19"/>
          <w:szCs w:val="19"/>
        </w:rPr>
        <w:t xml:space="preserve">Le Provost, M., Baptista, R., Marzouk, Y. &amp; Eldredge, J. D. (2022). A low-rank ensemble Kalman filter for elliptic observations. </w:t>
      </w:r>
      <w:r>
        <w:rPr>
          <w:i/>
          <w:iCs/>
          <w:sz w:val="19"/>
          <w:szCs w:val="19"/>
        </w:rPr>
        <w:t xml:space="preserve">Proceedings of the Royal Society A</w:t>
      </w:r>
      <w:r>
        <w:rPr>
          <w:sz w:val="19"/>
          <w:szCs w:val="19"/>
        </w:rPr>
        <w:t xml:space="preserve">, 478, 20220182.</w:t>
      </w:r>
      <w:r>
        <w:rPr>
          <w:sz w:val="19"/>
          <w:szCs w:val="19"/>
        </w:rPr>
        <w:t xml:space="preserve"> </w:t>
      </w:r>
      <w:hyperlink w:history="1" r:id="rIdru3oqxpmyo8na3typszzu">
        <w:r>
          <w:rPr>
            <w:color w:val="1D4ED8"/>
            <w:sz w:val="19"/>
            <w:szCs w:val="19"/>
            <w:u w:val="single"/>
          </w:rPr>
          <w:t xml:space="preserve">https://doi.org/10.1098/rspa.2022.0182</w:t>
        </w:r>
      </w:hyperlink>
    </w:p>
    <w:p>
      <w:pPr>
        <w:tabs>
          <w:tab w:val="left" w:pos="567"/>
        </w:tabs>
        <w:spacing w:after="90"/>
        <w:ind w:left="567" w:hanging="567"/>
        <w:jc w:val="left"/>
      </w:pPr>
      <w:r>
        <w:rPr>
          <w:b/>
          <w:bCs/>
          <w:color w:val="4D4D4F"/>
          <w:sz w:val="19"/>
          <w:szCs w:val="19"/>
        </w:rPr>
        <w:t xml:space="preserve">[M5]	</w:t>
      </w:r>
      <w:r>
        <w:rPr>
          <w:sz w:val="19"/>
          <w:szCs w:val="19"/>
        </w:rPr>
        <w:t xml:space="preserve">Charalampopoulos, A.-T. G. &amp; Sapsis, T. P. (2022). Machine-learning energy-preserving nonlocal closures for turbulent fluid flows and inertial tracers. </w:t>
      </w:r>
      <w:r>
        <w:rPr>
          <w:i/>
          <w:iCs/>
          <w:sz w:val="19"/>
          <w:szCs w:val="19"/>
        </w:rPr>
        <w:t xml:space="preserve">Physical Review Fluids</w:t>
      </w:r>
      <w:r>
        <w:rPr>
          <w:sz w:val="19"/>
          <w:szCs w:val="19"/>
        </w:rPr>
        <w:t xml:space="preserve">, 7, 024305.</w:t>
      </w:r>
      <w:r>
        <w:rPr>
          <w:sz w:val="19"/>
          <w:szCs w:val="19"/>
        </w:rPr>
        <w:t xml:space="preserve"> </w:t>
      </w:r>
      <w:hyperlink w:history="1" r:id="rIdqejkmewmr-leowzq76lnb">
        <w:r>
          <w:rPr>
            <w:color w:val="1D4ED8"/>
            <w:sz w:val="19"/>
            <w:szCs w:val="19"/>
            <w:u w:val="single"/>
          </w:rPr>
          <w:t xml:space="preserve">https://doi.org/10.1103/PhysRevFluids.7.024305</w:t>
        </w:r>
      </w:hyperlink>
    </w:p>
    <w:p>
      <w:pPr>
        <w:tabs>
          <w:tab w:val="left" w:pos="567"/>
        </w:tabs>
        <w:spacing w:after="90"/>
        <w:ind w:left="567" w:hanging="567"/>
        <w:jc w:val="left"/>
      </w:pPr>
      <w:r>
        <w:rPr>
          <w:b/>
          <w:bCs/>
          <w:color w:val="4D4D4F"/>
          <w:sz w:val="19"/>
          <w:szCs w:val="19"/>
        </w:rPr>
        <w:t xml:space="preserve">[M6]	</w:t>
      </w:r>
      <w:r>
        <w:rPr>
          <w:sz w:val="19"/>
          <w:szCs w:val="19"/>
        </w:rPr>
        <w:t xml:space="preserve">Zhao, H., Braatz, R. D. &amp; Bazant, M. Z. (2021). Image inversion and uncertainty quantification for constitutive laws of pattern formation. </w:t>
      </w:r>
      <w:r>
        <w:rPr>
          <w:i/>
          <w:iCs/>
          <w:sz w:val="19"/>
          <w:szCs w:val="19"/>
        </w:rPr>
        <w:t xml:space="preserve">Journal of Computational Physics</w:t>
      </w:r>
      <w:r>
        <w:rPr>
          <w:sz w:val="19"/>
          <w:szCs w:val="19"/>
        </w:rPr>
        <w:t xml:space="preserve">, 436, 110279 (DOI not verified).</w:t>
      </w:r>
      <w:r>
        <w:rPr>
          <w:sz w:val="19"/>
          <w:szCs w:val="19"/>
        </w:rPr>
        <w:t xml:space="preserve"> </w:t>
      </w:r>
      <w:hyperlink w:history="1" r:id="rIdue5tjg5lrgvr4q26n5drc">
        <w:r>
          <w:rPr>
            <w:color w:val="1D4ED8"/>
            <w:sz w:val="19"/>
            <w:szCs w:val="19"/>
            <w:u w:val="single"/>
          </w:rPr>
          <w:t xml:space="preserve">https://dspace.mit.edu/handle/1721.1/135663</w:t>
        </w:r>
      </w:hyperlink>
    </w:p>
    <w:p>
      <w:pPr>
        <w:tabs>
          <w:tab w:val="left" w:pos="567"/>
        </w:tabs>
        <w:spacing w:after="90"/>
        <w:ind w:left="567" w:hanging="567"/>
        <w:jc w:val="left"/>
      </w:pPr>
      <w:r>
        <w:rPr>
          <w:b/>
          <w:bCs/>
          <w:color w:val="4D4D4F"/>
          <w:sz w:val="19"/>
          <w:szCs w:val="19"/>
        </w:rPr>
        <w:t xml:space="preserve">[M7]	</w:t>
      </w:r>
      <w:r>
        <w:rPr>
          <w:sz w:val="19"/>
          <w:szCs w:val="19"/>
        </w:rPr>
        <w:t xml:space="preserve">Ji, W. &amp; Deng, S. (2021). Autonomous discovery of unknown reaction pathways from data by chemical reaction neural network. </w:t>
      </w:r>
      <w:r>
        <w:rPr>
          <w:i/>
          <w:iCs/>
          <w:sz w:val="19"/>
          <w:szCs w:val="19"/>
        </w:rPr>
        <w:t xml:space="preserve">The Journal of Physical Chemistry A</w:t>
      </w:r>
      <w:r>
        <w:rPr>
          <w:sz w:val="19"/>
          <w:szCs w:val="19"/>
        </w:rPr>
        <w:t xml:space="preserve">, 125(4) (pages not verified).</w:t>
      </w:r>
      <w:r>
        <w:rPr>
          <w:sz w:val="19"/>
          <w:szCs w:val="19"/>
        </w:rPr>
        <w:t xml:space="preserve"> </w:t>
      </w:r>
      <w:hyperlink w:history="1" r:id="rIdhgzbfopz4opxowi7olyas">
        <w:r>
          <w:rPr>
            <w:color w:val="1D4ED8"/>
            <w:sz w:val="19"/>
            <w:szCs w:val="19"/>
            <w:u w:val="single"/>
          </w:rPr>
          <w:t xml:space="preserve">https://doi.org/10.1021/acs.jpca.0c09316</w:t>
        </w:r>
      </w:hyperlink>
    </w:p>
    <w:p>
      <w:pPr>
        <w:tabs>
          <w:tab w:val="left" w:pos="567"/>
        </w:tabs>
        <w:spacing w:after="90"/>
        <w:ind w:left="567" w:hanging="567"/>
        <w:jc w:val="left"/>
      </w:pPr>
      <w:r>
        <w:rPr>
          <w:b/>
          <w:bCs/>
          <w:color w:val="4D4D4F"/>
          <w:sz w:val="19"/>
          <w:szCs w:val="19"/>
        </w:rPr>
        <w:t xml:space="preserve">[M8]	</w:t>
      </w:r>
      <w:r>
        <w:rPr>
          <w:sz w:val="19"/>
          <w:szCs w:val="19"/>
        </w:rPr>
        <w:t xml:space="preserve">Hütter, J.-C. &amp; Rigollet, P. (2021). Minimax estimation of smooth optimal transport maps. </w:t>
      </w:r>
      <w:r>
        <w:rPr>
          <w:i/>
          <w:iCs/>
          <w:sz w:val="19"/>
          <w:szCs w:val="19"/>
        </w:rPr>
        <w:t xml:space="preserve">The Annals of Statistics</w:t>
      </w:r>
      <w:r>
        <w:rPr>
          <w:sz w:val="19"/>
          <w:szCs w:val="19"/>
        </w:rPr>
        <w:t xml:space="preserve">, 49(2), 1166–1194.</w:t>
      </w:r>
      <w:r>
        <w:rPr>
          <w:sz w:val="19"/>
          <w:szCs w:val="19"/>
        </w:rPr>
        <w:t xml:space="preserve"> </w:t>
      </w:r>
      <w:hyperlink w:history="1" r:id="rIddup8116ctlhx0r0gr2rzc">
        <w:r>
          <w:rPr>
            <w:color w:val="1D4ED8"/>
            <w:sz w:val="19"/>
            <w:szCs w:val="19"/>
            <w:u w:val="single"/>
          </w:rPr>
          <w:t xml:space="preserve">https://doi.org/10.1214/20-AOS1997</w:t>
        </w:r>
      </w:hyperlink>
    </w:p>
    <w:p>
      <w:pPr>
        <w:tabs>
          <w:tab w:val="left" w:pos="567"/>
        </w:tabs>
        <w:spacing w:after="90"/>
        <w:ind w:left="567" w:hanging="567"/>
        <w:jc w:val="left"/>
      </w:pPr>
      <w:r>
        <w:rPr>
          <w:b/>
          <w:bCs/>
          <w:color w:val="215CAF"/>
          <w:sz w:val="19"/>
          <w:szCs w:val="19"/>
        </w:rPr>
        <w:t xml:space="preserve">[E1]	</w:t>
      </w:r>
      <w:r>
        <w:rPr>
          <w:sz w:val="19"/>
          <w:szCs w:val="19"/>
        </w:rPr>
        <w:t xml:space="preserve">Lanthaler, S., Rusch, T. K. &amp; Mishra, S. (2023). Neural oscillators are universal. </w:t>
      </w:r>
      <w:r>
        <w:rPr>
          <w:i/>
          <w:iCs/>
          <w:sz w:val="19"/>
          <w:szCs w:val="19"/>
        </w:rPr>
        <w:t xml:space="preserve">Advances in Neural Information Processing Systems 36</w:t>
      </w:r>
      <w:r>
        <w:rPr>
          <w:sz w:val="19"/>
          <w:szCs w:val="19"/>
        </w:rPr>
        <w:t xml:space="preserve"> (NeurIPS 2023) (pages not verified).</w:t>
      </w:r>
      <w:r>
        <w:rPr>
          <w:sz w:val="19"/>
          <w:szCs w:val="19"/>
        </w:rPr>
        <w:t xml:space="preserve"> </w:t>
      </w:r>
      <w:hyperlink w:history="1" r:id="rIdzl4gighibg6aeha4z9bad">
        <w:r>
          <w:rPr>
            <w:color w:val="1D4ED8"/>
            <w:sz w:val="19"/>
            <w:szCs w:val="19"/>
            <w:u w:val="single"/>
          </w:rPr>
          <w:t xml:space="preserve">https://proceedings.neurips.cc/paper_files/paper/2023/hash/923285deb805c3e14e1aeebc9854d644-Abstract.html</w:t>
        </w:r>
      </w:hyperlink>
    </w:p>
    <w:p>
      <w:pPr>
        <w:tabs>
          <w:tab w:val="left" w:pos="567"/>
        </w:tabs>
        <w:spacing w:after="90"/>
        <w:ind w:left="567" w:hanging="567"/>
        <w:jc w:val="left"/>
      </w:pPr>
      <w:r>
        <w:rPr>
          <w:b/>
          <w:bCs/>
          <w:color w:val="215CAF"/>
          <w:sz w:val="19"/>
          <w:szCs w:val="19"/>
        </w:rPr>
        <w:t xml:space="preserve">[E2]	</w:t>
      </w:r>
      <w:r>
        <w:rPr>
          <w:sz w:val="19"/>
          <w:szCs w:val="19"/>
        </w:rPr>
        <w:t xml:space="preserve">Fang, Z., Gupta, A. &amp; Khammash, M. (2023). Convergence of regularized particle filters for stochastic reaction networks. </w:t>
      </w:r>
      <w:r>
        <w:rPr>
          <w:i/>
          <w:iCs/>
          <w:sz w:val="19"/>
          <w:szCs w:val="19"/>
        </w:rPr>
        <w:t xml:space="preserve">SIAM Journal on Numerical Analysis</w:t>
      </w:r>
      <w:r>
        <w:rPr>
          <w:sz w:val="19"/>
          <w:szCs w:val="19"/>
        </w:rPr>
        <w:t xml:space="preserve">, 61(2), 399–430.</w:t>
      </w:r>
      <w:r>
        <w:rPr>
          <w:sz w:val="19"/>
          <w:szCs w:val="19"/>
        </w:rPr>
        <w:t xml:space="preserve"> </w:t>
      </w:r>
      <w:hyperlink w:history="1" r:id="rIdrnujf9spzduucr47prutt">
        <w:r>
          <w:rPr>
            <w:color w:val="1D4ED8"/>
            <w:sz w:val="19"/>
            <w:szCs w:val="19"/>
            <w:u w:val="single"/>
          </w:rPr>
          <w:t xml:space="preserve">https://doi.org/10.1137/21M1453025</w:t>
        </w:r>
      </w:hyperlink>
    </w:p>
    <w:p>
      <w:pPr>
        <w:tabs>
          <w:tab w:val="left" w:pos="567"/>
        </w:tabs>
        <w:spacing w:after="90"/>
        <w:ind w:left="567" w:hanging="567"/>
        <w:jc w:val="left"/>
      </w:pPr>
      <w:r>
        <w:rPr>
          <w:b/>
          <w:bCs/>
          <w:color w:val="215CAF"/>
          <w:sz w:val="19"/>
          <w:szCs w:val="19"/>
        </w:rPr>
        <w:t xml:space="preserve">[E3]	</w:t>
      </w:r>
      <w:r>
        <w:rPr>
          <w:sz w:val="19"/>
          <w:szCs w:val="19"/>
        </w:rPr>
        <w:t xml:space="preserve">Kirchner, J. W. (2022). Impulse response functions for nonlinear, nonstationary, and heterogeneous systems, estimated by deconvolution and demixing of noisy time series. </w:t>
      </w:r>
      <w:r>
        <w:rPr>
          <w:i/>
          <w:iCs/>
          <w:sz w:val="19"/>
          <w:szCs w:val="19"/>
        </w:rPr>
        <w:t xml:space="preserve">Sensors</w:t>
      </w:r>
      <w:r>
        <w:rPr>
          <w:sz w:val="19"/>
          <w:szCs w:val="19"/>
        </w:rPr>
        <w:t xml:space="preserve">, 22(9), 3291.</w:t>
      </w:r>
      <w:r>
        <w:rPr>
          <w:sz w:val="19"/>
          <w:szCs w:val="19"/>
        </w:rPr>
        <w:t xml:space="preserve"> </w:t>
      </w:r>
      <w:hyperlink w:history="1" r:id="rIdd0bva6kv3wuksrtjfhlsw">
        <w:r>
          <w:rPr>
            <w:color w:val="1D4ED8"/>
            <w:sz w:val="19"/>
            <w:szCs w:val="19"/>
            <w:u w:val="single"/>
          </w:rPr>
          <w:t xml:space="preserve">https://doi.org/10.3390/s22093291</w:t>
        </w:r>
      </w:hyperlink>
    </w:p>
    <w:p>
      <w:pPr>
        <w:tabs>
          <w:tab w:val="left" w:pos="567"/>
        </w:tabs>
        <w:spacing w:after="90"/>
        <w:ind w:left="567" w:hanging="567"/>
        <w:jc w:val="left"/>
      </w:pPr>
      <w:r>
        <w:rPr>
          <w:b/>
          <w:bCs/>
          <w:color w:val="215CAF"/>
          <w:sz w:val="19"/>
          <w:szCs w:val="19"/>
        </w:rPr>
        <w:t xml:space="preserve">[E4]	</w:t>
      </w:r>
      <w:r>
        <w:rPr>
          <w:sz w:val="19"/>
          <w:szCs w:val="19"/>
        </w:rPr>
        <w:t xml:space="preserve">Perez, Puyguiraud, Hidalgo, Jiménez-Martínez, Parashar &amp; Dentz (given names not verified) (2021). Upscaling mixing-controlled reactions in unsaturated porous media. </w:t>
      </w:r>
      <w:r>
        <w:rPr>
          <w:i/>
          <w:iCs/>
          <w:sz w:val="19"/>
          <w:szCs w:val="19"/>
        </w:rPr>
        <w:t xml:space="preserve">Transport in Porous Media</w:t>
      </w:r>
      <w:r>
        <w:rPr>
          <w:sz w:val="19"/>
          <w:szCs w:val="19"/>
        </w:rPr>
        <w:t xml:space="preserve">, 146(1–2), 177–196.</w:t>
      </w:r>
      <w:r>
        <w:rPr>
          <w:sz w:val="19"/>
          <w:szCs w:val="19"/>
        </w:rPr>
        <w:t xml:space="preserve"> </w:t>
      </w:r>
      <w:hyperlink w:history="1" r:id="rId4lpb9hnrpjldtuughs-hh">
        <w:r>
          <w:rPr>
            <w:color w:val="1D4ED8"/>
            <w:sz w:val="19"/>
            <w:szCs w:val="19"/>
            <w:u w:val="single"/>
          </w:rPr>
          <w:t xml:space="preserve">https://doi.org/10.1007/s11242-021-01710-2</w:t>
        </w:r>
      </w:hyperlink>
    </w:p>
    <w:p>
      <w:pPr>
        <w:tabs>
          <w:tab w:val="left" w:pos="567"/>
        </w:tabs>
        <w:spacing w:after="90"/>
        <w:ind w:left="567" w:hanging="567"/>
        <w:jc w:val="left"/>
      </w:pPr>
      <w:r>
        <w:rPr>
          <w:b/>
          <w:bCs/>
          <w:color w:val="215CAF"/>
          <w:sz w:val="19"/>
          <w:szCs w:val="19"/>
        </w:rPr>
        <w:t xml:space="preserve">[E5]	</w:t>
      </w:r>
      <w:r>
        <w:rPr>
          <w:sz w:val="19"/>
          <w:szCs w:val="19"/>
        </w:rPr>
        <w:t xml:space="preserve">Herrera, C., Krach, F. &amp; Teichmann, J. (2021). Neural jump ordinary differential equations: consistent continuous-time prediction and filtering.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czhqkt4d9sut5m4_6-idj">
        <w:r>
          <w:rPr>
            <w:color w:val="1D4ED8"/>
            <w:sz w:val="19"/>
            <w:szCs w:val="19"/>
            <w:u w:val="single"/>
          </w:rPr>
          <w:t xml:space="preserve">https://iclr.cc/virtual/2021/poster/3339</w:t>
        </w:r>
      </w:hyperlink>
    </w:p>
    <w:p>
      <w:pPr>
        <w:tabs>
          <w:tab w:val="left" w:pos="567"/>
        </w:tabs>
        <w:spacing w:after="90"/>
        <w:ind w:left="567" w:hanging="567"/>
        <w:jc w:val="left"/>
      </w:pPr>
      <w:r>
        <w:rPr>
          <w:b/>
          <w:bCs/>
          <w:color w:val="215CAF"/>
          <w:sz w:val="19"/>
          <w:szCs w:val="19"/>
        </w:rPr>
        <w:t xml:space="preserve">[E6]	</w:t>
      </w:r>
      <w:r>
        <w:rPr>
          <w:sz w:val="19"/>
          <w:szCs w:val="19"/>
        </w:rPr>
        <w:t xml:space="preserve">Bühlmann, P. (2020). Invariance, causality and robustness. </w:t>
      </w:r>
      <w:r>
        <w:rPr>
          <w:i/>
          <w:iCs/>
          <w:sz w:val="19"/>
          <w:szCs w:val="19"/>
        </w:rPr>
        <w:t xml:space="preserve">Statistical Science</w:t>
      </w:r>
      <w:r>
        <w:rPr>
          <w:sz w:val="19"/>
          <w:szCs w:val="19"/>
        </w:rPr>
        <w:t xml:space="preserve">, 35(3), 404–426.</w:t>
      </w:r>
      <w:r>
        <w:rPr>
          <w:sz w:val="19"/>
          <w:szCs w:val="19"/>
        </w:rPr>
        <w:t xml:space="preserve"> </w:t>
      </w:r>
      <w:hyperlink w:history="1" r:id="rIdy8tiokqcjtxxj44dri5zi">
        <w:r>
          <w:rPr>
            <w:color w:val="1D4ED8"/>
            <w:sz w:val="19"/>
            <w:szCs w:val="19"/>
            <w:u w:val="single"/>
          </w:rPr>
          <w:t xml:space="preserve">https://doi.org/10.1214/19-STS721</w:t>
        </w:r>
      </w:hyperlink>
    </w:p>
    <w:p>
      <w:pPr>
        <w:tabs>
          <w:tab w:val="left" w:pos="567"/>
        </w:tabs>
        <w:spacing w:after="90"/>
        <w:ind w:left="567" w:hanging="567"/>
        <w:jc w:val="left"/>
      </w:pPr>
      <w:r>
        <w:rPr>
          <w:b/>
          <w:bCs/>
          <w:color w:val="215CAF"/>
          <w:sz w:val="19"/>
          <w:szCs w:val="19"/>
        </w:rPr>
        <w:t xml:space="preserve">[E7]	</w:t>
      </w:r>
      <w:r>
        <w:rPr>
          <w:sz w:val="19"/>
          <w:szCs w:val="19"/>
        </w:rPr>
        <w:t xml:space="preserve">Lanthaler, S., Molinaro, R., Hadorn, P. &amp; Mishra, S. (2023). Nonlinear reconstruction for operator learning of PDEs with discontinuities. </w:t>
      </w:r>
      <w:r>
        <w:rPr>
          <w:i/>
          <w:iCs/>
          <w:sz w:val="19"/>
          <w:szCs w:val="19"/>
        </w:rPr>
        <w:t xml:space="preserve">International Conference on Learning Representations (ICLR 2023)</w:t>
      </w:r>
      <w:r>
        <w:rPr>
          <w:sz w:val="19"/>
          <w:szCs w:val="19"/>
        </w:rPr>
        <w:t xml:space="preserve">.</w:t>
      </w:r>
      <w:r>
        <w:rPr>
          <w:sz w:val="19"/>
          <w:szCs w:val="19"/>
        </w:rPr>
        <w:t xml:space="preserve"> </w:t>
      </w:r>
      <w:hyperlink w:history="1" r:id="rIdwmrlbo6gnxesyklif8a9c">
        <w:r>
          <w:rPr>
            <w:color w:val="1D4ED8"/>
            <w:sz w:val="19"/>
            <w:szCs w:val="19"/>
            <w:u w:val="single"/>
          </w:rPr>
          <w:t xml:space="preserve">https://iclr.cc/virtual/2023/oral/12757</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by four search agents and a few direct searches (about 170 web searches); theorem numbers and exact statements were not seen, and the key equations are representative formulations. All 30 titles and DOIs were checked against the cards and texts of the 41 earlier documents of this series, with no overlap. Unconfirmed points: the given names of some co-authors of [O4], [O7], [H1] and [E4]; the article numbers of [M1] and [O7]; the issues of [O3] and [H2]; the volume of [O4] (one citation gives 82); the DOI of [M6], which is linked to its MIT DSpace record; the pages of [M7] and [E1]; the journal title of [E2], taken from a citing paper's reference list; the year of the issue of [E4]; and the affiliation blocks of [O1], [O2], [O5], [H1], [H3], [H6], [M4], [E6] and [E7], where the institution rests on preprints, repositories or faculty pages. The rows on the standing of the authors list only what was seen. [O2], [O8], [H4], [H6], [M2], [M6] and [E2] are Bayesian. The classical references of Part I were not verified. The two local folders named in the request could not be reached from the cloud environment and were not used. The numbers of section 9 come from the code in experiments/gjurma_go/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Missing dynamics in coastal-aquifer flow and multi-species transport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xzv8wpdzjy0rxejjwjok" Type="http://schemas.openxmlformats.org/officeDocument/2006/relationships/hyperlink" Target="https://doi.org/10.1214/23-AOP1663" TargetMode="External"/><Relationship Id="rIdku0gqlhvadwoephm2gtpl" Type="http://schemas.openxmlformats.org/officeDocument/2006/relationships/hyperlink" Target="https://doi.org/10.1214/19-AOS1903" TargetMode="External"/><Relationship Id="rIdygkjveluiiengixds-aib" Type="http://schemas.openxmlformats.org/officeDocument/2006/relationships/hyperlink" Target="https://doi.org/10.1098/rspa.2021.0214" TargetMode="External"/><Relationship Id="rIdkw3nkepom9rcva3yppt3m" Type="http://schemas.openxmlformats.org/officeDocument/2006/relationships/hyperlink" Target="https://doi.org/10.1137/19M1305495" TargetMode="External"/><Relationship Id="rIdmgnl7oqhqpe05rmev_yvt" Type="http://schemas.openxmlformats.org/officeDocument/2006/relationships/hyperlink" Target="https://doi.org/10.1137/19M130220X" TargetMode="External"/><Relationship Id="rIdpecwac5qd4fwin8vxkh_1" Type="http://schemas.openxmlformats.org/officeDocument/2006/relationships/hyperlink" Target="https://doi.org/10.1371/journal.pcbi.1010844" TargetMode="External"/><Relationship Id="rIdoz7safvlw_ton2zwjugem" Type="http://schemas.openxmlformats.org/officeDocument/2006/relationships/hyperlink" Target="https://doi.org/10.1029/2021MS002521" TargetMode="External"/><Relationship Id="rId3ppusnxyqgzz_zhkjwfju" Type="http://schemas.openxmlformats.org/officeDocument/2006/relationships/hyperlink" Target="https://doi.org/10.1137/18M1229742" TargetMode="External"/><Relationship Id="rIdne07gk6djk-4l4b1ydegx" Type="http://schemas.openxmlformats.org/officeDocument/2006/relationships/hyperlink" Target="https://doi.org/10.1029/2021MS002926" TargetMode="External"/><Relationship Id="rIdxkvcesn_ngntxfweqcujk" Type="http://schemas.openxmlformats.org/officeDocument/2006/relationships/hyperlink" Target="https://doi.org/10.1029/2020JD032759" TargetMode="External"/><Relationship Id="rIdbw7ada3kegurpzpt-g2ci" Type="http://schemas.openxmlformats.org/officeDocument/2006/relationships/hyperlink" Target="https://doi.org/10.5194/gmd-15-1677-2022" TargetMode="External"/><Relationship Id="rIdex7qzykntddcbxrdolubv" Type="http://schemas.openxmlformats.org/officeDocument/2006/relationships/hyperlink" Target="https://doi.org/10.5194/acp-21-3643-2021" TargetMode="External"/><Relationship Id="rIdtdgx9_m0nfw6kb6cvgntg" Type="http://schemas.openxmlformats.org/officeDocument/2006/relationships/hyperlink" Target="https://doi.org/10.1140/epje/s10189-023-00313-7" TargetMode="External"/><Relationship Id="rIdczapivg55jw5wk6xf97op" Type="http://schemas.openxmlformats.org/officeDocument/2006/relationships/hyperlink" Target="https://doi.org/10.1214/24-EJS2237" TargetMode="External"/><Relationship Id="rId2fkl37ptf5fi0flledxay" Type="http://schemas.openxmlformats.org/officeDocument/2006/relationships/hyperlink" Target="https://proceedings.mlr.press/v242/tang24a.html" TargetMode="External"/><Relationship Id="rIdnjxsrqlaodpyufv7mqd2q" Type="http://schemas.openxmlformats.org/officeDocument/2006/relationships/hyperlink" Target="https://doi.org/10.1098/rspa.2020.1004" TargetMode="External"/><Relationship Id="rIdsm85-5gh-c-7ziiikz2eg" Type="http://schemas.openxmlformats.org/officeDocument/2006/relationships/hyperlink" Target="https://doi.org/10.1016/j.pocean.2023.103050" TargetMode="External"/><Relationship Id="rIdsaqfmxhqwwstz86dnlrda" Type="http://schemas.openxmlformats.org/officeDocument/2006/relationships/hyperlink" Target="https://doi.org/10.1017/jfm.2023.467" TargetMode="External"/><Relationship Id="rIdjwqh5-hnf3mt5dgzgg6kp" Type="http://schemas.openxmlformats.org/officeDocument/2006/relationships/hyperlink" Target="https://doi.org/10.1098/rspa.2022.0182" TargetMode="External"/><Relationship Id="rId1q8l051kb9xvvwjxxmpho" Type="http://schemas.openxmlformats.org/officeDocument/2006/relationships/hyperlink" Target="https://doi.org/10.1103/PhysRevFluids.7.024305" TargetMode="External"/><Relationship Id="rIduo6nmygwm3xcwclveeocw" Type="http://schemas.openxmlformats.org/officeDocument/2006/relationships/hyperlink" Target="https://dspace.mit.edu/handle/1721.1/135663" TargetMode="External"/><Relationship Id="rId6gh_rdpfqw7encyg5yd6w" Type="http://schemas.openxmlformats.org/officeDocument/2006/relationships/hyperlink" Target="https://doi.org/10.1021/acs.jpca.0c09316" TargetMode="External"/><Relationship Id="rIdsvijxajizj5dzjjjpxc5e" Type="http://schemas.openxmlformats.org/officeDocument/2006/relationships/hyperlink" Target="https://doi.org/10.1214/20-AOS1997" TargetMode="External"/><Relationship Id="rIdjzxblvst3dxbr69ojpnmo" Type="http://schemas.openxmlformats.org/officeDocument/2006/relationships/hyperlink" Target="https://proceedings.neurips.cc/paper_files/paper/2023/hash/923285deb805c3e14e1aeebc9854d644-Abstract.html" TargetMode="External"/><Relationship Id="rIdjppuctqe-siimhf8gt5zy" Type="http://schemas.openxmlformats.org/officeDocument/2006/relationships/hyperlink" Target="https://doi.org/10.1137/21M1453025" TargetMode="External"/><Relationship Id="rIdqobb_ibagra2quobvd3fa" Type="http://schemas.openxmlformats.org/officeDocument/2006/relationships/hyperlink" Target="https://doi.org/10.3390/s22093291" TargetMode="External"/><Relationship Id="rIdgag2qcfd3yp1medck6hpx" Type="http://schemas.openxmlformats.org/officeDocument/2006/relationships/hyperlink" Target="https://doi.org/10.1007/s11242-021-01710-2" TargetMode="External"/><Relationship Id="rIdb1m6ubmz0p_mbaigbkdhw" Type="http://schemas.openxmlformats.org/officeDocument/2006/relationships/hyperlink" Target="https://iclr.cc/virtual/2021/poster/3339" TargetMode="External"/><Relationship Id="rId5ulxbrpbeiohdmyc2b_9x" Type="http://schemas.openxmlformats.org/officeDocument/2006/relationships/hyperlink" Target="https://doi.org/10.1214/19-STS721" TargetMode="External"/><Relationship Id="rIdy_6e4mopma_hb_m0xa2z0" Type="http://schemas.openxmlformats.org/officeDocument/2006/relationships/hyperlink" Target="https://iclr.cc/virtual/2023/oral/12757" TargetMode="External"/><Relationship Id="rId8jens8g9hk9hdygswcf6v" Type="http://schemas.openxmlformats.org/officeDocument/2006/relationships/hyperlink" Target="https://doi.org/10.5194/gmd-16-4501-2023" TargetMode="External"/><Relationship Id="rIdimmrlwg5uehbwojjprirv" Type="http://schemas.openxmlformats.org/officeDocument/2006/relationships/hyperlink" Target="https://doi.org/10.1214/22-AAP1872" TargetMode="External"/><Relationship Id="rIdpf2os5p1pvabgclrqz7ot" Type="http://schemas.openxmlformats.org/officeDocument/2006/relationships/hyperlink" Target="https://doi.org/10.5194/acp-23-7503-2023" TargetMode="External"/><Relationship Id="rIdvylrh_8-8bxql29rwpepb" Type="http://schemas.openxmlformats.org/officeDocument/2006/relationships/hyperlink" Target="https://doi.org/10.1029/2022MS003293" TargetMode="External"/><Relationship Id="rIdvvzqjipfcoyipk_mtrpzb" Type="http://schemas.openxmlformats.org/officeDocument/2006/relationships/hyperlink" Target="https://doi.org/10.1017/jfm.2024.302" TargetMode="External"/><Relationship Id="rIdqdjhjrdj9xybfkmm8ci9x" Type="http://schemas.openxmlformats.org/officeDocument/2006/relationships/hyperlink" Target="https://doi.org/10.1038/s41598-023-35319-w" TargetMode="External"/><Relationship Id="rIdout4ld6spc4zo3crietv0" Type="http://schemas.openxmlformats.org/officeDocument/2006/relationships/hyperlink" Target="https://doi.org/10.1016/j.physd.2021.133003" TargetMode="External"/><Relationship Id="rIdd3ci0ifjm0pcz16fd1ltc" Type="http://schemas.openxmlformats.org/officeDocument/2006/relationships/hyperlink" Target="https://doi.org/10.1038/s41586-023-06393-x" TargetMode="External"/><Relationship Id="rIdah56mr7bmixbhz8182fkm" Type="http://schemas.openxmlformats.org/officeDocument/2006/relationships/hyperlink" Target="https://doi.org/10.1029/2020WR028311" TargetMode="External"/><Relationship Id="rIdwegtjnk8-jpwiur8mvy8x" Type="http://schemas.openxmlformats.org/officeDocument/2006/relationships/hyperlink" Target="https://doi.org/10.5194/hess-28-4427-2024" TargetMode="External"/><Relationship Id="rIdq4y2x4qhbaedbskthpcih" Type="http://schemas.openxmlformats.org/officeDocument/2006/relationships/hyperlink" Target="https://doi.org/10.1029/2022WR033613" TargetMode="External"/><Relationship Id="rIdsk5vw8pelh5vhpksm9a5i" Type="http://schemas.openxmlformats.org/officeDocument/2006/relationships/hyperlink" Target="https://doi.org/10.1038/s42256-020-00272-0" TargetMode="External"/><Relationship Id="rIdn0gvc3zoe0hb-c3lkh4ha" Type="http://schemas.openxmlformats.org/officeDocument/2006/relationships/hyperlink" Target="https://doi.org/10.1016/j.jhydrol.2026.136559" TargetMode="External"/><Relationship Id="rIdzd4ggv8e4_k_hewzpk4da" Type="http://schemas.openxmlformats.org/officeDocument/2006/relationships/hyperlink" Target="https://doi.org/10.12681/bgsg.11772" TargetMode="External"/><Relationship Id="rId-ywxhc0eu7i6tjnipcq4b" Type="http://schemas.openxmlformats.org/officeDocument/2006/relationships/hyperlink" Target="https://doi.org/10.1186/s41546-020-00046-x" TargetMode="External"/><Relationship Id="rIdgikw-gn2dwmhzuutftklt" Type="http://schemas.openxmlformats.org/officeDocument/2006/relationships/hyperlink" Target="https://doi.org/10.1137/24M1628207" TargetMode="External"/><Relationship Id="rId13nxh60u-sbhw2c3ul4i3" Type="http://schemas.openxmlformats.org/officeDocument/2006/relationships/hyperlink" Target="https://doi.org/10.1214/23-AOP1663" TargetMode="External"/><Relationship Id="rIddhhnxsqpvdd5j_1fpotgk" Type="http://schemas.openxmlformats.org/officeDocument/2006/relationships/hyperlink" Target="https://doi.org/10.1214/19-AOS1903" TargetMode="External"/><Relationship Id="rIdqwjwltv8uqk-z5soa-pld" Type="http://schemas.openxmlformats.org/officeDocument/2006/relationships/hyperlink" Target="https://doi.org/10.1098/rspa.2021.0214" TargetMode="External"/><Relationship Id="rIdmrwll3daijuu5tov7ra5d" Type="http://schemas.openxmlformats.org/officeDocument/2006/relationships/hyperlink" Target="https://doi.org/10.1137/19M1305495" TargetMode="External"/><Relationship Id="rIdfaoqmq6rmnu19_4nlwlzn" Type="http://schemas.openxmlformats.org/officeDocument/2006/relationships/hyperlink" Target="https://doi.org/10.1137/19M130220X" TargetMode="External"/><Relationship Id="rIdizlomb3dkicyfm_0b9joj" Type="http://schemas.openxmlformats.org/officeDocument/2006/relationships/hyperlink" Target="https://doi.org/10.1371/journal.pcbi.1010844" TargetMode="External"/><Relationship Id="rIdisdxvkqej5hqzbrfkpwl-" Type="http://schemas.openxmlformats.org/officeDocument/2006/relationships/hyperlink" Target="https://doi.org/10.1029/2021MS002521" TargetMode="External"/><Relationship Id="rId0jld3shethvxwrybuq49g" Type="http://schemas.openxmlformats.org/officeDocument/2006/relationships/hyperlink" Target="https://doi.org/10.1137/18M1229742" TargetMode="External"/><Relationship Id="rIdz090apnn1gzxzvo04v_pw" Type="http://schemas.openxmlformats.org/officeDocument/2006/relationships/hyperlink" Target="https://doi.org/10.1029/2021MS002926" TargetMode="External"/><Relationship Id="rIdgvi9iuxnux9bdlunr2lmm" Type="http://schemas.openxmlformats.org/officeDocument/2006/relationships/hyperlink" Target="https://doi.org/10.1029/2020JD032759" TargetMode="External"/><Relationship Id="rIdasc_jn5jdqphaoea7p4rl" Type="http://schemas.openxmlformats.org/officeDocument/2006/relationships/hyperlink" Target="https://doi.org/10.5194/gmd-15-1677-2022" TargetMode="External"/><Relationship Id="rIdv76ki3x41is630mzvbitw" Type="http://schemas.openxmlformats.org/officeDocument/2006/relationships/hyperlink" Target="https://doi.org/10.5194/acp-21-3643-2021" TargetMode="External"/><Relationship Id="rId0fekrjgkq1zblcnmwe1lf" Type="http://schemas.openxmlformats.org/officeDocument/2006/relationships/hyperlink" Target="https://doi.org/10.1140/epje/s10189-023-00313-7" TargetMode="External"/><Relationship Id="rId6vwqamzadunhggzqhnlxy" Type="http://schemas.openxmlformats.org/officeDocument/2006/relationships/hyperlink" Target="https://doi.org/10.1214/24-EJS2237" TargetMode="External"/><Relationship Id="rIdzmuaqeh7s3mijfhwvsla1" Type="http://schemas.openxmlformats.org/officeDocument/2006/relationships/hyperlink" Target="https://proceedings.mlr.press/v242/tang24a.html" TargetMode="External"/><Relationship Id="rIdhxgjg5bza97tv5lqo1roy" Type="http://schemas.openxmlformats.org/officeDocument/2006/relationships/hyperlink" Target="https://doi.org/10.1098/rspa.2020.1004" TargetMode="External"/><Relationship Id="rIdyugog-yirbsugrjhl-yvg" Type="http://schemas.openxmlformats.org/officeDocument/2006/relationships/hyperlink" Target="https://doi.org/10.1016/j.pocean.2023.103050" TargetMode="External"/><Relationship Id="rIdjubouciffhdk9k-x6yhnz" Type="http://schemas.openxmlformats.org/officeDocument/2006/relationships/hyperlink" Target="https://doi.org/10.1017/jfm.2023.467" TargetMode="External"/><Relationship Id="rIdru3oqxpmyo8na3typszzu" Type="http://schemas.openxmlformats.org/officeDocument/2006/relationships/hyperlink" Target="https://doi.org/10.1098/rspa.2022.0182" TargetMode="External"/><Relationship Id="rIdqejkmewmr-leowzq76lnb" Type="http://schemas.openxmlformats.org/officeDocument/2006/relationships/hyperlink" Target="https://doi.org/10.1103/PhysRevFluids.7.024305" TargetMode="External"/><Relationship Id="rIdue5tjg5lrgvr4q26n5drc" Type="http://schemas.openxmlformats.org/officeDocument/2006/relationships/hyperlink" Target="https://dspace.mit.edu/handle/1721.1/135663" TargetMode="External"/><Relationship Id="rIdhgzbfopz4opxowi7olyas" Type="http://schemas.openxmlformats.org/officeDocument/2006/relationships/hyperlink" Target="https://doi.org/10.1021/acs.jpca.0c09316" TargetMode="External"/><Relationship Id="rIddup8116ctlhx0r0gr2rzc" Type="http://schemas.openxmlformats.org/officeDocument/2006/relationships/hyperlink" Target="https://doi.org/10.1214/20-AOS1997" TargetMode="External"/><Relationship Id="rIdzl4gighibg6aeha4z9bad" Type="http://schemas.openxmlformats.org/officeDocument/2006/relationships/hyperlink" Target="https://proceedings.neurips.cc/paper_files/paper/2023/hash/923285deb805c3e14e1aeebc9854d644-Abstract.html" TargetMode="External"/><Relationship Id="rIdrnujf9spzduucr47prutt" Type="http://schemas.openxmlformats.org/officeDocument/2006/relationships/hyperlink" Target="https://doi.org/10.1137/21M1453025" TargetMode="External"/><Relationship Id="rIdd0bva6kv3wuksrtjfhlsw" Type="http://schemas.openxmlformats.org/officeDocument/2006/relationships/hyperlink" Target="https://doi.org/10.3390/s22093291" TargetMode="External"/><Relationship Id="rId4lpb9hnrpjldtuughs-hh" Type="http://schemas.openxmlformats.org/officeDocument/2006/relationships/hyperlink" Target="https://doi.org/10.1007/s11242-021-01710-2" TargetMode="External"/><Relationship Id="rIdczhqkt4d9sut5m4_6-idj" Type="http://schemas.openxmlformats.org/officeDocument/2006/relationships/hyperlink" Target="https://iclr.cc/virtual/2021/poster/3339" TargetMode="External"/><Relationship Id="rIdy8tiokqcjtxxj44dri5zi" Type="http://schemas.openxmlformats.org/officeDocument/2006/relationships/hyperlink" Target="https://doi.org/10.1214/19-STS721" TargetMode="External"/><Relationship Id="rIdwmrlbo6gnxesyklif8a9c" Type="http://schemas.openxmlformats.org/officeDocument/2006/relationships/hyperlink" Target="https://iclr.cc/virtual/2023/oral/12757" TargetMode="External"/><Relationship Id="rId11" Type="http://schemas.openxmlformats.org/officeDocument/2006/relationships/image" Target="media/bf1b7dbb6f1ccd2c74d52e1e6622173db43e1d72.png"/><Relationship Id="rId12" Type="http://schemas.openxmlformats.org/officeDocument/2006/relationships/image" Target="media/96d512535192309226d2a94aea282c6451965705.png"/><Relationship Id="rId13" Type="http://schemas.openxmlformats.org/officeDocument/2006/relationships/image" Target="media/78d2dda13afcde747533bd9b776b37c2b62c8172.png"/><Relationship Id="rId14" Type="http://schemas.openxmlformats.org/officeDocument/2006/relationships/image" Target="media/110e958ada2466aa2dd0305ab204c6dba45db8e3.pn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 dynamics in coastal-aquifer flow and multi-species transport: 30 papers for a COST candidate system of equations</dc:title>
  <dc:subject>Literature review: learned closures, memory and multi-species transport for coastal aquifers, 2020–2026</dc:subject>
  <dc:creator>D. Zeqiraj</dc:creator>
  <dc:description>The 30 best papers (2020–2026) from Oxford, Harvard, MIT and ETH Zürich, by leading authors and with deep mathematics, that make an augmented system of variable-density flow and multi-species reactive transport (learned closures with memory, confined by stoichiometry, assimilated from heads and hydrochemistry and reported robustly) a world-novel candidate for the COST paper, with a theoretical introduction and a numerically tested innovation on the Fushë-Kuqe chemistry</dc:description>
  <cp:lastModifiedBy>D. Zeqiraj</cp:lastModifiedBy>
  <cp:revision>1</cp:revision>
  <dcterms:created xsi:type="dcterms:W3CDTF">2026-10-23T17:14:52.164Z</dcterms:created>
  <dcterms:modified xsi:type="dcterms:W3CDTF">2026-10-23T17:14:52.164Z</dcterms:modified>
</cp:coreProperties>
</file>

<file path=docProps/custom.xml><?xml version="1.0" encoding="utf-8"?>
<Properties xmlns="http://schemas.openxmlformats.org/officeDocument/2006/custom-properties" xmlns:vt="http://schemas.openxmlformats.org/officeDocument/2006/docPropsVTypes"/>
</file>