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Deciding decisively under deep uncertainty II: twenty more papers from Oxford, Caltech, MIT and ETH Zürich</w:t>
      </w:r>
    </w:p>
    <w:p>
      <w:pPr>
        <w:spacing w:after="360"/>
      </w:pPr>
      <w:r>
        <w:rPr>
          <w:color w:val="3A4350"/>
          <w:sz w:val="26"/>
          <w:szCs w:val="26"/>
        </w:rPr>
        <w:t xml:space="preserve">Robust satisficing, calibrated ambiguity sets, truthful beliefs and commitment (2020–2026), none used in review 57. With a theoretical introduction and RREZJA-GO (</w:t>
      </w:r>
      <w:r>
        <w:rPr>
          <w:i/>
          <w:iCs/>
          <w:color w:val="3A4350"/>
          <w:sz w:val="26"/>
          <w:szCs w:val="26"/>
        </w:rPr>
        <w:t xml:space="preserve">rrezja</w:t>
      </w:r>
      <w:r>
        <w:rPr>
          <w:color w:val="3A4350"/>
          <w:sz w:val="26"/>
          <w:szCs w:val="26"/>
        </w:rPr>
        <w:t xml:space="preserve">: the radius), a tested rule that lets the Fushë-Kuqe stakeholders agree on one radius of belief instead of a list of beliefs, so that the committed pumping and recharge choice also protects beliefs nobody has stated</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4D4D4F"/>
          <w:sz w:val="24"/>
          <w:szCs w:val="24"/>
        </w:rPr>
        <w:t xml:space="preserve">MIT</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short theoretical introduction (robustness radii and robust satisficing; ambiguity sets and how to calibrate them; eliciting and combining disputed beliefs; commitment and collective choice; what is open), read on the pumping and recharge decision of the Fushë-Kuqe stakeholders after review 57. </w:t>
      </w:r>
      <w:r>
        <w:rPr>
          <w:b/>
          <w:bCs/>
        </w:rPr>
        <w:t xml:space="preserve">Part II:</w:t>
      </w:r>
      <w:r>
        <w:t xml:space="preserve"> 20 more papers of 2020–2026, five each from Oxford (O1–O5), Caltech (C1–C5), MIT (M1–M5) and ETH Zürich (E1–E5), none used in review 57, each with a key equation in OMML, a box on </w:t>
      </w:r>
      <w:r>
        <w:rPr>
          <w:b/>
          <w:bCs/>
        </w:rPr>
        <w:t xml:space="preserve">why it is among the best</w:t>
      </w:r>
      <w:r>
        <w:t xml:space="preserve">, the </w:t>
      </w:r>
      <w:r>
        <w:rPr>
          <w:b/>
          <w:bCs/>
        </w:rPr>
        <w:t xml:space="preserve">open problem</w:t>
      </w:r>
      <w:r>
        <w:t xml:space="preserve"> it leaves and an innovation for Fushë-Kuqe. </w:t>
      </w:r>
      <w:r>
        <w:rPr>
          <w:b/>
          <w:bCs/>
        </w:rPr>
        <w:t xml:space="preserve">Part III:</w:t>
      </w:r>
      <w:r>
        <w:t xml:space="preserve"> synthesis, a map of opportunities, further reading, and the RREZJA-GO innovation: one radius of belief instead of a list of beliefs, with three propositions (a closed form for the full relative-entropy ball, the price of robustness of a tilt ball, tilts that commute with Bayes' rule), tested on 2,000 simulated truths against beliefs nobody stated.</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the Oxford, Caltech, MIT or ETH Zürich affiliation that was confirmed, topic and the rating of mathematical depth (★ 1–5).</w:t>
      </w:r>
    </w:p>
    <w:p>
      <w:pPr>
        <w:pStyle w:val="ListParagraph"/>
        <w:numPr>
          <w:ilvl w:val="0"/>
          <w:numId w:val="2"/>
        </w:numPr>
        <w:spacing w:after="60"/>
        <w:jc w:val="both"/>
      </w:pPr>
      <w:r>
        <w:rPr>
          <w:b/>
          <w:bCs/>
        </w:rPr>
        <w:t xml:space="preserve">Summary</w:t>
      </w:r>
      <w:r>
        <w:t xml:space="preserve"> of the problem, the method and the main theorems, and the </w:t>
      </w:r>
      <w:r>
        <w:rPr>
          <w:b/>
          <w:bCs/>
        </w:rPr>
        <w:t xml:space="preserve">key equation</w:t>
      </w:r>
      <w:r>
        <w:t xml:space="preserve"> as a Word equation (OMML); equations are representative formulations unless the card says otherwise, since no full text was read.</w:t>
      </w:r>
    </w:p>
    <w:p>
      <w:pPr>
        <w:pStyle w:val="ListParagraph"/>
        <w:numPr>
          <w:ilvl w:val="0"/>
          <w:numId w:val="2"/>
        </w:numPr>
        <w:spacing w:after="60"/>
        <w:jc w:val="both"/>
      </w:pPr>
      <w:r>
        <w:rPr>
          <w:b/>
          <w:bCs/>
        </w:rPr>
        <w:t xml:space="preserve">Why it is among the best</w:t>
      </w:r>
      <w:r>
        <w:t xml:space="preserve">, the </w:t>
      </w:r>
      <w:r>
        <w:rPr>
          <w:b/>
          <w:bCs/>
        </w:rPr>
        <w:t xml:space="preserve">open problem</w:t>
      </w:r>
      <w:r>
        <w:t xml:space="preserve"> it leaves for the Fushë-Kuqe stakeholders, and a concrete </w:t>
      </w:r>
      <w:r>
        <w:rPr>
          <w:b/>
          <w:bCs/>
        </w:rPr>
        <w:t xml:space="preserve">innovation</w:t>
      </w:r>
      <w:r>
        <w:t xml:space="preserve"> for their decision.</w:t>
      </w:r>
    </w:p>
    <w:p>
      <w:pPr>
        <w:spacing w:before="360"/>
      </w:pPr>
      <w:r>
        <w:rPr>
          <w:color w:val="5B6573"/>
          <w:sz w:val="20"/>
          <w:szCs w:val="20"/>
        </w:rPr>
        <w:t xml:space="preserve">Search date: 26 October 2026  ·  Period covered: 2020–2026</w:t>
      </w:r>
    </w:p>
    <w:p>
      <w:pPr>
        <w:pStyle w:val="Heading1"/>
        <w:pageBreakBefore/>
      </w:pPr>
      <w:r>
        <w:rPr>
          <w:color w:val="1F3864"/>
        </w:rPr>
        <w:t xml:space="preserve">1. Theoretical introduction: robustness radii, ambiguity sets, truthful beliefs and commitment</w:t>
      </w:r>
    </w:p>
    <w:p>
      <w:pPr>
        <w:spacing w:after="120"/>
      </w:pPr>
      <w:r>
        <w:rPr>
          <w:i/>
          <w:iCs/>
          <w:color w:val="5B6573"/>
          <w:sz w:val="18"/>
          <w:szCs w:val="18"/>
        </w:rPr>
        <w:t xml:space="preserve">Theoretical introduction written for this document. Statements attributed to classical works [B…] are standard results; forms simplified for this document are marked as such.</w:t>
      </w:r>
    </w:p>
    <w:p>
      <w:pPr>
        <w:spacing w:after="120"/>
        <w:jc w:val="both"/>
      </w:pPr>
      <w:r>
        <w:rPr>
          <w:b/>
          <w:bCs/>
        </w:rPr>
        <w:t xml:space="preserve">From five stated beliefs to a rule that holds up.</w:t>
      </w:r>
      <w:r>
        <w:t xml:space="preserve"> Review 57 showed how the six Fushë-Kuqe parties (the water utility with supply wells A1 and P10, irrigators, hotels, the municipality, the regional water agency and environmental groups) can turn a dispute into one committed choice of pumping and managed recharge: write each belief as a tilt of the calibrated chloride ensemble, require every stakeholder's own probability of salting a supply screen to stay at or below 10%, and buy one shallow chloride sample at A30 first (VENDIMI-GO). Four questions were left open. Is the choice safe for beliefs that nobody stated? How large should the protected set of beliefs be, and how do data shrink it? Will stakeholders state their beliefs truthfully when a belief carries a veto? And which decisions should be committed now and which later? Part I sets out four bodies of theory for these questions, Part II gives 20 further papers of 2020–2026 from Oxford, Caltech, MIT and ETH Zürich, none used in review 57, and section 9 builds and tests RREZJA-GO, a rule that protects a whole radius of belief.</w:t>
      </w:r>
    </w:p>
    <w:p>
      <w:pPr>
        <w:pStyle w:val="Heading3"/>
      </w:pPr>
      <w:r>
        <w:rPr>
          <w:color w:val="1F3864"/>
        </w:rPr>
        <w:t xml:space="preserve">1.1 Robustness radii and robust satisficing</w:t>
      </w:r>
    </w:p>
    <w:p>
      <w:pPr>
        <w:spacing w:after="120"/>
        <w:jc w:val="both"/>
      </w:pPr>
      <w:r>
        <w:t xml:space="preserve">Instead of fixing the uncertainty and optimising, robust satisficing and info-gap theory fix a requirement and ask how much uncertainty an action tolerates before the requirement fails [B1]. For a chance constraint the requirement is a risk limit </w:t>
      </w:r>
      <m:oMath>
        <m:r>
          <m:t>α</m:t>
        </m:r>
      </m:oMath>
      <w:r>
        <w:t xml:space="preserve">, and the robustness of an action </w:t>
      </w:r>
      <m:oMath>
        <m:r>
          <m:t>a</m:t>
        </m:r>
      </m:oMath>
      <w:r>
        <w:t xml:space="preserve"> is the largest radius of belief around the reference model within which every belief still judges the risk acceptable:</w:t>
      </w:r>
    </w:p>
    <w:p>
      <w:pPr>
        <w:pStyle w:val="Equation"/>
      </w:pPr>
      <m:oMathPara>
        <m:oMathParaPr>
          <m:jc m:val="center"/>
        </m:oMathParaPr>
        <m:oMath>
          <m:acc>
            <m:accPr>
              <m:chr m:val="̂"/>
            </m:accPr>
            <m:e>
              <m:r>
                <m:t>ρ</m:t>
              </m:r>
            </m:e>
          </m:acc>
          <m:d>
            <m:dPr>
              <m:begChr m:val="("/>
              <m:sepChr m:val=""/>
              <m:endChr m:val=")"/>
              <m:grow/>
            </m:dPr>
            <m:e>
              <m:r>
                <m:t>a</m:t>
              </m:r>
            </m:e>
          </m:d>
          <m:r>
            <m:rPr>
              <m:sty m:val="p"/>
            </m:rPr>
            <m:t>=</m:t>
          </m:r>
          <m:r>
            <m:rPr>
              <m:sty m:val="p"/>
            </m:rPr>
            <m:t>max</m:t>
          </m:r>
          <m:d>
            <m:dPr>
              <m:begChr m:val="{"/>
              <m:sepChr m:val=""/>
              <m:endChr m:val="}"/>
              <m:grow/>
            </m:dPr>
            <m:e>
              <m:r>
                <m:t>ρ</m:t>
              </m:r>
              <m:r>
                <m:rPr>
                  <m:sty m:val="p"/>
                </m:rPr>
                <m:t>≥</m:t>
              </m:r>
              <m:r>
                <m:t>0</m:t>
              </m:r>
              <m:r>
                <m:rPr>
                  <m:sty m:val="p"/>
                </m:rPr>
                <m:t>:</m:t>
              </m:r>
              <m:r>
                <m:t> </m:t>
              </m:r>
              <m:limLow>
                <m:e>
                  <m:r>
                    <m:rPr>
                      <m:sty m:val="p"/>
                    </m:rPr>
                    <m:t>max</m:t>
                  </m:r>
                </m:e>
                <m:lim>
                  <m:r>
                    <m:t>q</m:t>
                  </m:r>
                  <m:r>
                    <m:rPr>
                      <m:sty m:val="p"/>
                    </m:rPr>
                    <m:t>∈</m:t>
                  </m:r>
                  <m:r>
                    <m:rPr>
                      <m:scr m:val="script"/>
                      <m:sty m:val="p"/>
                    </m:rPr>
                    <m:t>B</m:t>
                  </m:r>
                  <m:d>
                    <m:dPr>
                      <m:begChr m:val="("/>
                      <m:sepChr m:val=""/>
                      <m:endChr m:val=")"/>
                      <m:grow/>
                    </m:dPr>
                    <m:e>
                      <m:r>
                        <m:t>ρ</m:t>
                      </m:r>
                    </m:e>
                  </m:d>
                </m:lim>
              </m:limLow>
              <m:r>
                <m:t>q</m:t>
              </m:r>
              <m:d>
                <m:dPr>
                  <m:begChr m:val="("/>
                  <m:sepChr m:val=""/>
                  <m:endChr m:val=")"/>
                  <m:grow/>
                </m:dPr>
                <m:e>
                  <m:r>
                    <m:t>F</m:t>
                  </m:r>
                  <m:r>
                    <m:rPr>
                      <m:sty m:val="p"/>
                    </m:rPr>
                    <m:t>∣</m:t>
                  </m:r>
                  <m:r>
                    <m:t>a</m:t>
                  </m:r>
                </m:e>
              </m:d>
              <m:r>
                <m:rPr>
                  <m:sty m:val="p"/>
                </m:rPr>
                <m:t>≤</m:t>
              </m:r>
              <m:r>
                <m:t>α</m:t>
              </m:r>
            </m:e>
          </m:d>
        </m:oMath>
      </m:oMathPara>
    </w:p>
    <w:p>
      <w:pPr>
        <w:spacing w:after="120"/>
        <w:jc w:val="both"/>
      </w:pPr>
      <w:r>
        <w:t xml:space="preserve">The decision is then a choice on a curve, robustness against performance, and the group agrees on one number rather than on a list of beliefs. For a relative-entropy ball the robustness has a closed form, </w:t>
      </w:r>
      <m:oMath>
        <m:acc>
          <m:accPr>
            <m:chr m:val="̂"/>
          </m:accPr>
          <m:e>
            <m:r>
              <m:t>ρ</m:t>
            </m:r>
          </m:e>
        </m:acc>
        <m:d>
          <m:dPr>
            <m:begChr m:val="("/>
            <m:sepChr m:val=""/>
            <m:endChr m:val=")"/>
            <m:grow/>
          </m:dPr>
          <m:e>
            <m:r>
              <m:t>a</m:t>
            </m:r>
          </m:e>
        </m:d>
        <m:r>
          <m:rPr>
            <m:sty m:val="p"/>
          </m:rPr>
          <m:t>=</m:t>
        </m:r>
        <m:r>
          <m:rPr>
            <m:nor/>
          </m:rPr>
          <m:t>kl</m:t>
        </m:r>
        <m:d>
          <m:dPr>
            <m:begChr m:val="("/>
            <m:sepChr m:val=""/>
            <m:endChr m:val=")"/>
            <m:grow/>
          </m:dPr>
          <m:e>
            <m:r>
              <m:t>α</m:t>
            </m:r>
            <m:r>
              <m:rPr>
                <m:sty m:val="p"/>
              </m:rPr>
              <m:t>,</m:t>
            </m:r>
            <m:r>
              <m:t>P</m:t>
            </m:r>
            <m:d>
              <m:dPr>
                <m:begChr m:val="("/>
                <m:sepChr m:val=""/>
                <m:endChr m:val=")"/>
                <m:grow/>
              </m:dPr>
              <m:e>
                <m:r>
                  <m:t>F</m:t>
                </m:r>
                <m:r>
                  <m:rPr>
                    <m:sty m:val="p"/>
                  </m:rPr>
                  <m:t>∣</m:t>
                </m:r>
                <m:r>
                  <m:t>a</m:t>
                </m:r>
              </m:e>
            </m:d>
          </m:e>
        </m:d>
      </m:oMath>
      <w:r>
        <w:t xml:space="preserve"> when </w:t>
      </w:r>
      <m:oMath>
        <m:r>
          <m:t>P</m:t>
        </m:r>
        <m:d>
          <m:dPr>
            <m:begChr m:val="("/>
            <m:sepChr m:val=""/>
            <m:endChr m:val=")"/>
            <m:grow/>
          </m:dPr>
          <m:e>
            <m:r>
              <m:t>F</m:t>
            </m:r>
            <m:r>
              <m:rPr>
                <m:sty m:val="p"/>
              </m:rPr>
              <m:t>∣</m:t>
            </m:r>
            <m:r>
              <m:t>a</m:t>
            </m:r>
          </m:e>
        </m:d>
        <m:r>
          <m:rPr>
            <m:sty m:val="p"/>
          </m:rPr>
          <m:t>&lt;</m:t>
        </m:r>
        <m:r>
          <m:t>α</m:t>
        </m:r>
      </m:oMath>
      <w:r>
        <w:t xml:space="preserve"> (Proposition R1 of section 9). In Part II, robust optimisation is given a priori and a posteriori probabilistic guarantees through a robust complexity of the uncertainty set [M2], and learning-augmented algorithms have an exact trade-off between following advice and staying robust to it [CR1]. At Oxford, adaptive water plans choose indicators and trigger thresholds that balance the expected risk of restrictions against the cost of interventions over 60 years of London's supply [O5].</w:t>
      </w:r>
    </w:p>
    <w:p>
      <w:pPr>
        <w:pStyle w:val="Heading3"/>
      </w:pPr>
      <w:r>
        <w:rPr>
          <w:color w:val="1F3864"/>
        </w:rPr>
        <w:t xml:space="preserve">1.2 Ambiguity sets and how to calibrate them</w:t>
      </w:r>
    </w:p>
    <w:p>
      <w:pPr>
        <w:spacing w:after="120"/>
        <w:jc w:val="both"/>
      </w:pPr>
      <w:r>
        <w:t xml:space="preserve">Distributionally robust decisions take the worst case over a set of distributions around a reference: a </w:t>
      </w:r>
      <m:oMath>
        <m:r>
          <m:t>ϕ</m:t>
        </m:r>
      </m:oMath>
      <w:r>
        <w:t xml:space="preserve">-divergence ball keeps tractable robust counterparts [B2], and a Wasserstein ball gives finite-sample guarantees and convex reformulations [B3]. For a relative-entropy ball the worst expected loss has a one-dimensional dual, the variational formula of Donsker and Varadhan [B4]:</w:t>
      </w:r>
    </w:p>
    <w:p>
      <w:pPr>
        <w:pStyle w:val="Equation"/>
      </w:pPr>
      <m:oMathPara>
        <m:oMathParaPr>
          <m:jc m:val="center"/>
        </m:oMathParaPr>
        <m:oMath>
          <m:limLow>
            <m:e>
              <m:r>
                <m:rPr>
                  <m:sty m:val="p"/>
                </m:rPr>
                <m:t>max</m:t>
              </m:r>
            </m:e>
            <m:lim>
              <m:r>
                <m:t>q</m:t>
              </m:r>
              <m:r>
                <m:rPr>
                  <m:sty m:val="p"/>
                </m:rPr>
                <m:t>:</m:t>
              </m:r>
              <m:r>
                <m:t> </m:t>
              </m:r>
              <m:r>
                <m:rPr>
                  <m:nor/>
                </m:rPr>
                <m:t>KL</m:t>
              </m:r>
              <m:d>
                <m:dPr>
                  <m:begChr m:val="("/>
                  <m:sepChr m:val=""/>
                  <m:endChr m:val=")"/>
                  <m:grow/>
                </m:dPr>
                <m:e>
                  <m:r>
                    <m:t>q</m:t>
                  </m:r>
                  <m:r>
                    <m:rPr>
                      <m:sty m:val="p"/>
                    </m:rPr>
                    <m:t>,</m:t>
                  </m:r>
                  <m:r>
                    <m:t>p</m:t>
                  </m:r>
                </m:e>
              </m:d>
              <m:r>
                <m:rPr>
                  <m:sty m:val="p"/>
                </m:rPr>
                <m:t>≤</m:t>
              </m:r>
              <m:r>
                <m:t>ρ</m:t>
              </m:r>
            </m:lim>
          </m:limLow>
          <m:sSub>
            <m:e>
              <m:r>
                <m:t>E</m:t>
              </m:r>
            </m:e>
            <m:sub>
              <m:r>
                <m:t>q</m:t>
              </m:r>
            </m:sub>
          </m:sSub>
          <m:d>
            <m:dPr>
              <m:begChr m:val="["/>
              <m:sepChr m:val=""/>
              <m:endChr m:val="]"/>
              <m:grow/>
            </m:dPr>
            <m:e>
              <m:r>
                <m:rPr>
                  <m:sty m:val="p"/>
                </m:rPr>
                <m:t>ℓ</m:t>
              </m:r>
            </m:e>
          </m:d>
          <m:r>
            <m:rPr>
              <m:sty m:val="p"/>
            </m:rPr>
            <m:t>=</m:t>
          </m:r>
          <m:limLow>
            <m:e>
              <m:r>
                <m:rPr>
                  <m:sty m:val="p"/>
                </m:rPr>
                <m:t>min</m:t>
              </m:r>
            </m:e>
            <m:lim>
              <m:r>
                <m:t>η</m:t>
              </m:r>
              <m:r>
                <m:rPr>
                  <m:sty m:val="p"/>
                </m:rPr>
                <m:t>&gt;</m:t>
              </m:r>
              <m:r>
                <m:t>0</m:t>
              </m:r>
            </m:lim>
          </m:limLow>
          <m:d>
            <m:dPr>
              <m:begChr m:val="{"/>
              <m:sepChr m:val=""/>
              <m:endChr m:val="}"/>
              <m:grow/>
            </m:dPr>
            <m:e>
              <m:r>
                <m:t>η</m:t>
              </m:r>
              <m:r>
                <m:t>ρ</m:t>
              </m:r>
              <m:r>
                <m:rPr>
                  <m:sty m:val="p"/>
                </m:rPr>
                <m:t>+</m:t>
              </m:r>
              <m:r>
                <m:t>η</m:t>
              </m:r>
              <m:r>
                <m:rPr>
                  <m:sty m:val="p"/>
                </m:rPr>
                <m:t>log</m:t>
              </m:r>
              <m:sSub>
                <m:e>
                  <m:r>
                    <m:t>E</m:t>
                  </m:r>
                </m:e>
                <m:sub>
                  <m:r>
                    <m:t>p</m:t>
                  </m:r>
                </m:sub>
              </m:sSub>
              <m:d>
                <m:dPr>
                  <m:begChr m:val="["/>
                  <m:sepChr m:val=""/>
                  <m:endChr m:val="]"/>
                  <m:grow/>
                </m:dPr>
                <m:e>
                  <m:sSup>
                    <m:e>
                      <m:r>
                        <m:t>e</m:t>
                      </m:r>
                    </m:e>
                    <m:sup>
                      <m:r>
                        <m:rPr>
                          <m:sty m:val="p"/>
                        </m:rPr>
                        <m:t>ℓ</m:t>
                      </m:r>
                      <m:r>
                        <m:rPr>
                          <m:sty m:val="p"/>
                        </m:rPr>
                        <m:t>/</m:t>
                      </m:r>
                      <m:r>
                        <m:t>η</m:t>
                      </m:r>
                    </m:sup>
                  </m:sSup>
                </m:e>
              </m:d>
            </m:e>
          </m:d>
        </m:oMath>
      </m:oMathPara>
    </w:p>
    <w:p>
      <w:pPr>
        <w:spacing w:after="120"/>
        <w:jc w:val="both"/>
      </w:pPr>
      <w:r>
        <w:t xml:space="preserve">and the worst-case distribution is an exponential tilt of the reference, </w:t>
      </w:r>
      <m:oMath>
        <m:sSup>
          <m:e>
            <m:r>
              <m:t>q</m:t>
            </m:r>
          </m:e>
          <m:sup>
            <m:r>
              <m:rPr>
                <m:sty m:val="p"/>
              </m:rPr>
              <m:t>⋆</m:t>
            </m:r>
          </m:sup>
        </m:sSup>
        <m:r>
          <m:rPr>
            <m:sty m:val="p"/>
          </m:rPr>
          <m:t>∝</m:t>
        </m:r>
        <m:r>
          <m:t>p</m:t>
        </m:r>
        <m:r>
          <m:t> </m:t>
        </m:r>
        <m:sSup>
          <m:e>
            <m:r>
              <m:t>e</m:t>
            </m:r>
          </m:e>
          <m:sup>
            <m:r>
              <m:rPr>
                <m:sty m:val="p"/>
              </m:rPr>
              <m:t>ℓ</m:t>
            </m:r>
            <m:r>
              <m:rPr>
                <m:sty m:val="p"/>
              </m:rPr>
              <m:t>/</m:t>
            </m:r>
            <m:sSup>
              <m:e>
                <m:r>
                  <m:t>η</m:t>
                </m:r>
              </m:e>
              <m:sup>
                <m:r>
                  <m:rPr>
                    <m:sty m:val="p"/>
                  </m:rPr>
                  <m:t>⋆</m:t>
                </m:r>
              </m:sup>
            </m:sSup>
          </m:sup>
        </m:sSup>
      </m:oMath>
      <w:r>
        <w:t xml:space="preserve"> [B11]. The hard question is the radius. In Part II, the least conservative data-driven decisions with an exponentially small out-of-sample disappointment are distributionally robust, and such Pareto-dominant decisions exist for parametric ambiguity sets with a large-deviation principle [M1]; misspecified Bayesian beliefs concentrate on the models closest in relative entropy to the data, uniformly over sample paths [M3]; distributional robustness can multiply the samples a robust policy needs [C3]; optimal-transport robustness is a form of Lipschitz regularisation with a computable equilibrium between the decision maker and nature [E1], and optimisation over the Wasserstein space has first-order conditions [E2]; Value-at-Risk optimisers are not robust to model perturbation while Expected Shortfall optimisers are [E4]; and coherent risk measures can be built into Markov decision processes [C4]. The reserves add decisions under misspecified predictive models [MR2] and policies that are invariant across environments [ER1]. The Wasserstein robustness of a trained model has an explicit first-order expansion in the radius, which turns distributional robustness into a computable sensitivity [O2].</w:t>
      </w:r>
    </w:p>
    <w:p>
      <w:pPr>
        <w:pStyle w:val="Heading3"/>
      </w:pPr>
      <w:r>
        <w:rPr>
          <w:color w:val="1F3864"/>
        </w:rPr>
        <w:t xml:space="preserve">1.3 Eliciting and combining disputed beliefs</w:t>
      </w:r>
    </w:p>
    <w:p>
      <w:pPr>
        <w:spacing w:after="120"/>
        <w:jc w:val="both"/>
      </w:pPr>
      <w:r>
        <w:t xml:space="preserve">A scoring rule rewards a forecast </w:t>
      </w:r>
      <m:oMath>
        <m:r>
          <m:t>q</m:t>
        </m:r>
      </m:oMath>
      <w:r>
        <w:t xml:space="preserve"> when the outcome </w:t>
      </w:r>
      <m:oMath>
        <m:r>
          <m:t>y</m:t>
        </m:r>
      </m:oMath>
      <w:r>
        <w:t xml:space="preserve"> is seen; it is strictly proper if stating one's true belief </w:t>
      </w:r>
      <m:oMath>
        <m:r>
          <m:t>p</m:t>
        </m:r>
      </m:oMath>
      <w:r>
        <w:t xml:space="preserve"> is the unique best report [B5]. For the logarithmic score the loss from misreporting is exactly the relative entropy:</w:t>
      </w:r>
    </w:p>
    <w:p>
      <w:pPr>
        <w:pStyle w:val="Equation"/>
      </w:pPr>
      <m:oMathPara>
        <m:oMathParaPr>
          <m:jc m:val="center"/>
        </m:oMathParaPr>
        <m:oMath>
          <m:sSub>
            <m:e>
              <m:r>
                <m:t>E</m:t>
              </m:r>
            </m:e>
            <m:sub>
              <m:r>
                <m:t>p</m:t>
              </m:r>
            </m:sub>
          </m:sSub>
          <m:d>
            <m:dPr>
              <m:begChr m:val="["/>
              <m:sepChr m:val=""/>
              <m:endChr m:val="]"/>
              <m:grow/>
            </m:dPr>
            <m:e>
              <m:r>
                <m:rPr>
                  <m:sty m:val="p"/>
                </m:rPr>
                <m:t>log</m:t>
              </m:r>
              <m:r>
                <m:t>p</m:t>
              </m:r>
              <m:d>
                <m:dPr>
                  <m:begChr m:val="("/>
                  <m:sepChr m:val=""/>
                  <m:endChr m:val=")"/>
                  <m:grow/>
                </m:dPr>
                <m:e>
                  <m:r>
                    <m:t>Y</m:t>
                  </m:r>
                </m:e>
              </m:d>
            </m:e>
          </m:d>
          <m:r>
            <m:rPr>
              <m:sty m:val="p"/>
            </m:rPr>
            <m:t>−</m:t>
          </m:r>
          <m:sSub>
            <m:e>
              <m:r>
                <m:t>E</m:t>
              </m:r>
            </m:e>
            <m:sub>
              <m:r>
                <m:t>p</m:t>
              </m:r>
            </m:sub>
          </m:sSub>
          <m:d>
            <m:dPr>
              <m:begChr m:val="["/>
              <m:sepChr m:val=""/>
              <m:endChr m:val="]"/>
              <m:grow/>
            </m:dPr>
            <m:e>
              <m:r>
                <m:rPr>
                  <m:sty m:val="p"/>
                </m:rPr>
                <m:t>log</m:t>
              </m:r>
              <m:r>
                <m:t>q</m:t>
              </m:r>
              <m:d>
                <m:dPr>
                  <m:begChr m:val="("/>
                  <m:sepChr m:val=""/>
                  <m:endChr m:val=")"/>
                  <m:grow/>
                </m:dPr>
                <m:e>
                  <m:r>
                    <m:t>Y</m:t>
                  </m:r>
                </m:e>
              </m:d>
            </m:e>
          </m:d>
          <m:r>
            <m:rPr>
              <m:sty m:val="p"/>
            </m:rPr>
            <m:t>=</m:t>
          </m:r>
          <m:r>
            <m:rPr>
              <m:nor/>
            </m:rPr>
            <m:t>KL</m:t>
          </m:r>
          <m:d>
            <m:dPr>
              <m:begChr m:val="("/>
              <m:sepChr m:val=""/>
              <m:endChr m:val=")"/>
              <m:grow/>
            </m:dPr>
            <m:e>
              <m:r>
                <m:t>p</m:t>
              </m:r>
              <m:r>
                <m:rPr>
                  <m:sty m:val="p"/>
                </m:rPr>
                <m:t>,</m:t>
              </m:r>
              <m:r>
                <m:t>q</m:t>
              </m:r>
            </m:e>
          </m:d>
          <m:r>
            <m:rPr>
              <m:sty m:val="p"/>
            </m:rPr>
            <m:t>≥</m:t>
          </m:r>
          <m:r>
            <m:t>0</m:t>
          </m:r>
          <m:r>
            <m:rPr>
              <m:sty m:val="p"/>
            </m:rPr>
            <m:t>,</m:t>
          </m:r>
          <m:r>
            <m:t>  </m:t>
          </m:r>
          <m:r>
            <m:t>T</m:t>
          </m:r>
          <m:d>
            <m:dPr>
              <m:begChr m:val="("/>
              <m:sepChr m:val=""/>
              <m:endChr m:val=")"/>
              <m:grow/>
            </m:dPr>
            <m:e>
              <m:r>
                <m:t>F</m:t>
              </m:r>
            </m:e>
          </m:d>
          <m:r>
            <m:rPr>
              <m:sty m:val="p"/>
            </m:rPr>
            <m:t>=</m:t>
          </m:r>
          <m:r>
            <m:rPr>
              <m:sty m:val="p"/>
            </m:rPr>
            <m:t>arg</m:t>
          </m:r>
          <m:limLow>
            <m:e>
              <m:r>
                <m:rPr>
                  <m:sty m:val="p"/>
                </m:rPr>
                <m:t>min</m:t>
              </m:r>
            </m:e>
            <m:lim>
              <m:r>
                <m:t>x</m:t>
              </m:r>
            </m:lim>
          </m:limLow>
          <m:sSub>
            <m:e>
              <m:r>
                <m:t>E</m:t>
              </m:r>
            </m:e>
            <m:sub>
              <m:r>
                <m:t>F</m:t>
              </m:r>
            </m:sub>
          </m:sSub>
          <m:d>
            <m:dPr>
              <m:begChr m:val="["/>
              <m:sepChr m:val=""/>
              <m:endChr m:val="]"/>
              <m:grow/>
            </m:dPr>
            <m:e>
              <m:r>
                <m:t>S</m:t>
              </m:r>
              <m:d>
                <m:dPr>
                  <m:begChr m:val="("/>
                  <m:sepChr m:val=""/>
                  <m:endChr m:val=")"/>
                  <m:grow/>
                </m:dPr>
                <m:e>
                  <m:r>
                    <m:t>x</m:t>
                  </m:r>
                  <m:r>
                    <m:rPr>
                      <m:sty m:val="p"/>
                    </m:rPr>
                    <m:t>,</m:t>
                  </m:r>
                  <m:r>
                    <m:t>Y</m:t>
                  </m:r>
                </m:e>
              </m:d>
            </m:e>
          </m:d>
        </m:oMath>
      </m:oMathPara>
    </w:p>
    <w:p>
      <w:pPr>
        <w:spacing w:after="120"/>
        <w:jc w:val="both"/>
      </w:pPr>
      <w:r>
        <w:t xml:space="preserve">A functional </w:t>
      </w:r>
      <m:oMath>
        <m:r>
          <m:t>T</m:t>
        </m:r>
      </m:oMath>
      <w:r>
        <w:t xml:space="preserve"> is elicitable if it minimises an expected scoring function </w:t>
      </w:r>
      <m:oMath>
        <m:r>
          <m:t>S</m:t>
        </m:r>
      </m:oMath>
      <w:r>
        <w:t xml:space="preserve">, so that point forecasts of it can be rewarded and compared [B6]; quantiles are elicitable, Expected Shortfall alone is not. Two complications matter for a group. A report that changes the decision is no longer only a forecast: a stakeholder can gain from misreporting if its statement moves the action, and propriety no longer implies truthfulness. And declared opinions may be shaped by social pressure. In Part II, Expected Shortfall is the only coherent Bayes risk measure, which explains how it is evaluated through scored Value-at-Risk forecasts [E5]; inherent opinions can be recovered from declarations distorted by social pressure unless a large majority forces minorities to conform [M4]; and in a Bayesian congestion game more information helps a population only below a size threshold [MR1]. Generative forecasters can be trained by minimising prequential scoring rules, with consistency for dependent data [O3], and many teams' probabilistic forecasts are best combined by the median early on and by accuracy weights once a track record exists [O4].</w:t>
      </w:r>
    </w:p>
    <w:p>
      <w:pPr>
        <w:pStyle w:val="Heading3"/>
      </w:pPr>
      <w:r>
        <w:rPr>
          <w:color w:val="1F3864"/>
        </w:rPr>
        <w:t xml:space="preserve">1.4 Commitment and collective choice</w:t>
      </w:r>
    </w:p>
    <w:p>
      <w:pPr>
        <w:spacing w:after="120"/>
        <w:jc w:val="both"/>
      </w:pPr>
      <w:r>
        <w:t xml:space="preserve">Every strategy-proof voting rule over three or more outcomes that can reach all of them is dictatorial [B8], but on a line with single-peaked preferences the generalised median rules escape the impossibility [B7]:</w:t>
      </w:r>
    </w:p>
    <w:p>
      <w:pPr>
        <w:pStyle w:val="Equation"/>
      </w:pPr>
      <m:oMathPara>
        <m:oMathParaPr>
          <m:jc m:val="center"/>
        </m:oMathParaPr>
        <m:oMath>
          <m:r>
            <m:t>f</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r>
            <m:rPr>
              <m:nor/>
            </m:rPr>
            <m:t>med</m:t>
          </m:r>
          <m:d>
            <m:dPr>
              <m:begChr m:val="("/>
              <m:sepChr m:val=""/>
              <m:endChr m:val=")"/>
              <m:grow/>
            </m:dPr>
            <m:e>
              <m:sSub>
                <m:e>
                  <m:r>
                    <m:t>x</m:t>
                  </m:r>
                </m:e>
                <m:sub>
                  <m:r>
                    <m:t>1</m:t>
                  </m:r>
                </m:sub>
              </m:sSub>
              <m:r>
                <m:rPr>
                  <m:sty m:val="p"/>
                </m:rPr>
                <m:t>,</m:t>
              </m:r>
              <m:r>
                <m:rPr>
                  <m:sty m:val="p"/>
                </m:rPr>
                <m:t>…</m:t>
              </m:r>
              <m:r>
                <m:rPr>
                  <m:sty m:val="p"/>
                </m:rPr>
                <m:t>,</m:t>
              </m:r>
              <m:sSub>
                <m:e>
                  <m:r>
                    <m:t>x</m:t>
                  </m:r>
                </m:e>
                <m:sub>
                  <m:r>
                    <m:t>n</m:t>
                  </m:r>
                </m:sub>
              </m:sSub>
              <m:r>
                <m:rPr>
                  <m:sty m:val="p"/>
                </m:rPr>
                <m:t>,</m:t>
              </m:r>
              <m:sSub>
                <m:e>
                  <m:r>
                    <m:t>p</m:t>
                  </m:r>
                </m:e>
                <m:sub>
                  <m:r>
                    <m:t>1</m:t>
                  </m:r>
                </m:sub>
              </m:sSub>
              <m:r>
                <m:rPr>
                  <m:sty m:val="p"/>
                </m:rPr>
                <m:t>,</m:t>
              </m:r>
              <m:r>
                <m:rPr>
                  <m:sty m:val="p"/>
                </m:rPr>
                <m:t>…</m:t>
              </m:r>
              <m:r>
                <m:rPr>
                  <m:sty m:val="p"/>
                </m:rPr>
                <m:t>,</m:t>
              </m:r>
              <m:sSub>
                <m:e>
                  <m:r>
                    <m:t>p</m:t>
                  </m:r>
                </m:e>
                <m:sub>
                  <m:r>
                    <m:t>n</m:t>
                  </m:r>
                  <m:r>
                    <m:rPr>
                      <m:sty m:val="p"/>
                    </m:rPr>
                    <m:t>+</m:t>
                  </m:r>
                  <m:r>
                    <m:t>1</m:t>
                  </m:r>
                </m:sub>
              </m:sSub>
            </m:e>
          </m:d>
        </m:oMath>
      </m:oMathPara>
    </w:p>
    <w:p>
      <w:pPr>
        <w:spacing w:after="120"/>
        <w:jc w:val="both"/>
      </w:pPr>
      <w:r>
        <w:t xml:space="preserve">with fixed "phantom" values </w:t>
      </w:r>
      <m:oMath>
        <m:sSub>
          <m:e>
            <m:r>
              <m:t>p</m:t>
            </m:r>
          </m:e>
          <m:sub>
            <m:r>
              <m:t>j</m:t>
            </m:r>
          </m:sub>
        </m:sSub>
      </m:oMath>
      <w:r>
        <w:t xml:space="preserve">. The unanimous rule of review 57 sets the pumping cap at the smallest of the stakeholders' caps, which is a generalised median with </w:t>
      </w:r>
      <m:oMath>
        <m:r>
          <m:t>n</m:t>
        </m:r>
      </m:oMath>
      <w:r>
        <w:t xml:space="preserve"> phantoms at zero and one above every cap; it would be strategy-proof if stakeholders reported caps from single-peaked preferences, but it asks them for beliefs, and a belief can be exaggerated to move the cap. Commitment has value of its own: waiting keeps options open [B9], and a designer who cannot commit to future actions faces a different problem. In Part II, a revelation principle for designers with limited commitment shows that a mechanism fixes both the allocation and what the designer learns [C1]; the coordinate-wise median is the best strategy-proof rule for placing one facility in the plane [C2]; semi-flexible majority rules make the first vote the default of the second and implement the efficient level of a public good [E3]; fairness, efficiency and participation constraints can be met together by a pseudo-market [C5]; and a dataset is sufficient for a decision when it captures every direction of the uncertainty that can change the optimal action, which says when to stop collecting data [M5]. The reserves add risk sharing among agents who disagree about probabilities [ER2] and a bargaining experiment on commitment [CR2]. Budget proposals can be aggregated truthfully by moving-phantom generalised medians, and the welfare-maximising one is the only Pareto-optimal member of the class [O1]; the reserves add reservoir operation on the Nile explored under deep uncertainty [OR1] and recounts that protect an election from manipulated counts [OR2].</w:t>
      </w:r>
    </w:p>
    <w:p>
      <w:pPr>
        <w:pStyle w:val="Heading3"/>
      </w:pPr>
      <w:r>
        <w:rPr>
          <w:color w:val="1F3864"/>
        </w:rPr>
        <w:t xml:space="preserve">1.5 What is open for the Fushë-Kuqe stakeholders</w:t>
      </w:r>
    </w:p>
    <w:p>
      <w:pPr>
        <w:spacing w:after="120"/>
        <w:jc w:val="both"/>
      </w:pPr>
      <w:r>
        <w:t xml:space="preserve">Four questions remain. Can the committed choice protect beliefs that nobody has stated, and at what cost in water that the stakeholders can see before they agree? How should the protected radius be chosen, and how do data shrink it? How can beliefs, or a radius, be stated truthfully when they carry a veto? And which decisions should be committed now and which after the data? Section 9 (RREZJA-GO) answers the first two for Fushë-Kuqe with the calibrated chloride ensemble of this series and the stakeholders of review 57.</w:t>
      </w:r>
    </w:p>
    <w:p>
      <w:pPr>
        <w:spacing w:after="200"/>
      </w:pPr>
    </w:p>
    <w:p>
      <w:pPr>
        <w:pStyle w:val="Heading1"/>
      </w:pPr>
      <w:r>
        <w:rPr>
          <w:color w:val="1F3864"/>
        </w:rPr>
        <w:t xml:space="preserve">2. Search methodology</w:t>
      </w:r>
    </w:p>
    <w:p>
      <w:pPr>
        <w:pStyle w:val="ListParagraph"/>
        <w:numPr>
          <w:ilvl w:val="0"/>
          <w:numId w:val="2"/>
        </w:numPr>
        <w:spacing w:after="60"/>
        <w:jc w:val="both"/>
      </w:pPr>
      <w:r>
        <w:rPr>
          <w:b/>
          <w:bCs/>
        </w:rPr>
        <w:t xml:space="preserve">Request and themes:</w:t>
      </w:r>
      <w:r>
        <w:t xml:space="preserve"> 20 more papers of 2020–2026, five from each of Oxford, Caltech, MIT and ETH Zürich, on how decision makers and stakeholders decide in stochastic and deeply uncertain situations and still end with a decisive choice, none of them used in review 57. Four themes, chosen to answer the questions review 57 left open: (1) robust satisficing, robustness radii and deep-uncertainty methods with guarantees; (2) ambiguity sets and their calibration; (3) eliciting and combining disputed beliefs; (4) commitment and collective choice under uncertainty. Each card states its theme at the start of its link to Fushë-Kuqe. Every paper has at least one author at the named institution at the time of the work, confirmed from a search result.</w:t>
      </w:r>
    </w:p>
    <w:p>
      <w:pPr>
        <w:pStyle w:val="ListParagraph"/>
        <w:numPr>
          <w:ilvl w:val="0"/>
          <w:numId w:val="2"/>
        </w:numPr>
        <w:spacing w:after="60"/>
        <w:jc w:val="both"/>
      </w:pPr>
      <w:r>
        <w:rPr>
          <w:b/>
          <w:bCs/>
        </w:rPr>
        <w:t xml:space="preserve">What "best" means, in this order:</w:t>
      </w:r>
      <w:r>
        <w:t xml:space="preserve"> mathematical depth (existence and characterisation theorems, revelation principles, finite-sample, large-deviation and out-of-sample guarantees, approximation ratios, impossibility results, with proofs); recognition (Econometrica, Operations Research, Management Science, SIAM journals, IEEE Transactions on Automatic Control, Mathematical Finance, Theoretical Economics, Journal of Economic Theory, Social Choice and Welfare, JMLR, main-track NeurIPS and ICML); and usefulness for the Fushë-Kuqe decision.</w:t>
      </w:r>
    </w:p>
    <w:p>
      <w:pPr>
        <w:pStyle w:val="ListParagraph"/>
        <w:numPr>
          <w:ilvl w:val="0"/>
          <w:numId w:val="2"/>
        </w:numPr>
        <w:spacing w:after="60"/>
        <w:jc w:val="both"/>
      </w:pPr>
      <w:r>
        <w:rPr>
          <w:b/>
          <w:bCs/>
        </w:rPr>
        <w:t xml:space="preserve">No repetition, peer review, verification:</w:t>
      </w:r>
      <w:r>
        <w:t xml:space="preserve"> every candidate was checked against the 1,226 papers already reviewed as cards in the series (including the 28 of review 57), the 1,293 DOIs of earlier documents and the classical references cited earlier; preprints were not eligible, and no earlier classical reference was promoted to a card. Four agents searched the four institutions in parallel (at most 30 searches each). Sources were publisher and proceedings pages, institutional repositories (Oxford ORA, CaltechAUTHORS and Caltech theses, DSpace@MIT, the ETH Research Collection) and author pages seen through search summaries; no full text could be read, so key equations are </w:t>
      </w:r>
      <w:r>
        <w:rPr>
          <w:i/>
          <w:iCs/>
        </w:rPr>
        <w:t xml:space="preserve">representative formulations</w:t>
      </w:r>
      <w:r>
        <w:t xml:space="preserve"> unless a card says otherwise, and unverified fields are marked "(not verified)". ★ rates mathematical depth.</w:t>
      </w:r>
    </w:p>
    <w:p>
      <w:pPr>
        <w:pStyle w:val="ListParagraph"/>
        <w:numPr>
          <w:ilvl w:val="0"/>
          <w:numId w:val="2"/>
        </w:numPr>
        <w:spacing w:after="60"/>
        <w:jc w:val="both"/>
      </w:pPr>
      <w:r>
        <w:rPr>
          <w:b/>
          <w:bCs/>
        </w:rPr>
        <w:t xml:space="preserve">Recency:</w:t>
      </w:r>
      <w:r>
        <w:t xml:space="preserve"> five from 2021, two from 2022, six from 2023, four from 2024, and three from 2025; thirteen of the 20 are from 2023 or later. </w:t>
      </w:r>
      <w:r>
        <w:rPr>
          <w:b/>
          <w:bCs/>
        </w:rPr>
        <w:t xml:space="preserve">Themes:</w:t>
      </w:r>
      <w:r>
        <w:t xml:space="preserve"> 2 cards on theme 1, 8 on theme 2, 4 on theme 3 and 6 on theme 4; the reserves add 1 on theme 1, 2 on theme 2, 0 on theme 3 and 5 on theme 4.</w:t>
      </w:r>
    </w:p>
    <w:p>
      <w:pPr>
        <w:pStyle w:val="Heading1"/>
      </w:pPr>
      <w:r>
        <w:rPr>
          <w:color w:val="1F3864"/>
        </w:rPr>
        <w:t xml:space="preserve">3. The 20 articles at a glance</w:t>
      </w:r>
    </w:p>
    <w:p>
      <w:pPr>
        <w:spacing w:after="120"/>
        <w:jc w:val="both"/>
      </w:pPr>
      <w:r>
        <w:t xml:space="preserve">The table is ordered by institution (O = Oxford, C = Caltech, M = MIT, E = ETH Zürich) and, within each institution, by the order of the cards; the last column gives the affiliations.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00"/>
        <w:gridCol w:w="3300"/>
        <w:gridCol w:w="3900"/>
        <w:gridCol w:w="1838"/>
      </w:tblGrid>
      <w:tr>
        <w:trPr>
          <w:cantSplit/>
          <w:tblHeader/>
        </w:trPr>
        <w:tc>
          <w:tcPr>
            <w:tcW w:type="dxa" w:w="600"/>
            <w:shd w:fill="1F3864" w:color="auto" w:val="clear"/>
            <w:tcMar>
              <w:top w:type="dxa" w:w="15"/>
              <w:left w:type="dxa" w:w="80"/>
              <w:bottom w:type="dxa" w:w="15"/>
              <w:right w:type="dxa" w:w="80"/>
            </w:tcMar>
            <w:vAlign w:val="top"/>
          </w:tcPr>
          <w:p>
            <w:r>
              <w:rPr>
                <w:b/>
                <w:bCs/>
                <w:color w:val="FFFFFF"/>
                <w:sz w:val="15"/>
                <w:szCs w:val="15"/>
              </w:rPr>
              <w:t xml:space="preserve">Code</w:t>
            </w:r>
          </w:p>
        </w:tc>
        <w:tc>
          <w:tcPr>
            <w:tcW w:type="dxa" w:w="3300"/>
            <w:shd w:fill="1F3864" w:color="auto" w:val="clear"/>
            <w:tcMar>
              <w:top w:type="dxa" w:w="15"/>
              <w:left w:type="dxa" w:w="80"/>
              <w:bottom w:type="dxa" w:w="15"/>
              <w:right w:type="dxa" w:w="80"/>
            </w:tcMar>
            <w:vAlign w:val="top"/>
          </w:tcPr>
          <w:p>
            <w:r>
              <w:rPr>
                <w:b/>
                <w:bCs/>
                <w:color w:val="FFFFFF"/>
                <w:sz w:val="15"/>
                <w:szCs w:val="15"/>
              </w:rPr>
              <w:t xml:space="preserve">Authors (year)</w:t>
            </w:r>
          </w:p>
        </w:tc>
        <w:tc>
          <w:tcPr>
            <w:tcW w:type="dxa" w:w="3900"/>
            <w:shd w:fill="1F3864" w:color="auto" w:val="clear"/>
            <w:tcMar>
              <w:top w:type="dxa" w:w="15"/>
              <w:left w:type="dxa" w:w="80"/>
              <w:bottom w:type="dxa" w:w="15"/>
              <w:right w:type="dxa" w:w="80"/>
            </w:tcMar>
            <w:vAlign w:val="top"/>
          </w:tcPr>
          <w:p>
            <w:r>
              <w:rPr>
                <w:b/>
                <w:bCs/>
                <w:color w:val="FFFFFF"/>
                <w:sz w:val="15"/>
                <w:szCs w:val="15"/>
              </w:rPr>
              <w:t xml:space="preserve">Venue</w:t>
            </w:r>
          </w:p>
        </w:tc>
        <w:tc>
          <w:tcPr>
            <w:tcW w:type="dxa" w:w="1838"/>
            <w:shd w:fill="1F3864" w:color="auto" w:val="clear"/>
            <w:tcMar>
              <w:top w:type="dxa" w:w="15"/>
              <w:left w:type="dxa" w:w="80"/>
              <w:bottom w:type="dxa" w:w="15"/>
              <w:right w:type="dxa" w:w="80"/>
            </w:tcMar>
            <w:vAlign w:val="top"/>
          </w:tcPr>
          <w:p>
            <w:r>
              <w:rPr>
                <w:b/>
                <w:bCs/>
                <w:color w:val="FFFFFF"/>
                <w:sz w:val="15"/>
                <w:szCs w:val="15"/>
              </w:rPr>
              <w:t xml:space="preserve">Affiliation</w:t>
            </w:r>
          </w:p>
        </w:tc>
      </w:tr>
      <w:tr>
        <w:trPr>
          <w:cantSplit/>
        </w:trPr>
        <w:tc>
          <w:tcPr>
            <w:tcW w:type="dxa" w:w="600"/>
            <w:tcMar>
              <w:top w:type="dxa" w:w="15"/>
              <w:left w:type="dxa" w:w="80"/>
              <w:bottom w:type="dxa" w:w="15"/>
              <w:right w:type="dxa" w:w="80"/>
            </w:tcMar>
            <w:vAlign w:val="top"/>
          </w:tcPr>
          <w:p>
            <w:r>
              <w:rPr>
                <w:b/>
                <w:bCs/>
                <w:color w:val="002147"/>
                <w:sz w:val="15"/>
                <w:szCs w:val="15"/>
              </w:rPr>
              <w:t xml:space="preserve">O1</w:t>
            </w:r>
          </w:p>
        </w:tc>
        <w:tc>
          <w:tcPr>
            <w:tcW w:type="dxa" w:w="3300"/>
            <w:tcMar>
              <w:top w:type="dxa" w:w="15"/>
              <w:left w:type="dxa" w:w="80"/>
              <w:bottom w:type="dxa" w:w="15"/>
              <w:right w:type="dxa" w:w="80"/>
            </w:tcMar>
            <w:vAlign w:val="top"/>
          </w:tcPr>
          <w:p>
            <w:r>
              <w:rPr>
                <w:sz w:val="15"/>
                <w:szCs w:val="15"/>
              </w:rPr>
              <w:t xml:space="preserve">Freeman, Pennock, Peters &amp; Wortman Vaughan (2021)</w:t>
            </w:r>
          </w:p>
        </w:tc>
        <w:tc>
          <w:tcPr>
            <w:tcW w:type="dxa" w:w="3900"/>
            <w:tcMar>
              <w:top w:type="dxa" w:w="15"/>
              <w:left w:type="dxa" w:w="80"/>
              <w:bottom w:type="dxa" w:w="15"/>
              <w:right w:type="dxa" w:w="80"/>
            </w:tcMar>
            <w:vAlign w:val="top"/>
          </w:tcPr>
          <w:p>
            <w:r>
              <w:rPr>
                <w:sz w:val="15"/>
                <w:szCs w:val="15"/>
              </w:rPr>
              <w:t xml:space="preserve">J. Econ. Theory 2021</w:t>
            </w:r>
          </w:p>
        </w:tc>
        <w:tc>
          <w:tcPr>
            <w:tcW w:type="dxa" w:w="1838"/>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O2</w:t>
            </w:r>
          </w:p>
        </w:tc>
        <w:tc>
          <w:tcPr>
            <w:tcW w:type="dxa" w:w="3300"/>
            <w:shd w:fill="F7F9FC" w:color="auto" w:val="clear"/>
            <w:tcMar>
              <w:top w:type="dxa" w:w="15"/>
              <w:left w:type="dxa" w:w="80"/>
              <w:bottom w:type="dxa" w:w="15"/>
              <w:right w:type="dxa" w:w="80"/>
            </w:tcMar>
            <w:vAlign w:val="top"/>
          </w:tcPr>
          <w:p>
            <w:r>
              <w:rPr>
                <w:sz w:val="15"/>
                <w:szCs w:val="15"/>
              </w:rPr>
              <w:t xml:space="preserve">Bai, He, Jiang &amp; Obłój (2023)</w:t>
            </w:r>
          </w:p>
        </w:tc>
        <w:tc>
          <w:tcPr>
            <w:tcW w:type="dxa" w:w="3900"/>
            <w:shd w:fill="F7F9FC" w:color="auto" w:val="clear"/>
            <w:tcMar>
              <w:top w:type="dxa" w:w="15"/>
              <w:left w:type="dxa" w:w="80"/>
              <w:bottom w:type="dxa" w:w="15"/>
              <w:right w:type="dxa" w:w="80"/>
            </w:tcMar>
            <w:vAlign w:val="top"/>
          </w:tcPr>
          <w:p>
            <w:r>
              <w:rPr>
                <w:sz w:val="15"/>
                <w:szCs w:val="15"/>
              </w:rPr>
              <w:t xml:space="preserve">NeurIPS 2023</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tcMar>
              <w:top w:type="dxa" w:w="15"/>
              <w:left w:type="dxa" w:w="80"/>
              <w:bottom w:type="dxa" w:w="15"/>
              <w:right w:type="dxa" w:w="80"/>
            </w:tcMar>
            <w:vAlign w:val="top"/>
          </w:tcPr>
          <w:p>
            <w:r>
              <w:rPr>
                <w:b/>
                <w:bCs/>
                <w:color w:val="002147"/>
                <w:sz w:val="15"/>
                <w:szCs w:val="15"/>
              </w:rPr>
              <w:t xml:space="preserve">O3</w:t>
            </w:r>
          </w:p>
        </w:tc>
        <w:tc>
          <w:tcPr>
            <w:tcW w:type="dxa" w:w="3300"/>
            <w:tcMar>
              <w:top w:type="dxa" w:w="15"/>
              <w:left w:type="dxa" w:w="80"/>
              <w:bottom w:type="dxa" w:w="15"/>
              <w:right w:type="dxa" w:w="80"/>
            </w:tcMar>
            <w:vAlign w:val="top"/>
          </w:tcPr>
          <w:p>
            <w:r>
              <w:rPr>
                <w:sz w:val="15"/>
                <w:szCs w:val="15"/>
              </w:rPr>
              <w:t xml:space="preserve">Pacchiardi, Adewoyin, Dueben &amp; Dutta (2024)</w:t>
            </w:r>
          </w:p>
        </w:tc>
        <w:tc>
          <w:tcPr>
            <w:tcW w:type="dxa" w:w="3900"/>
            <w:tcMar>
              <w:top w:type="dxa" w:w="15"/>
              <w:left w:type="dxa" w:w="80"/>
              <w:bottom w:type="dxa" w:w="15"/>
              <w:right w:type="dxa" w:w="80"/>
            </w:tcMar>
            <w:vAlign w:val="top"/>
          </w:tcPr>
          <w:p>
            <w:r>
              <w:rPr>
                <w:sz w:val="15"/>
                <w:szCs w:val="15"/>
              </w:rPr>
              <w:t xml:space="preserve">J. Mach. Learn. Res. 2024</w:t>
            </w:r>
          </w:p>
        </w:tc>
        <w:tc>
          <w:tcPr>
            <w:tcW w:type="dxa" w:w="1838"/>
            <w:tcMar>
              <w:top w:type="dxa" w:w="15"/>
              <w:left w:type="dxa" w:w="80"/>
              <w:bottom w:type="dxa" w:w="15"/>
              <w:right w:type="dxa" w:w="80"/>
            </w:tcMar>
            <w:vAlign w:val="top"/>
          </w:tcPr>
          <w:p>
            <w:r>
              <w:rPr>
                <w:b/>
                <w:bCs/>
                <w:color w:val="002147"/>
                <w:sz w:val="15"/>
                <w:szCs w:val="15"/>
              </w:rPr>
              <w:t xml:space="preserve">Oxford · Warwick · ECMWF</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O4</w:t>
            </w:r>
          </w:p>
        </w:tc>
        <w:tc>
          <w:tcPr>
            <w:tcW w:type="dxa" w:w="3300"/>
            <w:shd w:fill="F7F9FC" w:color="auto" w:val="clear"/>
            <w:tcMar>
              <w:top w:type="dxa" w:w="15"/>
              <w:left w:type="dxa" w:w="80"/>
              <w:bottom w:type="dxa" w:w="15"/>
              <w:right w:type="dxa" w:w="80"/>
            </w:tcMar>
            <w:vAlign w:val="top"/>
          </w:tcPr>
          <w:p>
            <w:r>
              <w:rPr>
                <w:sz w:val="15"/>
                <w:szCs w:val="15"/>
              </w:rPr>
              <w:t xml:space="preserve">Taylor &amp; Taylor (2023)</w:t>
            </w:r>
          </w:p>
        </w:tc>
        <w:tc>
          <w:tcPr>
            <w:tcW w:type="dxa" w:w="3900"/>
            <w:shd w:fill="F7F9FC" w:color="auto" w:val="clear"/>
            <w:tcMar>
              <w:top w:type="dxa" w:w="15"/>
              <w:left w:type="dxa" w:w="80"/>
              <w:bottom w:type="dxa" w:w="15"/>
              <w:right w:type="dxa" w:w="80"/>
            </w:tcMar>
            <w:vAlign w:val="top"/>
          </w:tcPr>
          <w:p>
            <w:r>
              <w:rPr>
                <w:sz w:val="15"/>
                <w:szCs w:val="15"/>
              </w:rPr>
              <w:t xml:space="preserve">Eur. J. Oper. Res. 2023</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tcMar>
              <w:top w:type="dxa" w:w="15"/>
              <w:left w:type="dxa" w:w="80"/>
              <w:bottom w:type="dxa" w:w="15"/>
              <w:right w:type="dxa" w:w="80"/>
            </w:tcMar>
            <w:vAlign w:val="top"/>
          </w:tcPr>
          <w:p>
            <w:r>
              <w:rPr>
                <w:b/>
                <w:bCs/>
                <w:color w:val="002147"/>
                <w:sz w:val="15"/>
                <w:szCs w:val="15"/>
              </w:rPr>
              <w:t xml:space="preserve">O5</w:t>
            </w:r>
          </w:p>
        </w:tc>
        <w:tc>
          <w:tcPr>
            <w:tcW w:type="dxa" w:w="3300"/>
            <w:tcMar>
              <w:top w:type="dxa" w:w="15"/>
              <w:left w:type="dxa" w:w="80"/>
              <w:bottom w:type="dxa" w:w="15"/>
              <w:right w:type="dxa" w:w="80"/>
            </w:tcMar>
            <w:vAlign w:val="top"/>
          </w:tcPr>
          <w:p>
            <w:r>
              <w:rPr>
                <w:sz w:val="15"/>
                <w:szCs w:val="15"/>
              </w:rPr>
              <w:t xml:space="preserve">Murgatroyd &amp; Hall (2021)</w:t>
            </w:r>
          </w:p>
        </w:tc>
        <w:tc>
          <w:tcPr>
            <w:tcW w:type="dxa" w:w="3900"/>
            <w:tcMar>
              <w:top w:type="dxa" w:w="15"/>
              <w:left w:type="dxa" w:w="80"/>
              <w:bottom w:type="dxa" w:w="15"/>
              <w:right w:type="dxa" w:w="80"/>
            </w:tcMar>
            <w:vAlign w:val="top"/>
          </w:tcPr>
          <w:p>
            <w:r>
              <w:rPr>
                <w:sz w:val="15"/>
                <w:szCs w:val="15"/>
              </w:rPr>
              <w:t xml:space="preserve">Water Resour. Res. 2021</w:t>
            </w:r>
          </w:p>
        </w:tc>
        <w:tc>
          <w:tcPr>
            <w:tcW w:type="dxa" w:w="1838"/>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C1</w:t>
            </w:r>
          </w:p>
        </w:tc>
        <w:tc>
          <w:tcPr>
            <w:tcW w:type="dxa" w:w="3300"/>
            <w:shd w:fill="F7F9FC" w:color="auto" w:val="clear"/>
            <w:tcMar>
              <w:top w:type="dxa" w:w="15"/>
              <w:left w:type="dxa" w:w="80"/>
              <w:bottom w:type="dxa" w:w="15"/>
              <w:right w:type="dxa" w:w="80"/>
            </w:tcMar>
            <w:vAlign w:val="top"/>
          </w:tcPr>
          <w:p>
            <w:r>
              <w:rPr>
                <w:sz w:val="15"/>
                <w:szCs w:val="15"/>
              </w:rPr>
              <w:t xml:space="preserve">Doval &amp; Skreta (2022)</w:t>
            </w:r>
          </w:p>
        </w:tc>
        <w:tc>
          <w:tcPr>
            <w:tcW w:type="dxa" w:w="3900"/>
            <w:shd w:fill="F7F9FC" w:color="auto" w:val="clear"/>
            <w:tcMar>
              <w:top w:type="dxa" w:w="15"/>
              <w:left w:type="dxa" w:w="80"/>
              <w:bottom w:type="dxa" w:w="15"/>
              <w:right w:type="dxa" w:w="80"/>
            </w:tcMar>
            <w:vAlign w:val="top"/>
          </w:tcPr>
          <w:p>
            <w:r>
              <w:rPr>
                <w:sz w:val="15"/>
                <w:szCs w:val="15"/>
              </w:rPr>
              <w:t xml:space="preserve">Econometrica 2022</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 · UT Austin · UCL</w:t>
            </w:r>
          </w:p>
        </w:tc>
      </w:tr>
      <w:tr>
        <w:trPr>
          <w:cantSplit/>
        </w:trPr>
        <w:tc>
          <w:tcPr>
            <w:tcW w:type="dxa" w:w="600"/>
            <w:tcMar>
              <w:top w:type="dxa" w:w="15"/>
              <w:left w:type="dxa" w:w="80"/>
              <w:bottom w:type="dxa" w:w="15"/>
              <w:right w:type="dxa" w:w="80"/>
            </w:tcMar>
            <w:vAlign w:val="top"/>
          </w:tcPr>
          <w:p>
            <w:r>
              <w:rPr>
                <w:b/>
                <w:bCs/>
                <w:color w:val="B4410C"/>
                <w:sz w:val="15"/>
                <w:szCs w:val="15"/>
              </w:rPr>
              <w:t xml:space="preserve">C2</w:t>
            </w:r>
          </w:p>
        </w:tc>
        <w:tc>
          <w:tcPr>
            <w:tcW w:type="dxa" w:w="3300"/>
            <w:tcMar>
              <w:top w:type="dxa" w:w="15"/>
              <w:left w:type="dxa" w:w="80"/>
              <w:bottom w:type="dxa" w:w="15"/>
              <w:right w:type="dxa" w:w="80"/>
            </w:tcMar>
            <w:vAlign w:val="top"/>
          </w:tcPr>
          <w:p>
            <w:r>
              <w:rPr>
                <w:sz w:val="15"/>
                <w:szCs w:val="15"/>
              </w:rPr>
              <w:t xml:space="preserve">Goel &amp; Hann-Caruthers (2023)</w:t>
            </w:r>
          </w:p>
        </w:tc>
        <w:tc>
          <w:tcPr>
            <w:tcW w:type="dxa" w:w="3900"/>
            <w:tcMar>
              <w:top w:type="dxa" w:w="15"/>
              <w:left w:type="dxa" w:w="80"/>
              <w:bottom w:type="dxa" w:w="15"/>
              <w:right w:type="dxa" w:w="80"/>
            </w:tcMar>
            <w:vAlign w:val="top"/>
          </w:tcPr>
          <w:p>
            <w:r>
              <w:rPr>
                <w:sz w:val="15"/>
                <w:szCs w:val="15"/>
              </w:rPr>
              <w:t xml:space="preserve">Soc. Choice Welf. 2023</w:t>
            </w:r>
          </w:p>
        </w:tc>
        <w:tc>
          <w:tcPr>
            <w:tcW w:type="dxa" w:w="1838"/>
            <w:tcMar>
              <w:top w:type="dxa" w:w="15"/>
              <w:left w:type="dxa" w:w="80"/>
              <w:bottom w:type="dxa" w:w="15"/>
              <w:right w:type="dxa" w:w="80"/>
            </w:tcMar>
            <w:vAlign w:val="top"/>
          </w:tcPr>
          <w:p>
            <w:r>
              <w:rPr>
                <w:b/>
                <w:bCs/>
                <w:color w:val="B4410C"/>
                <w:sz w:val="15"/>
                <w:szCs w:val="15"/>
              </w:rPr>
              <w:t xml:space="preserve">Caltech</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C3</w:t>
            </w:r>
          </w:p>
        </w:tc>
        <w:tc>
          <w:tcPr>
            <w:tcW w:type="dxa" w:w="3300"/>
            <w:shd w:fill="F7F9FC" w:color="auto" w:val="clear"/>
            <w:tcMar>
              <w:top w:type="dxa" w:w="15"/>
              <w:left w:type="dxa" w:w="80"/>
              <w:bottom w:type="dxa" w:w="15"/>
              <w:right w:type="dxa" w:w="80"/>
            </w:tcMar>
            <w:vAlign w:val="top"/>
          </w:tcPr>
          <w:p>
            <w:r>
              <w:rPr>
                <w:sz w:val="15"/>
                <w:szCs w:val="15"/>
              </w:rPr>
              <w:t xml:space="preserve">Shi, Li, Wei, Chen, Geist &amp; Chi (2023)</w:t>
            </w:r>
          </w:p>
        </w:tc>
        <w:tc>
          <w:tcPr>
            <w:tcW w:type="dxa" w:w="3900"/>
            <w:shd w:fill="F7F9FC" w:color="auto" w:val="clear"/>
            <w:tcMar>
              <w:top w:type="dxa" w:w="15"/>
              <w:left w:type="dxa" w:w="80"/>
              <w:bottom w:type="dxa" w:w="15"/>
              <w:right w:type="dxa" w:w="80"/>
            </w:tcMar>
            <w:vAlign w:val="top"/>
          </w:tcPr>
          <w:p>
            <w:r>
              <w:rPr>
                <w:sz w:val="15"/>
                <w:szCs w:val="15"/>
              </w:rPr>
              <w:t xml:space="preserve">NeurIPS 2023</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 · CMU</w:t>
            </w:r>
          </w:p>
        </w:tc>
      </w:tr>
      <w:tr>
        <w:trPr>
          <w:cantSplit/>
        </w:trPr>
        <w:tc>
          <w:tcPr>
            <w:tcW w:type="dxa" w:w="600"/>
            <w:tcMar>
              <w:top w:type="dxa" w:w="15"/>
              <w:left w:type="dxa" w:w="80"/>
              <w:bottom w:type="dxa" w:w="15"/>
              <w:right w:type="dxa" w:w="80"/>
            </w:tcMar>
            <w:vAlign w:val="top"/>
          </w:tcPr>
          <w:p>
            <w:r>
              <w:rPr>
                <w:b/>
                <w:bCs/>
                <w:color w:val="B4410C"/>
                <w:sz w:val="15"/>
                <w:szCs w:val="15"/>
              </w:rPr>
              <w:t xml:space="preserve">C4</w:t>
            </w:r>
          </w:p>
        </w:tc>
        <w:tc>
          <w:tcPr>
            <w:tcW w:type="dxa" w:w="3300"/>
            <w:tcMar>
              <w:top w:type="dxa" w:w="15"/>
              <w:left w:type="dxa" w:w="80"/>
              <w:bottom w:type="dxa" w:w="15"/>
              <w:right w:type="dxa" w:w="80"/>
            </w:tcMar>
            <w:vAlign w:val="top"/>
          </w:tcPr>
          <w:p>
            <w:r>
              <w:rPr>
                <w:sz w:val="15"/>
                <w:szCs w:val="15"/>
              </w:rPr>
              <w:t xml:space="preserve">Ahmadi, Rosolia, Ingham, Murray &amp; Ames (2024)</w:t>
            </w:r>
          </w:p>
        </w:tc>
        <w:tc>
          <w:tcPr>
            <w:tcW w:type="dxa" w:w="3900"/>
            <w:tcMar>
              <w:top w:type="dxa" w:w="15"/>
              <w:left w:type="dxa" w:w="80"/>
              <w:bottom w:type="dxa" w:w="15"/>
              <w:right w:type="dxa" w:w="80"/>
            </w:tcMar>
            <w:vAlign w:val="top"/>
          </w:tcPr>
          <w:p>
            <w:r>
              <w:rPr>
                <w:sz w:val="15"/>
                <w:szCs w:val="15"/>
              </w:rPr>
              <w:t xml:space="preserve">IEEE Trans. Autom. Control 2024</w:t>
            </w:r>
          </w:p>
        </w:tc>
        <w:tc>
          <w:tcPr>
            <w:tcW w:type="dxa" w:w="1838"/>
            <w:tcMar>
              <w:top w:type="dxa" w:w="15"/>
              <w:left w:type="dxa" w:w="80"/>
              <w:bottom w:type="dxa" w:w="15"/>
              <w:right w:type="dxa" w:w="80"/>
            </w:tcMar>
            <w:vAlign w:val="top"/>
          </w:tcPr>
          <w:p>
            <w:r>
              <w:rPr>
                <w:b/>
                <w:bCs/>
                <w:color w:val="B4410C"/>
                <w:sz w:val="15"/>
                <w:szCs w:val="15"/>
              </w:rPr>
              <w:t xml:space="preserve">Caltech · NASA JPL</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C5</w:t>
            </w:r>
          </w:p>
        </w:tc>
        <w:tc>
          <w:tcPr>
            <w:tcW w:type="dxa" w:w="3300"/>
            <w:shd w:fill="F7F9FC" w:color="auto" w:val="clear"/>
            <w:tcMar>
              <w:top w:type="dxa" w:w="15"/>
              <w:left w:type="dxa" w:w="80"/>
              <w:bottom w:type="dxa" w:w="15"/>
              <w:right w:type="dxa" w:w="80"/>
            </w:tcMar>
            <w:vAlign w:val="top"/>
          </w:tcPr>
          <w:p>
            <w:r>
              <w:rPr>
                <w:sz w:val="15"/>
                <w:szCs w:val="15"/>
              </w:rPr>
              <w:t xml:space="preserve">Echenique, Miralles &amp; Zhang (2021)</w:t>
            </w:r>
          </w:p>
        </w:tc>
        <w:tc>
          <w:tcPr>
            <w:tcW w:type="dxa" w:w="3900"/>
            <w:shd w:fill="F7F9FC" w:color="auto" w:val="clear"/>
            <w:tcMar>
              <w:top w:type="dxa" w:w="15"/>
              <w:left w:type="dxa" w:w="80"/>
              <w:bottom w:type="dxa" w:w="15"/>
              <w:right w:type="dxa" w:w="80"/>
            </w:tcMar>
            <w:vAlign w:val="top"/>
          </w:tcPr>
          <w:p>
            <w:r>
              <w:rPr>
                <w:sz w:val="15"/>
                <w:szCs w:val="15"/>
              </w:rPr>
              <w:t xml:space="preserve">J. Econ. Theory 2021</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w:t>
            </w:r>
          </w:p>
        </w:tc>
      </w:tr>
      <w:tr>
        <w:trPr>
          <w:cantSplit/>
        </w:trPr>
        <w:tc>
          <w:tcPr>
            <w:tcW w:type="dxa" w:w="600"/>
            <w:tcMar>
              <w:top w:type="dxa" w:w="15"/>
              <w:left w:type="dxa" w:w="80"/>
              <w:bottom w:type="dxa" w:w="15"/>
              <w:right w:type="dxa" w:w="80"/>
            </w:tcMar>
            <w:vAlign w:val="top"/>
          </w:tcPr>
          <w:p>
            <w:r>
              <w:rPr>
                <w:b/>
                <w:bCs/>
                <w:color w:val="4D4D4F"/>
                <w:sz w:val="15"/>
                <w:szCs w:val="15"/>
              </w:rPr>
              <w:t xml:space="preserve">M1</w:t>
            </w:r>
          </w:p>
        </w:tc>
        <w:tc>
          <w:tcPr>
            <w:tcW w:type="dxa" w:w="3300"/>
            <w:tcMar>
              <w:top w:type="dxa" w:w="15"/>
              <w:left w:type="dxa" w:w="80"/>
              <w:bottom w:type="dxa" w:w="15"/>
              <w:right w:type="dxa" w:w="80"/>
            </w:tcMar>
            <w:vAlign w:val="top"/>
          </w:tcPr>
          <w:p>
            <w:r>
              <w:rPr>
                <w:sz w:val="15"/>
                <w:szCs w:val="15"/>
              </w:rPr>
              <w:t xml:space="preserve">Sutter, Van Parys &amp; Kuhn (2024)</w:t>
            </w:r>
          </w:p>
        </w:tc>
        <w:tc>
          <w:tcPr>
            <w:tcW w:type="dxa" w:w="3900"/>
            <w:tcMar>
              <w:top w:type="dxa" w:w="15"/>
              <w:left w:type="dxa" w:w="80"/>
              <w:bottom w:type="dxa" w:w="15"/>
              <w:right w:type="dxa" w:w="80"/>
            </w:tcMar>
            <w:vAlign w:val="top"/>
          </w:tcPr>
          <w:p>
            <w:r>
              <w:rPr>
                <w:sz w:val="15"/>
                <w:szCs w:val="15"/>
              </w:rPr>
              <w:t xml:space="preserve">Oper. Res. 2024</w:t>
            </w:r>
          </w:p>
        </w:tc>
        <w:tc>
          <w:tcPr>
            <w:tcW w:type="dxa" w:w="1838"/>
            <w:tcMar>
              <w:top w:type="dxa" w:w="15"/>
              <w:left w:type="dxa" w:w="80"/>
              <w:bottom w:type="dxa" w:w="15"/>
              <w:right w:type="dxa" w:w="80"/>
            </w:tcMar>
            <w:vAlign w:val="top"/>
          </w:tcPr>
          <w:p>
            <w:r>
              <w:rPr>
                <w:b/>
                <w:bCs/>
                <w:color w:val="4D4D4F"/>
                <w:sz w:val="15"/>
                <w:szCs w:val="15"/>
              </w:rPr>
              <w:t xml:space="preserve">MIT · EPFL · U. Konstanz</w:t>
            </w:r>
          </w:p>
        </w:tc>
      </w:tr>
      <w:tr>
        <w:trPr>
          <w:cantSplit/>
        </w:trPr>
        <w:tc>
          <w:tcPr>
            <w:tcW w:type="dxa" w:w="600"/>
            <w:shd w:fill="F7F9FC" w:color="auto" w:val="clear"/>
            <w:tcMar>
              <w:top w:type="dxa" w:w="15"/>
              <w:left w:type="dxa" w:w="80"/>
              <w:bottom w:type="dxa" w:w="15"/>
              <w:right w:type="dxa" w:w="80"/>
            </w:tcMar>
            <w:vAlign w:val="top"/>
          </w:tcPr>
          <w:p>
            <w:r>
              <w:rPr>
                <w:b/>
                <w:bCs/>
                <w:color w:val="4D4D4F"/>
                <w:sz w:val="15"/>
                <w:szCs w:val="15"/>
              </w:rPr>
              <w:t xml:space="preserve">M2</w:t>
            </w:r>
          </w:p>
        </w:tc>
        <w:tc>
          <w:tcPr>
            <w:tcW w:type="dxa" w:w="3300"/>
            <w:shd w:fill="F7F9FC" w:color="auto" w:val="clear"/>
            <w:tcMar>
              <w:top w:type="dxa" w:w="15"/>
              <w:left w:type="dxa" w:w="80"/>
              <w:bottom w:type="dxa" w:w="15"/>
              <w:right w:type="dxa" w:w="80"/>
            </w:tcMar>
            <w:vAlign w:val="top"/>
          </w:tcPr>
          <w:p>
            <w:r>
              <w:rPr>
                <w:sz w:val="15"/>
                <w:szCs w:val="15"/>
              </w:rPr>
              <w:t xml:space="preserve">Bertsimas, den Hertog &amp; Pauphilet (2021)</w:t>
            </w:r>
          </w:p>
        </w:tc>
        <w:tc>
          <w:tcPr>
            <w:tcW w:type="dxa" w:w="3900"/>
            <w:shd w:fill="F7F9FC" w:color="auto" w:val="clear"/>
            <w:tcMar>
              <w:top w:type="dxa" w:w="15"/>
              <w:left w:type="dxa" w:w="80"/>
              <w:bottom w:type="dxa" w:w="15"/>
              <w:right w:type="dxa" w:w="80"/>
            </w:tcMar>
            <w:vAlign w:val="top"/>
          </w:tcPr>
          <w:p>
            <w:r>
              <w:rPr>
                <w:sz w:val="15"/>
                <w:szCs w:val="15"/>
              </w:rPr>
              <w:t xml:space="preserve">SIAM J. Optim. 2021</w:t>
            </w:r>
          </w:p>
        </w:tc>
        <w:tc>
          <w:tcPr>
            <w:tcW w:type="dxa" w:w="1838"/>
            <w:shd w:fill="F7F9FC" w:color="auto" w:val="clear"/>
            <w:tcMar>
              <w:top w:type="dxa" w:w="15"/>
              <w:left w:type="dxa" w:w="80"/>
              <w:bottom w:type="dxa" w:w="15"/>
              <w:right w:type="dxa" w:w="80"/>
            </w:tcMar>
            <w:vAlign w:val="top"/>
          </w:tcPr>
          <w:p>
            <w:r>
              <w:rPr>
                <w:b/>
                <w:bCs/>
                <w:color w:val="4D4D4F"/>
                <w:sz w:val="15"/>
                <w:szCs w:val="15"/>
              </w:rPr>
              <w:t xml:space="preserve">MIT · U. Amsterdam · LBS</w:t>
            </w:r>
          </w:p>
        </w:tc>
      </w:tr>
      <w:tr>
        <w:trPr>
          <w:cantSplit/>
        </w:trPr>
        <w:tc>
          <w:tcPr>
            <w:tcW w:type="dxa" w:w="600"/>
            <w:tcMar>
              <w:top w:type="dxa" w:w="15"/>
              <w:left w:type="dxa" w:w="80"/>
              <w:bottom w:type="dxa" w:w="15"/>
              <w:right w:type="dxa" w:w="80"/>
            </w:tcMar>
            <w:vAlign w:val="top"/>
          </w:tcPr>
          <w:p>
            <w:r>
              <w:rPr>
                <w:b/>
                <w:bCs/>
                <w:color w:val="4D4D4F"/>
                <w:sz w:val="15"/>
                <w:szCs w:val="15"/>
              </w:rPr>
              <w:t xml:space="preserve">M3</w:t>
            </w:r>
          </w:p>
        </w:tc>
        <w:tc>
          <w:tcPr>
            <w:tcW w:type="dxa" w:w="3300"/>
            <w:tcMar>
              <w:top w:type="dxa" w:w="15"/>
              <w:left w:type="dxa" w:w="80"/>
              <w:bottom w:type="dxa" w:w="15"/>
              <w:right w:type="dxa" w:w="80"/>
            </w:tcMar>
            <w:vAlign w:val="top"/>
          </w:tcPr>
          <w:p>
            <w:r>
              <w:rPr>
                <w:sz w:val="15"/>
                <w:szCs w:val="15"/>
              </w:rPr>
              <w:t xml:space="preserve">Fudenberg, Lanzani &amp; Strack (2023)</w:t>
            </w:r>
          </w:p>
        </w:tc>
        <w:tc>
          <w:tcPr>
            <w:tcW w:type="dxa" w:w="3900"/>
            <w:tcMar>
              <w:top w:type="dxa" w:w="15"/>
              <w:left w:type="dxa" w:w="80"/>
              <w:bottom w:type="dxa" w:w="15"/>
              <w:right w:type="dxa" w:w="80"/>
            </w:tcMar>
            <w:vAlign w:val="top"/>
          </w:tcPr>
          <w:p>
            <w:r>
              <w:rPr>
                <w:sz w:val="15"/>
                <w:szCs w:val="15"/>
              </w:rPr>
              <w:t xml:space="preserve">Theor. Econ. 2023</w:t>
            </w:r>
          </w:p>
        </w:tc>
        <w:tc>
          <w:tcPr>
            <w:tcW w:type="dxa" w:w="1838"/>
            <w:tcMar>
              <w:top w:type="dxa" w:w="15"/>
              <w:left w:type="dxa" w:w="80"/>
              <w:bottom w:type="dxa" w:w="15"/>
              <w:right w:type="dxa" w:w="80"/>
            </w:tcMar>
            <w:vAlign w:val="top"/>
          </w:tcPr>
          <w:p>
            <w:r>
              <w:rPr>
                <w:b/>
                <w:bCs/>
                <w:color w:val="4D4D4F"/>
                <w:sz w:val="15"/>
                <w:szCs w:val="15"/>
              </w:rPr>
              <w:t xml:space="preserve">MIT · Yale</w:t>
            </w:r>
          </w:p>
        </w:tc>
      </w:tr>
      <w:tr>
        <w:trPr>
          <w:cantSplit/>
        </w:trPr>
        <w:tc>
          <w:tcPr>
            <w:tcW w:type="dxa" w:w="600"/>
            <w:shd w:fill="F7F9FC" w:color="auto" w:val="clear"/>
            <w:tcMar>
              <w:top w:type="dxa" w:w="15"/>
              <w:left w:type="dxa" w:w="80"/>
              <w:bottom w:type="dxa" w:w="15"/>
              <w:right w:type="dxa" w:w="80"/>
            </w:tcMar>
            <w:vAlign w:val="top"/>
          </w:tcPr>
          <w:p>
            <w:r>
              <w:rPr>
                <w:b/>
                <w:bCs/>
                <w:color w:val="4D4D4F"/>
                <w:sz w:val="15"/>
                <w:szCs w:val="15"/>
              </w:rPr>
              <w:t xml:space="preserve">M4</w:t>
            </w:r>
          </w:p>
        </w:tc>
        <w:tc>
          <w:tcPr>
            <w:tcW w:type="dxa" w:w="3300"/>
            <w:shd w:fill="F7F9FC" w:color="auto" w:val="clear"/>
            <w:tcMar>
              <w:top w:type="dxa" w:w="15"/>
              <w:left w:type="dxa" w:w="80"/>
              <w:bottom w:type="dxa" w:w="15"/>
              <w:right w:type="dxa" w:w="80"/>
            </w:tcMar>
            <w:vAlign w:val="top"/>
          </w:tcPr>
          <w:p>
            <w:r>
              <w:rPr>
                <w:sz w:val="15"/>
                <w:szCs w:val="15"/>
              </w:rPr>
              <w:t xml:space="preserve">Jadbabaie, Makur, Mossel &amp; Salhab (2023)</w:t>
            </w:r>
          </w:p>
        </w:tc>
        <w:tc>
          <w:tcPr>
            <w:tcW w:type="dxa" w:w="3900"/>
            <w:shd w:fill="F7F9FC" w:color="auto" w:val="clear"/>
            <w:tcMar>
              <w:top w:type="dxa" w:w="15"/>
              <w:left w:type="dxa" w:w="80"/>
              <w:bottom w:type="dxa" w:w="15"/>
              <w:right w:type="dxa" w:w="80"/>
            </w:tcMar>
            <w:vAlign w:val="top"/>
          </w:tcPr>
          <w:p>
            <w:r>
              <w:rPr>
                <w:sz w:val="15"/>
                <w:szCs w:val="15"/>
              </w:rPr>
              <w:t xml:space="preserve">IEEE Trans. Autom. Control 2023</w:t>
            </w:r>
          </w:p>
        </w:tc>
        <w:tc>
          <w:tcPr>
            <w:tcW w:type="dxa" w:w="1838"/>
            <w:shd w:fill="F7F9FC" w:color="auto" w:val="clear"/>
            <w:tcMar>
              <w:top w:type="dxa" w:w="15"/>
              <w:left w:type="dxa" w:w="80"/>
              <w:bottom w:type="dxa" w:w="15"/>
              <w:right w:type="dxa" w:w="80"/>
            </w:tcMar>
            <w:vAlign w:val="top"/>
          </w:tcPr>
          <w:p>
            <w:r>
              <w:rPr>
                <w:b/>
                <w:bCs/>
                <w:color w:val="4D4D4F"/>
                <w:sz w:val="15"/>
                <w:szCs w:val="15"/>
              </w:rPr>
              <w:t xml:space="preserve">MIT · Purdue · Amazon</w:t>
            </w:r>
          </w:p>
        </w:tc>
      </w:tr>
      <w:tr>
        <w:trPr>
          <w:cantSplit/>
        </w:trPr>
        <w:tc>
          <w:tcPr>
            <w:tcW w:type="dxa" w:w="600"/>
            <w:tcMar>
              <w:top w:type="dxa" w:w="15"/>
              <w:left w:type="dxa" w:w="80"/>
              <w:bottom w:type="dxa" w:w="15"/>
              <w:right w:type="dxa" w:w="80"/>
            </w:tcMar>
            <w:vAlign w:val="top"/>
          </w:tcPr>
          <w:p>
            <w:r>
              <w:rPr>
                <w:b/>
                <w:bCs/>
                <w:color w:val="4D4D4F"/>
                <w:sz w:val="15"/>
                <w:szCs w:val="15"/>
              </w:rPr>
              <w:t xml:space="preserve">M5</w:t>
            </w:r>
          </w:p>
        </w:tc>
        <w:tc>
          <w:tcPr>
            <w:tcW w:type="dxa" w:w="3300"/>
            <w:tcMar>
              <w:top w:type="dxa" w:w="15"/>
              <w:left w:type="dxa" w:w="80"/>
              <w:bottom w:type="dxa" w:w="15"/>
              <w:right w:type="dxa" w:w="80"/>
            </w:tcMar>
            <w:vAlign w:val="top"/>
          </w:tcPr>
          <w:p>
            <w:r>
              <w:rPr>
                <w:sz w:val="15"/>
                <w:szCs w:val="15"/>
              </w:rPr>
              <w:t xml:space="preserve">Bennouna, Bennouna, Amin &amp; Ozdaglar (2025)</w:t>
            </w:r>
          </w:p>
        </w:tc>
        <w:tc>
          <w:tcPr>
            <w:tcW w:type="dxa" w:w="3900"/>
            <w:tcMar>
              <w:top w:type="dxa" w:w="15"/>
              <w:left w:type="dxa" w:w="80"/>
              <w:bottom w:type="dxa" w:w="15"/>
              <w:right w:type="dxa" w:w="80"/>
            </w:tcMar>
            <w:vAlign w:val="top"/>
          </w:tcPr>
          <w:p>
            <w:r>
              <w:rPr>
                <w:sz w:val="15"/>
                <w:szCs w:val="15"/>
              </w:rPr>
              <w:t xml:space="preserve">NeurIPS 2025</w:t>
            </w:r>
          </w:p>
        </w:tc>
        <w:tc>
          <w:tcPr>
            <w:tcW w:type="dxa" w:w="1838"/>
            <w:tcMar>
              <w:top w:type="dxa" w:w="15"/>
              <w:left w:type="dxa" w:w="80"/>
              <w:bottom w:type="dxa" w:w="15"/>
              <w:right w:type="dxa" w:w="80"/>
            </w:tcMar>
            <w:vAlign w:val="top"/>
          </w:tcPr>
          <w:p>
            <w:r>
              <w:rPr>
                <w:b/>
                <w:bCs/>
                <w:color w:val="4D4D4F"/>
                <w:sz w:val="15"/>
                <w:szCs w:val="15"/>
              </w:rPr>
              <w:t xml:space="preserve">MIT · Northwestern</w:t>
            </w:r>
          </w:p>
        </w:tc>
      </w:tr>
      <w:tr>
        <w:trPr>
          <w:cantSplit/>
        </w:trPr>
        <w:tc>
          <w:tcPr>
            <w:tcW w:type="dxa" w:w="600"/>
            <w:shd w:fill="F7F9FC" w:color="auto" w:val="clear"/>
            <w:tcMar>
              <w:top w:type="dxa" w:w="15"/>
              <w:left w:type="dxa" w:w="80"/>
              <w:bottom w:type="dxa" w:w="15"/>
              <w:right w:type="dxa" w:w="80"/>
            </w:tcMar>
            <w:vAlign w:val="top"/>
          </w:tcPr>
          <w:p>
            <w:r>
              <w:rPr>
                <w:b/>
                <w:bCs/>
                <w:color w:val="215CAF"/>
                <w:sz w:val="15"/>
                <w:szCs w:val="15"/>
              </w:rPr>
              <w:t xml:space="preserve">E1</w:t>
            </w:r>
          </w:p>
        </w:tc>
        <w:tc>
          <w:tcPr>
            <w:tcW w:type="dxa" w:w="3300"/>
            <w:shd w:fill="F7F9FC" w:color="auto" w:val="clear"/>
            <w:tcMar>
              <w:top w:type="dxa" w:w="15"/>
              <w:left w:type="dxa" w:w="80"/>
              <w:bottom w:type="dxa" w:w="15"/>
              <w:right w:type="dxa" w:w="80"/>
            </w:tcMar>
            <w:vAlign w:val="top"/>
          </w:tcPr>
          <w:p>
            <w:r>
              <w:rPr>
                <w:sz w:val="15"/>
                <w:szCs w:val="15"/>
              </w:rPr>
              <w:t xml:space="preserve">Shafiee, Aolaritei, Dörfler &amp; Kuhn (2025)</w:t>
            </w:r>
          </w:p>
        </w:tc>
        <w:tc>
          <w:tcPr>
            <w:tcW w:type="dxa" w:w="3900"/>
            <w:shd w:fill="F7F9FC" w:color="auto" w:val="clear"/>
            <w:tcMar>
              <w:top w:type="dxa" w:w="15"/>
              <w:left w:type="dxa" w:w="80"/>
              <w:bottom w:type="dxa" w:w="15"/>
              <w:right w:type="dxa" w:w="80"/>
            </w:tcMar>
            <w:vAlign w:val="top"/>
          </w:tcPr>
          <w:p>
            <w:r>
              <w:rPr>
                <w:sz w:val="15"/>
                <w:szCs w:val="15"/>
              </w:rPr>
              <w:t xml:space="preserve">Oper. Res. 2025</w:t>
            </w:r>
          </w:p>
        </w:tc>
        <w:tc>
          <w:tcPr>
            <w:tcW w:type="dxa" w:w="1838"/>
            <w:shd w:fill="F7F9FC" w:color="auto" w:val="clear"/>
            <w:tcMar>
              <w:top w:type="dxa" w:w="15"/>
              <w:left w:type="dxa" w:w="80"/>
              <w:bottom w:type="dxa" w:w="15"/>
              <w:right w:type="dxa" w:w="80"/>
            </w:tcMar>
            <w:vAlign w:val="top"/>
          </w:tcPr>
          <w:p>
            <w:r>
              <w:rPr>
                <w:b/>
                <w:bCs/>
                <w:color w:val="215CAF"/>
                <w:sz w:val="15"/>
                <w:szCs w:val="15"/>
              </w:rPr>
              <w:t xml:space="preserve">ETH Zürich · EPFL</w:t>
            </w:r>
          </w:p>
        </w:tc>
      </w:tr>
      <w:tr>
        <w:trPr>
          <w:cantSplit/>
        </w:trPr>
        <w:tc>
          <w:tcPr>
            <w:tcW w:type="dxa" w:w="600"/>
            <w:tcMar>
              <w:top w:type="dxa" w:w="15"/>
              <w:left w:type="dxa" w:w="80"/>
              <w:bottom w:type="dxa" w:w="15"/>
              <w:right w:type="dxa" w:w="80"/>
            </w:tcMar>
            <w:vAlign w:val="top"/>
          </w:tcPr>
          <w:p>
            <w:r>
              <w:rPr>
                <w:b/>
                <w:bCs/>
                <w:color w:val="215CAF"/>
                <w:sz w:val="15"/>
                <w:szCs w:val="15"/>
              </w:rPr>
              <w:t xml:space="preserve">E2</w:t>
            </w:r>
          </w:p>
        </w:tc>
        <w:tc>
          <w:tcPr>
            <w:tcW w:type="dxa" w:w="3300"/>
            <w:tcMar>
              <w:top w:type="dxa" w:w="15"/>
              <w:left w:type="dxa" w:w="80"/>
              <w:bottom w:type="dxa" w:w="15"/>
              <w:right w:type="dxa" w:w="80"/>
            </w:tcMar>
            <w:vAlign w:val="top"/>
          </w:tcPr>
          <w:p>
            <w:r>
              <w:rPr>
                <w:sz w:val="15"/>
                <w:szCs w:val="15"/>
              </w:rPr>
              <w:t xml:space="preserve">Lanzetti, Bolognani &amp; Dörfler (2025)</w:t>
            </w:r>
          </w:p>
        </w:tc>
        <w:tc>
          <w:tcPr>
            <w:tcW w:type="dxa" w:w="3900"/>
            <w:tcMar>
              <w:top w:type="dxa" w:w="15"/>
              <w:left w:type="dxa" w:w="80"/>
              <w:bottom w:type="dxa" w:w="15"/>
              <w:right w:type="dxa" w:w="80"/>
            </w:tcMar>
            <w:vAlign w:val="top"/>
          </w:tcPr>
          <w:p>
            <w:r>
              <w:rPr>
                <w:sz w:val="15"/>
                <w:szCs w:val="15"/>
              </w:rPr>
              <w:t xml:space="preserve">SIAM J. Math. Data Sci. 2025</w:t>
            </w:r>
          </w:p>
        </w:tc>
        <w:tc>
          <w:tcPr>
            <w:tcW w:type="dxa" w:w="1838"/>
            <w:tcMar>
              <w:top w:type="dxa" w:w="15"/>
              <w:left w:type="dxa" w:w="80"/>
              <w:bottom w:type="dxa" w:w="15"/>
              <w:right w:type="dxa" w:w="80"/>
            </w:tcMar>
            <w:vAlign w:val="top"/>
          </w:tcPr>
          <w:p>
            <w:r>
              <w:rPr>
                <w:b/>
                <w:bCs/>
                <w:color w:val="215CAF"/>
                <w:sz w:val="15"/>
                <w:szCs w:val="15"/>
              </w:rPr>
              <w:t xml:space="preserve">ETH Zürich</w:t>
            </w:r>
          </w:p>
        </w:tc>
      </w:tr>
      <w:tr>
        <w:trPr>
          <w:cantSplit/>
        </w:trPr>
        <w:tc>
          <w:tcPr>
            <w:tcW w:type="dxa" w:w="600"/>
            <w:shd w:fill="F7F9FC" w:color="auto" w:val="clear"/>
            <w:tcMar>
              <w:top w:type="dxa" w:w="15"/>
              <w:left w:type="dxa" w:w="80"/>
              <w:bottom w:type="dxa" w:w="15"/>
              <w:right w:type="dxa" w:w="80"/>
            </w:tcMar>
            <w:vAlign w:val="top"/>
          </w:tcPr>
          <w:p>
            <w:r>
              <w:rPr>
                <w:b/>
                <w:bCs/>
                <w:color w:val="215CAF"/>
                <w:sz w:val="15"/>
                <w:szCs w:val="15"/>
              </w:rPr>
              <w:t xml:space="preserve">E3</w:t>
            </w:r>
          </w:p>
        </w:tc>
        <w:tc>
          <w:tcPr>
            <w:tcW w:type="dxa" w:w="3300"/>
            <w:shd w:fill="F7F9FC" w:color="auto" w:val="clear"/>
            <w:tcMar>
              <w:top w:type="dxa" w:w="15"/>
              <w:left w:type="dxa" w:w="80"/>
              <w:bottom w:type="dxa" w:w="15"/>
              <w:right w:type="dxa" w:w="80"/>
            </w:tcMar>
            <w:vAlign w:val="top"/>
          </w:tcPr>
          <w:p>
            <w:r>
              <w:rPr>
                <w:sz w:val="15"/>
                <w:szCs w:val="15"/>
              </w:rPr>
              <w:t xml:space="preserve">Gersbach &amp; Tejada (2024)</w:t>
            </w:r>
          </w:p>
        </w:tc>
        <w:tc>
          <w:tcPr>
            <w:tcW w:type="dxa" w:w="3900"/>
            <w:shd w:fill="F7F9FC" w:color="auto" w:val="clear"/>
            <w:tcMar>
              <w:top w:type="dxa" w:w="15"/>
              <w:left w:type="dxa" w:w="80"/>
              <w:bottom w:type="dxa" w:w="15"/>
              <w:right w:type="dxa" w:w="80"/>
            </w:tcMar>
            <w:vAlign w:val="top"/>
          </w:tcPr>
          <w:p>
            <w:r>
              <w:rPr>
                <w:sz w:val="15"/>
                <w:szCs w:val="15"/>
              </w:rPr>
              <w:t xml:space="preserve">Soc. Choice Welf. 2024</w:t>
            </w:r>
          </w:p>
        </w:tc>
        <w:tc>
          <w:tcPr>
            <w:tcW w:type="dxa" w:w="1838"/>
            <w:shd w:fill="F7F9FC" w:color="auto" w:val="clear"/>
            <w:tcMar>
              <w:top w:type="dxa" w:w="15"/>
              <w:left w:type="dxa" w:w="80"/>
              <w:bottom w:type="dxa" w:w="15"/>
              <w:right w:type="dxa" w:w="80"/>
            </w:tcMar>
            <w:vAlign w:val="top"/>
          </w:tcPr>
          <w:p>
            <w:r>
              <w:rPr>
                <w:b/>
                <w:bCs/>
                <w:color w:val="215CAF"/>
                <w:sz w:val="15"/>
                <w:szCs w:val="15"/>
              </w:rPr>
              <w:t xml:space="preserve">ETH Zürich · Univ. Barcelona</w:t>
            </w:r>
          </w:p>
        </w:tc>
      </w:tr>
      <w:tr>
        <w:trPr>
          <w:cantSplit/>
        </w:trPr>
        <w:tc>
          <w:tcPr>
            <w:tcW w:type="dxa" w:w="600"/>
            <w:tcMar>
              <w:top w:type="dxa" w:w="15"/>
              <w:left w:type="dxa" w:w="80"/>
              <w:bottom w:type="dxa" w:w="15"/>
              <w:right w:type="dxa" w:w="80"/>
            </w:tcMar>
            <w:vAlign w:val="top"/>
          </w:tcPr>
          <w:p>
            <w:r>
              <w:rPr>
                <w:b/>
                <w:bCs/>
                <w:color w:val="215CAF"/>
                <w:sz w:val="15"/>
                <w:szCs w:val="15"/>
              </w:rPr>
              <w:t xml:space="preserve">E4</w:t>
            </w:r>
          </w:p>
        </w:tc>
        <w:tc>
          <w:tcPr>
            <w:tcW w:type="dxa" w:w="3300"/>
            <w:tcMar>
              <w:top w:type="dxa" w:w="15"/>
              <w:left w:type="dxa" w:w="80"/>
              <w:bottom w:type="dxa" w:w="15"/>
              <w:right w:type="dxa" w:w="80"/>
            </w:tcMar>
            <w:vAlign w:val="top"/>
          </w:tcPr>
          <w:p>
            <w:r>
              <w:rPr>
                <w:sz w:val="15"/>
                <w:szCs w:val="15"/>
              </w:rPr>
              <w:t xml:space="preserve">Embrechts, Schied &amp; Wang (2022)</w:t>
            </w:r>
          </w:p>
        </w:tc>
        <w:tc>
          <w:tcPr>
            <w:tcW w:type="dxa" w:w="3900"/>
            <w:tcMar>
              <w:top w:type="dxa" w:w="15"/>
              <w:left w:type="dxa" w:w="80"/>
              <w:bottom w:type="dxa" w:w="15"/>
              <w:right w:type="dxa" w:w="80"/>
            </w:tcMar>
            <w:vAlign w:val="top"/>
          </w:tcPr>
          <w:p>
            <w:r>
              <w:rPr>
                <w:sz w:val="15"/>
                <w:szCs w:val="15"/>
              </w:rPr>
              <w:t xml:space="preserve">Oper. Res. 2022</w:t>
            </w:r>
          </w:p>
        </w:tc>
        <w:tc>
          <w:tcPr>
            <w:tcW w:type="dxa" w:w="1838"/>
            <w:tcMar>
              <w:top w:type="dxa" w:w="15"/>
              <w:left w:type="dxa" w:w="80"/>
              <w:bottom w:type="dxa" w:w="15"/>
              <w:right w:type="dxa" w:w="80"/>
            </w:tcMar>
            <w:vAlign w:val="top"/>
          </w:tcPr>
          <w:p>
            <w:r>
              <w:rPr>
                <w:b/>
                <w:bCs/>
                <w:color w:val="215CAF"/>
                <w:sz w:val="15"/>
                <w:szCs w:val="15"/>
              </w:rPr>
              <w:t xml:space="preserve">ETH Zürich · Waterloo</w:t>
            </w:r>
          </w:p>
        </w:tc>
      </w:tr>
      <w:tr>
        <w:trPr>
          <w:cantSplit/>
        </w:trPr>
        <w:tc>
          <w:tcPr>
            <w:tcW w:type="dxa" w:w="600"/>
            <w:shd w:fill="F7F9FC" w:color="auto" w:val="clear"/>
            <w:tcMar>
              <w:top w:type="dxa" w:w="15"/>
              <w:left w:type="dxa" w:w="80"/>
              <w:bottom w:type="dxa" w:w="15"/>
              <w:right w:type="dxa" w:w="80"/>
            </w:tcMar>
            <w:vAlign w:val="top"/>
          </w:tcPr>
          <w:p>
            <w:r>
              <w:rPr>
                <w:b/>
                <w:bCs/>
                <w:color w:val="215CAF"/>
                <w:sz w:val="15"/>
                <w:szCs w:val="15"/>
              </w:rPr>
              <w:t xml:space="preserve">E5</w:t>
            </w:r>
          </w:p>
        </w:tc>
        <w:tc>
          <w:tcPr>
            <w:tcW w:type="dxa" w:w="3300"/>
            <w:shd w:fill="F7F9FC" w:color="auto" w:val="clear"/>
            <w:tcMar>
              <w:top w:type="dxa" w:w="15"/>
              <w:left w:type="dxa" w:w="80"/>
              <w:bottom w:type="dxa" w:w="15"/>
              <w:right w:type="dxa" w:w="80"/>
            </w:tcMar>
            <w:vAlign w:val="top"/>
          </w:tcPr>
          <w:p>
            <w:r>
              <w:rPr>
                <w:sz w:val="15"/>
                <w:szCs w:val="15"/>
              </w:rPr>
              <w:t xml:space="preserve">Embrechts, Mao, Wang &amp; Wang (2021)</w:t>
            </w:r>
          </w:p>
        </w:tc>
        <w:tc>
          <w:tcPr>
            <w:tcW w:type="dxa" w:w="3900"/>
            <w:shd w:fill="F7F9FC" w:color="auto" w:val="clear"/>
            <w:tcMar>
              <w:top w:type="dxa" w:w="15"/>
              <w:left w:type="dxa" w:w="80"/>
              <w:bottom w:type="dxa" w:w="15"/>
              <w:right w:type="dxa" w:w="80"/>
            </w:tcMar>
            <w:vAlign w:val="top"/>
          </w:tcPr>
          <w:p>
            <w:r>
              <w:rPr>
                <w:sz w:val="15"/>
                <w:szCs w:val="15"/>
              </w:rPr>
              <w:t xml:space="preserve">Math. Finance 2021</w:t>
            </w:r>
          </w:p>
        </w:tc>
        <w:tc>
          <w:tcPr>
            <w:tcW w:type="dxa" w:w="1838"/>
            <w:shd w:fill="F7F9FC" w:color="auto" w:val="clear"/>
            <w:tcMar>
              <w:top w:type="dxa" w:w="15"/>
              <w:left w:type="dxa" w:w="80"/>
              <w:bottom w:type="dxa" w:w="15"/>
              <w:right w:type="dxa" w:w="80"/>
            </w:tcMar>
            <w:vAlign w:val="top"/>
          </w:tcPr>
          <w:p>
            <w:r>
              <w:rPr>
                <w:b/>
                <w:bCs/>
                <w:color w:val="215CAF"/>
                <w:sz w:val="15"/>
                <w:szCs w:val="15"/>
              </w:rPr>
              <w:t xml:space="preserve">ETH Zürich · Waterloo</w:t>
            </w:r>
          </w:p>
        </w:tc>
      </w:tr>
    </w:tbl>
    <w:p>
      <w:pPr>
        <w:spacing w:after="160"/>
      </w:pPr>
    </w:p>
    <w:p>
      <w:pPr>
        <w:pStyle w:val="Heading1"/>
      </w:pPr>
      <w:r>
        <w:rPr>
          <w:color w:val="002147"/>
        </w:rPr>
        <w:t xml:space="preserve">4. University of Oxford</w:t>
      </w:r>
    </w:p>
    <w:p>
      <w:pPr>
        <w:spacing w:after="120"/>
        <w:jc w:val="both"/>
      </w:pPr>
      <w:r>
        <w:t xml:space="preserve">Five Oxford papers. Rupert Freeman, David Pennock, Dominik Peters and Jennifer Wortman Vaughan aggregate budget proposals truthfully [O1]; Xingjian Bai, Guangyi He, Yifan Jiang and Jan Obłój measure the Wasserstein distributional robustness of neural networks [O2]; Lorenzo Pacchiardi, Rilwan Adewoyin, Peter Dueben and Ritabrata Dutta train probabilistic forecasters by scoring rules [O3]; James and Kathryn Taylor combine probabilistic forecasts of COVID-19 mortality [O4]; and Anna Murgatroyd and Jim Hall select indicators and optimise decision rules for long-term water planning [O5].</w:t>
      </w:r>
    </w:p>
    <w:p>
      <w:pPr>
        <w:keepNext/>
        <w:pBdr>
          <w:top w:val="single" w:color="002147" w:sz="6" w:space="4"/>
        </w:pBdr>
        <w:spacing w:after="60" w:before="220"/>
      </w:pPr>
      <w:r>
        <w:rPr>
          <w:b/>
          <w:bCs/>
          <w:color w:val="002147"/>
          <w:sz w:val="23"/>
          <w:szCs w:val="23"/>
        </w:rPr>
        <w:t xml:space="preserve">O1  </w:t>
      </w:r>
      <w:r>
        <w:rPr>
          <w:b/>
          <w:bCs/>
          <w:color w:val="1F3864"/>
          <w:sz w:val="23"/>
          <w:szCs w:val="23"/>
        </w:rPr>
        <w:t xml:space="preserve">Truthful aggregation of budget proposals</w:t>
      </w:r>
    </w:p>
    <w:p>
      <w:pPr>
        <w:keepNext/>
        <w:spacing w:after="60" w:line="240" w:lineRule="auto"/>
      </w:pPr>
      <w:r>
        <w:rPr>
          <w:b/>
          <w:bCs/>
          <w:color w:val="333B47"/>
          <w:sz w:val="15"/>
          <w:szCs w:val="15"/>
        </w:rPr>
        <w:t xml:space="preserve">Authors: </w:t>
      </w:r>
      <w:r>
        <w:rPr>
          <w:sz w:val="15"/>
          <w:szCs w:val="15"/>
        </w:rPr>
        <w:t xml:space="preserve">Rupert Freeman, David M. Pennock, Dominik Peters, Jennifer Wortman Vaughan</w:t>
      </w:r>
      <w:r>
        <w:rPr>
          <w:sz w:val="15"/>
          <w:szCs w:val="15"/>
        </w:rPr>
        <w:t xml:space="preserve">   </w:t>
      </w:r>
      <w:r>
        <w:rPr>
          <w:b/>
          <w:bCs/>
          <w:color w:val="333B47"/>
          <w:sz w:val="15"/>
          <w:szCs w:val="15"/>
        </w:rPr>
        <w:t xml:space="preserve">Published in: </w:t>
      </w:r>
      <w:r>
        <w:rPr>
          <w:sz w:val="15"/>
          <w:szCs w:val="15"/>
        </w:rPr>
        <w:t xml:space="preserve">Journal of Economic Theory, 193, article 105234 (2021); short version in Proceedings of the 2019 ACM Conference on Economics and Computation (EC '19), 751–752</w:t>
      </w:r>
      <w:r>
        <w:rPr>
          <w:sz w:val="15"/>
          <w:szCs w:val="15"/>
        </w:rPr>
        <w:t xml:space="preserve">   </w:t>
      </w:r>
      <w:r>
        <w:rPr>
          <w:b/>
          <w:bCs/>
          <w:color w:val="333B47"/>
          <w:sz w:val="15"/>
          <w:szCs w:val="15"/>
        </w:rPr>
        <w:t xml:space="preserve">Link: </w:t>
      </w:r>
      <w:hyperlink w:history="1" r:id="rIdrxr42b8scr9pojou7ouil">
        <w:r>
          <w:rPr>
            <w:color w:val="1D4ED8"/>
            <w:sz w:val="15"/>
            <w:szCs w:val="15"/>
            <w:u w:val="single"/>
          </w:rPr>
          <w:t xml:space="preserve">https://doi.org/10.1016/j.jet.2021.105234</w:t>
        </w:r>
      </w:hyperlink>
    </w:p>
    <w:p>
      <w:pPr>
        <w:keepNext/>
        <w:spacing w:after="80" w:line="240" w:lineRule="auto"/>
      </w:pPr>
      <w:r>
        <w:rPr>
          <w:b/>
          <w:bCs/>
          <w:color w:val="333B47"/>
          <w:sz w:val="15"/>
          <w:szCs w:val="15"/>
        </w:rPr>
        <w:t xml:space="preserve">Affiliation: </w:t>
      </w:r>
      <w:r>
        <w:rPr>
          <w:color w:val="3A4350"/>
          <w:sz w:val="15"/>
          <w:szCs w:val="15"/>
        </w:rPr>
        <w:t xml:space="preserve">Dominik Peters was a DPhil student in Computer Science at the University of Oxford (Balliol College, 2015–19, supervised by Edith Elkind) when the work was done and posted (arXiv 1905.00457, May 2019; EC '19): his CV and the Oxford Computer Science pages in the search results. Co-authors' affiliations not verified. The JET DOI was confirmed in a later search (academic database listing).</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Voters propose how to split a divisible budget among projects; a mechanism returns one division. For voters who dislike the </w:t>
      </w:r>
      <m:oMath>
        <m:sSub>
          <m:e>
            <m:r>
              <m:rPr>
                <m:sty m:val="p"/>
              </m:rPr>
              <m:t>ℓ</m:t>
            </m:r>
          </m:e>
          <m:sub>
            <m:r>
              <m:t>1</m:t>
            </m:r>
          </m:sub>
        </m:sSub>
      </m:oMath>
      <w:r>
        <w:rPr>
          <w:sz w:val="17"/>
          <w:szCs w:val="17"/>
        </w:rPr>
        <w:t xml:space="preserve"> distance from the outcome to their proposal, the authors ask whether a rule can be incentive compatible (no voter gains by misreporting) and proportional (if each voter backs one project, the budget follows vote shares). Linking market prices to Moulin's generalised median rules, they build the 'independent markets' mechanism, which has both properties. They define the class of 'moving phantom' mechanisms, prove all of them incentive compatible, and show that the welfare-maximising rule is the unique Pareto-optimal member, so Pareto optimality and proportionality conflict.</w:t>
      </w:r>
    </w:p>
    <w:p>
      <w:pPr>
        <w:keepNext/>
        <w:spacing w:after="20" w:before="40"/>
      </w:pPr>
      <w:r>
        <w:rPr>
          <w:b/>
          <w:bCs/>
          <w:color w:val="002147"/>
          <w:sz w:val="17"/>
          <w:szCs w:val="17"/>
        </w:rPr>
        <w:t xml:space="preserve">Key equation.</w:t>
      </w:r>
      <w:r>
        <w:rPr>
          <w:i/>
          <w:iCs/>
          <w:color w:val="5B6573"/>
          <w:sz w:val="15"/>
          <w:szCs w:val="15"/>
        </w:rPr>
        <w:t xml:space="preserve">  Moving-phantom mechanism: each project receives the median of the reports and of n+1 phantom values that move until the shares sum to one (representative formulation)</w:t>
      </w:r>
    </w:p>
    <w:p>
      <w:pPr>
        <w:pStyle w:val="Equation"/>
      </w:pPr>
      <m:oMathPara>
        <m:oMathParaPr>
          <m:jc m:val="center"/>
        </m:oMathParaPr>
        <m:oMath>
          <m:sSub>
            <m:e>
              <m:acc>
                <m:accPr>
                  <m:chr m:val="̂"/>
                </m:accPr>
                <m:e>
                  <m:r>
                    <m:t>p</m:t>
                  </m:r>
                </m:e>
              </m:acc>
            </m:e>
            <m:sub>
              <m:r>
                <m:t>j</m:t>
              </m:r>
            </m:sub>
          </m:sSub>
          <m:r>
            <m:rPr>
              <m:sty m:val="p"/>
            </m:rPr>
            <m:t>=</m:t>
          </m:r>
          <m:r>
            <m:rPr>
              <m:nor/>
            </m:rPr>
            <m:t>med</m:t>
          </m:r>
          <m:d>
            <m:dPr>
              <m:begChr m:val="("/>
              <m:sepChr m:val=""/>
              <m:endChr m:val=")"/>
              <m:grow/>
            </m:dPr>
            <m:e>
              <m:sSub>
                <m:e>
                  <m:r>
                    <m:t>p</m:t>
                  </m:r>
                </m:e>
                <m:sub>
                  <m:r>
                    <m:t>1</m:t>
                  </m:r>
                  <m:r>
                    <m:rPr>
                      <m:sty m:val="p"/>
                    </m:rPr>
                    <m:t>,</m:t>
                  </m:r>
                  <m:r>
                    <m:t>j</m:t>
                  </m:r>
                </m:sub>
              </m:sSub>
              <m:r>
                <m:rPr>
                  <m:sty m:val="p"/>
                </m:rPr>
                <m:t>,</m:t>
              </m:r>
              <m:r>
                <m:rPr>
                  <m:sty m:val="p"/>
                </m:rPr>
                <m:t>…</m:t>
              </m:r>
              <m:r>
                <m:rPr>
                  <m:sty m:val="p"/>
                </m:rPr>
                <m:t>,</m:t>
              </m:r>
              <m:sSub>
                <m:e>
                  <m:r>
                    <m:t>p</m:t>
                  </m:r>
                </m:e>
                <m:sub>
                  <m:r>
                    <m:t>n</m:t>
                  </m:r>
                  <m:r>
                    <m:rPr>
                      <m:sty m:val="p"/>
                    </m:rPr>
                    <m:t>,</m:t>
                  </m:r>
                  <m:r>
                    <m:t>j</m:t>
                  </m:r>
                </m:sub>
              </m:sSub>
              <m:r>
                <m:rPr>
                  <m:sty m:val="p"/>
                </m:rPr>
                <m:t>,</m:t>
              </m:r>
              <m:sSub>
                <m:e>
                  <m:r>
                    <m:t>f</m:t>
                  </m:r>
                </m:e>
                <m:sub>
                  <m:r>
                    <m:t>0</m:t>
                  </m:r>
                </m:sub>
              </m:sSub>
              <m:d>
                <m:dPr>
                  <m:begChr m:val="("/>
                  <m:sepChr m:val=""/>
                  <m:endChr m:val=")"/>
                  <m:grow/>
                </m:dPr>
                <m:e>
                  <m:sSup>
                    <m:e>
                      <m:r>
                        <m:t>t</m:t>
                      </m:r>
                    </m:e>
                    <m:sup>
                      <m:r>
                        <m:rPr>
                          <m:sty m:val="p"/>
                        </m:rPr>
                        <m:t>⋆</m:t>
                      </m:r>
                    </m:sup>
                  </m:sSup>
                </m:e>
              </m:d>
              <m:r>
                <m:rPr>
                  <m:sty m:val="p"/>
                </m:rPr>
                <m:t>,</m:t>
              </m:r>
              <m:r>
                <m:rPr>
                  <m:sty m:val="p"/>
                </m:rPr>
                <m:t>…</m:t>
              </m:r>
              <m:r>
                <m:rPr>
                  <m:sty m:val="p"/>
                </m:rPr>
                <m:t>,</m:t>
              </m:r>
              <m:sSub>
                <m:e>
                  <m:r>
                    <m:t>f</m:t>
                  </m:r>
                </m:e>
                <m:sub>
                  <m:r>
                    <m:t>n</m:t>
                  </m:r>
                </m:sub>
              </m:sSub>
              <m:d>
                <m:dPr>
                  <m:begChr m:val="("/>
                  <m:sepChr m:val=""/>
                  <m:endChr m:val=")"/>
                  <m:grow/>
                </m:dPr>
                <m:e>
                  <m:sSup>
                    <m:e>
                      <m:r>
                        <m:t>t</m:t>
                      </m:r>
                    </m:e>
                    <m:sup>
                      <m:r>
                        <m:rPr>
                          <m:sty m:val="p"/>
                        </m:rPr>
                        <m:t>⋆</m:t>
                      </m:r>
                    </m:sup>
                  </m:sSup>
                </m:e>
              </m:d>
            </m:e>
          </m:d>
          <m:r>
            <m:rPr>
              <m:sty m:val="p"/>
            </m:rPr>
            <m:t>,</m:t>
          </m:r>
          <m:r>
            <m:t> </m:t>
          </m:r>
          <m:nary>
            <m:naryPr>
              <m:chr m:val="∑"/>
              <m:limLoc m:val="undOvr"/>
              <m:subHide m:val="off"/>
              <m:supHide m:val="off"/>
            </m:naryPr>
            <m:sub>
              <m:r>
                <m:t>j</m:t>
              </m:r>
              <m:r>
                <m:rPr>
                  <m:sty m:val="p"/>
                </m:rPr>
                <m:t>=</m:t>
              </m:r>
              <m:r>
                <m:t>1</m:t>
              </m:r>
            </m:sub>
            <m:sup>
              <m:r>
                <m:t>m</m:t>
              </m:r>
            </m:sup>
            <m:e>
              <m:sSub>
                <m:e>
                  <m:acc>
                    <m:accPr>
                      <m:chr m:val="̂"/>
                    </m:accPr>
                    <m:e>
                      <m:r>
                        <m:t>p</m:t>
                      </m:r>
                    </m:e>
                  </m:acc>
                </m:e>
                <m:sub>
                  <m:r>
                    <m:t>j</m:t>
                  </m:r>
                </m:sub>
              </m:sSub>
            </m:e>
          </m:nary>
          <m:r>
            <m:rPr>
              <m:sty m:val="p"/>
            </m:rPr>
            <m:t>=</m:t>
          </m:r>
          <m:r>
            <m:t>1</m:t>
          </m:r>
        </m:oMath>
      </m:oMathPara>
    </w:p>
    <w:p>
      <w:pPr>
        <w:spacing w:after="60"/>
        <w:jc w:val="both"/>
      </w:pPr>
      <m:oMath>
        <m:sSub>
          <m:e>
            <m:r>
              <m:t>p</m:t>
            </m:r>
          </m:e>
          <m:sub>
            <m:r>
              <m:t>i</m:t>
            </m:r>
            <m:r>
              <m:rPr>
                <m:sty m:val="p"/>
              </m:rPr>
              <m:t>,</m:t>
            </m:r>
            <m:r>
              <m:t>j</m:t>
            </m:r>
          </m:sub>
        </m:sSub>
      </m:oMath>
      <w:r>
        <w:rPr>
          <w:color w:val="3A4350"/>
          <w:sz w:val="15"/>
          <w:szCs w:val="15"/>
        </w:rPr>
        <w:t xml:space="preserve"> is the share voter </w:t>
      </w:r>
      <m:oMath>
        <m:r>
          <m:t>i</m:t>
        </m:r>
      </m:oMath>
      <w:r>
        <w:rPr>
          <w:color w:val="3A4350"/>
          <w:sz w:val="15"/>
          <w:szCs w:val="15"/>
        </w:rPr>
        <w:t xml:space="preserve"> proposes for project </w:t>
      </w:r>
      <m:oMath>
        <m:r>
          <m:t>j</m:t>
        </m:r>
      </m:oMath>
      <w:r>
        <w:rPr>
          <w:color w:val="3A4350"/>
          <w:sz w:val="15"/>
          <w:szCs w:val="15"/>
        </w:rPr>
        <w:t xml:space="preserve">, </w:t>
      </w:r>
      <m:oMath>
        <m:sSub>
          <m:e>
            <m:r>
              <m:t>f</m:t>
            </m:r>
          </m:e>
          <m:sub>
            <m:r>
              <m:t>0</m:t>
            </m:r>
          </m:sub>
        </m:sSub>
        <m:r>
          <m:rPr>
            <m:sty m:val="p"/>
          </m:rPr>
          <m:t>,</m:t>
        </m:r>
        <m:r>
          <m:rPr>
            <m:sty m:val="p"/>
          </m:rPr>
          <m:t>…</m:t>
        </m:r>
        <m:r>
          <m:rPr>
            <m:sty m:val="p"/>
          </m:rPr>
          <m:t>,</m:t>
        </m:r>
        <m:sSub>
          <m:e>
            <m:r>
              <m:t>f</m:t>
            </m:r>
          </m:e>
          <m:sub>
            <m:r>
              <m:t>n</m:t>
            </m:r>
          </m:sub>
        </m:sSub>
      </m:oMath>
      <w:r>
        <w:rPr>
          <w:color w:val="3A4350"/>
          <w:sz w:val="15"/>
          <w:szCs w:val="15"/>
        </w:rPr>
        <w:t xml:space="preserve"> are </w:t>
      </w:r>
      <m:oMath>
        <m:r>
          <m:t>n</m:t>
        </m:r>
        <m:r>
          <m:rPr>
            <m:sty m:val="p"/>
          </m:rPr>
          <m:t>+</m:t>
        </m:r>
        <m:r>
          <m:t>1</m:t>
        </m:r>
      </m:oMath>
      <w:r>
        <w:rPr>
          <w:color w:val="3A4350"/>
          <w:sz w:val="15"/>
          <w:szCs w:val="15"/>
        </w:rPr>
        <w:t xml:space="preserve"> non-decreasing phantom functions of a common parameter </w:t>
      </w:r>
      <m:oMath>
        <m:r>
          <m:t>t</m:t>
        </m:r>
      </m:oMath>
      <w:r>
        <w:rPr>
          <w:color w:val="3A4350"/>
          <w:sz w:val="15"/>
          <w:szCs w:val="15"/>
        </w:rPr>
        <w:t xml:space="preserve">, and </w:t>
      </w:r>
      <m:oMath>
        <m:sSup>
          <m:e>
            <m:r>
              <m:t>t</m:t>
            </m:r>
          </m:e>
          <m:sup>
            <m:r>
              <m:rPr>
                <m:sty m:val="p"/>
              </m:rPr>
              <m:t>⋆</m:t>
            </m:r>
          </m:sup>
        </m:sSup>
      </m:oMath>
      <w:r>
        <w:rPr>
          <w:color w:val="3A4350"/>
          <w:sz w:val="15"/>
          <w:szCs w:val="15"/>
        </w:rPr>
        <w:t xml:space="preserve"> is chosen so that the aggregate shares </w:t>
      </w:r>
      <m:oMath>
        <m:sSub>
          <m:e>
            <m:acc>
              <m:accPr>
                <m:chr m:val="̂"/>
              </m:accPr>
              <m:e>
                <m:r>
                  <m:t>p</m:t>
                </m:r>
              </m:e>
            </m:acc>
          </m:e>
          <m:sub>
            <m:r>
              <m:t>j</m:t>
            </m:r>
          </m:sub>
        </m:sSub>
      </m:oMath>
      <w:r>
        <w:rPr>
          <w:color w:val="3A4350"/>
          <w:sz w:val="15"/>
          <w:szCs w:val="15"/>
        </w:rPr>
        <w:t xml:space="preserve"> of the </w:t>
      </w:r>
      <m:oMath>
        <m:r>
          <m:t>m</m:t>
        </m:r>
      </m:oMath>
      <w:r>
        <w:rPr>
          <w:color w:val="3A4350"/>
          <w:sz w:val="15"/>
          <w:szCs w:val="15"/>
        </w:rPr>
        <w:t xml:space="preserve"> projects sum to one; the independent markets mechanism is one choice of phantoms.</w:t>
      </w:r>
    </w:p>
    <w:p>
      <w:pPr>
        <w:spacing w:after="60"/>
        <w:jc w:val="both"/>
      </w:pPr>
      <w:r>
        <w:rPr>
          <w:b/>
          <w:bCs/>
          <w:color w:val="002147"/>
          <w:sz w:val="17"/>
          <w:szCs w:val="17"/>
        </w:rPr>
        <w:t xml:space="preserve">Link to the Fushë-Kuqe stakeholders. </w:t>
      </w:r>
      <w:r>
        <w:rPr>
          <w:sz w:val="17"/>
          <w:szCs w:val="17"/>
        </w:rPr>
        <w:t xml:space="preserve">Belongs to theme 4. Each Fushë-Kuqe stakeholder could propose how a fixed total, such as an abstraction cap or the recharge capacity, is split among A1, P10, irrigators, hotels and the three recharge sites. A moving-phantom rule gives nobody a reason to exaggerate a proposal to pull the result their way, answering the fear of strategic pessimism or optimism.</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answers a basic question of participatory budgeting sharply: truthful reporting and proportional outcomes are compatible, but within this large class not together with Pareto optimality. Published in the Journal of Economic Theory (2021) after an EC '19 version; later papers on proportional and discrete budget aggregation start from its moving-phantom class.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Proposals express deterministic preferences over a known budget. It is open how to keep truthfulness when the budget itself is uncertain, such as a safe abstraction total that depends on the disputed mixing-zone width, and the outcome must also pass every stakeholder's chloride-risk test.</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family of incentive-compatible budget rules built from generalised medians with moving phantoms, a proportional member, and welfare maximisation as its only Pareto-optimal member. Proposed extension: let each stakeholder propose shares of an abstraction cap among A1, P10, irrigators and hotels, aggregate them by the independent markets rule, and check with the 20 000 weighted draws whether the result passes the unanimous 10% chloride rule.</w:t>
      </w:r>
    </w:p>
    <w:p>
      <w:pPr>
        <w:keepNext/>
        <w:pBdr>
          <w:top w:val="single" w:color="002147" w:sz="6" w:space="4"/>
        </w:pBdr>
        <w:spacing w:after="60" w:before="220"/>
      </w:pPr>
      <w:r>
        <w:rPr>
          <w:b/>
          <w:bCs/>
          <w:color w:val="002147"/>
          <w:sz w:val="23"/>
          <w:szCs w:val="23"/>
        </w:rPr>
        <w:t xml:space="preserve">O2  </w:t>
      </w:r>
      <w:r>
        <w:rPr>
          <w:b/>
          <w:bCs/>
          <w:color w:val="1F3864"/>
          <w:sz w:val="23"/>
          <w:szCs w:val="23"/>
        </w:rPr>
        <w:t xml:space="preserve">Wasserstein distributional robustness of neural networks</w:t>
      </w:r>
    </w:p>
    <w:p>
      <w:pPr>
        <w:keepNext/>
        <w:spacing w:after="60" w:line="240" w:lineRule="auto"/>
      </w:pPr>
      <w:r>
        <w:rPr>
          <w:b/>
          <w:bCs/>
          <w:color w:val="333B47"/>
          <w:sz w:val="15"/>
          <w:szCs w:val="15"/>
        </w:rPr>
        <w:t xml:space="preserve">Authors: </w:t>
      </w:r>
      <w:r>
        <w:rPr>
          <w:sz w:val="15"/>
          <w:szCs w:val="15"/>
        </w:rPr>
        <w:t xml:space="preserve">Xingjian Bai, Guangyi He, Yifan Jiang, Jan Obłój</w:t>
      </w:r>
      <w:r>
        <w:rPr>
          <w:sz w:val="15"/>
          <w:szCs w:val="15"/>
        </w:rPr>
        <w:t xml:space="preserve">   </w:t>
      </w:r>
      <w:r>
        <w:rPr>
          <w:b/>
          <w:bCs/>
          <w:color w:val="333B47"/>
          <w:sz w:val="15"/>
          <w:szCs w:val="15"/>
        </w:rPr>
        <w:t xml:space="preserve">Published in: </w:t>
      </w:r>
      <w:r>
        <w:rPr>
          <w:sz w:val="15"/>
          <w:szCs w:val="15"/>
        </w:rPr>
        <w:t xml:space="preserve">Advances in Neural Information Processing Systems, NeurIPS 2023 (37th Conference on Neural Information Processing Systems), poster; volume and pages not verified</w:t>
      </w:r>
      <w:r>
        <w:rPr>
          <w:sz w:val="15"/>
          <w:szCs w:val="15"/>
        </w:rPr>
        <w:t xml:space="preserve">   </w:t>
      </w:r>
      <w:r>
        <w:rPr>
          <w:b/>
          <w:bCs/>
          <w:color w:val="333B47"/>
          <w:sz w:val="15"/>
          <w:szCs w:val="15"/>
        </w:rPr>
        <w:t xml:space="preserve">Link: </w:t>
      </w:r>
      <w:hyperlink w:history="1" r:id="rIdou4yhiqubyeymukvbacj2">
        <w:r>
          <w:rPr>
            <w:color w:val="1D4ED8"/>
            <w:sz w:val="15"/>
            <w:szCs w:val="15"/>
            <w:u w:val="single"/>
          </w:rPr>
          <w:t xml:space="preserve">https://neurips.cc/virtual/2023/poster/71998</w:t>
        </w:r>
      </w:hyperlink>
    </w:p>
    <w:p>
      <w:pPr>
        <w:keepNext/>
        <w:spacing w:after="80" w:line="240" w:lineRule="auto"/>
      </w:pPr>
      <w:r>
        <w:rPr>
          <w:b/>
          <w:bCs/>
          <w:color w:val="333B47"/>
          <w:sz w:val="15"/>
          <w:szCs w:val="15"/>
        </w:rPr>
        <w:t xml:space="preserve">Affiliation: </w:t>
      </w:r>
      <w:r>
        <w:rPr>
          <w:color w:val="3A4350"/>
          <w:sz w:val="15"/>
          <w:szCs w:val="15"/>
        </w:rPr>
        <w:t xml:space="preserve">All four authors, University of Oxford: the Oxford Research Archive copy of the paper lists them at Oxford (search result). Jan Obłój is in the Mathematical Institute; Yifan Jiang was a DPhil student supervised by Obłój (his Oxford CV in a search result).</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Adversarial attacks usually perturb every input by at most a fixed amount. The authors replace this pointwise threat by a distributional one: the attacker may move the whole data distribution within a Wasserstein ball, perturbing some inputs much more than others. Re-casting the problem as Wasserstein distributionally robust optimisation and using recent first-order sensitivity results for such problems, they derive a first-order attack and a multistep version that contain the classical FGSM and PGD attacks as special cases. They also give a new asymptotic estimate of the accuracy a network keeps under distributional attacks as the radius shrinks, and test it on CIFAR-10 networks from RobustBench.</w:t>
      </w:r>
    </w:p>
    <w:p>
      <w:pPr>
        <w:keepNext/>
        <w:spacing w:after="20" w:before="40"/>
      </w:pPr>
      <w:r>
        <w:rPr>
          <w:b/>
          <w:bCs/>
          <w:color w:val="002147"/>
          <w:sz w:val="17"/>
          <w:szCs w:val="17"/>
        </w:rPr>
        <w:t xml:space="preserve">Key equation.</w:t>
      </w:r>
      <w:r>
        <w:rPr>
          <w:i/>
          <w:iCs/>
          <w:color w:val="5B6573"/>
          <w:sz w:val="15"/>
          <w:szCs w:val="15"/>
        </w:rPr>
        <w:t xml:space="preserve">  First-order expansion of the worst-case loss over a Wasserstein ball, the sensitivity result the paper builds on (representative formulation)</w:t>
      </w:r>
    </w:p>
    <w:p>
      <w:pPr>
        <w:pStyle w:val="Equation"/>
      </w:pPr>
      <m:oMathPara>
        <m:oMathParaPr>
          <m:jc m:val="center"/>
        </m:oMathParaPr>
        <m:oMath>
          <m:limLow>
            <m:e>
              <m:r>
                <m:rPr>
                  <m:sty m:val="p"/>
                </m:rPr>
                <m:t>max</m:t>
              </m:r>
            </m:e>
            <m:lim>
              <m:r>
                <m:t>Q</m:t>
              </m:r>
              <m:r>
                <m:rPr>
                  <m:sty m:val="p"/>
                </m:rPr>
                <m:t>:</m:t>
              </m:r>
              <m:r>
                <m:t> </m:t>
              </m:r>
              <m:sSub>
                <m:e>
                  <m:r>
                    <m:t>W</m:t>
                  </m:r>
                </m:e>
                <m:sub>
                  <m:r>
                    <m:t>p</m:t>
                  </m:r>
                </m:sub>
              </m:sSub>
              <m:d>
                <m:dPr>
                  <m:begChr m:val="("/>
                  <m:sepChr m:val=""/>
                  <m:endChr m:val=")"/>
                  <m:grow/>
                </m:dPr>
                <m:e>
                  <m:r>
                    <m:t>Q</m:t>
                  </m:r>
                  <m:r>
                    <m:rPr>
                      <m:sty m:val="p"/>
                    </m:rPr>
                    <m:t>,</m:t>
                  </m:r>
                  <m:r>
                    <m:t>P</m:t>
                  </m:r>
                </m:e>
              </m:d>
              <m:r>
                <m:rPr>
                  <m:sty m:val="p"/>
                </m:rPr>
                <m:t>≤</m:t>
              </m:r>
              <m:r>
                <m:t>δ</m:t>
              </m:r>
            </m:lim>
          </m:limLow>
          <m:sSub>
            <m:e>
              <m:r>
                <m:rPr>
                  <m:scr m:val="double-struck"/>
                  <m:sty m:val="p"/>
                </m:rPr>
                <m:t>E</m:t>
              </m:r>
            </m:e>
            <m:sub>
              <m:r>
                <m:t>Q</m:t>
              </m:r>
            </m:sub>
          </m:sSub>
          <m:d>
            <m:dPr>
              <m:begChr m:val="["/>
              <m:sepChr m:val=""/>
              <m:endChr m:val="]"/>
              <m:grow/>
            </m:dPr>
            <m:e>
              <m:r>
                <m:t>J</m:t>
              </m:r>
              <m:d>
                <m:dPr>
                  <m:begChr m:val="("/>
                  <m:sepChr m:val=""/>
                  <m:endChr m:val=")"/>
                  <m:grow/>
                </m:dPr>
                <m:e>
                  <m:r>
                    <m:t>x</m:t>
                  </m:r>
                </m:e>
              </m:d>
            </m:e>
          </m:d>
          <m:r>
            <m:rPr>
              <m:sty m:val="p"/>
            </m:rPr>
            <m:t>=</m:t>
          </m:r>
          <m:sSub>
            <m:e>
              <m:r>
                <m:rPr>
                  <m:scr m:val="double-struck"/>
                  <m:sty m:val="p"/>
                </m:rPr>
                <m:t>E</m:t>
              </m:r>
            </m:e>
            <m:sub>
              <m:r>
                <m:t>P</m:t>
              </m:r>
            </m:sub>
          </m:sSub>
          <m:d>
            <m:dPr>
              <m:begChr m:val="["/>
              <m:sepChr m:val=""/>
              <m:endChr m:val="]"/>
              <m:grow/>
            </m:dPr>
            <m:e>
              <m:r>
                <m:t>J</m:t>
              </m:r>
              <m:d>
                <m:dPr>
                  <m:begChr m:val="("/>
                  <m:sepChr m:val=""/>
                  <m:endChr m:val=")"/>
                  <m:grow/>
                </m:dPr>
                <m:e>
                  <m:r>
                    <m:t>x</m:t>
                  </m:r>
                </m:e>
              </m:d>
            </m:e>
          </m:d>
          <m:r>
            <m:rPr>
              <m:sty m:val="p"/>
            </m:rPr>
            <m:t>+</m:t>
          </m:r>
          <m:r>
            <m:t>δ</m:t>
          </m:r>
          <m:sSup>
            <m:e>
              <m:d>
                <m:dPr>
                  <m:begChr m:val="("/>
                  <m:sepChr m:val=""/>
                  <m:endChr m:val=")"/>
                  <m:grow/>
                </m:dPr>
                <m:e>
                  <m:sSub>
                    <m:e>
                      <m:r>
                        <m:rPr>
                          <m:scr m:val="double-struck"/>
                          <m:sty m:val="p"/>
                        </m:rPr>
                        <m:t>E</m:t>
                      </m:r>
                    </m:e>
                    <m:sub>
                      <m:r>
                        <m:t>P</m:t>
                      </m:r>
                    </m:sub>
                  </m:sSub>
                  <m:d>
                    <m:dPr>
                      <m:begChr m:val="["/>
                      <m:sepChr m:val=""/>
                      <m:endChr m:val="]"/>
                      <m:grow/>
                    </m:dPr>
                    <m:e>
                      <m:sSubSup>
                        <m:e>
                          <m:d>
                            <m:dPr>
                              <m:begChr m:val="∥"/>
                              <m:sepChr m:val=""/>
                              <m:endChr m:val="∥"/>
                              <m:grow/>
                            </m:dPr>
                            <m:e>
                              <m:sSub>
                                <m:e>
                                  <m:r>
                                    <m:rPr>
                                      <m:sty m:val="p"/>
                                    </m:rPr>
                                    <m:t>∇</m:t>
                                  </m:r>
                                </m:e>
                                <m:sub>
                                  <m:r>
                                    <m:t>x</m:t>
                                  </m:r>
                                </m:sub>
                              </m:sSub>
                              <m:r>
                                <m:t>J</m:t>
                              </m:r>
                              <m:d>
                                <m:dPr>
                                  <m:begChr m:val="("/>
                                  <m:sepChr m:val=""/>
                                  <m:endChr m:val=")"/>
                                  <m:grow/>
                                </m:dPr>
                                <m:e>
                                  <m:r>
                                    <m:t>x</m:t>
                                  </m:r>
                                </m:e>
                              </m:d>
                            </m:e>
                          </m:d>
                        </m:e>
                        <m:sub>
                          <m:r>
                            <m:rPr>
                              <m:sty m:val="p"/>
                            </m:rPr>
                            <m:t>⋆</m:t>
                          </m:r>
                        </m:sub>
                        <m:sup>
                          <m:r>
                            <m:t>q</m:t>
                          </m:r>
                        </m:sup>
                      </m:sSubSup>
                    </m:e>
                  </m:d>
                </m:e>
              </m:d>
            </m:e>
            <m:sup>
              <m:r>
                <m:t>1</m:t>
              </m:r>
              <m:r>
                <m:rPr>
                  <m:sty m:val="p"/>
                </m:rPr>
                <m:t>/</m:t>
              </m:r>
              <m:r>
                <m:t>q</m:t>
              </m:r>
            </m:sup>
          </m:sSup>
          <m:r>
            <m:rPr>
              <m:sty m:val="p"/>
            </m:rPr>
            <m:t>+</m:t>
          </m:r>
          <m:r>
            <m:t>o</m:t>
          </m:r>
          <m:d>
            <m:dPr>
              <m:begChr m:val="("/>
              <m:sepChr m:val=""/>
              <m:endChr m:val=")"/>
              <m:grow/>
            </m:dPr>
            <m:e>
              <m:r>
                <m:t>δ</m:t>
              </m:r>
            </m:e>
          </m:d>
        </m:oMath>
      </m:oMathPara>
    </w:p>
    <w:p>
      <w:pPr>
        <w:spacing w:after="60"/>
        <w:jc w:val="both"/>
      </w:pPr>
      <m:oMath>
        <m:r>
          <m:t>P</m:t>
        </m:r>
      </m:oMath>
      <w:r>
        <w:rPr>
          <w:color w:val="3A4350"/>
          <w:sz w:val="15"/>
          <w:szCs w:val="15"/>
        </w:rPr>
        <w:t xml:space="preserve"> is the data (here, calibrated) distribution, </w:t>
      </w:r>
      <m:oMath>
        <m:r>
          <m:t>Q</m:t>
        </m:r>
      </m:oMath>
      <w:r>
        <w:rPr>
          <w:color w:val="3A4350"/>
          <w:sz w:val="15"/>
          <w:szCs w:val="15"/>
        </w:rPr>
        <w:t xml:space="preserve"> any distribution within Wasserstein-</w:t>
      </w:r>
      <m:oMath>
        <m:r>
          <m:t>p</m:t>
        </m:r>
      </m:oMath>
      <w:r>
        <w:rPr>
          <w:color w:val="3A4350"/>
          <w:sz w:val="15"/>
          <w:szCs w:val="15"/>
        </w:rPr>
        <w:t xml:space="preserve"> distance </w:t>
      </w:r>
      <m:oMath>
        <m:r>
          <m:t>δ</m:t>
        </m:r>
      </m:oMath>
      <w:r>
        <w:rPr>
          <w:color w:val="3A4350"/>
          <w:sz w:val="15"/>
          <w:szCs w:val="15"/>
        </w:rPr>
        <w:t xml:space="preserve"> of it, </w:t>
      </w:r>
      <m:oMath>
        <m:r>
          <m:t>J</m:t>
        </m:r>
      </m:oMath>
      <w:r>
        <w:rPr>
          <w:color w:val="3A4350"/>
          <w:sz w:val="15"/>
          <w:szCs w:val="15"/>
        </w:rPr>
        <w:t xml:space="preserve"> the loss, </w:t>
      </w:r>
      <m:oMath>
        <m:r>
          <m:rPr>
            <m:sty m:val="p"/>
          </m:rPr>
          <m:t>∥</m:t>
        </m:r>
        <m:r>
          <m:rPr>
            <m:sty m:val="p"/>
          </m:rPr>
          <m:t>⋅</m:t>
        </m:r>
        <m:sSub>
          <m:e>
            <m:r>
              <m:rPr>
                <m:sty m:val="p"/>
              </m:rPr>
              <m:t>∥</m:t>
            </m:r>
          </m:e>
          <m:sub>
            <m:r>
              <m:rPr>
                <m:sty m:val="p"/>
              </m:rPr>
              <m:t>⋆</m:t>
            </m:r>
          </m:sub>
        </m:sSub>
      </m:oMath>
      <w:r>
        <w:rPr>
          <w:color w:val="3A4350"/>
          <w:sz w:val="15"/>
          <w:szCs w:val="15"/>
        </w:rPr>
        <w:t xml:space="preserve"> the dual norm and </w:t>
      </w:r>
      <m:oMath>
        <m:r>
          <m:t>1</m:t>
        </m:r>
        <m:r>
          <m:rPr>
            <m:sty m:val="p"/>
          </m:rPr>
          <m:t>/</m:t>
        </m:r>
        <m:r>
          <m:t>p</m:t>
        </m:r>
        <m:r>
          <m:rPr>
            <m:sty m:val="p"/>
          </m:rPr>
          <m:t>+</m:t>
        </m:r>
        <m:r>
          <m:t>1</m:t>
        </m:r>
        <m:r>
          <m:rPr>
            <m:sty m:val="p"/>
          </m:rPr>
          <m:t>/</m:t>
        </m:r>
        <m:r>
          <m:t>q</m:t>
        </m:r>
        <m:r>
          <m:rPr>
            <m:sty m:val="p"/>
          </m:rPr>
          <m:t>=</m:t>
        </m:r>
        <m:r>
          <m:t>1</m:t>
        </m:r>
      </m:oMath>
      <w:r>
        <w:rPr>
          <w:color w:val="3A4350"/>
          <w:sz w:val="15"/>
          <w:szCs w:val="15"/>
        </w:rPr>
        <w:t xml:space="preserve">; the second term is the first-order price of the radius </w:t>
      </w:r>
      <m:oMath>
        <m:r>
          <m:t>δ</m:t>
        </m:r>
      </m:oMath>
      <w:r>
        <w:rPr>
          <w:color w:val="3A4350"/>
          <w:sz w:val="15"/>
          <w:szCs w:val="15"/>
        </w:rPr>
        <w:t xml:space="preserve">.</w:t>
      </w:r>
    </w:p>
    <w:p>
      <w:pPr>
        <w:spacing w:after="60"/>
        <w:jc w:val="both"/>
      </w:pPr>
      <w:r>
        <w:rPr>
          <w:b/>
          <w:bCs/>
          <w:color w:val="002147"/>
          <w:sz w:val="17"/>
          <w:szCs w:val="17"/>
        </w:rPr>
        <w:t xml:space="preserve">Link to the Fushë-Kuqe stakeholders. </w:t>
      </w:r>
      <w:r>
        <w:rPr>
          <w:sz w:val="17"/>
          <w:szCs w:val="17"/>
        </w:rPr>
        <w:t xml:space="preserve">Belongs to theme 2. At Fushë-Kuqe </w:t>
      </w:r>
      <m:oMath>
        <m:r>
          <m:t>P</m:t>
        </m:r>
      </m:oMath>
      <w:r>
        <w:rPr>
          <w:sz w:val="17"/>
          <w:szCs w:val="17"/>
        </w:rPr>
        <w:t xml:space="preserve"> is the calibrated ensemble of 20 000 weighted draws and the ball holds every belief within distance </w:t>
      </w:r>
      <m:oMath>
        <m:r>
          <m:t>δ</m:t>
        </m:r>
      </m:oMath>
      <w:r>
        <w:rPr>
          <w:sz w:val="17"/>
          <w:szCs w:val="17"/>
        </w:rPr>
        <w:t xml:space="preserve"> in mixing-zone width and recharge. The expansion shows how fast the worst-case risk at A1 or P10 grows with </w:t>
      </w:r>
      <m:oMath>
        <m:r>
          <m:t>δ</m:t>
        </m:r>
      </m:oMath>
      <w:r>
        <w:rPr>
          <w:sz w:val="17"/>
          <w:szCs w:val="17"/>
        </w:rPr>
        <w:t xml:space="preserve">, so a radius protecting beliefs nobody has stated can be priced before adoption.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sensitivity theory of Wasserstein robustness developed in Obłój's group into working attacks and accuracy estimates for deep networks, and shows that the classical pointwise attacks are special cases of a distributional view. Published at NeurIPS 2023; a 2025 follow-up by the same authors extends it to adversarial training.</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estimate is local, for small radii, and assumes a smooth loss. It is open how accurate it is for the probability of exceeding 250 mg/L, a discontinuous loss, and at the moderate radii needed to cover stakeholders who disagree.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distributional threat model that nests pointwise attacks, first-order attacks derived from Wasserstein sensitivity, and an asymptotic estimate of robust accuracy. Proposed extension: replace the network by a chloride emulator, let </w:t>
      </w:r>
      <m:oMath>
        <m:r>
          <m:t>J</m:t>
        </m:r>
      </m:oMath>
      <w:r>
        <w:rPr>
          <w:sz w:val="17"/>
          <w:szCs w:val="17"/>
        </w:rPr>
        <w:t xml:space="preserve"> be a smoothed indicator of exceeding 250 mg/L at A1 or P10, compute the first-order worst-case risk of each pumping and recharge option over a grid of radii, and compare it with the exact worst-case reweighting of the 20 000 draws.</w:t>
      </w:r>
    </w:p>
    <w:p>
      <w:pPr>
        <w:keepNext/>
        <w:pBdr>
          <w:top w:val="single" w:color="002147" w:sz="6" w:space="4"/>
        </w:pBdr>
        <w:spacing w:after="60" w:before="220"/>
      </w:pPr>
      <w:r>
        <w:rPr>
          <w:b/>
          <w:bCs/>
          <w:color w:val="002147"/>
          <w:sz w:val="23"/>
          <w:szCs w:val="23"/>
        </w:rPr>
        <w:t xml:space="preserve">O3  </w:t>
      </w:r>
      <w:r>
        <w:rPr>
          <w:b/>
          <w:bCs/>
          <w:color w:val="1F3864"/>
          <w:sz w:val="23"/>
          <w:szCs w:val="23"/>
        </w:rPr>
        <w:t xml:space="preserve">Probabilistic forecasting with generative networks via scoring rule minimization</w:t>
      </w:r>
    </w:p>
    <w:p>
      <w:pPr>
        <w:keepNext/>
        <w:spacing w:after="60" w:line="240" w:lineRule="auto"/>
      </w:pPr>
      <w:r>
        <w:rPr>
          <w:b/>
          <w:bCs/>
          <w:color w:val="333B47"/>
          <w:sz w:val="15"/>
          <w:szCs w:val="15"/>
        </w:rPr>
        <w:t xml:space="preserve">Authors: </w:t>
      </w:r>
      <w:r>
        <w:rPr>
          <w:sz w:val="15"/>
          <w:szCs w:val="15"/>
        </w:rPr>
        <w:t xml:space="preserve">Lorenzo Pacchiardi, Rilwan Adewoyin, Peter Dueben, Ritabrata Dutta</w:t>
      </w:r>
      <w:r>
        <w:rPr>
          <w:sz w:val="15"/>
          <w:szCs w:val="15"/>
        </w:rPr>
        <w:t xml:space="preserve">   </w:t>
      </w:r>
      <w:r>
        <w:rPr>
          <w:b/>
          <w:bCs/>
          <w:color w:val="333B47"/>
          <w:sz w:val="15"/>
          <w:szCs w:val="15"/>
        </w:rPr>
        <w:t xml:space="preserve">Published in: </w:t>
      </w:r>
      <w:r>
        <w:rPr>
          <w:sz w:val="15"/>
          <w:szCs w:val="15"/>
        </w:rPr>
        <w:t xml:space="preserve">Journal of Machine Learning Research, 25(45), 1–64 (2024)</w:t>
      </w:r>
      <w:r>
        <w:rPr>
          <w:sz w:val="15"/>
          <w:szCs w:val="15"/>
        </w:rPr>
        <w:t xml:space="preserve">   </w:t>
      </w:r>
      <w:r>
        <w:rPr>
          <w:b/>
          <w:bCs/>
          <w:color w:val="333B47"/>
          <w:sz w:val="15"/>
          <w:szCs w:val="15"/>
        </w:rPr>
        <w:t xml:space="preserve">Link: </w:t>
      </w:r>
      <w:hyperlink w:history="1" r:id="rIdvxahyo07teh4fnosndtd1">
        <w:r>
          <w:rPr>
            <w:color w:val="1D4ED8"/>
            <w:sz w:val="15"/>
            <w:szCs w:val="15"/>
            <w:u w:val="single"/>
          </w:rPr>
          <w:t xml:space="preserve">https://jmlr.org/papers/v25/23-0038.html</w:t>
        </w:r>
      </w:hyperlink>
    </w:p>
    <w:p>
      <w:pPr>
        <w:keepNext/>
        <w:spacing w:after="80" w:line="240" w:lineRule="auto"/>
      </w:pPr>
      <w:r>
        <w:rPr>
          <w:b/>
          <w:bCs/>
          <w:color w:val="333B47"/>
          <w:sz w:val="15"/>
          <w:szCs w:val="15"/>
        </w:rPr>
        <w:t xml:space="preserve">Affiliation: </w:t>
      </w:r>
      <w:r>
        <w:rPr>
          <w:color w:val="3A4350"/>
          <w:sz w:val="15"/>
          <w:szCs w:val="15"/>
        </w:rPr>
        <w:t xml:space="preserve">Lorenzo Pacchiardi, University of Oxford: the arXiv preprint 2112.08217 (first posted December 2021) lists him at Oxford, Adewoyin and Dutta at the University of Warwick and Dueben at ECMWF (search result); the JMLR page gives names only.</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(3/5)</w:t>
      </w:r>
    </w:p>
    <w:p>
      <w:pPr>
        <w:spacing w:after="60"/>
        <w:jc w:val="both"/>
      </w:pPr>
      <w:r>
        <w:rPr>
          <w:b/>
          <w:bCs/>
          <w:color w:val="002147"/>
          <w:sz w:val="17"/>
          <w:szCs w:val="17"/>
        </w:rPr>
        <w:t xml:space="preserve">Summary. </w:t>
      </w:r>
      <w:r>
        <w:rPr>
          <w:sz w:val="17"/>
          <w:szCs w:val="17"/>
        </w:rPr>
        <w:t xml:space="preserve">Generative networks can issue probabilistic forecasts by producing samples, but they are usually trained adversarially, which needs cumbersome tuning and tends to underestimate uncertainty. The authors instead train them by minimising a prequential (predictive-sequential) scoring rule computed along a recorded time series: each forecast distribution is scored against the observation that follows it. Scores such as the energy score need only samples, not a likelihood. They prove that the minimiser of this objective is consistent with dependent data, whereas adversarial training assumes independence, and show on two chaotic dynamical models and a global weather benchmark that the forecasts are better calibrated and need less tuning.</w:t>
      </w:r>
    </w:p>
    <w:p>
      <w:pPr>
        <w:keepNext/>
        <w:spacing w:after="20" w:before="40"/>
      </w:pPr>
      <w:r>
        <w:rPr>
          <w:b/>
          <w:bCs/>
          <w:color w:val="002147"/>
          <w:sz w:val="17"/>
          <w:szCs w:val="17"/>
        </w:rPr>
        <w:t xml:space="preserve">Key equation.</w:t>
      </w:r>
      <w:r>
        <w:rPr>
          <w:i/>
          <w:iCs/>
          <w:color w:val="5B6573"/>
          <w:sz w:val="15"/>
          <w:szCs w:val="15"/>
        </w:rPr>
        <w:t xml:space="preserve">  Prequential scoring-rule objective with the energy score (representative formulation)</w:t>
      </w:r>
    </w:p>
    <w:p>
      <w:pPr>
        <w:pStyle w:val="Equation"/>
      </w:pPr>
      <m:oMathPara>
        <m:oMathParaPr>
          <m:jc m:val="center"/>
        </m:oMathParaPr>
        <m:oMath>
          <m:acc>
            <m:accPr>
              <m:chr m:val="̂"/>
            </m:accPr>
            <m:e>
              <m:r>
                <m:t>ϕ</m:t>
              </m:r>
            </m:e>
          </m:acc>
          <m:r>
            <m:rPr>
              <m:sty m:val="p"/>
            </m:rPr>
            <m:t>=</m:t>
          </m:r>
          <m:r>
            <m:rPr>
              <m:sty m:val="p"/>
            </m:rPr>
            <m:t>arg</m:t>
          </m:r>
          <m:limLow>
            <m:e>
              <m:r>
                <m:rPr>
                  <m:sty m:val="p"/>
                </m:rPr>
                <m:t>min</m:t>
              </m:r>
            </m:e>
            <m:lim>
              <m:r>
                <m:t>ϕ</m:t>
              </m:r>
            </m:lim>
          </m:limLow>
          <m:nary>
            <m:naryPr>
              <m:chr m:val="∑"/>
              <m:limLoc m:val="undOvr"/>
              <m:subHide m:val="off"/>
              <m:supHide m:val="off"/>
            </m:naryPr>
            <m:sub>
              <m:r>
                <m:t>t</m:t>
              </m:r>
              <m:r>
                <m:rPr>
                  <m:sty m:val="p"/>
                </m:rPr>
                <m:t>=</m:t>
              </m:r>
              <m:r>
                <m:t>k</m:t>
              </m:r>
            </m:sub>
            <m:sup>
              <m:r>
                <m:t>T</m:t>
              </m:r>
              <m:r>
                <m:rPr>
                  <m:sty m:val="p"/>
                </m:rPr>
                <m:t>−</m:t>
              </m:r>
              <m:r>
                <m:t>l</m:t>
              </m:r>
            </m:sup>
            <m:e>
              <m:r>
                <m:t>S</m:t>
              </m:r>
            </m:e>
          </m:nary>
          <m:d>
            <m:dPr>
              <m:begChr m:val="("/>
              <m:sepChr m:val=""/>
              <m:endChr m:val=")"/>
              <m:grow/>
            </m:dPr>
            <m:e>
              <m:sSub>
                <m:e>
                  <m:r>
                    <m:t>P</m:t>
                  </m:r>
                </m:e>
                <m:sub>
                  <m:r>
                    <m:t>ϕ</m:t>
                  </m:r>
                </m:sub>
              </m:sSub>
              <m:d>
                <m:dPr>
                  <m:begChr m:val="("/>
                  <m:sepChr m:val=""/>
                  <m:endChr m:val=")"/>
                  <m:grow/>
                </m:dPr>
                <m:e>
                  <m:r>
                    <m:rPr>
                      <m:sty m:val="p"/>
                    </m:rPr>
                    <m:t>⋅</m:t>
                  </m:r>
                  <m:r>
                    <m:rPr>
                      <m:sty m:val="p"/>
                    </m:rPr>
                    <m:t>∣</m:t>
                  </m:r>
                  <m:sSub>
                    <m:e>
                      <m:r>
                        <m:t>y</m:t>
                      </m:r>
                    </m:e>
                    <m:sub>
                      <m:r>
                        <m:t>t</m:t>
                      </m:r>
                      <m:r>
                        <m:rPr>
                          <m:sty m:val="p"/>
                        </m:rPr>
                        <m:t>−</m:t>
                      </m:r>
                      <m:r>
                        <m:t>k</m:t>
                      </m:r>
                      <m:r>
                        <m:rPr>
                          <m:sty m:val="p"/>
                        </m:rPr>
                        <m:t>+</m:t>
                      </m:r>
                      <m:r>
                        <m:t>1</m:t>
                      </m:r>
                      <m:r>
                        <m:rPr>
                          <m:sty m:val="p"/>
                        </m:rPr>
                        <m:t>:</m:t>
                      </m:r>
                      <m:r>
                        <m:t>t</m:t>
                      </m:r>
                    </m:sub>
                  </m:sSub>
                </m:e>
              </m:d>
              <m:r>
                <m:rPr>
                  <m:sty m:val="p"/>
                </m:rPr>
                <m:t>,</m:t>
              </m:r>
              <m:sSub>
                <m:e>
                  <m:r>
                    <m:t>y</m:t>
                  </m:r>
                </m:e>
                <m:sub>
                  <m:r>
                    <m:t>t</m:t>
                  </m:r>
                  <m:r>
                    <m:rPr>
                      <m:sty m:val="p"/>
                    </m:rPr>
                    <m:t>+</m:t>
                  </m:r>
                  <m:r>
                    <m:t>l</m:t>
                  </m:r>
                </m:sub>
              </m:sSub>
            </m:e>
          </m:d>
          <m:r>
            <m:rPr>
              <m:sty m:val="p"/>
            </m:rPr>
            <m:t>,</m:t>
          </m:r>
          <m:r>
            <m:t> </m:t>
          </m:r>
          <m:sSub>
            <m:e>
              <m:r>
                <m:t>S</m:t>
              </m:r>
            </m:e>
            <m:sub>
              <m:r>
                <m:t>E</m:t>
              </m:r>
            </m:sub>
          </m:sSub>
          <m:d>
            <m:dPr>
              <m:begChr m:val="("/>
              <m:sepChr m:val=""/>
              <m:endChr m:val=")"/>
              <m:grow/>
            </m:dPr>
            <m:e>
              <m:r>
                <m:t>P</m:t>
              </m:r>
              <m:r>
                <m:rPr>
                  <m:sty m:val="p"/>
                </m:rPr>
                <m:t>,</m:t>
              </m:r>
              <m:r>
                <m:t>y</m:t>
              </m:r>
            </m:e>
          </m:d>
          <m:r>
            <m:rPr>
              <m:sty m:val="p"/>
            </m:rPr>
            <m:t>=</m:t>
          </m:r>
          <m:r>
            <m:t>2</m:t>
          </m:r>
          <m:r>
            <m:t> </m:t>
          </m:r>
          <m:r>
            <m:rPr>
              <m:scr m:val="double-struck"/>
              <m:sty m:val="p"/>
            </m:rPr>
            <m:t>E</m:t>
          </m:r>
          <m:sSup>
            <m:e>
              <m:d>
                <m:dPr>
                  <m:begChr m:val="∥"/>
                  <m:sepChr m:val=""/>
                  <m:endChr m:val="∥"/>
                  <m:grow/>
                </m:dPr>
                <m:e>
                  <m:r>
                    <m:t>X</m:t>
                  </m:r>
                  <m:r>
                    <m:rPr>
                      <m:sty m:val="p"/>
                    </m:rPr>
                    <m:t>−</m:t>
                  </m:r>
                  <m:r>
                    <m:t>y</m:t>
                  </m:r>
                </m:e>
              </m:d>
            </m:e>
            <m:sup>
              <m:r>
                <m:t>β</m:t>
              </m:r>
            </m:sup>
          </m:sSup>
          <m:r>
            <m:rPr>
              <m:sty m:val="p"/>
            </m:rPr>
            <m:t>−</m:t>
          </m:r>
          <m:r>
            <m:rPr>
              <m:scr m:val="double-struck"/>
              <m:sty m:val="p"/>
            </m:rPr>
            <m:t>E</m:t>
          </m:r>
          <m:sSup>
            <m:e>
              <m:d>
                <m:dPr>
                  <m:begChr m:val="∥"/>
                  <m:sepChr m:val=""/>
                  <m:endChr m:val="∥"/>
                  <m:grow/>
                </m:dPr>
                <m:e>
                  <m:r>
                    <m:t>X</m:t>
                  </m:r>
                  <m:r>
                    <m:rPr>
                      <m:sty m:val="p"/>
                    </m:rPr>
                    <m:t>−</m:t>
                  </m:r>
                  <m:r>
                    <m:t>X</m:t>
                  </m:r>
                  <m:r>
                    <m:rPr>
                      <m:sty m:val="p"/>
                    </m:rPr>
                    <m:t>′</m:t>
                  </m:r>
                </m:e>
              </m:d>
            </m:e>
            <m:sup>
              <m:r>
                <m:t>β</m:t>
              </m:r>
            </m:sup>
          </m:sSup>
        </m:oMath>
      </m:oMathPara>
    </w:p>
    <w:p>
      <w:pPr>
        <w:spacing w:after="60"/>
        <w:jc w:val="both"/>
      </w:pPr>
      <m:oMath>
        <m:sSub>
          <m:e>
            <m:r>
              <m:t>P</m:t>
            </m:r>
          </m:e>
          <m:sub>
            <m:r>
              <m:t>ϕ</m:t>
            </m:r>
          </m:sub>
        </m:sSub>
      </m:oMath>
      <w:r>
        <w:rPr>
          <w:color w:val="3A4350"/>
          <w:sz w:val="15"/>
          <w:szCs w:val="15"/>
        </w:rPr>
        <w:t xml:space="preserve"> is the forecast distribution produced by the network with weights </w:t>
      </w:r>
      <m:oMath>
        <m:r>
          <m:t>ϕ</m:t>
        </m:r>
      </m:oMath>
      <w:r>
        <w:rPr>
          <w:color w:val="3A4350"/>
          <w:sz w:val="15"/>
          <w:szCs w:val="15"/>
        </w:rPr>
        <w:t xml:space="preserve"> from the last </w:t>
      </w:r>
      <m:oMath>
        <m:r>
          <m:t>k</m:t>
        </m:r>
      </m:oMath>
      <w:r>
        <w:rPr>
          <w:color w:val="3A4350"/>
          <w:sz w:val="15"/>
          <w:szCs w:val="15"/>
        </w:rPr>
        <w:t xml:space="preserve"> observations, </w:t>
      </w:r>
      <m:oMath>
        <m:sSub>
          <m:e>
            <m:r>
              <m:t>y</m:t>
            </m:r>
          </m:e>
          <m:sub>
            <m:r>
              <m:t>t</m:t>
            </m:r>
            <m:r>
              <m:rPr>
                <m:sty m:val="p"/>
              </m:rPr>
              <m:t>+</m:t>
            </m:r>
            <m:r>
              <m:t>l</m:t>
            </m:r>
          </m:sub>
        </m:sSub>
      </m:oMath>
      <w:r>
        <w:rPr>
          <w:color w:val="3A4350"/>
          <w:sz w:val="15"/>
          <w:szCs w:val="15"/>
        </w:rPr>
        <w:t xml:space="preserve"> the value observed </w:t>
      </w:r>
      <m:oMath>
        <m:r>
          <m:t>l</m:t>
        </m:r>
      </m:oMath>
      <w:r>
        <w:rPr>
          <w:color w:val="3A4350"/>
          <w:sz w:val="15"/>
          <w:szCs w:val="15"/>
        </w:rPr>
        <w:t xml:space="preserve"> steps later, </w:t>
      </w:r>
      <m:oMath>
        <m:r>
          <m:t>S</m:t>
        </m:r>
      </m:oMath>
      <w:r>
        <w:rPr>
          <w:color w:val="3A4350"/>
          <w:sz w:val="15"/>
          <w:szCs w:val="15"/>
        </w:rPr>
        <w:t xml:space="preserve"> a strictly proper scoring rule (here the energy score </w:t>
      </w:r>
      <m:oMath>
        <m:sSub>
          <m:e>
            <m:r>
              <m:t>S</m:t>
            </m:r>
          </m:e>
          <m:sub>
            <m:r>
              <m:t>E</m:t>
            </m:r>
          </m:sub>
        </m:sSub>
      </m:oMath>
      <w:r>
        <w:rPr>
          <w:color w:val="3A4350"/>
          <w:sz w:val="15"/>
          <w:szCs w:val="15"/>
        </w:rPr>
        <w:t xml:space="preserve"> with </w:t>
      </w:r>
      <m:oMath>
        <m:r>
          <m:t>0</m:t>
        </m:r>
        <m:r>
          <m:rPr>
            <m:sty m:val="p"/>
          </m:rPr>
          <m:t>&lt;</m:t>
        </m:r>
        <m:r>
          <m:t>β</m:t>
        </m:r>
        <m:r>
          <m:rPr>
            <m:sty m:val="p"/>
          </m:rPr>
          <m:t>&lt;</m:t>
        </m:r>
        <m:r>
          <m:t>2</m:t>
        </m:r>
      </m:oMath>
      <w:r>
        <w:rPr>
          <w:color w:val="3A4350"/>
          <w:sz w:val="15"/>
          <w:szCs w:val="15"/>
        </w:rPr>
        <w:t xml:space="preserve">, where </w:t>
      </w:r>
      <m:oMath>
        <m:r>
          <m:t>X</m:t>
        </m:r>
        <m:r>
          <m:rPr>
            <m:sty m:val="p"/>
          </m:rPr>
          <m:t>,</m:t>
        </m:r>
        <m:r>
          <m:t>X</m:t>
        </m:r>
        <m:r>
          <m:rPr>
            <m:sty m:val="p"/>
          </m:rPr>
          <m:t>′</m:t>
        </m:r>
      </m:oMath>
      <w:r>
        <w:rPr>
          <w:color w:val="3A4350"/>
          <w:sz w:val="15"/>
          <w:szCs w:val="15"/>
        </w:rPr>
        <w:t xml:space="preserve"> are independent draws from </w:t>
      </w:r>
      <m:oMath>
        <m:r>
          <m:t>P</m:t>
        </m:r>
      </m:oMath>
      <w:r>
        <w:rPr>
          <w:color w:val="3A4350"/>
          <w:sz w:val="15"/>
          <w:szCs w:val="15"/>
        </w:rPr>
        <w:t xml:space="preserve">), and </w:t>
      </w:r>
      <m:oMath>
        <m:acc>
          <m:accPr>
            <m:chr m:val="̂"/>
          </m:accPr>
          <m:e>
            <m:r>
              <m:t>ϕ</m:t>
            </m:r>
          </m:e>
        </m:acc>
      </m:oMath>
      <w:r>
        <w:rPr>
          <w:color w:val="3A4350"/>
          <w:sz w:val="15"/>
          <w:szCs w:val="15"/>
        </w:rPr>
        <w:t xml:space="preserve"> the trained forecaster.</w:t>
      </w:r>
    </w:p>
    <w:p>
      <w:pPr>
        <w:spacing w:after="60"/>
        <w:jc w:val="both"/>
      </w:pPr>
      <w:r>
        <w:rPr>
          <w:b/>
          <w:bCs/>
          <w:color w:val="002147"/>
          <w:sz w:val="17"/>
          <w:szCs w:val="17"/>
        </w:rPr>
        <w:t xml:space="preserve">Link to the Fushë-Kuqe stakeholders. </w:t>
      </w:r>
      <w:r>
        <w:rPr>
          <w:sz w:val="17"/>
          <w:szCs w:val="17"/>
        </w:rPr>
        <w:t xml:space="preserve">Belongs to theme 3. A strictly proper score is optimised in expectation only by reporting one's true belief, so the same scores can rank the Fushë-Kuqe stakeholders' predictive distributions for chloride at A30, A1 and P10 as samples arrive, and can train an emulator of the 20 000-draw ensemble whose calibration is checked rather than assumed.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replaces fragile adversarial training of probabilistic forecasters by proper scoring rules, the standard tool for rewarding honest probability statements, and proves consistency of the resulting estimator for dependent time-series data. Published in JMLR (2024), it reports better calibration than adversarial methods on chaotic systems and on global weather observations.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forecasters here are trained models, not people with stakes in the outcome. It is open how prequential scoring behaves when stakeholders report strategically to gain a veto, and when the decision taken on the forecasts (pumping) changes the chloride being forecast.</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training of sample-only generative forecasters by prequential scoring rules, with a consistency proof for dependent data and no adversary. Proposed extension: ask each stakeholder for a predictive distribution of the next chloride value at A30, score it with the energy score once the sample is taken, and test whether score-weighted beliefs, updated after each sample, narrow the disagreement faster than the equal-weight beliefs of review 57.</w:t>
      </w:r>
    </w:p>
    <w:p>
      <w:pPr>
        <w:keepNext/>
        <w:pBdr>
          <w:top w:val="single" w:color="002147" w:sz="6" w:space="4"/>
        </w:pBdr>
        <w:spacing w:after="60" w:before="220"/>
      </w:pPr>
      <w:r>
        <w:rPr>
          <w:b/>
          <w:bCs/>
          <w:color w:val="002147"/>
          <w:sz w:val="23"/>
          <w:szCs w:val="23"/>
        </w:rPr>
        <w:t xml:space="preserve">O4  </w:t>
      </w:r>
      <w:r>
        <w:rPr>
          <w:b/>
          <w:bCs/>
          <w:color w:val="1F3864"/>
          <w:sz w:val="23"/>
          <w:szCs w:val="23"/>
        </w:rPr>
        <w:t xml:space="preserve">Combining probabilistic forecasts of COVID-19 mortality in the United States</w:t>
      </w:r>
    </w:p>
    <w:p>
      <w:pPr>
        <w:keepNext/>
        <w:spacing w:after="60" w:line="240" w:lineRule="auto"/>
      </w:pPr>
      <w:r>
        <w:rPr>
          <w:b/>
          <w:bCs/>
          <w:color w:val="333B47"/>
          <w:sz w:val="15"/>
          <w:szCs w:val="15"/>
        </w:rPr>
        <w:t xml:space="preserve">Authors: </w:t>
      </w:r>
      <w:r>
        <w:rPr>
          <w:sz w:val="15"/>
          <w:szCs w:val="15"/>
        </w:rPr>
        <w:t xml:space="preserve">James W. Taylor, Kathryn S. Taylor</w:t>
      </w:r>
      <w:r>
        <w:rPr>
          <w:sz w:val="15"/>
          <w:szCs w:val="15"/>
        </w:rPr>
        <w:t xml:space="preserve">   </w:t>
      </w:r>
      <w:r>
        <w:rPr>
          <w:b/>
          <w:bCs/>
          <w:color w:val="333B47"/>
          <w:sz w:val="15"/>
          <w:szCs w:val="15"/>
        </w:rPr>
        <w:t xml:space="preserve">Published in: </w:t>
      </w:r>
      <w:r>
        <w:rPr>
          <w:sz w:val="15"/>
          <w:szCs w:val="15"/>
        </w:rPr>
        <w:t xml:space="preserve">European Journal of Operational Research, 304(1), 25–41 (2023)</w:t>
      </w:r>
      <w:r>
        <w:rPr>
          <w:sz w:val="15"/>
          <w:szCs w:val="15"/>
        </w:rPr>
        <w:t xml:space="preserve">   </w:t>
      </w:r>
      <w:r>
        <w:rPr>
          <w:b/>
          <w:bCs/>
          <w:color w:val="333B47"/>
          <w:sz w:val="15"/>
          <w:szCs w:val="15"/>
        </w:rPr>
        <w:t xml:space="preserve">Link: </w:t>
      </w:r>
      <w:hyperlink w:history="1" r:id="rIdvicezvr8s8oo0sb6by5tv">
        <w:r>
          <w:rPr>
            <w:color w:val="1D4ED8"/>
            <w:sz w:val="15"/>
            <w:szCs w:val="15"/>
            <w:u w:val="single"/>
          </w:rPr>
          <w:t xml:space="preserve">https://doi.org/10.1016/j.ejor.2021.06.044</w:t>
        </w:r>
      </w:hyperlink>
    </w:p>
    <w:p>
      <w:pPr>
        <w:keepNext/>
        <w:spacing w:after="80" w:line="240" w:lineRule="auto"/>
      </w:pPr>
      <w:r>
        <w:rPr>
          <w:b/>
          <w:bCs/>
          <w:color w:val="333B47"/>
          <w:sz w:val="15"/>
          <w:szCs w:val="15"/>
        </w:rPr>
        <w:t xml:space="preserve">Affiliation: </w:t>
      </w:r>
      <w:r>
        <w:rPr>
          <w:color w:val="3A4350"/>
          <w:sz w:val="15"/>
          <w:szCs w:val="15"/>
        </w:rPr>
        <w:t xml:space="preserve">James W. Taylor, Saïd Business School, University of Oxford; Kathryn S. Taylor, Nuffield Department of Primary Care Health Sciences, University of Oxford (Oxford repository record and the authors' Oxford-hosted copy in the search results).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002147"/>
          <w:sz w:val="17"/>
          <w:szCs w:val="17"/>
        </w:rPr>
        <w:t xml:space="preserve">Summary. </w:t>
      </w:r>
      <w:r>
        <w:rPr>
          <w:sz w:val="17"/>
          <w:szCs w:val="17"/>
        </w:rPr>
        <w:t xml:space="preserve">During the COVID-19 pandemic many teams submitted probabilistic forecasts of weekly cumulative mortality, at national and state level, to the US COVID-19 Forecast Hub, and their forecasts differed. The authors compare ways of combining these probabilistic forecasts: the simple average, the median, and weighted combinations based on each team's past accuracy. The median combination helped most in the early weeks of the pandemic; the simple average did better afterwards; and once a track record of accuracy had built up, weighting each team's forecast inversely to its historical accuracy gave the best combined forecasts. A working version circulated in 2020 as a comparison of aggregation methods.</w:t>
      </w:r>
    </w:p>
    <w:p>
      <w:pPr>
        <w:keepNext/>
        <w:spacing w:after="20" w:before="40"/>
      </w:pPr>
      <w:r>
        <w:rPr>
          <w:b/>
          <w:bCs/>
          <w:color w:val="002147"/>
          <w:sz w:val="17"/>
          <w:szCs w:val="17"/>
        </w:rPr>
        <w:t xml:space="preserve">Key equation.</w:t>
      </w:r>
      <w:r>
        <w:rPr>
          <w:i/>
          <w:iCs/>
          <w:color w:val="5B6573"/>
          <w:sz w:val="15"/>
          <w:szCs w:val="15"/>
        </w:rPr>
        <w:t xml:space="preserve">  Inverse-accuracy weighted combination of quantile forecasts (representative formulation)</w:t>
      </w:r>
    </w:p>
    <w:p>
      <w:pPr>
        <w:pStyle w:val="Equation"/>
      </w:pPr>
      <m:oMathPara>
        <m:oMathParaPr>
          <m:jc m:val="center"/>
        </m:oMathParaPr>
        <m:oMath>
          <m:sSub>
            <m:e>
              <m:acc>
                <m:accPr>
                  <m:chr m:val="̂"/>
                </m:accPr>
                <m:e>
                  <m:r>
                    <m:t>q</m:t>
                  </m:r>
                </m:e>
              </m:acc>
            </m:e>
            <m:sub>
              <m:r>
                <m:t>t</m:t>
              </m:r>
            </m:sub>
          </m:sSub>
          <m:d>
            <m:dPr>
              <m:begChr m:val="("/>
              <m:sepChr m:val=""/>
              <m:endChr m:val=")"/>
              <m:grow/>
            </m:dPr>
            <m:e>
              <m:r>
                <m:t>α</m:t>
              </m:r>
            </m:e>
          </m:d>
          <m:r>
            <m:rPr>
              <m:sty m:val="p"/>
            </m:rPr>
            <m:t>=</m:t>
          </m:r>
          <m:nary>
            <m:naryPr>
              <m:chr m:val="∑"/>
              <m:limLoc m:val="undOvr"/>
              <m:subHide m:val="off"/>
              <m:supHide m:val="off"/>
            </m:naryPr>
            <m:sub>
              <m:r>
                <m:t>i</m:t>
              </m:r>
              <m:r>
                <m:rPr>
                  <m:sty m:val="p"/>
                </m:rPr>
                <m:t>=</m:t>
              </m:r>
              <m:r>
                <m:t>1</m:t>
              </m:r>
            </m:sub>
            <m:sup>
              <m:r>
                <m:t>M</m:t>
              </m:r>
            </m:sup>
            <m:e>
              <m:sSub>
                <m:e>
                  <m:r>
                    <m:t>w</m:t>
                  </m:r>
                </m:e>
                <m:sub>
                  <m:r>
                    <m:t>i</m:t>
                  </m:r>
                  <m:r>
                    <m:rPr>
                      <m:sty m:val="p"/>
                    </m:rPr>
                    <m:t>,</m:t>
                  </m:r>
                  <m:r>
                    <m:t>t</m:t>
                  </m:r>
                </m:sub>
              </m:sSub>
            </m:e>
          </m:nary>
          <m:r>
            <m:t> </m:t>
          </m:r>
          <m:sSub>
            <m:e>
              <m:r>
                <m:t>q</m:t>
              </m:r>
            </m:e>
            <m:sub>
              <m:r>
                <m:t>i</m:t>
              </m:r>
              <m:r>
                <m:rPr>
                  <m:sty m:val="p"/>
                </m:rPr>
                <m:t>,</m:t>
              </m:r>
              <m:r>
                <m:t>t</m:t>
              </m:r>
            </m:sub>
          </m:sSub>
          <m:d>
            <m:dPr>
              <m:begChr m:val="("/>
              <m:sepChr m:val=""/>
              <m:endChr m:val=")"/>
              <m:grow/>
            </m:dPr>
            <m:e>
              <m:r>
                <m:t>α</m:t>
              </m:r>
            </m:e>
          </m:d>
          <m:r>
            <m:rPr>
              <m:sty m:val="p"/>
            </m:rPr>
            <m:t>,</m:t>
          </m:r>
          <m:r>
            <m:t> </m:t>
          </m:r>
          <m:sSub>
            <m:e>
              <m:r>
                <m:t>w</m:t>
              </m:r>
            </m:e>
            <m:sub>
              <m:r>
                <m:t>i</m:t>
              </m:r>
              <m:r>
                <m:rPr>
                  <m:sty m:val="p"/>
                </m:rPr>
                <m:t>,</m:t>
              </m:r>
              <m:r>
                <m:t>t</m:t>
              </m:r>
            </m:sub>
          </m:sSub>
          <m:r>
            <m:rPr>
              <m:sty m:val="p"/>
            </m:rPr>
            <m:t>=</m:t>
          </m:r>
          <m:f>
            <m:fPr>
              <m:type m:val="bar"/>
            </m:fPr>
            <m:num>
              <m:r>
                <m:t>1</m:t>
              </m:r>
              <m:r>
                <m:rPr>
                  <m:sty m:val="p"/>
                </m:rPr>
                <m:t>/</m:t>
              </m:r>
              <m:sSub>
                <m:e>
                  <m:bar>
                    <m:barPr>
                      <m:pos m:val="top"/>
                    </m:barPr>
                    <m:e>
                      <m:r>
                        <m:t>S</m:t>
                      </m:r>
                    </m:e>
                  </m:bar>
                </m:e>
                <m:sub>
                  <m:r>
                    <m:t>i</m:t>
                  </m:r>
                  <m:r>
                    <m:rPr>
                      <m:sty m:val="p"/>
                    </m:rPr>
                    <m:t>,</m:t>
                  </m:r>
                  <m:r>
                    <m:t>t</m:t>
                  </m:r>
                </m:sub>
              </m:sSub>
            </m:num>
            <m:den>
              <m:nary>
                <m:naryPr>
                  <m:chr m:val="∑"/>
                  <m:limLoc m:val="undOvr"/>
                  <m:subHide m:val="off"/>
                  <m:supHide m:val="off"/>
                </m:naryPr>
                <m:sub>
                  <m:r>
                    <m:t>j</m:t>
                  </m:r>
                  <m:r>
                    <m:rPr>
                      <m:sty m:val="p"/>
                    </m:rPr>
                    <m:t>=</m:t>
                  </m:r>
                  <m:r>
                    <m:t>1</m:t>
                  </m:r>
                </m:sub>
                <m:sup>
                  <m:r>
                    <m:t>M</m:t>
                  </m:r>
                </m:sup>
                <m:e>
                  <m:r>
                    <m:t>1</m:t>
                  </m:r>
                </m:e>
              </m:nary>
              <m:r>
                <m:rPr>
                  <m:sty m:val="p"/>
                </m:rPr>
                <m:t>/</m:t>
              </m:r>
              <m:sSub>
                <m:e>
                  <m:bar>
                    <m:barPr>
                      <m:pos m:val="top"/>
                    </m:barPr>
                    <m:e>
                      <m:r>
                        <m:t>S</m:t>
                      </m:r>
                    </m:e>
                  </m:bar>
                </m:e>
                <m:sub>
                  <m:r>
                    <m:t>j</m:t>
                  </m:r>
                  <m:r>
                    <m:rPr>
                      <m:sty m:val="p"/>
                    </m:rPr>
                    <m:t>,</m:t>
                  </m:r>
                  <m:r>
                    <m:t>t</m:t>
                  </m:r>
                </m:sub>
              </m:sSub>
            </m:den>
          </m:f>
        </m:oMath>
      </m:oMathPara>
    </w:p>
    <w:p>
      <w:pPr>
        <w:spacing w:after="60"/>
        <w:jc w:val="both"/>
      </w:pPr>
      <m:oMath>
        <m:sSub>
          <m:e>
            <m:r>
              <m:t>q</m:t>
            </m:r>
          </m:e>
          <m:sub>
            <m:r>
              <m:t>i</m:t>
            </m:r>
            <m:r>
              <m:rPr>
                <m:sty m:val="p"/>
              </m:rPr>
              <m:t>,</m:t>
            </m:r>
            <m:r>
              <m:t>t</m:t>
            </m:r>
          </m:sub>
        </m:sSub>
        <m:d>
          <m:dPr>
            <m:begChr m:val="("/>
            <m:sepChr m:val=""/>
            <m:endChr m:val=")"/>
            <m:grow/>
          </m:dPr>
          <m:e>
            <m:r>
              <m:t>α</m:t>
            </m:r>
          </m:e>
        </m:d>
      </m:oMath>
      <w:r>
        <w:rPr>
          <w:color w:val="3A4350"/>
          <w:sz w:val="15"/>
          <w:szCs w:val="15"/>
        </w:rPr>
        <w:t xml:space="preserve"> is team </w:t>
      </w:r>
      <m:oMath>
        <m:r>
          <m:t>i</m:t>
        </m:r>
      </m:oMath>
      <w:r>
        <w:rPr>
          <w:color w:val="3A4350"/>
          <w:sz w:val="15"/>
          <w:szCs w:val="15"/>
        </w:rPr>
        <w:t xml:space="preserve">'s forecast of the </w:t>
      </w:r>
      <m:oMath>
        <m:r>
          <m:t>α</m:t>
        </m:r>
      </m:oMath>
      <w:r>
        <w:rPr>
          <w:color w:val="3A4350"/>
          <w:sz w:val="15"/>
          <w:szCs w:val="15"/>
        </w:rPr>
        <w:t xml:space="preserve">-quantile for week </w:t>
      </w:r>
      <m:oMath>
        <m:r>
          <m:t>t</m:t>
        </m:r>
      </m:oMath>
      <w:r>
        <w:rPr>
          <w:color w:val="3A4350"/>
          <w:sz w:val="15"/>
          <w:szCs w:val="15"/>
        </w:rPr>
        <w:t xml:space="preserve">, </w:t>
      </w:r>
      <m:oMath>
        <m:sSub>
          <m:e>
            <m:bar>
              <m:barPr>
                <m:pos m:val="top"/>
              </m:barPr>
              <m:e>
                <m:r>
                  <m:t>S</m:t>
                </m:r>
              </m:e>
            </m:bar>
          </m:e>
          <m:sub>
            <m:r>
              <m:t>i</m:t>
            </m:r>
            <m:r>
              <m:rPr>
                <m:sty m:val="p"/>
              </m:rPr>
              <m:t>,</m:t>
            </m:r>
            <m:r>
              <m:t>t</m:t>
            </m:r>
          </m:sub>
        </m:sSub>
      </m:oMath>
      <w:r>
        <w:rPr>
          <w:color w:val="3A4350"/>
          <w:sz w:val="15"/>
          <w:szCs w:val="15"/>
        </w:rPr>
        <w:t xml:space="preserve"> its average past score (lower is better) and </w:t>
      </w:r>
      <m:oMath>
        <m:r>
          <m:t>M</m:t>
        </m:r>
      </m:oMath>
      <w:r>
        <w:rPr>
          <w:color w:val="3A4350"/>
          <w:sz w:val="15"/>
          <w:szCs w:val="15"/>
        </w:rPr>
        <w:t xml:space="preserve"> the number of teams; equal weights give the simple average, and taking the median of the </w:t>
      </w:r>
      <m:oMath>
        <m:sSub>
          <m:e>
            <m:r>
              <m:t>q</m:t>
            </m:r>
          </m:e>
          <m:sub>
            <m:r>
              <m:t>i</m:t>
            </m:r>
            <m:r>
              <m:rPr>
                <m:sty m:val="p"/>
              </m:rPr>
              <m:t>,</m:t>
            </m:r>
            <m:r>
              <m:t>t</m:t>
            </m:r>
          </m:sub>
        </m:sSub>
        <m:d>
          <m:dPr>
            <m:begChr m:val="("/>
            <m:sepChr m:val=""/>
            <m:endChr m:val=")"/>
            <m:grow/>
          </m:dPr>
          <m:e>
            <m:r>
              <m:t>α</m:t>
            </m:r>
          </m:e>
        </m:d>
      </m:oMath>
      <w:r>
        <w:rPr>
          <w:color w:val="3A4350"/>
          <w:sz w:val="15"/>
          <w:szCs w:val="15"/>
        </w:rPr>
        <w:t xml:space="preserve"> instead gives the median combination.</w:t>
      </w:r>
    </w:p>
    <w:p>
      <w:pPr>
        <w:spacing w:after="60"/>
        <w:jc w:val="both"/>
      </w:pPr>
      <w:r>
        <w:rPr>
          <w:b/>
          <w:bCs/>
          <w:color w:val="002147"/>
          <w:sz w:val="17"/>
          <w:szCs w:val="17"/>
        </w:rPr>
        <w:t xml:space="preserve">Link to the Fushë-Kuqe stakeholders. </w:t>
      </w:r>
      <w:r>
        <w:rPr>
          <w:sz w:val="17"/>
          <w:szCs w:val="17"/>
        </w:rPr>
        <w:t xml:space="preserve">Belongs to theme 3. The Fushë-Kuqe stakeholders are in the early-pandemic situation: six disputed belief distributions and no track record. The result supports pooling by the median rather than the mean, which review 57 found would be vetoed, and a move to accuracy-based weights once repeated chloride samples at A30 have scored each belief.</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is a systematic test of how to pool many differing probabilistic forecasts during a real crisis, with a clear practical answer that depends on how long the forecasters' track records are. Published in the European Journal of Operational Research (2023); a companion study of interval forecasts appeared in PLoS One (2022).</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study is empirical and the forecasters had no stake in the decision. It is open whether performance weighting stays truthful when stakeholders know that their weight, and so their influence on pumping, depends on their past scores.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systematic comparison showing that the best way to pool differing probabilistic forecasts changes as track records accumulate, from median to mean to inverse-accuracy weights. Proposed extension: compute each stakeholder's predictive distribution of chloride at A30, pool the six by median, mean and inverse-score weights, and after each simulated sample drawn from the 20 000 draws record which pooling first yields a pumping and recharge decision that every stakeholder accepts.</w:t>
      </w:r>
    </w:p>
    <w:p>
      <w:pPr>
        <w:keepNext/>
        <w:pBdr>
          <w:top w:val="single" w:color="002147" w:sz="6" w:space="4"/>
        </w:pBdr>
        <w:spacing w:after="60" w:before="220"/>
      </w:pPr>
      <w:r>
        <w:rPr>
          <w:b/>
          <w:bCs/>
          <w:color w:val="002147"/>
          <w:sz w:val="23"/>
          <w:szCs w:val="23"/>
        </w:rPr>
        <w:t xml:space="preserve">O5  </w:t>
      </w:r>
      <w:r>
        <w:rPr>
          <w:b/>
          <w:bCs/>
          <w:color w:val="1F3864"/>
          <w:sz w:val="23"/>
          <w:szCs w:val="23"/>
        </w:rPr>
        <w:t xml:space="preserve">Selecting indicators and optimizing decision rules for long-term water resources planning</w:t>
      </w:r>
    </w:p>
    <w:p>
      <w:pPr>
        <w:keepNext/>
        <w:spacing w:after="60" w:line="240" w:lineRule="auto"/>
      </w:pPr>
      <w:r>
        <w:rPr>
          <w:b/>
          <w:bCs/>
          <w:color w:val="333B47"/>
          <w:sz w:val="15"/>
          <w:szCs w:val="15"/>
        </w:rPr>
        <w:t xml:space="preserve">Authors: </w:t>
      </w:r>
      <w:r>
        <w:rPr>
          <w:sz w:val="15"/>
          <w:szCs w:val="15"/>
        </w:rPr>
        <w:t xml:space="preserve">Anna Murgatroyd, Jim W. Hall</w:t>
      </w:r>
      <w:r>
        <w:rPr>
          <w:sz w:val="15"/>
          <w:szCs w:val="15"/>
        </w:rPr>
        <w:t xml:space="preserve">   </w:t>
      </w:r>
      <w:r>
        <w:rPr>
          <w:b/>
          <w:bCs/>
          <w:color w:val="333B47"/>
          <w:sz w:val="15"/>
          <w:szCs w:val="15"/>
        </w:rPr>
        <w:t xml:space="preserve">Published in: </w:t>
      </w:r>
      <w:r>
        <w:rPr>
          <w:sz w:val="15"/>
          <w:szCs w:val="15"/>
        </w:rPr>
        <w:t xml:space="preserve">Water Resources Research, 57, article e2020WR028117 (2021)</w:t>
      </w:r>
      <w:r>
        <w:rPr>
          <w:sz w:val="15"/>
          <w:szCs w:val="15"/>
        </w:rPr>
        <w:t xml:space="preserve">   </w:t>
      </w:r>
      <w:r>
        <w:rPr>
          <w:b/>
          <w:bCs/>
          <w:color w:val="333B47"/>
          <w:sz w:val="15"/>
          <w:szCs w:val="15"/>
        </w:rPr>
        <w:t xml:space="preserve">Link: </w:t>
      </w:r>
      <w:hyperlink w:history="1" r:id="rId_0qe51bltty0g-utvjrnx">
        <w:r>
          <w:rPr>
            <w:color w:val="1D4ED8"/>
            <w:sz w:val="15"/>
            <w:szCs w:val="15"/>
            <w:u w:val="single"/>
          </w:rPr>
          <w:t xml:space="preserve">https://doi.org/10.1029/2020WR028117</w:t>
        </w:r>
      </w:hyperlink>
    </w:p>
    <w:p>
      <w:pPr>
        <w:keepNext/>
        <w:spacing w:after="80" w:line="240" w:lineRule="auto"/>
      </w:pPr>
      <w:r>
        <w:rPr>
          <w:b/>
          <w:bCs/>
          <w:color w:val="333B47"/>
          <w:sz w:val="15"/>
          <w:szCs w:val="15"/>
        </w:rPr>
        <w:t xml:space="preserve">Affiliation: </w:t>
      </w:r>
      <w:r>
        <w:rPr>
          <w:color w:val="3A4350"/>
          <w:sz w:val="15"/>
          <w:szCs w:val="15"/>
        </w:rPr>
        <w:t xml:space="preserve">Environmental Change Institute, University of Oxford: the Wiley listing, the Oxford OPSIS group page and the Oxford Research Archive copy of the paper (search results). Murgatroyd's Oxford DPhil was on adaptive water resources planning for London; she has since moved to Newcastle University.</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(2/5)</w:t>
      </w:r>
    </w:p>
    <w:p>
      <w:pPr>
        <w:spacing w:after="60"/>
        <w:jc w:val="both"/>
      </w:pPr>
      <w:r>
        <w:rPr>
          <w:b/>
          <w:bCs/>
          <w:color w:val="002147"/>
          <w:sz w:val="17"/>
          <w:szCs w:val="17"/>
        </w:rPr>
        <w:t xml:space="preserve">Summary. </w:t>
      </w:r>
      <w:r>
        <w:rPr>
          <w:sz w:val="17"/>
          <w:szCs w:val="17"/>
        </w:rPr>
        <w:t xml:space="preserve">Adaptive water plans act when an indicator crosses a threshold, but planners must choose the indicators, the statistics of nonstationary records and the thresholds. The authors propose a four-step framework in which each rule pairs candidate indicators with an optimised threshold and an adaptation action that is triggered when the threshold is passed. A multiobjective evolutionary algorithm searches for combinations of indicator-informed rules that balance the expected risk of water restrictions against intervention costs. Applied to London's water system over a 60-year horizon with regional climate simulations, rule-based strategies cut expected restriction costs by 13.1% on average, and by up to 24.1%, for a given intervention cost.</w:t>
      </w:r>
    </w:p>
    <w:p>
      <w:pPr>
        <w:keepNext/>
        <w:spacing w:after="20" w:before="40"/>
      </w:pPr>
      <w:r>
        <w:rPr>
          <w:b/>
          <w:bCs/>
          <w:color w:val="002147"/>
          <w:sz w:val="17"/>
          <w:szCs w:val="17"/>
        </w:rPr>
        <w:t xml:space="preserve">Key equation.</w:t>
      </w:r>
      <w:r>
        <w:rPr>
          <w:i/>
          <w:iCs/>
          <w:color w:val="5B6573"/>
          <w:sz w:val="15"/>
          <w:szCs w:val="15"/>
        </w:rPr>
        <w:t xml:space="preserve">  Indicator-triggered decision rule and the two planning objectives (representative formulation)</w:t>
      </w:r>
    </w:p>
    <w:p>
      <w:pPr>
        <w:pStyle w:val="Equation"/>
      </w:pPr>
      <m:oMathPara>
        <m:oMathParaPr>
          <m:jc m:val="center"/>
        </m:oMathParaPr>
        <m:oMath>
          <m:sSub>
            <m:e>
              <m:r>
                <m:t>τ</m:t>
              </m:r>
            </m:e>
            <m:sub>
              <m:r>
                <m:t>k</m:t>
              </m:r>
            </m:sub>
          </m:sSub>
          <m:d>
            <m:dPr>
              <m:begChr m:val="("/>
              <m:sepChr m:val=""/>
              <m:endChr m:val=")"/>
              <m:grow/>
            </m:dPr>
            <m:e>
              <m:r>
                <m:t>θ</m:t>
              </m:r>
            </m:e>
          </m:d>
          <m:r>
            <m:rPr>
              <m:sty m:val="p"/>
            </m:rPr>
            <m:t>=</m:t>
          </m:r>
          <m:r>
            <m:rPr>
              <m:sty m:val="p"/>
            </m:rPr>
            <m:t>min</m:t>
          </m:r>
          <m:d>
            <m:dPr>
              <m:begChr m:val="{"/>
              <m:sepChr m:val=""/>
              <m:endChr m:val="}"/>
              <m:grow/>
            </m:dPr>
            <m:e>
              <m:r>
                <m:t>t</m:t>
              </m:r>
              <m:r>
                <m:rPr>
                  <m:sty m:val="p"/>
                </m:rPr>
                <m:t>:</m:t>
              </m:r>
              <m:sSub>
                <m:e>
                  <m:r>
                    <m:t>I</m:t>
                  </m:r>
                </m:e>
                <m:sub>
                  <m:r>
                    <m:t>k</m:t>
                  </m:r>
                  <m:r>
                    <m:rPr>
                      <m:sty m:val="p"/>
                    </m:rPr>
                    <m:t>,</m:t>
                  </m:r>
                  <m:r>
                    <m:t>t</m:t>
                  </m:r>
                </m:sub>
              </m:sSub>
              <m:r>
                <m:rPr>
                  <m:sty m:val="p"/>
                </m:rPr>
                <m:t>≥</m:t>
              </m:r>
              <m:sSub>
                <m:e>
                  <m:r>
                    <m:t>θ</m:t>
                  </m:r>
                </m:e>
                <m:sub>
                  <m:r>
                    <m:t>k</m:t>
                  </m:r>
                </m:sub>
              </m:sSub>
            </m:e>
          </m:d>
          <m:r>
            <m:rPr>
              <m:sty m:val="p"/>
            </m:rPr>
            <m:t>,</m:t>
          </m:r>
          <m:r>
            <m:t> </m:t>
          </m:r>
          <m:limLow>
            <m:e>
              <m:r>
                <m:rPr>
                  <m:sty m:val="p"/>
                </m:rPr>
                <m:t>min</m:t>
              </m:r>
            </m:e>
            <m:lim>
              <m:r>
                <m:t>θ</m:t>
              </m:r>
            </m:lim>
          </m:limLow>
          <m:d>
            <m:dPr>
              <m:begChr m:val="("/>
              <m:sepChr m:val=""/>
              <m:endChr m:val=")"/>
              <m:grow/>
            </m:dPr>
            <m:e>
              <m:r>
                <m:rPr>
                  <m:scr m:val="double-struck"/>
                  <m:sty m:val="p"/>
                </m:rPr>
                <m:t>E</m:t>
              </m:r>
              <m:d>
                <m:dPr>
                  <m:begChr m:val="["/>
                  <m:sepChr m:val=""/>
                  <m:endChr m:val="]"/>
                  <m:grow/>
                </m:dPr>
                <m:e>
                  <m:sSub>
                    <m:e>
                      <m:r>
                        <m:t>C</m:t>
                      </m:r>
                    </m:e>
                    <m:sub>
                      <m:r>
                        <m:rPr>
                          <m:nor/>
                        </m:rPr>
                        <m:t>int</m:t>
                      </m:r>
                    </m:sub>
                  </m:sSub>
                  <m:d>
                    <m:dPr>
                      <m:begChr m:val="("/>
                      <m:sepChr m:val=""/>
                      <m:endChr m:val=")"/>
                      <m:grow/>
                    </m:dPr>
                    <m:e>
                      <m:r>
                        <m:t>τ</m:t>
                      </m:r>
                      <m:d>
                        <m:dPr>
                          <m:begChr m:val="("/>
                          <m:sepChr m:val=""/>
                          <m:endChr m:val=")"/>
                          <m:grow/>
                        </m:dPr>
                        <m:e>
                          <m:r>
                            <m:t>θ</m:t>
                          </m:r>
                        </m:e>
                      </m:d>
                    </m:e>
                  </m:d>
                </m:e>
              </m:d>
              <m:r>
                <m:rPr>
                  <m:sty m:val="p"/>
                </m:rPr>
                <m:t>,</m:t>
              </m:r>
              <m:r>
                <m:t> </m:t>
              </m:r>
              <m:r>
                <m:rPr>
                  <m:scr m:val="double-struck"/>
                  <m:sty m:val="p"/>
                </m:rPr>
                <m:t>E</m:t>
              </m:r>
              <m:d>
                <m:dPr>
                  <m:begChr m:val="["/>
                  <m:sepChr m:val=""/>
                  <m:endChr m:val="]"/>
                  <m:grow/>
                </m:dPr>
                <m:e>
                  <m:sSub>
                    <m:e>
                      <m:r>
                        <m:t>C</m:t>
                      </m:r>
                    </m:e>
                    <m:sub>
                      <m:r>
                        <m:rPr>
                          <m:nor/>
                        </m:rPr>
                        <m:t>res</m:t>
                      </m:r>
                    </m:sub>
                  </m:sSub>
                  <m:d>
                    <m:dPr>
                      <m:begChr m:val="("/>
                      <m:sepChr m:val=""/>
                      <m:endChr m:val=")"/>
                      <m:grow/>
                    </m:dPr>
                    <m:e>
                      <m:r>
                        <m:t>τ</m:t>
                      </m:r>
                      <m:d>
                        <m:dPr>
                          <m:begChr m:val="("/>
                          <m:sepChr m:val=""/>
                          <m:endChr m:val=")"/>
                          <m:grow/>
                        </m:dPr>
                        <m:e>
                          <m:r>
                            <m:t>θ</m:t>
                          </m:r>
                        </m:e>
                      </m:d>
                    </m:e>
                  </m:d>
                </m:e>
              </m:d>
            </m:e>
          </m:d>
        </m:oMath>
      </m:oMathPara>
    </w:p>
    <w:p>
      <w:pPr>
        <w:spacing w:after="60"/>
        <w:jc w:val="both"/>
      </w:pPr>
      <m:oMath>
        <m:sSub>
          <m:e>
            <m:r>
              <m:t>I</m:t>
            </m:r>
          </m:e>
          <m:sub>
            <m:r>
              <m:t>k</m:t>
            </m:r>
            <m:r>
              <m:rPr>
                <m:sty m:val="p"/>
              </m:rPr>
              <m:t>,</m:t>
            </m:r>
            <m:r>
              <m:t>t</m:t>
            </m:r>
          </m:sub>
        </m:sSub>
      </m:oMath>
      <w:r>
        <w:rPr>
          <w:color w:val="3A4350"/>
          <w:sz w:val="15"/>
          <w:szCs w:val="15"/>
        </w:rPr>
        <w:t xml:space="preserve"> is the indicator watched by rule </w:t>
      </w:r>
      <m:oMath>
        <m:r>
          <m:t>k</m:t>
        </m:r>
      </m:oMath>
      <w:r>
        <w:rPr>
          <w:color w:val="3A4350"/>
          <w:sz w:val="15"/>
          <w:szCs w:val="15"/>
        </w:rPr>
        <w:t xml:space="preserve"> (a climate or demand statistic) in year </w:t>
      </w:r>
      <m:oMath>
        <m:r>
          <m:t>t</m:t>
        </m:r>
      </m:oMath>
      <w:r>
        <w:rPr>
          <w:color w:val="3A4350"/>
          <w:sz w:val="15"/>
          <w:szCs w:val="15"/>
        </w:rPr>
        <w:t xml:space="preserve">, </w:t>
      </w:r>
      <m:oMath>
        <m:sSub>
          <m:e>
            <m:r>
              <m:t>θ</m:t>
            </m:r>
          </m:e>
          <m:sub>
            <m:r>
              <m:t>k</m:t>
            </m:r>
          </m:sub>
        </m:sSub>
      </m:oMath>
      <w:r>
        <w:rPr>
          <w:color w:val="3A4350"/>
          <w:sz w:val="15"/>
          <w:szCs w:val="15"/>
        </w:rPr>
        <w:t xml:space="preserve"> its threshold, </w:t>
      </w:r>
      <m:oMath>
        <m:sSub>
          <m:e>
            <m:r>
              <m:t>τ</m:t>
            </m:r>
          </m:e>
          <m:sub>
            <m:r>
              <m:t>k</m:t>
            </m:r>
          </m:sub>
        </m:sSub>
      </m:oMath>
      <w:r>
        <w:rPr>
          <w:color w:val="3A4350"/>
          <w:sz w:val="15"/>
          <w:szCs w:val="15"/>
        </w:rPr>
        <w:t xml:space="preserve"> the year in which action </w:t>
      </w:r>
      <m:oMath>
        <m:r>
          <m:t>k</m:t>
        </m:r>
      </m:oMath>
      <w:r>
        <w:rPr>
          <w:color w:val="3A4350"/>
          <w:sz w:val="15"/>
          <w:szCs w:val="15"/>
        </w:rPr>
        <w:t xml:space="preserve"> is triggered, and the expected intervention cost </w:t>
      </w:r>
      <m:oMath>
        <m:sSub>
          <m:e>
            <m:r>
              <m:t>C</m:t>
            </m:r>
          </m:e>
          <m:sub>
            <m:r>
              <m:rPr>
                <m:nor/>
              </m:rPr>
              <m:t>int</m:t>
            </m:r>
          </m:sub>
        </m:sSub>
      </m:oMath>
      <w:r>
        <w:rPr>
          <w:color w:val="3A4350"/>
          <w:sz w:val="15"/>
          <w:szCs w:val="15"/>
        </w:rPr>
        <w:t xml:space="preserve"> and restriction cost </w:t>
      </w:r>
      <m:oMath>
        <m:sSub>
          <m:e>
            <m:r>
              <m:t>C</m:t>
            </m:r>
          </m:e>
          <m:sub>
            <m:r>
              <m:rPr>
                <m:nor/>
              </m:rPr>
              <m:t>res</m:t>
            </m:r>
          </m:sub>
        </m:sSub>
      </m:oMath>
      <w:r>
        <w:rPr>
          <w:color w:val="3A4350"/>
          <w:sz w:val="15"/>
          <w:szCs w:val="15"/>
        </w:rPr>
        <w:t xml:space="preserve"> are taken over the climate ensemble.</w:t>
      </w:r>
    </w:p>
    <w:p>
      <w:pPr>
        <w:spacing w:after="60"/>
        <w:jc w:val="both"/>
      </w:pPr>
      <w:r>
        <w:rPr>
          <w:b/>
          <w:bCs/>
          <w:color w:val="002147"/>
          <w:sz w:val="17"/>
          <w:szCs w:val="17"/>
        </w:rPr>
        <w:t xml:space="preserve">Link to the Fushë-Kuqe stakeholders. </w:t>
      </w:r>
      <w:r>
        <w:rPr>
          <w:sz w:val="17"/>
          <w:szCs w:val="17"/>
        </w:rPr>
        <w:t xml:space="preserve">Belongs to theme 1 (and theme 4: when to commit). At Fushë-Kuqe the indicator could be chloride at A30, the actions a pumping cut at A1 and P10 or the recharge wells, and the thresholds optimised over the 20 000 draws. The group commits now to a rule rather than to one action, and the rule decides when to act.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idea of acting when a monitored indicator crosses a threshold into an explicit optimisation of what to monitor and when to act, and measures the gain on a real supply system. Published in Water Resources Research (2021) by Jim Hall's group; Hall was editor of the journal from 2017 to 2022.</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Thresholds are optimised for one planner with one probability model. It is open how to set triggers that every stakeholder accepts when they hold different beliefs, and how to value the information that the indicator itself provides.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joint selection of indicators, statistics and thresholds for adaptive rules, solved by multiobjective search and tested on a 60-year climate ensemble. Proposed extension: define rules of the form 'cut pumping at A1 and P10 and build recharge when chloride at A30 exceeds </w:t>
      </w:r>
      <m:oMath>
        <m:r>
          <m:t>c</m:t>
        </m:r>
      </m:oMath>
      <w:r>
        <w:rPr>
          <w:sz w:val="17"/>
          <w:szCs w:val="17"/>
        </w:rPr>
        <w:t xml:space="preserve">', and search for the thresholds </w:t>
      </w:r>
      <m:oMath>
        <m:r>
          <m:t>c</m:t>
        </m:r>
      </m:oMath>
      <w:r>
        <w:rPr>
          <w:sz w:val="17"/>
          <w:szCs w:val="17"/>
        </w:rPr>
        <w:t xml:space="preserve"> that satisfy the unanimous rule of review 57, keeping each stakeholder's own exceedance probability at A1 or P10 at or below 10%.</w:t>
      </w:r>
    </w:p>
    <w:p>
      <w:pPr>
        <w:pStyle w:val="Heading1"/>
      </w:pPr>
      <w:r>
        <w:rPr>
          <w:color w:val="B4410C"/>
        </w:rPr>
        <w:t xml:space="preserve">5. California Institute of Technology (Caltech)</w:t>
      </w:r>
    </w:p>
    <w:p>
      <w:pPr>
        <w:spacing w:after="120"/>
        <w:jc w:val="both"/>
      </w:pPr>
      <w:r>
        <w:t xml:space="preserve">Five Caltech papers. Laura Doval and Vasiliki Skreta prove a revelation principle for a designer who cannot commit beyond today [C1]; Sumit Goel and Wade Hann-Caruthers show that the coordinate-wise median is the best strategy-proof way to place one facility in the plane [C2]; Laixi Shi, Gen Li, Yuting Wei, Yuxin Chen, Matthieu Geist and Yuejie Chi find the sample price of distributional robustness in reinforcement learning [C3]; Mohamadreza Ahmadi, Ugo Rosolia, Michel Ingham, Richard Murray and Aaron Ames design risk-averse policies with coherent risk measures [C4]; and Federico Echenique, Antonio Miralles and Jun Zhang reconcile fairness, efficiency and participation [C5].</w:t>
      </w:r>
    </w:p>
    <w:p>
      <w:pPr>
        <w:keepNext/>
        <w:pBdr>
          <w:top w:val="single" w:color="B4410C" w:sz="6" w:space="4"/>
        </w:pBdr>
        <w:spacing w:after="60" w:before="220"/>
      </w:pPr>
      <w:r>
        <w:rPr>
          <w:b/>
          <w:bCs/>
          <w:color w:val="B4410C"/>
          <w:sz w:val="23"/>
          <w:szCs w:val="23"/>
        </w:rPr>
        <w:t xml:space="preserve">C1  </w:t>
      </w:r>
      <w:r>
        <w:rPr>
          <w:b/>
          <w:bCs/>
          <w:color w:val="1F3864"/>
          <w:sz w:val="23"/>
          <w:szCs w:val="23"/>
        </w:rPr>
        <w:t xml:space="preserve">Mechanism design with limited commitment</w:t>
      </w:r>
    </w:p>
    <w:p>
      <w:pPr>
        <w:keepNext/>
        <w:spacing w:after="60" w:line="240" w:lineRule="auto"/>
      </w:pPr>
      <w:r>
        <w:rPr>
          <w:b/>
          <w:bCs/>
          <w:color w:val="333B47"/>
          <w:sz w:val="15"/>
          <w:szCs w:val="15"/>
        </w:rPr>
        <w:t xml:space="preserve">Authors: </w:t>
      </w:r>
      <w:r>
        <w:rPr>
          <w:sz w:val="15"/>
          <w:szCs w:val="15"/>
        </w:rPr>
        <w:t xml:space="preserve">Laura Doval, Vasiliki Skreta</w:t>
      </w:r>
      <w:r>
        <w:rPr>
          <w:sz w:val="15"/>
          <w:szCs w:val="15"/>
        </w:rPr>
        <w:t xml:space="preserve">   </w:t>
      </w:r>
      <w:r>
        <w:rPr>
          <w:b/>
          <w:bCs/>
          <w:color w:val="333B47"/>
          <w:sz w:val="15"/>
          <w:szCs w:val="15"/>
        </w:rPr>
        <w:t xml:space="preserve">Published in: </w:t>
      </w:r>
      <w:r>
        <w:rPr>
          <w:sz w:val="15"/>
          <w:szCs w:val="15"/>
        </w:rPr>
        <w:t xml:space="preserve">Econometrica, 90(4), 1463–1500 (July 2022)</w:t>
      </w:r>
      <w:r>
        <w:rPr>
          <w:sz w:val="15"/>
          <w:szCs w:val="15"/>
        </w:rPr>
        <w:t xml:space="preserve">   </w:t>
      </w:r>
      <w:r>
        <w:rPr>
          <w:b/>
          <w:bCs/>
          <w:color w:val="333B47"/>
          <w:sz w:val="15"/>
          <w:szCs w:val="15"/>
        </w:rPr>
        <w:t xml:space="preserve">Link: </w:t>
      </w:r>
      <w:hyperlink w:history="1" r:id="rIdmtcfr7q-p-lqavy2dzbsb">
        <w:r>
          <w:rPr>
            <w:color w:val="1D4ED8"/>
            <w:sz w:val="15"/>
            <w:szCs w:val="15"/>
            <w:u w:val="single"/>
          </w:rPr>
          <w:t xml:space="preserve">https://doi.org/10.3982/ECTA16846</w:t>
        </w:r>
      </w:hyperlink>
    </w:p>
    <w:p>
      <w:pPr>
        <w:keepNext/>
        <w:spacing w:after="80" w:line="240" w:lineRule="auto"/>
      </w:pPr>
      <w:r>
        <w:rPr>
          <w:b/>
          <w:bCs/>
          <w:color w:val="333B47"/>
          <w:sz w:val="15"/>
          <w:szCs w:val="15"/>
        </w:rPr>
        <w:t xml:space="preserve">Affiliation: </w:t>
      </w:r>
      <w:r>
        <w:rPr>
          <w:color w:val="3A4350"/>
          <w:sz w:val="15"/>
          <w:szCs w:val="15"/>
        </w:rPr>
        <w:t xml:space="preserve">Laura Doval, California Institute of Technology when the work was done: the paper is Caltech Social Science Working Paper 1443 (CaltechAUTHORS:20191018-161056919, first version April 2018) and the arXiv preprint 1811.03579 gives her affiliation as Caltech. The published PDF lists Doval at Columbia Business School and Skreta at the University of Texas at Austin and University College London.</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B4410C"/>
          <w:sz w:val="17"/>
          <w:szCs w:val="17"/>
        </w:rPr>
        <w:t xml:space="preserve">Summary. </w:t>
      </w:r>
      <w:r>
        <w:rPr>
          <w:sz w:val="17"/>
          <w:szCs w:val="17"/>
        </w:rPr>
        <w:t xml:space="preserve">A designer deals over several periods with a privately informed agent but can commit only to the current period's mechanism, not to what it will do once it has learned from the agent's reports. The paper proves a revelation principle for this setting: a canonical class of mechanisms, in which the agent reports her type truthfully and the designer observes only a signal of that report, replicates the payoffs of any equilibrium of the mechanism-selection game. A mechanism thus fixes both the allocation and what the designer learns, and the designer's problem becomes a constrained optimisation: truth-telling and participation constraints plus a sequential-rationality constraint for the designer.</w:t>
      </w:r>
    </w:p>
    <w:p>
      <w:pPr>
        <w:keepNext/>
        <w:spacing w:after="20" w:before="40"/>
      </w:pPr>
      <w:r>
        <w:rPr>
          <w:b/>
          <w:bCs/>
          <w:color w:val="B4410C"/>
          <w:sz w:val="17"/>
          <w:szCs w:val="17"/>
        </w:rPr>
        <w:t xml:space="preserve">Key equation.</w:t>
      </w:r>
      <w:r>
        <w:rPr>
          <w:i/>
          <w:iCs/>
          <w:color w:val="5B6573"/>
          <w:sz w:val="15"/>
          <w:szCs w:val="15"/>
        </w:rPr>
        <w:t xml:space="preserve">  Designer's problem as a constrained optimisation with a sequential-rationality constraint (representative one-period formulation; the paper's continuation values are suppressed)</w:t>
      </w:r>
    </w:p>
    <w:p>
      <w:pPr>
        <w:pStyle w:val="Equation"/>
      </w:pPr>
      <m:oMathPara>
        <m:oMathParaPr>
          <m:jc m:val="center"/>
        </m:oMathParaPr>
        <m:oMath>
          <m:limLow>
            <m:e>
              <m:r>
                <m:rPr>
                  <m:sty m:val="p"/>
                </m:rPr>
                <m:t>max</m:t>
              </m:r>
            </m:e>
            <m:lim>
              <m:r>
                <m:t>β</m:t>
              </m:r>
              <m:r>
                <m:rPr>
                  <m:sty m:val="p"/>
                </m:rPr>
                <m:t>,</m:t>
              </m:r>
              <m:r>
                <m:t>α</m:t>
              </m:r>
            </m:lim>
          </m:limLow>
          <m:nary>
            <m:naryPr>
              <m:chr m:val="∑"/>
              <m:limLoc m:val="undOvr"/>
              <m:subHide m:val="off"/>
              <m:supHide m:val="on"/>
            </m:naryPr>
            <m:sub>
              <m:r>
                <m:t>v</m:t>
              </m:r>
            </m:sub>
            <m:sup>
              <m:r>
                <m:t>​</m:t>
              </m:r>
            </m:sup>
            <m:e>
              <m:sSub>
                <m:e>
                  <m:r>
                    <m:t>μ</m:t>
                  </m:r>
                </m:e>
                <m:sub>
                  <m:r>
                    <m:t>0</m:t>
                  </m:r>
                </m:sub>
              </m:sSub>
            </m:e>
          </m:nary>
          <m:d>
            <m:dPr>
              <m:begChr m:val="("/>
              <m:sepChr m:val=""/>
              <m:endChr m:val=")"/>
              <m:grow/>
            </m:dPr>
            <m:e>
              <m:r>
                <m:t>v</m:t>
              </m:r>
            </m:e>
          </m:d>
          <m:nary>
            <m:naryPr>
              <m:chr m:val="∑"/>
              <m:limLoc m:val="undOvr"/>
              <m:subHide m:val="off"/>
              <m:supHide m:val="on"/>
            </m:naryPr>
            <m:sub>
              <m:r>
                <m:t>μ</m:t>
              </m:r>
            </m:sub>
            <m:sup>
              <m:r>
                <m:t>​</m:t>
              </m:r>
            </m:sup>
            <m:e>
              <m:r>
                <m:t>β</m:t>
              </m:r>
            </m:e>
          </m:nary>
          <m:d>
            <m:dPr>
              <m:begChr m:val="("/>
              <m:sepChr m:val=""/>
              <m:endChr m:val=")"/>
              <m:grow/>
            </m:dPr>
            <m:e>
              <m:r>
                <m:t>μ</m:t>
              </m:r>
              <m:r>
                <m:rPr>
                  <m:sty m:val="p"/>
                </m:rPr>
                <m:t>∣</m:t>
              </m:r>
              <m:r>
                <m:t>v</m:t>
              </m:r>
            </m:e>
          </m:d>
          <m:r>
            <m:t> </m:t>
          </m:r>
          <m:sSub>
            <m:e>
              <m:r>
                <m:t>U</m:t>
              </m:r>
            </m:e>
            <m:sub>
              <m:r>
                <m:t>D</m:t>
              </m:r>
            </m:sub>
          </m:sSub>
          <m:d>
            <m:dPr>
              <m:begChr m:val="("/>
              <m:sepChr m:val=""/>
              <m:endChr m:val=")"/>
              <m:grow/>
            </m:dPr>
            <m:e>
              <m:r>
                <m:t>α</m:t>
              </m:r>
              <m:d>
                <m:dPr>
                  <m:begChr m:val="("/>
                  <m:sepChr m:val=""/>
                  <m:endChr m:val=")"/>
                  <m:grow/>
                </m:dPr>
                <m:e>
                  <m:r>
                    <m:t>μ</m:t>
                  </m:r>
                </m:e>
              </m:d>
              <m:r>
                <m:rPr>
                  <m:sty m:val="p"/>
                </m:rPr>
                <m:t>,</m:t>
              </m:r>
              <m:r>
                <m:t>v</m:t>
              </m:r>
            </m:e>
          </m:d>
          <m:r>
            <m:t> </m:t>
          </m:r>
          <m:r>
            <m:rPr>
              <m:nor/>
            </m:rPr>
            <m:t>s.t. truth-telling, participation and </m:t>
          </m:r>
          <m:r>
            <m:t>α</m:t>
          </m:r>
          <m:d>
            <m:dPr>
              <m:begChr m:val="("/>
              <m:sepChr m:val=""/>
              <m:endChr m:val=")"/>
              <m:grow/>
            </m:dPr>
            <m:e>
              <m:r>
                <m:t>μ</m:t>
              </m:r>
            </m:e>
          </m:d>
          <m:r>
            <m:rPr>
              <m:sty m:val="p"/>
            </m:rPr>
            <m:t>∈</m:t>
          </m:r>
          <m:r>
            <m:rPr>
              <m:sty m:val="p"/>
            </m:rPr>
            <m:t>arg</m:t>
          </m:r>
          <m:limLow>
            <m:e>
              <m:r>
                <m:rPr>
                  <m:sty m:val="p"/>
                </m:rPr>
                <m:t>max</m:t>
              </m:r>
            </m:e>
            <m:lim>
              <m:r>
                <m:t>a</m:t>
              </m:r>
            </m:lim>
          </m:limLow>
          <m:nary>
            <m:naryPr>
              <m:chr m:val="∑"/>
              <m:limLoc m:val="undOvr"/>
              <m:subHide m:val="off"/>
              <m:supHide m:val="on"/>
            </m:naryPr>
            <m:sub>
              <m:r>
                <m:t>v</m:t>
              </m:r>
            </m:sub>
            <m:sup>
              <m:r>
                <m:t>​</m:t>
              </m:r>
            </m:sup>
            <m:e>
              <m:r>
                <m:t>μ</m:t>
              </m:r>
            </m:e>
          </m:nary>
          <m:d>
            <m:dPr>
              <m:begChr m:val="("/>
              <m:sepChr m:val=""/>
              <m:endChr m:val=")"/>
              <m:grow/>
            </m:dPr>
            <m:e>
              <m:r>
                <m:t>v</m:t>
              </m:r>
            </m:e>
          </m:d>
          <m:r>
            <m:t> </m:t>
          </m:r>
          <m:sSub>
            <m:e>
              <m:r>
                <m:t>U</m:t>
              </m:r>
            </m:e>
            <m:sub>
              <m:r>
                <m:t>D</m:t>
              </m:r>
            </m:sub>
          </m:sSub>
          <m:d>
            <m:dPr>
              <m:begChr m:val="("/>
              <m:sepChr m:val=""/>
              <m:endChr m:val=")"/>
              <m:grow/>
            </m:dPr>
            <m:e>
              <m:r>
                <m:t>a</m:t>
              </m:r>
              <m:r>
                <m:rPr>
                  <m:sty m:val="p"/>
                </m:rPr>
                <m:t>,</m:t>
              </m:r>
              <m:r>
                <m:t>v</m:t>
              </m:r>
            </m:e>
          </m:d>
        </m:oMath>
      </m:oMathPara>
    </w:p>
    <w:p>
      <w:pPr>
        <w:spacing w:after="60"/>
        <w:jc w:val="both"/>
      </w:pPr>
      <m:oMath>
        <m:r>
          <m:t>v</m:t>
        </m:r>
      </m:oMath>
      <w:r>
        <w:rPr>
          <w:color w:val="3A4350"/>
          <w:sz w:val="15"/>
          <w:szCs w:val="15"/>
        </w:rPr>
        <w:t xml:space="preserve"> is the agent's private type with prior </w:t>
      </w:r>
      <m:oMath>
        <m:sSub>
          <m:e>
            <m:r>
              <m:t>μ</m:t>
            </m:r>
          </m:e>
          <m:sub>
            <m:r>
              <m:t>0</m:t>
            </m:r>
          </m:sub>
        </m:sSub>
      </m:oMath>
      <w:r>
        <w:rPr>
          <w:color w:val="3A4350"/>
          <w:sz w:val="15"/>
          <w:szCs w:val="15"/>
        </w:rPr>
        <w:t xml:space="preserve">, </w:t>
      </w:r>
      <m:oMath>
        <m:r>
          <m:t>β</m:t>
        </m:r>
        <m:d>
          <m:dPr>
            <m:begChr m:val="("/>
            <m:sepChr m:val=""/>
            <m:endChr m:val=")"/>
            <m:grow/>
          </m:dPr>
          <m:e>
            <m:r>
              <m:t>μ</m:t>
            </m:r>
            <m:r>
              <m:rPr>
                <m:sty m:val="p"/>
              </m:rPr>
              <m:t>∣</m:t>
            </m:r>
            <m:r>
              <m:t>v</m:t>
            </m:r>
          </m:e>
        </m:d>
      </m:oMath>
      <w:r>
        <w:rPr>
          <w:color w:val="3A4350"/>
          <w:sz w:val="15"/>
          <w:szCs w:val="15"/>
        </w:rPr>
        <w:t xml:space="preserve"> the communication device that turns a truthful report into the designer's updated belief </w:t>
      </w:r>
      <m:oMath>
        <m:r>
          <m:t>μ</m:t>
        </m:r>
      </m:oMath>
      <w:r>
        <w:rPr>
          <w:color w:val="3A4350"/>
          <w:sz w:val="15"/>
          <w:szCs w:val="15"/>
        </w:rPr>
        <w:t xml:space="preserve">, </w:t>
      </w:r>
      <m:oMath>
        <m:r>
          <m:t>α</m:t>
        </m:r>
      </m:oMath>
      <w:r>
        <w:rPr>
          <w:color w:val="3A4350"/>
          <w:sz w:val="15"/>
          <w:szCs w:val="15"/>
        </w:rPr>
        <w:t xml:space="preserve"> the allocation and </w:t>
      </w:r>
      <m:oMath>
        <m:sSub>
          <m:e>
            <m:r>
              <m:t>U</m:t>
            </m:r>
          </m:e>
          <m:sub>
            <m:r>
              <m:t>D</m:t>
            </m:r>
          </m:sub>
        </m:sSub>
      </m:oMath>
      <w:r>
        <w:rPr>
          <w:color w:val="3A4350"/>
          <w:sz w:val="15"/>
          <w:szCs w:val="15"/>
        </w:rPr>
        <w:t xml:space="preserve"> the designer's payoff; the last constraint says the designer cannot be held to an allocation it would not choose after learning.</w:t>
      </w:r>
    </w:p>
    <w:p>
      <w:pPr>
        <w:spacing w:after="60"/>
        <w:jc w:val="both"/>
      </w:pPr>
      <w:r>
        <w:rPr>
          <w:b/>
          <w:bCs/>
          <w:color w:val="B4410C"/>
          <w:sz w:val="17"/>
          <w:szCs w:val="17"/>
        </w:rPr>
        <w:t xml:space="preserve">Link to the Fushë-Kuqe stakeholders. </w:t>
      </w:r>
      <w:r>
        <w:rPr>
          <w:sz w:val="17"/>
          <w:szCs w:val="17"/>
        </w:rPr>
        <w:t xml:space="preserve">Belongs to theme 4. The regional water agency cannot promise that what stakeholders reveal (an irrigator's true dry-season demand, a hotel's tolerance of chloride) will not later be used to cut their pumping. The paper shows how to design consultation so that truthful reports and the agency's later revisions are consistent, making the final rule credible.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extends the revelation principle, the basic tool of mechanism design, to designers who cannot commit to how they will use what they learn, turning an intractable game into a constrained optimisation. It received the Econometric Society's inaugural Arrow Prize (2024) for the best theory paper in Econometrica of the previous four years.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theorem covers one designer and one privately informed agent with a common prior. With five stakeholders holding disputed beliefs and a unanimity veto instead of a designer's payoff, the canonical mechanism is unknown; deriving it would give a credible consultation protocol for coastal water.</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revelation principle under limited commitment in which the mechanism encodes what the designer learns, so learning becomes a design variable limited by sequential rationality. Proposed extension: treat each stakeholder's tilt (mixing-zone width, recharge) as a private type, compute on the 20 000 draws the best pumping and recharge rule when the agency may re-optimise after the A30 sample, and compare it with the full-commitment rule to price the lack of commitment.</w:t>
      </w:r>
    </w:p>
    <w:p>
      <w:pPr>
        <w:keepNext/>
        <w:pBdr>
          <w:top w:val="single" w:color="B4410C" w:sz="6" w:space="4"/>
        </w:pBdr>
        <w:spacing w:after="60" w:before="220"/>
      </w:pPr>
      <w:r>
        <w:rPr>
          <w:b/>
          <w:bCs/>
          <w:color w:val="B4410C"/>
          <w:sz w:val="23"/>
          <w:szCs w:val="23"/>
        </w:rPr>
        <w:t xml:space="preserve">C2  </w:t>
      </w:r>
      <w:r>
        <w:rPr>
          <w:b/>
          <w:bCs/>
          <w:color w:val="1F3864"/>
          <w:sz w:val="23"/>
          <w:szCs w:val="23"/>
        </w:rPr>
        <w:t xml:space="preserve">Optimality of the coordinate-wise median mechanism for strategyproof facility location in two dimensions</w:t>
      </w:r>
    </w:p>
    <w:p>
      <w:pPr>
        <w:keepNext/>
        <w:spacing w:after="60" w:line="240" w:lineRule="auto"/>
      </w:pPr>
      <w:r>
        <w:rPr>
          <w:b/>
          <w:bCs/>
          <w:color w:val="333B47"/>
          <w:sz w:val="15"/>
          <w:szCs w:val="15"/>
        </w:rPr>
        <w:t xml:space="preserve">Authors: </w:t>
      </w:r>
      <w:r>
        <w:rPr>
          <w:sz w:val="15"/>
          <w:szCs w:val="15"/>
        </w:rPr>
        <w:t xml:space="preserve">Sumit Goel, Wade Hann-Caruthers</w:t>
      </w:r>
      <w:r>
        <w:rPr>
          <w:sz w:val="15"/>
          <w:szCs w:val="15"/>
        </w:rPr>
        <w:t xml:space="preserve">   </w:t>
      </w:r>
      <w:r>
        <w:rPr>
          <w:b/>
          <w:bCs/>
          <w:color w:val="333B47"/>
          <w:sz w:val="15"/>
          <w:szCs w:val="15"/>
        </w:rPr>
        <w:t xml:space="preserve">Published in: </w:t>
      </w:r>
      <w:r>
        <w:rPr>
          <w:sz w:val="15"/>
          <w:szCs w:val="15"/>
        </w:rPr>
        <w:t xml:space="preserve">Social Choice and Welfare, 61(1) (2023; online 2022), pages not verified</w:t>
      </w:r>
      <w:r>
        <w:rPr>
          <w:sz w:val="15"/>
          <w:szCs w:val="15"/>
        </w:rPr>
        <w:t xml:space="preserve">   </w:t>
      </w:r>
      <w:r>
        <w:rPr>
          <w:b/>
          <w:bCs/>
          <w:color w:val="333B47"/>
          <w:sz w:val="15"/>
          <w:szCs w:val="15"/>
        </w:rPr>
        <w:t xml:space="preserve">Link: </w:t>
      </w:r>
      <w:hyperlink w:history="1" r:id="rIdupht4iabizq5yhu5yfnwe">
        <w:r>
          <w:rPr>
            <w:color w:val="1D4ED8"/>
            <w:sz w:val="15"/>
            <w:szCs w:val="15"/>
            <w:u w:val="single"/>
          </w:rPr>
          <w:t xml:space="preserve">https://doi.org/10.1007/s00355-022-01435-1</w:t>
        </w:r>
      </w:hyperlink>
    </w:p>
    <w:p>
      <w:pPr>
        <w:keepNext/>
        <w:spacing w:after="80" w:line="240" w:lineRule="auto"/>
      </w:pPr>
      <w:r>
        <w:rPr>
          <w:b/>
          <w:bCs/>
          <w:color w:val="333B47"/>
          <w:sz w:val="15"/>
          <w:szCs w:val="15"/>
        </w:rPr>
        <w:t xml:space="preserve">Affiliation: </w:t>
      </w:r>
      <w:r>
        <w:rPr>
          <w:color w:val="3A4350"/>
          <w:sz w:val="15"/>
          <w:szCs w:val="15"/>
        </w:rPr>
        <w:t xml:space="preserve">Both authors were doctoral students at Caltech when the work was done: the Caltech thesis repository lists Goel, S. (2023), Essays in Mechanism Design and Contest Theory, and Hann-Caruthers, W. D. (2023), Essays on Social Learning and Social Choice, both Ph.D. dissertations, California Institute of Technology; Hann-Caruthers' paper list is hosted on caltech.academia.edu. Division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Each of </w:t>
      </w:r>
      <m:oMath>
        <m:r>
          <m:t>n</m:t>
        </m:r>
      </m:oMath>
      <w:r>
        <w:rPr>
          <w:sz w:val="17"/>
          <w:szCs w:val="17"/>
        </w:rPr>
        <w:t xml:space="preserve"> agents has an ideal point in the plane and reports it; a mechanism places one facility, and each agent's cost is her distance from it. Strategyproof mechanisms make truthful reporting optimal but may sacrifice efficiency. The paper studies the coordinate-wise median, which takes the median of reports separately in each coordinate. For the sum of distances with an odd number of agents it proves the worst-case approximation ratio </w:t>
      </w:r>
      <m:oMath>
        <m:rad>
          <m:radPr>
            <m:degHide m:val="on"/>
          </m:radPr>
          <m:deg/>
          <m:e>
            <m:r>
              <m:t>2</m:t>
            </m:r>
          </m:e>
        </m:rad>
        <m:rad>
          <m:radPr>
            <m:degHide m:val="on"/>
          </m:radPr>
          <m:deg/>
          <m:e>
            <m:sSup>
              <m:e>
                <m:r>
                  <m:t>n</m:t>
                </m:r>
              </m:e>
              <m:sup>
                <m:r>
                  <m:t>2</m:t>
                </m:r>
              </m:sup>
            </m:sSup>
            <m:r>
              <m:rPr>
                <m:sty m:val="p"/>
              </m:rPr>
              <m:t>+</m:t>
            </m:r>
            <m:r>
              <m:t>1</m:t>
            </m:r>
          </m:e>
        </m:rad>
        <m:r>
          <m:rPr>
            <m:sty m:val="p"/>
          </m:rPr>
          <m:t>/</m:t>
        </m:r>
        <m:d>
          <m:dPr>
            <m:begChr m:val="("/>
            <m:sepChr m:val=""/>
            <m:endChr m:val=")"/>
            <m:grow/>
          </m:dPr>
          <m:e>
            <m:r>
              <m:t>n</m:t>
            </m:r>
            <m:r>
              <m:rPr>
                <m:sty m:val="p"/>
              </m:rPr>
              <m:t>+</m:t>
            </m:r>
            <m:r>
              <m:t>1</m:t>
            </m:r>
          </m:e>
        </m:d>
      </m:oMath>
      <w:r>
        <w:rPr>
          <w:sz w:val="17"/>
          <w:szCs w:val="17"/>
        </w:rPr>
        <w:t xml:space="preserve"> and shows that no deterministic, anonymous, strategyproof mechanism does better, with optimality extended to </w:t>
      </w:r>
      <m:oMath>
        <m:r>
          <m:t>p</m:t>
        </m:r>
      </m:oMath>
      <w:r>
        <w:rPr>
          <w:sz w:val="17"/>
          <w:szCs w:val="17"/>
        </w:rPr>
        <w:t xml:space="preserve">-norm social costs; for </w:t>
      </w:r>
      <m:oMath>
        <m:r>
          <m:t>p</m:t>
        </m:r>
        <m:r>
          <m:rPr>
            <m:sty m:val="p"/>
          </m:rPr>
          <m:t>≥</m:t>
        </m:r>
        <m:r>
          <m:t>2</m:t>
        </m:r>
      </m:oMath>
      <w:r>
        <w:rPr>
          <w:sz w:val="17"/>
          <w:szCs w:val="17"/>
        </w:rPr>
        <w:t xml:space="preserve"> it bounds the ratio by </w:t>
      </w:r>
      <m:oMath>
        <m:sSup>
          <m:e>
            <m:r>
              <m:t>2</m:t>
            </m:r>
          </m:e>
          <m:sup>
            <m:r>
              <m:t>3</m:t>
            </m:r>
            <m:r>
              <m:rPr>
                <m:sty m:val="p"/>
              </m:rPr>
              <m:t>/</m:t>
            </m:r>
            <m:r>
              <m:t>2</m:t>
            </m:r>
            <m:r>
              <m:rPr>
                <m:sty m:val="p"/>
              </m:rPr>
              <m:t>−</m:t>
            </m:r>
            <m:r>
              <m:t>2</m:t>
            </m:r>
            <m:r>
              <m:rPr>
                <m:sty m:val="p"/>
              </m:rPr>
              <m:t>/</m:t>
            </m:r>
            <m:r>
              <m:t>p</m:t>
            </m:r>
          </m:sup>
        </m:sSup>
      </m:oMath>
      <w:r>
        <w:rPr>
          <w:sz w:val="17"/>
          <w:szCs w:val="17"/>
        </w:rPr>
        <w:t xml:space="preserve"> and conjectures the tight value </w:t>
      </w:r>
      <m:oMath>
        <m:sSup>
          <m:e>
            <m:r>
              <m:t>2</m:t>
            </m:r>
          </m:e>
          <m:sup>
            <m:r>
              <m:t>1</m:t>
            </m:r>
            <m:r>
              <m:rPr>
                <m:sty m:val="p"/>
              </m:rPr>
              <m:t>−</m:t>
            </m:r>
            <m:r>
              <m:t>1</m:t>
            </m:r>
            <m:r>
              <m:rPr>
                <m:sty m:val="p"/>
              </m:rPr>
              <m:t>/</m:t>
            </m:r>
            <m:r>
              <m:t>p</m:t>
            </m:r>
          </m:sup>
        </m:sSup>
      </m:oMath>
      <w:r>
        <w:rPr>
          <w:sz w:val="17"/>
          <w:szCs w:val="17"/>
        </w:rPr>
        <w:t xml:space="preserve">.</w:t>
      </w:r>
    </w:p>
    <w:p>
      <w:pPr>
        <w:keepNext/>
        <w:spacing w:after="20" w:before="40"/>
      </w:pPr>
      <w:r>
        <w:rPr>
          <w:b/>
          <w:bCs/>
          <w:color w:val="B4410C"/>
          <w:sz w:val="17"/>
          <w:szCs w:val="17"/>
        </w:rPr>
        <w:t xml:space="preserve">Key equation.</w:t>
      </w:r>
      <w:r>
        <w:rPr>
          <w:i/>
          <w:iCs/>
          <w:color w:val="5B6573"/>
          <w:sz w:val="15"/>
          <w:szCs w:val="15"/>
        </w:rPr>
        <w:t xml:space="preserve">  Worst-case approximation ratio of the coordinate-wise median for the sum of distances, n odd (ratio as stated in the abstract; notation ours)</w:t>
      </w:r>
    </w:p>
    <w:p>
      <w:pPr>
        <w:pStyle w:val="Equation"/>
      </w:pPr>
      <m:oMathPara>
        <m:oMathParaPr>
          <m:jc m:val="center"/>
        </m:oMathParaPr>
        <m:oMath>
          <m:limLow>
            <m:e>
              <m:r>
                <m:rPr>
                  <m:sty m:val="p"/>
                </m:rPr>
                <m:t>max</m:t>
              </m:r>
            </m:e>
            <m:lim>
              <m:sSub>
                <m:e>
                  <m:r>
                    <m:t>x</m:t>
                  </m:r>
                </m:e>
                <m:sub>
                  <m:r>
                    <m:t>1</m:t>
                  </m:r>
                </m:sub>
              </m:sSub>
              <m:r>
                <m:rPr>
                  <m:sty m:val="p"/>
                </m:rPr>
                <m:t>,</m:t>
              </m:r>
              <m:r>
                <m:rPr>
                  <m:sty m:val="p"/>
                </m:rPr>
                <m:t>…</m:t>
              </m:r>
              <m:r>
                <m:rPr>
                  <m:sty m:val="p"/>
                </m:rPr>
                <m:t>,</m:t>
              </m:r>
              <m:sSub>
                <m:e>
                  <m:r>
                    <m:t>x</m:t>
                  </m:r>
                </m:e>
                <m:sub>
                  <m:r>
                    <m:t>n</m:t>
                  </m:r>
                </m:sub>
              </m:sSub>
            </m:lim>
          </m:limLow>
          <m:f>
            <m:fPr>
              <m:type m:val="bar"/>
            </m:fPr>
            <m:num>
              <m:nary>
                <m:naryPr>
                  <m:chr m:val="∑"/>
                  <m:limLoc m:val="undOvr"/>
                  <m:subHide m:val="off"/>
                  <m:supHide m:val="on"/>
                </m:naryPr>
                <m:sub>
                  <m:r>
                    <m:t>i</m:t>
                  </m:r>
                </m:sub>
                <m:sup>
                  <m:r>
                    <m:t>​</m:t>
                  </m:r>
                </m:sup>
                <m:e>
                  <m:r>
                    <m:rPr>
                      <m:sty m:val="p"/>
                    </m:rPr>
                    <m:t>∥</m:t>
                  </m:r>
                </m:e>
              </m:nary>
              <m:r>
                <m:rPr>
                  <m:nor/>
                </m:rPr>
                <m:t>CM</m:t>
              </m:r>
              <m:d>
                <m:dPr>
                  <m:begChr m:val="("/>
                  <m:sepChr m:val=""/>
                  <m:endChr m:val=")"/>
                  <m:grow/>
                </m:dPr>
                <m:e>
                  <m:r>
                    <m:t>x</m:t>
                  </m:r>
                </m:e>
              </m:d>
              <m:r>
                <m:rPr>
                  <m:sty m:val="p"/>
                </m:rPr>
                <m:t>−</m:t>
              </m:r>
              <m:sSub>
                <m:e>
                  <m:r>
                    <m:t>x</m:t>
                  </m:r>
                </m:e>
                <m:sub>
                  <m:r>
                    <m:t>i</m:t>
                  </m:r>
                </m:sub>
              </m:sSub>
              <m:sSub>
                <m:e>
                  <m:r>
                    <m:rPr>
                      <m:sty m:val="p"/>
                    </m:rPr>
                    <m:t>∥</m:t>
                  </m:r>
                </m:e>
                <m:sub>
                  <m:r>
                    <m:t>2</m:t>
                  </m:r>
                </m:sub>
              </m:sSub>
            </m:num>
            <m:den>
              <m:limLow>
                <m:e>
                  <m:r>
                    <m:rPr>
                      <m:sty m:val="p"/>
                    </m:rPr>
                    <m:t>min</m:t>
                  </m:r>
                </m:e>
                <m:lim>
                  <m:r>
                    <m:t>y</m:t>
                  </m:r>
                </m:lim>
              </m:limLow>
              <m:nary>
                <m:naryPr>
                  <m:chr m:val="∑"/>
                  <m:limLoc m:val="undOvr"/>
                  <m:subHide m:val="off"/>
                  <m:supHide m:val="on"/>
                </m:naryPr>
                <m:sub>
                  <m:r>
                    <m:t>i</m:t>
                  </m:r>
                </m:sub>
                <m:sup>
                  <m:r>
                    <m:t>​</m:t>
                  </m:r>
                </m:sup>
                <m:e>
                  <m:r>
                    <m:rPr>
                      <m:sty m:val="p"/>
                    </m:rPr>
                    <m:t>∥</m:t>
                  </m:r>
                </m:e>
              </m:nary>
              <m:r>
                <m:t>y</m:t>
              </m:r>
              <m:r>
                <m:rPr>
                  <m:sty m:val="p"/>
                </m:rPr>
                <m:t>−</m:t>
              </m:r>
              <m:sSub>
                <m:e>
                  <m:r>
                    <m:t>x</m:t>
                  </m:r>
                </m:e>
                <m:sub>
                  <m:r>
                    <m:t>i</m:t>
                  </m:r>
                </m:sub>
              </m:sSub>
              <m:sSub>
                <m:e>
                  <m:r>
                    <m:rPr>
                      <m:sty m:val="p"/>
                    </m:rPr>
                    <m:t>∥</m:t>
                  </m:r>
                </m:e>
                <m:sub>
                  <m:r>
                    <m:t>2</m:t>
                  </m:r>
                </m:sub>
              </m:sSub>
            </m:den>
          </m:f>
          <m:r>
            <m:rPr>
              <m:sty m:val="p"/>
            </m:rPr>
            <m:t>=</m:t>
          </m:r>
          <m:f>
            <m:fPr>
              <m:type m:val="bar"/>
            </m:fPr>
            <m:num>
              <m:rad>
                <m:radPr>
                  <m:degHide m:val="on"/>
                </m:radPr>
                <m:deg/>
                <m:e>
                  <m:r>
                    <m:t>2</m:t>
                  </m:r>
                </m:e>
              </m:rad>
              <m:r>
                <m:t> </m:t>
              </m:r>
              <m:rad>
                <m:radPr>
                  <m:degHide m:val="on"/>
                </m:radPr>
                <m:deg/>
                <m:e>
                  <m:sSup>
                    <m:e>
                      <m:r>
                        <m:t>n</m:t>
                      </m:r>
                    </m:e>
                    <m:sup>
                      <m:r>
                        <m:t>2</m:t>
                      </m:r>
                    </m:sup>
                  </m:sSup>
                  <m:r>
                    <m:rPr>
                      <m:sty m:val="p"/>
                    </m:rPr>
                    <m:t>+</m:t>
                  </m:r>
                  <m:r>
                    <m:t>1</m:t>
                  </m:r>
                </m:e>
              </m:rad>
            </m:num>
            <m:den>
              <m:r>
                <m:t>n</m:t>
              </m:r>
              <m:r>
                <m:rPr>
                  <m:sty m:val="p"/>
                </m:rPr>
                <m:t>+</m:t>
              </m:r>
              <m:r>
                <m:t>1</m:t>
              </m:r>
            </m:den>
          </m:f>
        </m:oMath>
      </m:oMathPara>
    </w:p>
    <w:p>
      <w:pPr>
        <w:spacing w:after="60"/>
        <w:jc w:val="both"/>
      </w:pPr>
      <m:oMath>
        <m:sSub>
          <m:e>
            <m:r>
              <m:t>x</m:t>
            </m:r>
          </m:e>
          <m:sub>
            <m:r>
              <m:t>i</m:t>
            </m:r>
          </m:sub>
        </m:sSub>
        <m:r>
          <m:rPr>
            <m:sty m:val="p"/>
          </m:rPr>
          <m:t>∈</m:t>
        </m:r>
        <m:sSup>
          <m:e>
            <m:r>
              <m:rPr>
                <m:scr m:val="double-struck"/>
                <m:sty m:val="p"/>
              </m:rPr>
              <m:t>R</m:t>
            </m:r>
          </m:e>
          <m:sup>
            <m:r>
              <m:t>2</m:t>
            </m:r>
          </m:sup>
        </m:sSup>
      </m:oMath>
      <w:r>
        <w:rPr>
          <w:color w:val="3A4350"/>
          <w:sz w:val="15"/>
          <w:szCs w:val="15"/>
        </w:rPr>
        <w:t xml:space="preserve"> is agent </w:t>
      </w:r>
      <m:oMath>
        <m:r>
          <m:t>i</m:t>
        </m:r>
      </m:oMath>
      <w:r>
        <w:rPr>
          <w:color w:val="3A4350"/>
          <w:sz w:val="15"/>
          <w:szCs w:val="15"/>
        </w:rPr>
        <w:t xml:space="preserve">'s reported ideal point, </w:t>
      </w:r>
      <m:oMath>
        <m:r>
          <m:rPr>
            <m:nor/>
          </m:rPr>
          <m:t>CM</m:t>
        </m:r>
        <m:d>
          <m:dPr>
            <m:begChr m:val="("/>
            <m:sepChr m:val=""/>
            <m:endChr m:val=")"/>
            <m:grow/>
          </m:dPr>
          <m:e>
            <m:r>
              <m:t>x</m:t>
            </m:r>
          </m:e>
        </m:d>
      </m:oMath>
      <w:r>
        <w:rPr>
          <w:color w:val="3A4350"/>
          <w:sz w:val="15"/>
          <w:szCs w:val="15"/>
        </w:rPr>
        <w:t xml:space="preserve"> the coordinate-wise median of the reports and the denominator the smallest achievable total distance; the ratio is below </w:t>
      </w:r>
      <m:oMath>
        <m:rad>
          <m:radPr>
            <m:degHide m:val="on"/>
          </m:radPr>
          <m:deg/>
          <m:e>
            <m:r>
              <m:t>2</m:t>
            </m:r>
          </m:e>
        </m:rad>
      </m:oMath>
      <w:r>
        <w:rPr>
          <w:color w:val="3A4350"/>
          <w:sz w:val="15"/>
          <w:szCs w:val="15"/>
        </w:rPr>
        <w:t xml:space="preserve"> for every odd </w:t>
      </w:r>
      <m:oMath>
        <m:r>
          <m:t>n</m:t>
        </m:r>
      </m:oMath>
      <w:r>
        <w:rPr>
          <w:color w:val="3A4350"/>
          <w:sz w:val="15"/>
          <w:szCs w:val="15"/>
        </w:rPr>
        <w:t xml:space="preserve"> and tends to </w:t>
      </w:r>
      <m:oMath>
        <m:rad>
          <m:radPr>
            <m:degHide m:val="on"/>
          </m:radPr>
          <m:deg/>
          <m:e>
            <m:r>
              <m:t>2</m:t>
            </m:r>
          </m:e>
        </m:rad>
      </m:oMath>
      <w:r>
        <w:rPr>
          <w:color w:val="3A4350"/>
          <w:sz w:val="15"/>
          <w:szCs w:val="15"/>
        </w:rPr>
        <w:t xml:space="preserve"> as </w:t>
      </w:r>
      <m:oMath>
        <m:r>
          <m:t>n</m:t>
        </m:r>
      </m:oMath>
      <w:r>
        <w:rPr>
          <w:color w:val="3A4350"/>
          <w:sz w:val="15"/>
          <w:szCs w:val="15"/>
        </w:rPr>
        <w:t xml:space="preserve"> grows.</w:t>
      </w:r>
    </w:p>
    <w:p>
      <w:pPr>
        <w:spacing w:after="60"/>
        <w:jc w:val="both"/>
      </w:pPr>
      <w:r>
        <w:rPr>
          <w:b/>
          <w:bCs/>
          <w:color w:val="B4410C"/>
          <w:sz w:val="17"/>
          <w:szCs w:val="17"/>
        </w:rPr>
        <w:t xml:space="preserve">Link to the Fushë-Kuqe stakeholders. </w:t>
      </w:r>
      <w:r>
        <w:rPr>
          <w:sz w:val="17"/>
          <w:szCs w:val="17"/>
        </w:rPr>
        <w:t xml:space="preserve">Belongs to theme 4. Fushë-Kuqe stakeholders can be asked for their preferred pair (pumping at A1 and P10, recharge volume) and may exaggerate to pull the outcome their way. Taking the median separately for pumping and for recharge makes exaggeration useless, and with five delegates the loss against the total-distance compromise is at most a factor of about 1.20.</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identifies, among all deterministic, anonymous and strategyproof rules, the one with the best worst-case efficiency in two dimensions and gives its exact ratio, with lower-bound constructions. Follow-up work exists: a 2026 preprint reports proving the authors' conjecture for </w:t>
      </w:r>
      <m:oMath>
        <m:r>
          <m:t>p</m:t>
        </m:r>
        <m:r>
          <m:rPr>
            <m:sty m:val="p"/>
          </m:rPr>
          <m:t>≥</m:t>
        </m:r>
        <m:r>
          <m:t>2</m:t>
        </m:r>
      </m:oMath>
      <w:r>
        <w:rPr>
          <w:sz w:val="17"/>
          <w:szCs w:val="17"/>
        </w:rPr>
        <w:t xml:space="preserv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Costs are distances to ideal points and safety is ignored: the coordinate-wise median of pumping and recharge preferences may break the 10% chloride-exceedance rule. Strategyproof rules restricted to a chance-constrained feasible set, with their approximation ratios, are open and new for aquifers.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the exact worst-case ratio of the coordinate-wise median in two dimensions and its optimality among deterministic, anonymous, strategyproof mechanisms. Proposed extension: restrict reports to (pumping, recharge) pairs whose exceedance probability at A1 and P10 is at most 10% under the ensemble, test whether a median projected onto that set stays strategyproof, and compute its loss against the unanimity rule's choice before and after the A30 sample.</w:t>
      </w:r>
    </w:p>
    <w:p>
      <w:pPr>
        <w:keepNext/>
        <w:pBdr>
          <w:top w:val="single" w:color="B4410C" w:sz="6" w:space="4"/>
        </w:pBdr>
        <w:spacing w:after="60" w:before="220"/>
      </w:pPr>
      <w:r>
        <w:rPr>
          <w:b/>
          <w:bCs/>
          <w:color w:val="B4410C"/>
          <w:sz w:val="23"/>
          <w:szCs w:val="23"/>
        </w:rPr>
        <w:t xml:space="preserve">C3  </w:t>
      </w:r>
      <w:r>
        <w:rPr>
          <w:b/>
          <w:bCs/>
          <w:color w:val="1F3864"/>
          <w:sz w:val="23"/>
          <w:szCs w:val="23"/>
        </w:rPr>
        <w:t xml:space="preserve">The curious price of distributional robustness in reinforcement learning with a generative model</w:t>
      </w:r>
    </w:p>
    <w:p>
      <w:pPr>
        <w:keepNext/>
        <w:spacing w:after="60" w:line="240" w:lineRule="auto"/>
      </w:pPr>
      <w:r>
        <w:rPr>
          <w:b/>
          <w:bCs/>
          <w:color w:val="333B47"/>
          <w:sz w:val="15"/>
          <w:szCs w:val="15"/>
        </w:rPr>
        <w:t xml:space="preserve">Authors: </w:t>
      </w:r>
      <w:r>
        <w:rPr>
          <w:sz w:val="15"/>
          <w:szCs w:val="15"/>
        </w:rPr>
        <w:t xml:space="preserve">Laixi Shi, Gen Li, Yuting Wei, Yuxin Chen, Matthieu Geist, Yuejie Chi</w:t>
      </w:r>
      <w:r>
        <w:rPr>
          <w:sz w:val="15"/>
          <w:szCs w:val="15"/>
        </w:rPr>
        <w:t xml:space="preserve">   </w:t>
      </w:r>
      <w:r>
        <w:rPr>
          <w:b/>
          <w:bCs/>
          <w:color w:val="333B47"/>
          <w:sz w:val="15"/>
          <w:szCs w:val="15"/>
        </w:rPr>
        <w:t xml:space="preserve">Published in: </w:t>
      </w:r>
      <w:r>
        <w:rPr>
          <w:sz w:val="15"/>
          <w:szCs w:val="15"/>
        </w:rPr>
        <w:t xml:space="preserve">Advances in Neural Information Processing Systems 36 (NeurIPS 2023), main conference track (pages not verified)</w:t>
      </w:r>
      <w:r>
        <w:rPr>
          <w:sz w:val="15"/>
          <w:szCs w:val="15"/>
        </w:rPr>
        <w:t xml:space="preserve">   </w:t>
      </w:r>
      <w:r>
        <w:rPr>
          <w:b/>
          <w:bCs/>
          <w:color w:val="333B47"/>
          <w:sz w:val="15"/>
          <w:szCs w:val="15"/>
        </w:rPr>
        <w:t xml:space="preserve">Link: </w:t>
      </w:r>
      <w:hyperlink w:history="1" r:id="rId2xlqznzulvhioysmoz5ym">
        <w:r>
          <w:rPr>
            <w:color w:val="1D4ED8"/>
            <w:sz w:val="15"/>
            <w:szCs w:val="15"/>
            <w:u w:val="single"/>
          </w:rPr>
          <w:t xml:space="preserve">https://proceedings.neurips.cc/paper_files/paper/2023/hash/fc8ee7c7ab5b5f6b1615045dfb617ed6-Abstract.html</w:t>
        </w:r>
      </w:hyperlink>
    </w:p>
    <w:p>
      <w:pPr>
        <w:keepNext/>
        <w:spacing w:after="80" w:line="240" w:lineRule="auto"/>
      </w:pPr>
      <w:r>
        <w:rPr>
          <w:b/>
          <w:bCs/>
          <w:color w:val="333B47"/>
          <w:sz w:val="15"/>
          <w:szCs w:val="15"/>
        </w:rPr>
        <w:t xml:space="preserve">Affiliation: </w:t>
      </w:r>
      <w:r>
        <w:rPr>
          <w:color w:val="3A4350"/>
          <w:sz w:val="15"/>
          <w:szCs w:val="15"/>
        </w:rPr>
        <w:t xml:space="preserve">Laixi Shi: version 2 of arXiv 2305.16589 lists her at the California Institute of Technology (version 1 lists Carnegie Mellon, where the work began; version 3 of 2025 lists Johns Hopkins). The camera-ready NeurIPS affiliation was not seen; other authors' affiliations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B4410C"/>
          <w:sz w:val="17"/>
          <w:szCs w:val="17"/>
        </w:rPr>
        <w:t xml:space="preserve">Summary. </w:t>
      </w:r>
      <w:r>
        <w:rPr>
          <w:sz w:val="17"/>
          <w:szCs w:val="17"/>
        </w:rPr>
        <w:t xml:space="preserve">A robust policy should perform well whenever the true transition model lies within an uncertainty set of radius </w:t>
      </w:r>
      <m:oMath>
        <m:r>
          <m:t>σ</m:t>
        </m:r>
      </m:oMath>
      <w:r>
        <w:rPr>
          <w:sz w:val="17"/>
          <w:szCs w:val="17"/>
        </w:rPr>
        <w:t xml:space="preserve"> around a nominal model, but how many samples are needed to learn it? With a generative model, the paper analyses distributionally robust value iteration for sets defined by total variation (TV) or chi-square divergence, over the whole range of </w:t>
      </w:r>
      <m:oMath>
        <m:r>
          <m:t>σ</m:t>
        </m:r>
      </m:oMath>
      <w:r>
        <w:rPr>
          <w:sz w:val="17"/>
          <w:szCs w:val="17"/>
        </w:rPr>
        <w:t xml:space="preserve">, and derives minimax lower bounds. For TV the sample complexity is minimax optimal and always smaller than for standard MDPs; for chi-square it is tight up to polynomial factors of the effective horizon and grows linearly in </w:t>
      </w:r>
      <m:oMath>
        <m:r>
          <m:t>σ</m:t>
        </m:r>
      </m:oMath>
      <w:r>
        <w:rPr>
          <w:sz w:val="17"/>
          <w:szCs w:val="17"/>
        </w:rPr>
        <w:t xml:space="preserve"> as </w:t>
      </w:r>
      <m:oMath>
        <m:r>
          <m:t>σ</m:t>
        </m:r>
      </m:oMath>
      <w:r>
        <w:rPr>
          <w:sz w:val="17"/>
          <w:szCs w:val="17"/>
        </w:rPr>
        <w:t xml:space="preserve"> becomes large, far above the standard requirement.</w:t>
      </w:r>
    </w:p>
    <w:p>
      <w:pPr>
        <w:keepNext/>
        <w:spacing w:after="20" w:before="40"/>
      </w:pPr>
      <w:r>
        <w:rPr>
          <w:b/>
          <w:bCs/>
          <w:color w:val="B4410C"/>
          <w:sz w:val="17"/>
          <w:szCs w:val="17"/>
        </w:rPr>
        <w:t xml:space="preserve">Key equation.</w:t>
      </w:r>
      <w:r>
        <w:rPr>
          <w:i/>
          <w:iCs/>
          <w:color w:val="5B6573"/>
          <w:sz w:val="15"/>
          <w:szCs w:val="15"/>
        </w:rPr>
        <w:t xml:space="preserve">  Robust Bellman equation over a divergence ball around the nominal transition kernel (standard formulation, not transcribed)</w:t>
      </w:r>
    </w:p>
    <w:p>
      <w:pPr>
        <w:pStyle w:val="Equation"/>
      </w:pPr>
      <m:oMathPara>
        <m:oMathParaPr>
          <m:jc m:val="center"/>
        </m:oMathParaPr>
        <m:oMath>
          <m:sSup>
            <m:e>
              <m:r>
                <m:t>V</m:t>
              </m:r>
            </m:e>
            <m:sup>
              <m:r>
                <m:t>π</m:t>
              </m:r>
              <m:r>
                <m:rPr>
                  <m:sty m:val="p"/>
                </m:rPr>
                <m:t>,</m:t>
              </m:r>
              <m:r>
                <m:t>σ</m:t>
              </m:r>
            </m:sup>
          </m:sSup>
          <m:d>
            <m:dPr>
              <m:begChr m:val="("/>
              <m:sepChr m:val=""/>
              <m:endChr m:val=")"/>
              <m:grow/>
            </m:dPr>
            <m:e>
              <m:r>
                <m:t>s</m:t>
              </m:r>
            </m:e>
          </m:d>
          <m:r>
            <m:rPr>
              <m:sty m:val="p"/>
            </m:rPr>
            <m:t>=</m:t>
          </m:r>
          <m:sSub>
            <m:e>
              <m:r>
                <m:rPr>
                  <m:scr m:val="double-struck"/>
                  <m:sty m:val="p"/>
                </m:rPr>
                <m:t>E</m:t>
              </m:r>
            </m:e>
            <m:sub>
              <m:r>
                <m:t>a</m:t>
              </m:r>
              <m:r>
                <m:rPr>
                  <m:sty m:val="p"/>
                </m:rPr>
                <m:t>∼</m:t>
              </m:r>
              <m:r>
                <m:t>π</m:t>
              </m:r>
              <m:d>
                <m:dPr>
                  <m:begChr m:val="("/>
                  <m:sepChr m:val=""/>
                  <m:endChr m:val=")"/>
                  <m:grow/>
                </m:dPr>
                <m:e>
                  <m:r>
                    <m:t>s</m:t>
                  </m:r>
                </m:e>
              </m:d>
            </m:sub>
          </m:sSub>
          <m:d>
            <m:dPr>
              <m:begChr m:val="["/>
              <m:sepChr m:val=""/>
              <m:endChr m:val="]"/>
              <m:grow/>
            </m:dPr>
            <m:e>
              <m:r>
                <m:t>r</m:t>
              </m:r>
              <m:d>
                <m:dPr>
                  <m:begChr m:val="("/>
                  <m:sepChr m:val=""/>
                  <m:endChr m:val=")"/>
                  <m:grow/>
                </m:dPr>
                <m:e>
                  <m:r>
                    <m:t>s</m:t>
                  </m:r>
                  <m:r>
                    <m:rPr>
                      <m:sty m:val="p"/>
                    </m:rPr>
                    <m:t>,</m:t>
                  </m:r>
                  <m:r>
                    <m:t>a</m:t>
                  </m:r>
                </m:e>
              </m:d>
              <m:r>
                <m:rPr>
                  <m:sty m:val="p"/>
                </m:rPr>
                <m:t>+</m:t>
              </m:r>
              <m:r>
                <m:t>γ</m:t>
              </m:r>
              <m:limLow>
                <m:e>
                  <m:r>
                    <m:rPr>
                      <m:sty m:val="p"/>
                    </m:rPr>
                    <m:t>min</m:t>
                  </m:r>
                </m:e>
                <m:lim>
                  <m:r>
                    <m:t>P</m:t>
                  </m:r>
                  <m:r>
                    <m:rPr>
                      <m:sty m:val="p"/>
                    </m:rPr>
                    <m:t>∈</m:t>
                  </m:r>
                  <m:sSup>
                    <m:e>
                      <m:r>
                        <m:rPr>
                          <m:scr m:val="script"/>
                          <m:sty m:val="p"/>
                        </m:rPr>
                        <m:t>U</m:t>
                      </m:r>
                    </m:e>
                    <m:sup>
                      <m:r>
                        <m:t>σ</m:t>
                      </m:r>
                    </m:sup>
                  </m:sSup>
                  <m:d>
                    <m:dPr>
                      <m:begChr m:val="("/>
                      <m:sepChr m:val=""/>
                      <m:endChr m:val=")"/>
                      <m:grow/>
                    </m:dPr>
                    <m:e>
                      <m:sSubSup>
                        <m:e>
                          <m:r>
                            <m:t>P</m:t>
                          </m:r>
                        </m:e>
                        <m:sub>
                          <m:r>
                            <m:t>s</m:t>
                          </m:r>
                          <m:r>
                            <m:rPr>
                              <m:sty m:val="p"/>
                            </m:rPr>
                            <m:t>,</m:t>
                          </m:r>
                          <m:r>
                            <m:t>a</m:t>
                          </m:r>
                        </m:sub>
                        <m:sup>
                          <m:r>
                            <m:t>0</m:t>
                          </m:r>
                        </m:sup>
                      </m:sSubSup>
                    </m:e>
                  </m:d>
                </m:lim>
              </m:limLow>
              <m:r>
                <m:t>P</m:t>
              </m:r>
              <m:r>
                <m:t> </m:t>
              </m:r>
              <m:sSup>
                <m:e>
                  <m:r>
                    <m:t>V</m:t>
                  </m:r>
                </m:e>
                <m:sup>
                  <m:r>
                    <m:t>π</m:t>
                  </m:r>
                  <m:r>
                    <m:rPr>
                      <m:sty m:val="p"/>
                    </m:rPr>
                    <m:t>,</m:t>
                  </m:r>
                  <m:r>
                    <m:t>σ</m:t>
                  </m:r>
                </m:sup>
              </m:sSup>
            </m:e>
          </m:d>
        </m:oMath>
      </m:oMathPara>
    </w:p>
    <w:p>
      <w:pPr>
        <w:spacing w:after="60"/>
        <w:jc w:val="both"/>
      </w:pPr>
      <m:oMath>
        <m:sSup>
          <m:e>
            <m:r>
              <m:t>V</m:t>
            </m:r>
          </m:e>
          <m:sup>
            <m:r>
              <m:t>π</m:t>
            </m:r>
            <m:r>
              <m:rPr>
                <m:sty m:val="p"/>
              </m:rPr>
              <m:t>,</m:t>
            </m:r>
            <m:r>
              <m:t>σ</m:t>
            </m:r>
          </m:sup>
        </m:sSup>
      </m:oMath>
      <w:r>
        <w:rPr>
          <w:color w:val="3A4350"/>
          <w:sz w:val="15"/>
          <w:szCs w:val="15"/>
        </w:rPr>
        <w:t xml:space="preserve"> is the robust value of policy </w:t>
      </w:r>
      <m:oMath>
        <m:r>
          <m:t>π</m:t>
        </m:r>
      </m:oMath>
      <w:r>
        <w:rPr>
          <w:color w:val="3A4350"/>
          <w:sz w:val="15"/>
          <w:szCs w:val="15"/>
        </w:rPr>
        <w:t xml:space="preserve">, </w:t>
      </w:r>
      <m:oMath>
        <m:r>
          <m:t>r</m:t>
        </m:r>
      </m:oMath>
      <w:r>
        <w:rPr>
          <w:color w:val="3A4350"/>
          <w:sz w:val="15"/>
          <w:szCs w:val="15"/>
        </w:rPr>
        <w:t xml:space="preserve"> the reward, </w:t>
      </w:r>
      <m:oMath>
        <m:r>
          <m:t>γ</m:t>
        </m:r>
      </m:oMath>
      <w:r>
        <w:rPr>
          <w:color w:val="3A4350"/>
          <w:sz w:val="15"/>
          <w:szCs w:val="15"/>
        </w:rPr>
        <w:t xml:space="preserve"> the discount factor and </w:t>
      </w:r>
      <m:oMath>
        <m:sSup>
          <m:e>
            <m:r>
              <m:rPr>
                <m:scr m:val="script"/>
                <m:sty m:val="p"/>
              </m:rPr>
              <m:t>U</m:t>
            </m:r>
          </m:e>
          <m:sup>
            <m:r>
              <m:t>σ</m:t>
            </m:r>
          </m:sup>
        </m:sSup>
        <m:d>
          <m:dPr>
            <m:begChr m:val="("/>
            <m:sepChr m:val=""/>
            <m:endChr m:val=")"/>
            <m:grow/>
          </m:dPr>
          <m:e>
            <m:sSubSup>
              <m:e>
                <m:r>
                  <m:t>P</m:t>
                </m:r>
              </m:e>
              <m:sub>
                <m:r>
                  <m:t>s</m:t>
                </m:r>
                <m:r>
                  <m:rPr>
                    <m:sty m:val="p"/>
                  </m:rPr>
                  <m:t>,</m:t>
                </m:r>
                <m:r>
                  <m:t>a</m:t>
                </m:r>
              </m:sub>
              <m:sup>
                <m:r>
                  <m:t>0</m:t>
                </m:r>
              </m:sup>
            </m:sSubSup>
          </m:e>
        </m:d>
      </m:oMath>
      <w:r>
        <w:rPr>
          <w:color w:val="3A4350"/>
          <w:sz w:val="15"/>
          <w:szCs w:val="15"/>
        </w:rPr>
        <w:t xml:space="preserve"> the set of next-state distributions within TV distance or chi-square divergence </w:t>
      </w:r>
      <m:oMath>
        <m:r>
          <m:t>σ</m:t>
        </m:r>
      </m:oMath>
      <w:r>
        <w:rPr>
          <w:color w:val="3A4350"/>
          <w:sz w:val="15"/>
          <w:szCs w:val="15"/>
        </w:rPr>
        <w:t xml:space="preserve"> of the nominal </w:t>
      </w:r>
      <m:oMath>
        <m:sSubSup>
          <m:e>
            <m:r>
              <m:t>P</m:t>
            </m:r>
          </m:e>
          <m:sub>
            <m:r>
              <m:t>s</m:t>
            </m:r>
            <m:r>
              <m:rPr>
                <m:sty m:val="p"/>
              </m:rPr>
              <m:t>,</m:t>
            </m:r>
            <m:r>
              <m:t>a</m:t>
            </m:r>
          </m:sub>
          <m:sup>
            <m:r>
              <m:t>0</m:t>
            </m:r>
          </m:sup>
        </m:sSubSup>
      </m:oMath>
      <w:r>
        <w:rPr>
          <w:color w:val="3A4350"/>
          <w:sz w:val="15"/>
          <w:szCs w:val="15"/>
        </w:rPr>
        <w:t xml:space="preserve">, which is estimated from samples.</w:t>
      </w:r>
    </w:p>
    <w:p>
      <w:pPr>
        <w:spacing w:after="60"/>
        <w:jc w:val="both"/>
      </w:pPr>
      <w:r>
        <w:rPr>
          <w:b/>
          <w:bCs/>
          <w:color w:val="B4410C"/>
          <w:sz w:val="17"/>
          <w:szCs w:val="17"/>
        </w:rPr>
        <w:t xml:space="preserve">Link to the Fushë-Kuqe stakeholders. </w:t>
      </w:r>
      <w:r>
        <w:rPr>
          <w:sz w:val="17"/>
          <w:szCs w:val="17"/>
        </w:rPr>
        <w:t xml:space="preserve">Belongs to theme 2. If the Fushë-Kuqe unanimity rule is extended to every belief within a radius of the calibrated ensemble, the paper suggests the choice of divergence matters as much as the radius: a total-variation ball adds no data burden, whereas a chi-square ball of large radius can multiply the chloride samples needed for a reliable robust choice.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sharply how the size and the type of an ambiguity set change the data needed to learn a robust policy: robust learning is neither always harder nor always easier than standard learning. NeurIPS 2023 main track, with matching or near-matching lower bounds.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It assumes a generative model sampling every state and action, and a fixed radius. How the radius should shrink as targeted samples such as one at A30 arrive, and which sampling plan best stabilises a static pumping decision, are open; answers would size coastal monitoring.</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sample-complexity bounds for robust value iteration over the full range of </w:t>
      </w:r>
      <m:oMath>
        <m:r>
          <m:t>σ</m:t>
        </m:r>
      </m:oMath>
      <w:r>
        <w:rPr>
          <w:sz w:val="17"/>
          <w:szCs w:val="17"/>
        </w:rPr>
        <w:t xml:space="preserve"> with minimax lower bounds, separating TV from chi-square ambiguity. Proposed extension: take the weighted 20 000 draws as the nominal model, define TV and chi-square balls of radius </w:t>
      </w:r>
      <m:oMath>
        <m:r>
          <m:t>σ</m:t>
        </m:r>
      </m:oMath>
      <w:r>
        <w:rPr>
          <w:sz w:val="17"/>
          <w:szCs w:val="17"/>
        </w:rPr>
        <w:t xml:space="preserve"> around their weights, compute the largest pumping allowed by the 10% rule as a function of </w:t>
      </w:r>
      <m:oMath>
        <m:r>
          <m:t>σ</m:t>
        </m:r>
      </m:oMath>
      <w:r>
        <w:rPr>
          <w:sz w:val="17"/>
          <w:szCs w:val="17"/>
        </w:rPr>
        <w:t xml:space="preserve">, and bootstrap how many chloride samples are needed before the robust choice stabilises under each divergence.</w:t>
      </w:r>
    </w:p>
    <w:p>
      <w:pPr>
        <w:keepNext/>
        <w:pBdr>
          <w:top w:val="single" w:color="B4410C" w:sz="6" w:space="4"/>
        </w:pBdr>
        <w:spacing w:after="60" w:before="220"/>
      </w:pPr>
      <w:r>
        <w:rPr>
          <w:b/>
          <w:bCs/>
          <w:color w:val="B4410C"/>
          <w:sz w:val="23"/>
          <w:szCs w:val="23"/>
        </w:rPr>
        <w:t xml:space="preserve">C4  </w:t>
      </w:r>
      <w:r>
        <w:rPr>
          <w:b/>
          <w:bCs/>
          <w:color w:val="1F3864"/>
          <w:sz w:val="23"/>
          <w:szCs w:val="23"/>
        </w:rPr>
        <w:t xml:space="preserve">Risk-averse decision making under uncertainty</w:t>
      </w:r>
    </w:p>
    <w:p>
      <w:pPr>
        <w:keepNext/>
        <w:spacing w:after="60" w:line="240" w:lineRule="auto"/>
      </w:pPr>
      <w:r>
        <w:rPr>
          <w:b/>
          <w:bCs/>
          <w:color w:val="333B47"/>
          <w:sz w:val="15"/>
          <w:szCs w:val="15"/>
        </w:rPr>
        <w:t xml:space="preserve">Authors: </w:t>
      </w:r>
      <w:r>
        <w:rPr>
          <w:sz w:val="15"/>
          <w:szCs w:val="15"/>
        </w:rPr>
        <w:t xml:space="preserve">Mohamadreza Ahmadi, Ugo Rosolia, Michel D. Ingham, Richard M. Murray, Aaron D. Ames</w:t>
      </w:r>
      <w:r>
        <w:rPr>
          <w:sz w:val="15"/>
          <w:szCs w:val="15"/>
        </w:rPr>
        <w:t xml:space="preserve">   </w:t>
      </w:r>
      <w:r>
        <w:rPr>
          <w:b/>
          <w:bCs/>
          <w:color w:val="333B47"/>
          <w:sz w:val="15"/>
          <w:szCs w:val="15"/>
        </w:rPr>
        <w:t xml:space="preserve">Published in: </w:t>
      </w:r>
      <w:r>
        <w:rPr>
          <w:sz w:val="15"/>
          <w:szCs w:val="15"/>
        </w:rPr>
        <w:t xml:space="preserve">IEEE Transactions on Automatic Control, 69(1), 55–68 (2024)</w:t>
      </w:r>
      <w:r>
        <w:rPr>
          <w:sz w:val="15"/>
          <w:szCs w:val="15"/>
        </w:rPr>
        <w:t xml:space="preserve">   </w:t>
      </w:r>
      <w:r>
        <w:rPr>
          <w:b/>
          <w:bCs/>
          <w:color w:val="333B47"/>
          <w:sz w:val="15"/>
          <w:szCs w:val="15"/>
        </w:rPr>
        <w:t xml:space="preserve">Link: </w:t>
      </w:r>
      <w:hyperlink w:history="1" r:id="rIdsuopqmawboxcs3k2oi1-x">
        <w:r>
          <w:rPr>
            <w:color w:val="1D4ED8"/>
            <w:sz w:val="15"/>
            <w:szCs w:val="15"/>
            <w:u w:val="single"/>
          </w:rPr>
          <w:t xml:space="preserve">https://doi.org/10.1109/TAC.2023.3264178</w:t>
        </w:r>
      </w:hyperlink>
    </w:p>
    <w:p>
      <w:pPr>
        <w:keepNext/>
        <w:spacing w:after="80" w:line="240" w:lineRule="auto"/>
      </w:pPr>
      <w:r>
        <w:rPr>
          <w:b/>
          <w:bCs/>
          <w:color w:val="333B47"/>
          <w:sz w:val="15"/>
          <w:szCs w:val="15"/>
        </w:rPr>
        <w:t xml:space="preserve">Affiliation: </w:t>
      </w:r>
      <w:r>
        <w:rPr>
          <w:color w:val="3A4350"/>
          <w:sz w:val="15"/>
          <w:szCs w:val="15"/>
        </w:rPr>
        <w:t xml:space="preserve">Ahmadi, Rosolia, Murray and Ames: Control and Dynamical Systems, California Institute of Technology; Ingham: NASA Jet Propulsion Laboratory (front matter of arXiv 2109.04082 seen in a search result; CaltechAUTHORS record gcqax-8a355; Murray group wiki at Caltech).</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Policies that minimise expected cost are justified only when many repetitions average out; one-off, high-stakes decisions call for risk aversion. The paper designs policies for Markov decision processes (MDPs) and partially observable MDPs (POMDPs) whose objectives and constraints are dynamic coherent risk measures, the class that includes conditional value-at-risk. For MDPs, a Lagrangian reformulation gives a difference convex program, solved by disciplined convex–concave programming, which generalises the linear programs for constrained MDPs with expected costs. For POMDPs, risk measures with a Markov risk transition mapping lead to belief-based policies; with stochastic finite-state controllers the problem reduces to a finite-dimensional difference convex program inside a policy iteration algorithm.</w:t>
      </w:r>
    </w:p>
    <w:p>
      <w:pPr>
        <w:keepNext/>
        <w:spacing w:after="20" w:before="40"/>
      </w:pPr>
      <w:r>
        <w:rPr>
          <w:b/>
          <w:bCs/>
          <w:color w:val="B4410C"/>
          <w:sz w:val="17"/>
          <w:szCs w:val="17"/>
        </w:rPr>
        <w:t xml:space="preserve">Key equation.</w:t>
      </w:r>
      <w:r>
        <w:rPr>
          <w:i/>
          <w:iCs/>
          <w:color w:val="5B6573"/>
          <w:sz w:val="15"/>
          <w:szCs w:val="15"/>
        </w:rPr>
        <w:t xml:space="preserve">  Dual representation of a coherent risk measure and the risk-averse Bellman recursion built on it (representative formulation)</w:t>
      </w:r>
    </w:p>
    <w:p>
      <w:pPr>
        <w:pStyle w:val="Equation"/>
      </w:pPr>
      <m:oMathPara>
        <m:oMathParaPr>
          <m:jc m:val="center"/>
        </m:oMathParaPr>
        <m:oMath>
          <m:r>
            <m:t>ρ</m:t>
          </m:r>
          <m:d>
            <m:dPr>
              <m:begChr m:val="("/>
              <m:sepChr m:val=""/>
              <m:endChr m:val=")"/>
              <m:grow/>
            </m:dPr>
            <m:e>
              <m:r>
                <m:t>Z</m:t>
              </m:r>
            </m:e>
          </m:d>
          <m:r>
            <m:rPr>
              <m:sty m:val="p"/>
            </m:rPr>
            <m:t>=</m:t>
          </m:r>
          <m:limLow>
            <m:e>
              <m:r>
                <m:rPr>
                  <m:sty m:val="p"/>
                </m:rPr>
                <m:t>max</m:t>
              </m:r>
            </m:e>
            <m:lim>
              <m:r>
                <m:t>ξ</m:t>
              </m:r>
              <m:r>
                <m:rPr>
                  <m:sty m:val="p"/>
                </m:rPr>
                <m:t>∈</m:t>
              </m:r>
              <m:r>
                <m:rPr>
                  <m:scr m:val="script"/>
                  <m:sty m:val="p"/>
                </m:rPr>
                <m:t>Q</m:t>
              </m:r>
            </m:lim>
          </m:limLow>
          <m:sSub>
            <m:e>
              <m:r>
                <m:rPr>
                  <m:scr m:val="double-struck"/>
                  <m:sty m:val="p"/>
                </m:rPr>
                <m:t>E</m:t>
              </m:r>
            </m:e>
            <m:sub>
              <m:r>
                <m:t>ξ</m:t>
              </m:r>
            </m:sub>
          </m:sSub>
          <m:d>
            <m:dPr>
              <m:begChr m:val="["/>
              <m:sepChr m:val=""/>
              <m:endChr m:val="]"/>
              <m:grow/>
            </m:dPr>
            <m:e>
              <m:r>
                <m:t>Z</m:t>
              </m:r>
            </m:e>
          </m:d>
          <m:r>
            <m:rPr>
              <m:sty m:val="p"/>
            </m:rPr>
            <m:t>,</m:t>
          </m:r>
          <m:r>
            <m:t>  </m:t>
          </m:r>
          <m:r>
            <m:t>V</m:t>
          </m:r>
          <m:d>
            <m:dPr>
              <m:begChr m:val="("/>
              <m:sepChr m:val=""/>
              <m:endChr m:val=")"/>
              <m:grow/>
            </m:dPr>
            <m:e>
              <m:r>
                <m:t>s</m:t>
              </m:r>
            </m:e>
          </m:d>
          <m:r>
            <m:rPr>
              <m:sty m:val="p"/>
            </m:rPr>
            <m:t>=</m:t>
          </m:r>
          <m:limLow>
            <m:e>
              <m:r>
                <m:rPr>
                  <m:sty m:val="p"/>
                </m:rPr>
                <m:t>min</m:t>
              </m:r>
            </m:e>
            <m:lim>
              <m:r>
                <m:t>a</m:t>
              </m:r>
            </m:lim>
          </m:limLow>
          <m:d>
            <m:dPr>
              <m:begChr m:val="{"/>
              <m:sepChr m:val=""/>
              <m:endChr m:val="}"/>
              <m:grow/>
            </m:dPr>
            <m:e>
              <m:r>
                <m:t>c</m:t>
              </m:r>
              <m:d>
                <m:dPr>
                  <m:begChr m:val="("/>
                  <m:sepChr m:val=""/>
                  <m:endChr m:val=")"/>
                  <m:grow/>
                </m:dPr>
                <m:e>
                  <m:r>
                    <m:t>s</m:t>
                  </m:r>
                  <m:r>
                    <m:rPr>
                      <m:sty m:val="p"/>
                    </m:rPr>
                    <m:t>,</m:t>
                  </m:r>
                  <m:r>
                    <m:t>a</m:t>
                  </m:r>
                </m:e>
              </m:d>
              <m:r>
                <m:rPr>
                  <m:sty m:val="p"/>
                </m:rPr>
                <m:t>+</m:t>
              </m:r>
              <m:r>
                <m:t>γ</m:t>
              </m:r>
              <m:r>
                <m:t> </m:t>
              </m:r>
              <m:sSub>
                <m:e>
                  <m:r>
                    <m:t>ρ</m:t>
                  </m:r>
                </m:e>
                <m:sub>
                  <m:r>
                    <m:t>s</m:t>
                  </m:r>
                  <m:r>
                    <m:rPr>
                      <m:sty m:val="p"/>
                    </m:rPr>
                    <m:t>,</m:t>
                  </m:r>
                  <m:r>
                    <m:t>a</m:t>
                  </m:r>
                </m:sub>
              </m:sSub>
              <m:d>
                <m:dPr>
                  <m:begChr m:val="("/>
                  <m:sepChr m:val=""/>
                  <m:endChr m:val=")"/>
                  <m:grow/>
                </m:dPr>
                <m:e>
                  <m:r>
                    <m:t>V</m:t>
                  </m:r>
                  <m:d>
                    <m:dPr>
                      <m:begChr m:val="("/>
                      <m:sepChr m:val=""/>
                      <m:endChr m:val=")"/>
                      <m:grow/>
                    </m:dPr>
                    <m:e>
                      <m:r>
                        <m:t>s</m:t>
                      </m:r>
                      <m:r>
                        <m:rPr>
                          <m:sty m:val="p"/>
                        </m:rPr>
                        <m:t>′</m:t>
                      </m:r>
                    </m:e>
                  </m:d>
                </m:e>
              </m:d>
            </m:e>
          </m:d>
        </m:oMath>
      </m:oMathPara>
    </w:p>
    <w:p>
      <w:pPr>
        <w:spacing w:after="60"/>
        <w:jc w:val="both"/>
      </w:pPr>
      <m:oMath>
        <m:r>
          <m:t>Z</m:t>
        </m:r>
      </m:oMath>
      <w:r>
        <w:rPr>
          <w:color w:val="3A4350"/>
          <w:sz w:val="15"/>
          <w:szCs w:val="15"/>
        </w:rPr>
        <w:t xml:space="preserve"> is a random cost, </w:t>
      </w:r>
      <m:oMath>
        <m:r>
          <m:rPr>
            <m:scr m:val="script"/>
            <m:sty m:val="p"/>
          </m:rPr>
          <m:t>Q</m:t>
        </m:r>
      </m:oMath>
      <w:r>
        <w:rPr>
          <w:color w:val="3A4350"/>
          <w:sz w:val="15"/>
          <w:szCs w:val="15"/>
        </w:rPr>
        <w:t xml:space="preserve"> the ambiguity set of reweighted distributions that defines the coherent risk measure </w:t>
      </w:r>
      <m:oMath>
        <m:r>
          <m:t>ρ</m:t>
        </m:r>
      </m:oMath>
      <w:r>
        <w:rPr>
          <w:color w:val="3A4350"/>
          <w:sz w:val="15"/>
          <w:szCs w:val="15"/>
        </w:rPr>
        <w:t xml:space="preserve">, </w:t>
      </w:r>
      <m:oMath>
        <m:r>
          <m:t>c</m:t>
        </m:r>
        <m:d>
          <m:dPr>
            <m:begChr m:val="("/>
            <m:sepChr m:val=""/>
            <m:endChr m:val=")"/>
            <m:grow/>
          </m:dPr>
          <m:e>
            <m:r>
              <m:t>s</m:t>
            </m:r>
            <m:r>
              <m:rPr>
                <m:sty m:val="p"/>
              </m:rPr>
              <m:t>,</m:t>
            </m:r>
            <m:r>
              <m:t>a</m:t>
            </m:r>
          </m:e>
        </m:d>
      </m:oMath>
      <w:r>
        <w:rPr>
          <w:color w:val="3A4350"/>
          <w:sz w:val="15"/>
          <w:szCs w:val="15"/>
        </w:rPr>
        <w:t xml:space="preserve"> the stage cost, </w:t>
      </w:r>
      <m:oMath>
        <m:r>
          <m:t>γ</m:t>
        </m:r>
      </m:oMath>
      <w:r>
        <w:rPr>
          <w:color w:val="3A4350"/>
          <w:sz w:val="15"/>
          <w:szCs w:val="15"/>
        </w:rPr>
        <w:t xml:space="preserve"> a discount factor and </w:t>
      </w:r>
      <m:oMath>
        <m:sSub>
          <m:e>
            <m:r>
              <m:t>ρ</m:t>
            </m:r>
          </m:e>
          <m:sub>
            <m:r>
              <m:t>s</m:t>
            </m:r>
            <m:r>
              <m:rPr>
                <m:sty m:val="p"/>
              </m:rPr>
              <m:t>,</m:t>
            </m:r>
            <m:r>
              <m:t>a</m:t>
            </m:r>
          </m:sub>
        </m:sSub>
      </m:oMath>
      <w:r>
        <w:rPr>
          <w:color w:val="3A4350"/>
          <w:sz w:val="15"/>
          <w:szCs w:val="15"/>
        </w:rPr>
        <w:t xml:space="preserve"> the one-step risk of the next-state value </w:t>
      </w:r>
      <m:oMath>
        <m:r>
          <m:t>V</m:t>
        </m:r>
        <m:d>
          <m:dPr>
            <m:begChr m:val="("/>
            <m:sepChr m:val=""/>
            <m:endChr m:val=")"/>
            <m:grow/>
          </m:dPr>
          <m:e>
            <m:r>
              <m:t>s</m:t>
            </m:r>
            <m:r>
              <m:rPr>
                <m:sty m:val="p"/>
              </m:rPr>
              <m:t>′</m:t>
            </m:r>
          </m:e>
        </m:d>
      </m:oMath>
      <w:r>
        <w:rPr>
          <w:color w:val="3A4350"/>
          <w:sz w:val="15"/>
          <w:szCs w:val="15"/>
        </w:rPr>
        <w:t xml:space="preserve">; nesting </w:t>
      </w:r>
      <m:oMath>
        <m:r>
          <m:t>ρ</m:t>
        </m:r>
      </m:oMath>
      <w:r>
        <w:rPr>
          <w:color w:val="3A4350"/>
          <w:sz w:val="15"/>
          <w:szCs w:val="15"/>
        </w:rPr>
        <w:t xml:space="preserve"> over time gives a dynamic, time-consistent risk measure.</w:t>
      </w:r>
    </w:p>
    <w:p>
      <w:pPr>
        <w:spacing w:after="60"/>
        <w:jc w:val="both"/>
      </w:pPr>
      <w:r>
        <w:rPr>
          <w:b/>
          <w:bCs/>
          <w:color w:val="B4410C"/>
          <w:sz w:val="17"/>
          <w:szCs w:val="17"/>
        </w:rPr>
        <w:t xml:space="preserve">Link to the Fushë-Kuqe stakeholders. </w:t>
      </w:r>
      <w:r>
        <w:rPr>
          <w:sz w:val="17"/>
          <w:szCs w:val="17"/>
        </w:rPr>
        <w:t xml:space="preserve">Belongs to theme 2. Every coherent risk measure is a worst-case expectation over an ambiguity set, so each stakeholder's caution can be written as a set </w:t>
      </w:r>
      <m:oMath>
        <m:r>
          <m:rPr>
            <m:scr m:val="script"/>
            <m:sty m:val="p"/>
          </m:rPr>
          <m:t>Q</m:t>
        </m:r>
      </m:oMath>
      <w:r>
        <w:rPr>
          <w:sz w:val="17"/>
          <w:szCs w:val="17"/>
        </w:rPr>
        <w:t xml:space="preserve">. Fushë-Kuqe pumping and recharge are revised year by year with chloride only partly observed; the method gives policies that keep the risk of exceeding 250 mg/L under a cap at every stage.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constrained risk-averse planning, including partial observability, into difference convex programs that standard solvers handle, generalising the linear-programming approach to constrained MDPs. Published in IEEE Transactions on Automatic Control by Caltech's Control and Dynamical Systems group with NASA JPL, after an AAAI-21 conference version.</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method needs one agreed risk measure and a known POMDP. With five stakeholders whose ambiguity sets differ, a policy must satisfy all their risk constraints at once and decide whether to sample at A30; this multi-belief version is open and new for coastal aquifers.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Lagrangian difference convex programs for MDPs and POMDPs with dynamic coherent-risk objectives and constraints, solved within policy iteration over finite-state controllers. Proposed extension: build a small POMDP from the 20 000 draws (hidden mixing-zone width and recharge; observation: chloride at A30), give each stakeholder a coherent-risk constraint on exceedance at A1 and P10 over their own ambiguity set, and solve for one pumping and recharge controller meeting all five.</w:t>
      </w:r>
    </w:p>
    <w:p>
      <w:pPr>
        <w:keepNext/>
        <w:pBdr>
          <w:top w:val="single" w:color="B4410C" w:sz="6" w:space="4"/>
        </w:pBdr>
        <w:spacing w:after="60" w:before="220"/>
      </w:pPr>
      <w:r>
        <w:rPr>
          <w:b/>
          <w:bCs/>
          <w:color w:val="B4410C"/>
          <w:sz w:val="23"/>
          <w:szCs w:val="23"/>
        </w:rPr>
        <w:t xml:space="preserve">C5  </w:t>
      </w:r>
      <w:r>
        <w:rPr>
          <w:b/>
          <w:bCs/>
          <w:color w:val="1F3864"/>
          <w:sz w:val="23"/>
          <w:szCs w:val="23"/>
        </w:rPr>
        <w:t xml:space="preserve">Fairness and efficiency for allocations with participation constraints</w:t>
      </w:r>
    </w:p>
    <w:p>
      <w:pPr>
        <w:keepNext/>
        <w:spacing w:after="60" w:line="240" w:lineRule="auto"/>
      </w:pPr>
      <w:r>
        <w:rPr>
          <w:b/>
          <w:bCs/>
          <w:color w:val="333B47"/>
          <w:sz w:val="15"/>
          <w:szCs w:val="15"/>
        </w:rPr>
        <w:t xml:space="preserve">Authors: </w:t>
      </w:r>
      <w:r>
        <w:rPr>
          <w:sz w:val="15"/>
          <w:szCs w:val="15"/>
        </w:rPr>
        <w:t xml:space="preserve">Federico Echenique, Antonio Miralles, Jun Zhang</w:t>
      </w:r>
      <w:r>
        <w:rPr>
          <w:sz w:val="15"/>
          <w:szCs w:val="15"/>
        </w:rPr>
        <w:t xml:space="preserve">   </w:t>
      </w:r>
      <w:r>
        <w:rPr>
          <w:b/>
          <w:bCs/>
          <w:color w:val="333B47"/>
          <w:sz w:val="15"/>
          <w:szCs w:val="15"/>
        </w:rPr>
        <w:t xml:space="preserve">Published in: </w:t>
      </w:r>
      <w:r>
        <w:rPr>
          <w:sz w:val="15"/>
          <w:szCs w:val="15"/>
        </w:rPr>
        <w:t xml:space="preserve">Journal of Economic Theory, 195, article 105274 (July 2021)</w:t>
      </w:r>
      <w:r>
        <w:rPr>
          <w:sz w:val="15"/>
          <w:szCs w:val="15"/>
        </w:rPr>
        <w:t xml:space="preserve">   </w:t>
      </w:r>
      <w:r>
        <w:rPr>
          <w:b/>
          <w:bCs/>
          <w:color w:val="333B47"/>
          <w:sz w:val="15"/>
          <w:szCs w:val="15"/>
        </w:rPr>
        <w:t xml:space="preserve">Link: </w:t>
      </w:r>
      <w:hyperlink w:history="1" r:id="rIdva5a9ehjcl39ppvg2bu4r">
        <w:r>
          <w:rPr>
            <w:color w:val="1D4ED8"/>
            <w:sz w:val="15"/>
            <w:szCs w:val="15"/>
            <w:u w:val="single"/>
          </w:rPr>
          <w:t xml:space="preserve">https://doi.org/10.1016/j.jet.2021.105274</w:t>
        </w:r>
      </w:hyperlink>
    </w:p>
    <w:p>
      <w:pPr>
        <w:keepNext/>
        <w:spacing w:after="80" w:line="240" w:lineRule="auto"/>
      </w:pPr>
      <w:r>
        <w:rPr>
          <w:b/>
          <w:bCs/>
          <w:color w:val="333B47"/>
          <w:sz w:val="15"/>
          <w:szCs w:val="15"/>
        </w:rPr>
        <w:t xml:space="preserve">Affiliation: </w:t>
      </w:r>
      <w:r>
        <w:rPr>
          <w:color w:val="3A4350"/>
          <w:sz w:val="15"/>
          <w:szCs w:val="15"/>
        </w:rPr>
        <w:t xml:space="preserve">Federico Echenique, Caltech at the time of the work: the paper has a CaltechAUTHORS record (authors.library.caltech.edu/108297); a stamped JET copy is now on his Berkeley page. Division not shown in that record; Miralles and Zhang affiliations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When agents have different outside options or property rights, envy-freeness can clash with participation: removing Alice's envy of Bob may push Bob below his reservation utility. The paper defines justified envy as envy that could be remedied without violating any agent's participation constraint, and studies probabilistic allocations of indivisible goods. The main result shows that the absence of justified envy can be achieved together with efficiency and individual rationality. Such allocations arise as competitive equilibria of a pseudo-market in the style of Hylland and Zeckhauser, in which agents buy probability shares of goods at equilibrium prices. The notion is related to earlier ones by Yılmaz and by Athanassoglou and Sethuraman.</w:t>
      </w:r>
    </w:p>
    <w:p>
      <w:pPr>
        <w:keepNext/>
        <w:spacing w:after="20" w:before="40"/>
      </w:pPr>
      <w:r>
        <w:rPr>
          <w:b/>
          <w:bCs/>
          <w:color w:val="B4410C"/>
          <w:sz w:val="17"/>
          <w:szCs w:val="17"/>
        </w:rPr>
        <w:t xml:space="preserve">Key equation.</w:t>
      </w:r>
      <w:r>
        <w:rPr>
          <w:i/>
          <w:iCs/>
          <w:color w:val="5B6573"/>
          <w:sz w:val="15"/>
          <w:szCs w:val="15"/>
        </w:rPr>
        <w:t xml:space="preserve">  When envy is justified, relative to participation constraints (representative formulation of the paper's notion)</w:t>
      </w:r>
    </w:p>
    <w:p>
      <w:pPr>
        <w:pStyle w:val="Equation"/>
      </w:pPr>
      <m:oMathPara>
        <m:oMathParaPr>
          <m:jc m:val="center"/>
        </m:oMathParaPr>
        <m:oMath>
          <m:sSub>
            <m:e>
              <m:r>
                <m:t>u</m:t>
              </m:r>
            </m:e>
            <m:sub>
              <m:r>
                <m:t>i</m:t>
              </m:r>
            </m:sub>
          </m:sSub>
          <m:d>
            <m:dPr>
              <m:begChr m:val="("/>
              <m:sepChr m:val=""/>
              <m:endChr m:val=")"/>
              <m:grow/>
            </m:dPr>
            <m:e>
              <m:sSub>
                <m:e>
                  <m:r>
                    <m:t>x</m:t>
                  </m:r>
                </m:e>
                <m:sub>
                  <m:r>
                    <m:t>j</m:t>
                  </m:r>
                </m:sub>
              </m:sSub>
            </m:e>
          </m:d>
          <m:r>
            <m:rPr>
              <m:sty m:val="p"/>
            </m:rPr>
            <m:t>&gt;</m:t>
          </m:r>
          <m:sSub>
            <m:e>
              <m:r>
                <m:t>u</m:t>
              </m:r>
            </m:e>
            <m:sub>
              <m:r>
                <m:t>i</m:t>
              </m:r>
            </m:sub>
          </m:sSub>
          <m:d>
            <m:dPr>
              <m:begChr m:val="("/>
              <m:sepChr m:val=""/>
              <m:endChr m:val=")"/>
              <m:grow/>
            </m:dPr>
            <m:e>
              <m:sSub>
                <m:e>
                  <m:r>
                    <m:t>x</m:t>
                  </m:r>
                </m:e>
                <m:sub>
                  <m:r>
                    <m:t>i</m:t>
                  </m:r>
                </m:sub>
              </m:sSub>
            </m:e>
          </m:d>
          <m:r>
            <m:rPr>
              <m:nor/>
            </m:rPr>
            <m:t> is justified if </m:t>
          </m:r>
          <m:r>
            <m:rPr>
              <m:sty m:val="p"/>
            </m:rPr>
            <m:t>∃</m:t>
          </m:r>
          <m:r>
            <m:t> </m:t>
          </m:r>
          <m:r>
            <m:t>y</m:t>
          </m:r>
          <m:r>
            <m:rPr>
              <m:nor/>
            </m:rPr>
            <m:t> feasible</m:t>
          </m:r>
          <m:r>
            <m:rPr>
              <m:sty m:val="p"/>
            </m:rPr>
            <m:t>:</m:t>
          </m:r>
          <m:r>
            <m:t> </m:t>
          </m:r>
          <m:sSub>
            <m:e>
              <m:r>
                <m:t>u</m:t>
              </m:r>
            </m:e>
            <m:sub>
              <m:r>
                <m:t>i</m:t>
              </m:r>
            </m:sub>
          </m:sSub>
          <m:d>
            <m:dPr>
              <m:begChr m:val="("/>
              <m:sepChr m:val=""/>
              <m:endChr m:val=")"/>
              <m:grow/>
            </m:dPr>
            <m:e>
              <m:sSub>
                <m:e>
                  <m:r>
                    <m:t>y</m:t>
                  </m:r>
                </m:e>
                <m:sub>
                  <m:r>
                    <m:t>i</m:t>
                  </m:r>
                </m:sub>
              </m:sSub>
            </m:e>
          </m:d>
          <m:r>
            <m:rPr>
              <m:sty m:val="p"/>
            </m:rPr>
            <m:t>≥</m:t>
          </m:r>
          <m:sSub>
            <m:e>
              <m:r>
                <m:t>u</m:t>
              </m:r>
            </m:e>
            <m:sub>
              <m:r>
                <m:t>i</m:t>
              </m:r>
            </m:sub>
          </m:sSub>
          <m:d>
            <m:dPr>
              <m:begChr m:val="("/>
              <m:sepChr m:val=""/>
              <m:endChr m:val=")"/>
              <m:grow/>
            </m:dPr>
            <m:e>
              <m:sSub>
                <m:e>
                  <m:r>
                    <m:t>x</m:t>
                  </m:r>
                </m:e>
                <m:sub>
                  <m:r>
                    <m:t>j</m:t>
                  </m:r>
                </m:sub>
              </m:sSub>
            </m:e>
          </m:d>
          <m:r>
            <m:rPr>
              <m:sty m:val="p"/>
            </m:rPr>
            <m:t>,</m:t>
          </m:r>
          <m:r>
            <m:t> </m:t>
          </m:r>
          <m:sSub>
            <m:e>
              <m:r>
                <m:t>u</m:t>
              </m:r>
            </m:e>
            <m:sub>
              <m:r>
                <m:t>k</m:t>
              </m:r>
            </m:sub>
          </m:sSub>
          <m:d>
            <m:dPr>
              <m:begChr m:val="("/>
              <m:sepChr m:val=""/>
              <m:endChr m:val=")"/>
              <m:grow/>
            </m:dPr>
            <m:e>
              <m:sSub>
                <m:e>
                  <m:r>
                    <m:t>y</m:t>
                  </m:r>
                </m:e>
                <m:sub>
                  <m:r>
                    <m:t>k</m:t>
                  </m:r>
                </m:sub>
              </m:sSub>
            </m:e>
          </m:d>
          <m:r>
            <m:rPr>
              <m:sty m:val="p"/>
            </m:rPr>
            <m:t>≥</m:t>
          </m:r>
          <m:sSub>
            <m:e>
              <m:bar>
                <m:barPr>
                  <m:pos m:val="bot"/>
                </m:barPr>
                <m:e>
                  <m:r>
                    <m:t>u</m:t>
                  </m:r>
                </m:e>
              </m:bar>
            </m:e>
            <m:sub>
              <m:r>
                <m:t>k</m:t>
              </m:r>
            </m:sub>
          </m:sSub>
          <m:r>
            <m:rPr>
              <m:nor/>
            </m:rPr>
            <m:t> for all </m:t>
          </m:r>
          <m:r>
            <m:t>k</m:t>
          </m:r>
        </m:oMath>
      </m:oMathPara>
    </w:p>
    <w:p>
      <w:pPr>
        <w:spacing w:after="60"/>
        <w:jc w:val="both"/>
      </w:pPr>
      <m:oMath>
        <m:r>
          <m:t>x</m:t>
        </m:r>
      </m:oMath>
      <w:r>
        <w:rPr>
          <w:color w:val="3A4350"/>
          <w:sz w:val="15"/>
          <w:szCs w:val="15"/>
        </w:rPr>
        <w:t xml:space="preserve"> is the probabilistic allocation, </w:t>
      </w:r>
      <m:oMath>
        <m:sSub>
          <m:e>
            <m:r>
              <m:t>u</m:t>
            </m:r>
          </m:e>
          <m:sub>
            <m:r>
              <m:t>i</m:t>
            </m:r>
          </m:sub>
        </m:sSub>
      </m:oMath>
      <w:r>
        <w:rPr>
          <w:color w:val="3A4350"/>
          <w:sz w:val="15"/>
          <w:szCs w:val="15"/>
        </w:rPr>
        <w:t xml:space="preserve"> agent </w:t>
      </w:r>
      <m:oMath>
        <m:r>
          <m:t>i</m:t>
        </m:r>
      </m:oMath>
      <w:r>
        <w:rPr>
          <w:color w:val="3A4350"/>
          <w:sz w:val="15"/>
          <w:szCs w:val="15"/>
        </w:rPr>
        <w:t xml:space="preserve">'s expected utility, </w:t>
      </w:r>
      <m:oMath>
        <m:sSub>
          <m:e>
            <m:bar>
              <m:barPr>
                <m:pos m:val="bot"/>
              </m:barPr>
              <m:e>
                <m:r>
                  <m:t>u</m:t>
                </m:r>
              </m:e>
            </m:bar>
          </m:e>
          <m:sub>
            <m:r>
              <m:t>k</m:t>
            </m:r>
          </m:sub>
        </m:sSub>
      </m:oMath>
      <w:r>
        <w:rPr>
          <w:color w:val="3A4350"/>
          <w:sz w:val="15"/>
          <w:szCs w:val="15"/>
        </w:rPr>
        <w:t xml:space="preserve"> agent </w:t>
      </w:r>
      <m:oMath>
        <m:r>
          <m:t>k</m:t>
        </m:r>
      </m:oMath>
      <w:r>
        <w:rPr>
          <w:color w:val="3A4350"/>
          <w:sz w:val="15"/>
          <w:szCs w:val="15"/>
        </w:rPr>
        <w:t xml:space="preserve">'s reservation utility from her outside option and </w:t>
      </w:r>
      <m:oMath>
        <m:r>
          <m:t>y</m:t>
        </m:r>
      </m:oMath>
      <w:r>
        <w:rPr>
          <w:color w:val="3A4350"/>
          <w:sz w:val="15"/>
          <w:szCs w:val="15"/>
        </w:rPr>
        <w:t xml:space="preserve"> a feasible remedy; a fair allocation has no justified envy, and the theorem gives one that is also efficient and individually rational.</w:t>
      </w:r>
    </w:p>
    <w:p>
      <w:pPr>
        <w:spacing w:after="60"/>
        <w:jc w:val="both"/>
      </w:pPr>
      <w:r>
        <w:rPr>
          <w:b/>
          <w:bCs/>
          <w:color w:val="B4410C"/>
          <w:sz w:val="17"/>
          <w:szCs w:val="17"/>
        </w:rPr>
        <w:t xml:space="preserve">Link to the Fushë-Kuqe stakeholders. </w:t>
      </w:r>
      <w:r>
        <w:rPr>
          <w:sz w:val="17"/>
          <w:szCs w:val="17"/>
        </w:rPr>
        <w:t xml:space="preserve">Belongs to theme 4. Fushë-Kuqe stakeholders arrive with unequal entitlements: the utility's licensed pumping at A1 and P10, irrigators' customary wells, hotels' private wells. A unanimity rule acts as a participation constraint: nobody accepts less than their outside option. The pseudo-market still shares the safe pumping and recharge budget fairly, removing every envy curable without breaching an entitlement.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replaces envy-freeness, which can be impossible with outside options, by a weaker notion that always coexists with efficiency and participation, and supports it by a market mechanism. Published in the Journal of Economic Theory; a companion to the authors' AER paper on constrained pseudo-markets reviewed in review 57.</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Utilities are known and goods are fixed once assigned. When the shared good is the probability of chloride exceeding 250 mg/L and stakeholders disagree on that probability, existence of efficient allocations free of justified envy is open, and it would be new for aquifer allocation.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justified envy relative to participation constraints, and existence of efficient, individually rational allocations free of it through pseudo-market equilibrium. Proposed extension: treat shares of the 10% exceedance budget at A1 and P10 as the goods, set each stakeholder's reservation utility from present use, compute pseudo-market equilibria on the 20 000 draws, and check whether the unanimity rule's outcome of 3 × 5 000 m³/d recharge leaves justified envy.</w:t>
      </w:r>
    </w:p>
    <w:p>
      <w:pPr>
        <w:pStyle w:val="Heading1"/>
      </w:pPr>
      <w:r>
        <w:rPr>
          <w:color w:val="4D4D4F"/>
        </w:rPr>
        <w:t xml:space="preserve">6. Massachusetts Institute of Technology (MIT)</w:t>
      </w:r>
    </w:p>
    <w:p>
      <w:pPr>
        <w:spacing w:after="120"/>
        <w:jc w:val="both"/>
      </w:pPr>
      <w:r>
        <w:t xml:space="preserve">Five MIT papers. Tobias Sutter, Bart Van Parys and Daniel Kuhn prove a Pareto dominance principle for data-driven decisions [M1]; Dimitris Bertsimas, Dick den Hertog and Jean Pauphilet give probabilistic guarantees for robust optimisation [M2]; Drew Fudenberg, Giacomo Lanzani and Philipp Strack bound how fast misspecified Bayesian beliefs concentrate [M3]; Ali Jadbabaie, Anuran Makur, Elchanan Mossel and Rabih Salhab recover inherent opinions from declarations distorted by social pressure [M4]; and Omar Bennouna, Amine Bennouna, Saurabh Amin and Asuman Ozdaglar characterise which data suffice to decide optimally [M5].</w:t>
      </w:r>
    </w:p>
    <w:p>
      <w:pPr>
        <w:keepNext/>
        <w:pBdr>
          <w:top w:val="single" w:color="4D4D4F" w:sz="6" w:space="4"/>
        </w:pBdr>
        <w:spacing w:after="60" w:before="220"/>
      </w:pPr>
      <w:r>
        <w:rPr>
          <w:b/>
          <w:bCs/>
          <w:color w:val="4D4D4F"/>
          <w:sz w:val="23"/>
          <w:szCs w:val="23"/>
        </w:rPr>
        <w:t xml:space="preserve">M1  </w:t>
      </w:r>
      <w:r>
        <w:rPr>
          <w:b/>
          <w:bCs/>
          <w:color w:val="1F3864"/>
          <w:sz w:val="23"/>
          <w:szCs w:val="23"/>
        </w:rPr>
        <w:t xml:space="preserve">A Pareto Dominance Principle for Data-Driven Optimization</w:t>
      </w:r>
    </w:p>
    <w:p>
      <w:pPr>
        <w:keepNext/>
        <w:spacing w:after="60" w:line="240" w:lineRule="auto"/>
      </w:pPr>
      <w:r>
        <w:rPr>
          <w:b/>
          <w:bCs/>
          <w:color w:val="333B47"/>
          <w:sz w:val="15"/>
          <w:szCs w:val="15"/>
        </w:rPr>
        <w:t xml:space="preserve">Authors: </w:t>
      </w:r>
      <w:r>
        <w:rPr>
          <w:sz w:val="15"/>
          <w:szCs w:val="15"/>
        </w:rPr>
        <w:t xml:space="preserve">Tobias Sutter, Bart P. G. Van Parys, Daniel Kuhn</w:t>
      </w:r>
      <w:r>
        <w:rPr>
          <w:sz w:val="15"/>
          <w:szCs w:val="15"/>
        </w:rPr>
        <w:t xml:space="preserve">   </w:t>
      </w:r>
      <w:r>
        <w:rPr>
          <w:b/>
          <w:bCs/>
          <w:color w:val="333B47"/>
          <w:sz w:val="15"/>
          <w:szCs w:val="15"/>
        </w:rPr>
        <w:t xml:space="preserve">Published in: </w:t>
      </w:r>
      <w:r>
        <w:rPr>
          <w:sz w:val="15"/>
          <w:szCs w:val="15"/>
        </w:rPr>
        <w:t xml:space="preserve">Operations Research, 72(5), 1976–1999 (2024); arXiv 2010.06606</w:t>
      </w:r>
      <w:r>
        <w:rPr>
          <w:sz w:val="15"/>
          <w:szCs w:val="15"/>
        </w:rPr>
        <w:t xml:space="preserve">   </w:t>
      </w:r>
      <w:r>
        <w:rPr>
          <w:b/>
          <w:bCs/>
          <w:color w:val="333B47"/>
          <w:sz w:val="15"/>
          <w:szCs w:val="15"/>
        </w:rPr>
        <w:t xml:space="preserve">Link: </w:t>
      </w:r>
      <w:hyperlink w:history="1" r:id="rIdbqll89y8od1refktse_rx">
        <w:r>
          <w:rPr>
            <w:color w:val="1D4ED8"/>
            <w:sz w:val="15"/>
            <w:szCs w:val="15"/>
            <w:u w:val="single"/>
          </w:rPr>
          <w:t xml:space="preserve">https://doi.org/10.1287/opre.2021.0609</w:t>
        </w:r>
      </w:hyperlink>
    </w:p>
    <w:p>
      <w:pPr>
        <w:keepNext/>
        <w:spacing w:after="80" w:line="240" w:lineRule="auto"/>
      </w:pPr>
      <w:r>
        <w:rPr>
          <w:b/>
          <w:bCs/>
          <w:color w:val="333B47"/>
          <w:sz w:val="15"/>
          <w:szCs w:val="15"/>
        </w:rPr>
        <w:t xml:space="preserve">Affiliation: </w:t>
      </w:r>
      <w:r>
        <w:rPr>
          <w:color w:val="3A4350"/>
          <w:sz w:val="15"/>
          <w:szCs w:val="15"/>
        </w:rPr>
        <w:t xml:space="preserve">The University of Konstanz (KOPS) record lists the affiliations University of Konstanz, Massachusetts Institute of Technology and EPFL (search summary); an MIT ILP page lists Van Parys as Assistant Professor of Operations Research and Statistics at MIT. Van Parys, MIT; Kuhn, EPFL; Sutter, EPFL and later Konstanz (mapping of authors to institutions inferred from these records, departments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4D4D4F"/>
          <w:sz w:val="17"/>
          <w:szCs w:val="17"/>
        </w:rPr>
        <w:t xml:space="preserve">Summary. </w:t>
      </w:r>
      <w:r>
        <w:rPr>
          <w:sz w:val="17"/>
          <w:szCs w:val="17"/>
        </w:rPr>
        <w:t xml:space="preserve">A data-driven decision maps training data to an action and can always be written as the minimiser of a surrogate model built from data. The paper seeks decisions that minimise the in-sample risk subject to an upper bound on the out-of-sample disappointment (the probability that the true risk exceeds the surrogate's optimal value), simultaneously for every probability measure in the model. It proves that such Pareto-dominant decisions exist when the unknown measure lies in a parametric ambiguity set whose parameters admit a sufficient statistic satisfying a large deviation principle, and that the surrogate generating them must then be a distributionally robust problem. Neither convexity nor independent data is needed.</w:t>
      </w:r>
    </w:p>
    <w:p>
      <w:pPr>
        <w:keepNext/>
        <w:spacing w:after="20" w:before="40"/>
      </w:pPr>
      <w:r>
        <w:rPr>
          <w:b/>
          <w:bCs/>
          <w:color w:val="4D4D4F"/>
          <w:sz w:val="17"/>
          <w:szCs w:val="17"/>
        </w:rPr>
        <w:t xml:space="preserve">Key equation.</w:t>
      </w:r>
      <w:r>
        <w:rPr>
          <w:i/>
          <w:iCs/>
          <w:color w:val="5B6573"/>
          <w:sz w:val="15"/>
          <w:szCs w:val="15"/>
        </w:rPr>
        <w:t xml:space="preserve">  Optimal surrogate: worst-case risk over the parameters within large-deviation distance r of the observed sufficient statistic, and the disappointment it guarantees (representative formulation)</w:t>
      </w:r>
    </w:p>
    <w:p>
      <w:pPr>
        <w:pStyle w:val="Equation"/>
      </w:pPr>
      <m:oMathPara>
        <m:oMathParaPr>
          <m:jc m:val="center"/>
        </m:oMathParaPr>
        <m:oMath>
          <m:sSub>
            <m:e>
              <m:acc>
                <m:accPr>
                  <m:chr m:val="̂"/>
                </m:accPr>
                <m:e>
                  <m:r>
                    <m:t>J</m:t>
                  </m:r>
                </m:e>
              </m:acc>
            </m:e>
            <m:sub>
              <m:r>
                <m:t>r</m:t>
              </m:r>
            </m:sub>
          </m:sSub>
          <m:d>
            <m:dPr>
              <m:begChr m:val="("/>
              <m:sepChr m:val=""/>
              <m:endChr m:val=")"/>
              <m:grow/>
            </m:dPr>
            <m:e>
              <m:r>
                <m:t>x</m:t>
              </m:r>
              <m:r>
                <m:rPr>
                  <m:sty m:val="p"/>
                </m:rPr>
                <m:t>,</m:t>
              </m:r>
              <m:sSub>
                <m:e>
                  <m:acc>
                    <m:accPr>
                      <m:chr m:val="̂"/>
                    </m:accPr>
                    <m:e>
                      <m:r>
                        <m:t>s</m:t>
                      </m:r>
                    </m:e>
                  </m:acc>
                </m:e>
                <m:sub>
                  <m:r>
                    <m:t>T</m:t>
                  </m:r>
                </m:sub>
              </m:sSub>
            </m:e>
          </m:d>
          <m:r>
            <m:rPr>
              <m:sty m:val="p"/>
            </m:rPr>
            <m:t>=</m:t>
          </m:r>
          <m:limLow>
            <m:e>
              <m:r>
                <m:rPr>
                  <m:sty m:val="p"/>
                </m:rPr>
                <m:t>max</m:t>
              </m:r>
            </m:e>
            <m:lim>
              <m:r>
                <m:t>θ</m:t>
              </m:r>
              <m:r>
                <m:rPr>
                  <m:sty m:val="p"/>
                </m:rPr>
                <m:t>∈</m:t>
              </m:r>
              <m:r>
                <m:t>Θ</m:t>
              </m:r>
            </m:lim>
          </m:limLow>
          <m:d>
            <m:dPr>
              <m:begChr m:val="{"/>
              <m:sepChr m:val=""/>
              <m:endChr m:val="}"/>
              <m:grow/>
            </m:dPr>
            <m:e>
              <m:sSub>
                <m:e>
                  <m:r>
                    <m:rPr>
                      <m:scr m:val="double-struck"/>
                      <m:sty m:val="p"/>
                    </m:rPr>
                    <m:t>E</m:t>
                  </m:r>
                </m:e>
                <m:sub>
                  <m:sSub>
                    <m:e>
                      <m:r>
                        <m:t>P</m:t>
                      </m:r>
                    </m:e>
                    <m:sub>
                      <m:r>
                        <m:t>θ</m:t>
                      </m:r>
                    </m:sub>
                  </m:sSub>
                </m:sub>
              </m:sSub>
              <m:d>
                <m:dPr>
                  <m:begChr m:val="["/>
                  <m:sepChr m:val=""/>
                  <m:endChr m:val="]"/>
                  <m:grow/>
                </m:dPr>
                <m:e>
                  <m:r>
                    <m:rPr>
                      <m:sty m:val="p"/>
                    </m:rPr>
                    <m:t>ℓ</m:t>
                  </m:r>
                  <m:d>
                    <m:dPr>
                      <m:begChr m:val="("/>
                      <m:sepChr m:val=""/>
                      <m:endChr m:val=")"/>
                      <m:grow/>
                    </m:dPr>
                    <m:e>
                      <m:r>
                        <m:t>x</m:t>
                      </m:r>
                      <m:r>
                        <m:rPr>
                          <m:sty m:val="p"/>
                        </m:rPr>
                        <m:t>,</m:t>
                      </m:r>
                      <m:r>
                        <m:t>ξ</m:t>
                      </m:r>
                    </m:e>
                  </m:d>
                </m:e>
              </m:d>
              <m:r>
                <m:rPr>
                  <m:sty m:val="p"/>
                </m:rPr>
                <m:t>:</m:t>
              </m:r>
              <m:r>
                <m:t>I</m:t>
              </m:r>
              <m:d>
                <m:dPr>
                  <m:begChr m:val="("/>
                  <m:sepChr m:val=""/>
                  <m:endChr m:val=")"/>
                  <m:grow/>
                </m:dPr>
                <m:e>
                  <m:sSub>
                    <m:e>
                      <m:acc>
                        <m:accPr>
                          <m:chr m:val="̂"/>
                        </m:accPr>
                        <m:e>
                          <m:r>
                            <m:t>s</m:t>
                          </m:r>
                        </m:e>
                      </m:acc>
                    </m:e>
                    <m:sub>
                      <m:r>
                        <m:t>T</m:t>
                      </m:r>
                    </m:sub>
                  </m:sSub>
                  <m:r>
                    <m:rPr>
                      <m:sty m:val="p"/>
                    </m:rPr>
                    <m:t>,</m:t>
                  </m:r>
                  <m:r>
                    <m:t>θ</m:t>
                  </m:r>
                </m:e>
              </m:d>
              <m:r>
                <m:rPr>
                  <m:sty m:val="p"/>
                </m:rPr>
                <m:t>≤</m:t>
              </m:r>
              <m:r>
                <m:t>r</m:t>
              </m:r>
            </m:e>
          </m:d>
          <m:r>
            <m:rPr>
              <m:sty m:val="p"/>
            </m:rPr>
            <m:t>,</m:t>
          </m:r>
          <m:r>
            <m:t>  </m:t>
          </m:r>
          <m:sSub>
            <m:e>
              <m:r>
                <m:rPr>
                  <m:scr m:val="double-struck"/>
                  <m:sty m:val="p"/>
                </m:rPr>
                <m:t>P</m:t>
              </m:r>
            </m:e>
            <m:sub>
              <m:r>
                <m:t>θ</m:t>
              </m:r>
            </m:sub>
          </m:sSub>
          <m:d>
            <m:dPr>
              <m:begChr m:val="("/>
              <m:sepChr m:val=""/>
              <m:endChr m:val=")"/>
              <m:grow/>
            </m:dPr>
            <m:e>
              <m:r>
                <m:t>J</m:t>
              </m:r>
              <m:d>
                <m:dPr>
                  <m:begChr m:val="("/>
                  <m:sepChr m:val=""/>
                  <m:endChr m:val=")"/>
                  <m:grow/>
                </m:dPr>
                <m:e>
                  <m:sSub>
                    <m:e>
                      <m:acc>
                        <m:accPr>
                          <m:chr m:val="̂"/>
                        </m:accPr>
                        <m:e>
                          <m:r>
                            <m:t>x</m:t>
                          </m:r>
                        </m:e>
                      </m:acc>
                    </m:e>
                    <m:sub>
                      <m:r>
                        <m:t>T</m:t>
                      </m:r>
                    </m:sub>
                  </m:sSub>
                  <m:r>
                    <m:rPr>
                      <m:sty m:val="p"/>
                    </m:rPr>
                    <m:t>,</m:t>
                  </m:r>
                  <m:r>
                    <m:t>θ</m:t>
                  </m:r>
                </m:e>
              </m:d>
              <m:r>
                <m:rPr>
                  <m:sty m:val="p"/>
                </m:rPr>
                <m:t>&gt;</m:t>
              </m:r>
              <m:sSub>
                <m:e>
                  <m:acc>
                    <m:accPr>
                      <m:chr m:val="̂"/>
                    </m:accPr>
                    <m:e>
                      <m:r>
                        <m:t>J</m:t>
                      </m:r>
                    </m:e>
                  </m:acc>
                </m:e>
                <m:sub>
                  <m:r>
                    <m:t>r</m:t>
                  </m:r>
                </m:sub>
              </m:sSub>
              <m:d>
                <m:dPr>
                  <m:begChr m:val="("/>
                  <m:sepChr m:val=""/>
                  <m:endChr m:val=")"/>
                  <m:grow/>
                </m:dPr>
                <m:e>
                  <m:sSub>
                    <m:e>
                      <m:acc>
                        <m:accPr>
                          <m:chr m:val="̂"/>
                        </m:accPr>
                        <m:e>
                          <m:r>
                            <m:t>x</m:t>
                          </m:r>
                        </m:e>
                      </m:acc>
                    </m:e>
                    <m:sub>
                      <m:r>
                        <m:t>T</m:t>
                      </m:r>
                    </m:sub>
                  </m:sSub>
                  <m:r>
                    <m:rPr>
                      <m:sty m:val="p"/>
                    </m:rPr>
                    <m:t>,</m:t>
                  </m:r>
                  <m:sSub>
                    <m:e>
                      <m:acc>
                        <m:accPr>
                          <m:chr m:val="̂"/>
                        </m:accPr>
                        <m:e>
                          <m:r>
                            <m:t>s</m:t>
                          </m:r>
                        </m:e>
                      </m:acc>
                    </m:e>
                    <m:sub>
                      <m:r>
                        <m:t>T</m:t>
                      </m:r>
                    </m:sub>
                  </m:sSub>
                </m:e>
              </m:d>
            </m:e>
          </m:d>
          <m:r>
            <m:rPr>
              <m:sty m:val="p"/>
            </m:rPr>
            <m:t>≤</m:t>
          </m:r>
          <m:sSup>
            <m:e>
              <m:r>
                <m:t>e</m:t>
              </m:r>
            </m:e>
            <m:sup>
              <m:r>
                <m:rPr>
                  <m:sty m:val="p"/>
                </m:rPr>
                <m:t>−</m:t>
              </m:r>
              <m:r>
                <m:t>r</m:t>
              </m:r>
              <m:r>
                <m:t>T</m:t>
              </m:r>
              <m:r>
                <m:rPr>
                  <m:sty m:val="p"/>
                </m:rPr>
                <m:t>+</m:t>
              </m:r>
              <m:r>
                <m:t>o</m:t>
              </m:r>
              <m:d>
                <m:dPr>
                  <m:begChr m:val="("/>
                  <m:sepChr m:val=""/>
                  <m:endChr m:val=")"/>
                  <m:grow/>
                </m:dPr>
                <m:e>
                  <m:r>
                    <m:t>T</m:t>
                  </m:r>
                </m:e>
              </m:d>
            </m:sup>
          </m:sSup>
        </m:oMath>
      </m:oMathPara>
    </w:p>
    <w:p>
      <w:pPr>
        <w:spacing w:after="60"/>
        <w:jc w:val="both"/>
      </w:pPr>
      <m:oMath>
        <m:sSub>
          <m:e>
            <m:acc>
              <m:accPr>
                <m:chr m:val="̂"/>
              </m:accPr>
              <m:e>
                <m:r>
                  <m:t>s</m:t>
                </m:r>
              </m:e>
            </m:acc>
          </m:e>
          <m:sub>
            <m:r>
              <m:t>T</m:t>
            </m:r>
          </m:sub>
        </m:sSub>
      </m:oMath>
      <w:r>
        <w:rPr>
          <w:color w:val="3A4350"/>
          <w:sz w:val="15"/>
          <w:szCs w:val="15"/>
        </w:rPr>
        <w:t xml:space="preserve"> is the sufficient statistic of </w:t>
      </w:r>
      <m:oMath>
        <m:r>
          <m:t>T</m:t>
        </m:r>
      </m:oMath>
      <w:r>
        <w:rPr>
          <w:color w:val="3A4350"/>
          <w:sz w:val="15"/>
          <w:szCs w:val="15"/>
        </w:rPr>
        <w:t xml:space="preserve"> observations, </w:t>
      </w:r>
      <m:oMath>
        <m:r>
          <m:t>I</m:t>
        </m:r>
        <m:d>
          <m:dPr>
            <m:begChr m:val="("/>
            <m:sepChr m:val=""/>
            <m:endChr m:val=")"/>
            <m:grow/>
          </m:dPr>
          <m:e>
            <m:r>
              <m:t>s</m:t>
            </m:r>
            <m:r>
              <m:rPr>
                <m:sty m:val="p"/>
              </m:rPr>
              <m:t>,</m:t>
            </m:r>
            <m:r>
              <m:t>θ</m:t>
            </m:r>
          </m:e>
        </m:d>
      </m:oMath>
      <w:r>
        <w:rPr>
          <w:color w:val="3A4350"/>
          <w:sz w:val="15"/>
          <w:szCs w:val="15"/>
        </w:rPr>
        <w:t xml:space="preserve"> the rate function of its large deviation principle under </w:t>
      </w:r>
      <m:oMath>
        <m:sSub>
          <m:e>
            <m:r>
              <m:t>P</m:t>
            </m:r>
          </m:e>
          <m:sub>
            <m:r>
              <m:t>θ</m:t>
            </m:r>
          </m:sub>
        </m:sSub>
      </m:oMath>
      <w:r>
        <w:rPr>
          <w:color w:val="3A4350"/>
          <w:sz w:val="15"/>
          <w:szCs w:val="15"/>
        </w:rPr>
        <w:t xml:space="preserve">, </w:t>
      </w:r>
      <m:oMath>
        <m:r>
          <m:rPr>
            <m:sty m:val="p"/>
          </m:rPr>
          <m:t>ℓ</m:t>
        </m:r>
        <m:d>
          <m:dPr>
            <m:begChr m:val="("/>
            <m:sepChr m:val=""/>
            <m:endChr m:val=")"/>
            <m:grow/>
          </m:dPr>
          <m:e>
            <m:r>
              <m:t>x</m:t>
            </m:r>
            <m:r>
              <m:rPr>
                <m:sty m:val="p"/>
              </m:rPr>
              <m:t>,</m:t>
            </m:r>
            <m:r>
              <m:t>ξ</m:t>
            </m:r>
          </m:e>
        </m:d>
      </m:oMath>
      <w:r>
        <w:rPr>
          <w:color w:val="3A4350"/>
          <w:sz w:val="15"/>
          <w:szCs w:val="15"/>
        </w:rPr>
        <w:t xml:space="preserve"> the loss of action </w:t>
      </w:r>
      <m:oMath>
        <m:r>
          <m:t>x</m:t>
        </m:r>
      </m:oMath>
      <w:r>
        <w:rPr>
          <w:color w:val="3A4350"/>
          <w:sz w:val="15"/>
          <w:szCs w:val="15"/>
        </w:rPr>
        <w:t xml:space="preserve">, </w:t>
      </w:r>
      <m:oMath>
        <m:r>
          <m:t>J</m:t>
        </m:r>
        <m:d>
          <m:dPr>
            <m:begChr m:val="("/>
            <m:sepChr m:val=""/>
            <m:endChr m:val=")"/>
            <m:grow/>
          </m:dPr>
          <m:e>
            <m:r>
              <m:t>x</m:t>
            </m:r>
            <m:r>
              <m:rPr>
                <m:sty m:val="p"/>
              </m:rPr>
              <m:t>,</m:t>
            </m:r>
            <m:r>
              <m:t>θ</m:t>
            </m:r>
          </m:e>
        </m:d>
      </m:oMath>
      <w:r>
        <w:rPr>
          <w:color w:val="3A4350"/>
          <w:sz w:val="15"/>
          <w:szCs w:val="15"/>
        </w:rPr>
        <w:t xml:space="preserve"> its true risk, </w:t>
      </w:r>
      <m:oMath>
        <m:sSub>
          <m:e>
            <m:acc>
              <m:accPr>
                <m:chr m:val="̂"/>
              </m:accPr>
              <m:e>
                <m:r>
                  <m:t>x</m:t>
                </m:r>
              </m:e>
            </m:acc>
          </m:e>
          <m:sub>
            <m:r>
              <m:t>T</m:t>
            </m:r>
          </m:sub>
        </m:sSub>
      </m:oMath>
      <w:r>
        <w:rPr>
          <w:color w:val="3A4350"/>
          <w:sz w:val="15"/>
          <w:szCs w:val="15"/>
        </w:rPr>
        <w:t xml:space="preserve"> the minimiser of </w:t>
      </w:r>
      <m:oMath>
        <m:sSub>
          <m:e>
            <m:acc>
              <m:accPr>
                <m:chr m:val="̂"/>
              </m:accPr>
              <m:e>
                <m:r>
                  <m:t>J</m:t>
                </m:r>
              </m:e>
            </m:acc>
          </m:e>
          <m:sub>
            <m:r>
              <m:t>r</m:t>
            </m:r>
          </m:sub>
        </m:sSub>
      </m:oMath>
      <w:r>
        <w:rPr>
          <w:color w:val="3A4350"/>
          <w:sz w:val="15"/>
          <w:szCs w:val="15"/>
        </w:rPr>
        <w:t xml:space="preserve"> and </w:t>
      </w:r>
      <m:oMath>
        <m:r>
          <m:t>r</m:t>
        </m:r>
      </m:oMath>
      <w:r>
        <w:rPr>
          <w:color w:val="3A4350"/>
          <w:sz w:val="15"/>
          <w:szCs w:val="15"/>
        </w:rPr>
        <w:t xml:space="preserve"> the decay rate demanded of the disappointment.</w:t>
      </w:r>
    </w:p>
    <w:p>
      <w:pPr>
        <w:spacing w:after="60"/>
        <w:jc w:val="both"/>
      </w:pPr>
      <w:r>
        <w:rPr>
          <w:b/>
          <w:bCs/>
          <w:color w:val="4D4D4F"/>
          <w:sz w:val="17"/>
          <w:szCs w:val="17"/>
        </w:rPr>
        <w:t xml:space="preserve">Link to the Fushë-Kuqe stakeholders. </w:t>
      </w:r>
      <w:r>
        <w:rPr>
          <w:sz w:val="17"/>
          <w:szCs w:val="17"/>
        </w:rPr>
        <w:t xml:space="preserve">Belongs to theme 2. The chloride record at A1, P10 and later A30 is a correlated series. The paper says the least conservative pumping-and-recharge choice with a guaranteed small chance of disappointment optimises against the worst parameters (mixing-zone width, recharge) within large-deviation distance </w:t>
      </w:r>
      <m:oMath>
        <m:r>
          <m:t>r</m:t>
        </m:r>
      </m:oMath>
      <w:r>
        <w:rPr>
          <w:sz w:val="17"/>
          <w:szCs w:val="17"/>
        </w:rPr>
        <w:t xml:space="preserve"> of the observed statistic: </w:t>
      </w:r>
      <m:oMath>
        <m:r>
          <m:t>r</m:t>
        </m:r>
      </m:oMath>
      <w:r>
        <w:rPr>
          <w:sz w:val="17"/>
          <w:szCs w:val="17"/>
        </w:rPr>
        <w:t xml:space="preserve"> is the radius of belief the review asks for.</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extends the result that distributionally robust optimisation is optimal (Van Parys, Mohajerin Esfahani and Kuhn, review 57) from independent samples to any data process with a sufficient statistic obeying a large deviation principle, and shows how that process shapes the optimal ambiguity set. Published in Operations Research.</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principle is proved for one decision maker with one demanded rate </w:t>
      </w:r>
      <m:oMath>
        <m:r>
          <m:t>r</m:t>
        </m:r>
      </m:oMath>
      <w:r>
        <w:rPr>
          <w:sz w:val="17"/>
          <w:szCs w:val="17"/>
        </w:rPr>
        <w:t xml:space="preserve">. Whether a single Pareto-dominant pumping rate exists when six stakeholders demand different rates and losses, and how </w:t>
      </w:r>
      <m:oMath>
        <m:r>
          <m:t>r</m:t>
        </m:r>
      </m:oMath>
      <w:r>
        <w:rPr>
          <w:sz w:val="17"/>
          <w:szCs w:val="17"/>
        </w:rPr>
        <w:t xml:space="preserve"> maps to the 10% chloride threshold,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existence of decisions Pareto-dominant in in-sample risk and out-of-sample disappointment, and proof that their surrogate must be robust over a rate-function ball, for dependent data too. Proposed extension: treat the A1, P10 and A30 chloride records as a sufficient statistic for the two disputed drivers under the 20 000-draw model, compute each stakeholder's ball for its tolerated disappointment, and admit a pumping rate only if it is optimal for every ball.</w:t>
      </w:r>
    </w:p>
    <w:p>
      <w:pPr>
        <w:keepNext/>
        <w:pBdr>
          <w:top w:val="single" w:color="4D4D4F" w:sz="6" w:space="4"/>
        </w:pBdr>
        <w:spacing w:after="60" w:before="220"/>
      </w:pPr>
      <w:r>
        <w:rPr>
          <w:b/>
          <w:bCs/>
          <w:color w:val="4D4D4F"/>
          <w:sz w:val="23"/>
          <w:szCs w:val="23"/>
        </w:rPr>
        <w:t xml:space="preserve">M2  </w:t>
      </w:r>
      <w:r>
        <w:rPr>
          <w:b/>
          <w:bCs/>
          <w:color w:val="1F3864"/>
          <w:sz w:val="23"/>
          <w:szCs w:val="23"/>
        </w:rPr>
        <w:t xml:space="preserve">Probabilistic Guarantees in Robust Optimization</w:t>
      </w:r>
    </w:p>
    <w:p>
      <w:pPr>
        <w:keepNext/>
        <w:spacing w:after="60" w:line="240" w:lineRule="auto"/>
      </w:pPr>
      <w:r>
        <w:rPr>
          <w:b/>
          <w:bCs/>
          <w:color w:val="333B47"/>
          <w:sz w:val="15"/>
          <w:szCs w:val="15"/>
        </w:rPr>
        <w:t xml:space="preserve">Authors: </w:t>
      </w:r>
      <w:r>
        <w:rPr>
          <w:sz w:val="15"/>
          <w:szCs w:val="15"/>
        </w:rPr>
        <w:t xml:space="preserve">Dimitris Bertsimas, Dick den Hertog, Jean Pauphilet</w:t>
      </w:r>
      <w:r>
        <w:rPr>
          <w:sz w:val="15"/>
          <w:szCs w:val="15"/>
        </w:rPr>
        <w:t xml:space="preserve">   </w:t>
      </w:r>
      <w:r>
        <w:rPr>
          <w:b/>
          <w:bCs/>
          <w:color w:val="333B47"/>
          <w:sz w:val="15"/>
          <w:szCs w:val="15"/>
        </w:rPr>
        <w:t xml:space="preserve">Published in: </w:t>
      </w:r>
      <w:r>
        <w:rPr>
          <w:sz w:val="15"/>
          <w:szCs w:val="15"/>
        </w:rPr>
        <w:t xml:space="preserve">SIAM Journal on Optimization, 31(4), 2893–2920 (2021)</w:t>
      </w:r>
      <w:r>
        <w:rPr>
          <w:sz w:val="15"/>
          <w:szCs w:val="15"/>
        </w:rPr>
        <w:t xml:space="preserve">   </w:t>
      </w:r>
      <w:r>
        <w:rPr>
          <w:b/>
          <w:bCs/>
          <w:color w:val="333B47"/>
          <w:sz w:val="15"/>
          <w:szCs w:val="15"/>
        </w:rPr>
        <w:t xml:space="preserve">Link: </w:t>
      </w:r>
      <w:hyperlink w:history="1" r:id="rId426jqq1k2u4hecq3zxoq9">
        <w:r>
          <w:rPr>
            <w:color w:val="1D4ED8"/>
            <w:sz w:val="15"/>
            <w:szCs w:val="15"/>
            <w:u w:val="single"/>
          </w:rPr>
          <w:t xml:space="preserve">https://doi.org/10.1137/21M1390967</w:t>
        </w:r>
      </w:hyperlink>
    </w:p>
    <w:p>
      <w:pPr>
        <w:keepNext/>
        <w:spacing w:after="80" w:line="240" w:lineRule="auto"/>
      </w:pPr>
      <w:r>
        <w:rPr>
          <w:b/>
          <w:bCs/>
          <w:color w:val="333B47"/>
          <w:sz w:val="15"/>
          <w:szCs w:val="15"/>
        </w:rPr>
        <w:t xml:space="preserve">Affiliation: </w:t>
      </w:r>
      <w:r>
        <w:rPr>
          <w:color w:val="3A4350"/>
          <w:sz w:val="15"/>
          <w:szCs w:val="15"/>
        </w:rPr>
        <w:t xml:space="preserve">Dimitris Bertsimas, MIT (the published article is deposited in DSpace@MIT, handle 1721.1/144076); Dick den Hertog, University of Amsterdam (record in the UvA repository); Jean Pauphilet, London Business School (LBS Research Online record). Departments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4D4D4F"/>
          <w:sz w:val="17"/>
          <w:szCs w:val="17"/>
        </w:rPr>
        <w:t xml:space="preserve">Summary. </w:t>
      </w:r>
      <w:r>
        <w:rPr>
          <w:sz w:val="17"/>
          <w:szCs w:val="17"/>
        </w:rPr>
        <w:t xml:space="preserve">Robust optimisation enforces a constraint for every realisation of the uncertainty in a set; the practical question is how large the set must be for the constraint to hold with high probability. The paper gives a priori guarantees for any convex compact uncertainty set and any constraint affected by the uncertainty in a concave manner, assuming only that the noise coordinates are sub-Gaussian, not necessarily independent. It defines a robust complexity of the set, an analogue of the Rademacher and Gaussian complexities of high-dimensional statistics, which links the set's geometry to the violation probability, and derives tighter a posteriori bounds that depend on the computed robust solution.</w:t>
      </w:r>
    </w:p>
    <w:p>
      <w:pPr>
        <w:keepNext/>
        <w:spacing w:after="20" w:before="40"/>
      </w:pPr>
      <w:r>
        <w:rPr>
          <w:b/>
          <w:bCs/>
          <w:color w:val="4D4D4F"/>
          <w:sz w:val="17"/>
          <w:szCs w:val="17"/>
        </w:rPr>
        <w:t xml:space="preserve">Key equation.</w:t>
      </w:r>
      <w:r>
        <w:rPr>
          <w:i/>
          <w:iCs/>
          <w:color w:val="5B6573"/>
          <w:sz w:val="15"/>
          <w:szCs w:val="15"/>
        </w:rPr>
        <w:t xml:space="preserve">  Violation probability of a robust-feasible linear constraint under sub-Gaussian noise, the simplest case of an a priori guarantee (representative formulation)</w:t>
      </w:r>
    </w:p>
    <w:p>
      <w:pPr>
        <w:pStyle w:val="Equation"/>
      </w:pPr>
      <m:oMathPara>
        <m:oMathParaPr>
          <m:jc m:val="center"/>
        </m:oMathParaPr>
        <m:oMath>
          <m:r>
            <m:t>ρ</m:t>
          </m:r>
          <m:r>
            <m:t> </m:t>
          </m:r>
          <m:sSub>
            <m:e>
              <m:r>
                <m:t>h</m:t>
              </m:r>
            </m:e>
            <m:sub>
              <m:r>
                <m:t>U</m:t>
              </m:r>
            </m:sub>
          </m:sSub>
          <m:d>
            <m:dPr>
              <m:begChr m:val="("/>
              <m:sepChr m:val=""/>
              <m:endChr m:val=")"/>
              <m:grow/>
            </m:dPr>
            <m:e>
              <m:r>
                <m:t>a</m:t>
              </m:r>
              <m:d>
                <m:dPr>
                  <m:begChr m:val="("/>
                  <m:sepChr m:val=""/>
                  <m:endChr m:val=")"/>
                  <m:grow/>
                </m:dPr>
                <m:e>
                  <m:r>
                    <m:t>x</m:t>
                  </m:r>
                </m:e>
              </m:d>
            </m:e>
          </m:d>
          <m:r>
            <m:rPr>
              <m:sty m:val="p"/>
            </m:rPr>
            <m:t>≤</m:t>
          </m:r>
          <m:r>
            <m:t>b</m:t>
          </m:r>
          <m:d>
            <m:dPr>
              <m:begChr m:val="("/>
              <m:sepChr m:val=""/>
              <m:endChr m:val=")"/>
              <m:grow/>
            </m:dPr>
            <m:e>
              <m:r>
                <m:t>x</m:t>
              </m:r>
            </m:e>
          </m:d>
          <m:r>
            <m:t> </m:t>
          </m:r>
          <m:r>
            <m:rPr>
              <m:sty m:val="p"/>
            </m:rPr>
            <m:t>⇒</m:t>
          </m:r>
          <m:r>
            <m:t> </m:t>
          </m:r>
          <m:r>
            <m:rPr>
              <m:scr m:val="double-struck"/>
              <m:sty m:val="p"/>
            </m:rPr>
            <m:t>P</m:t>
          </m:r>
          <m:d>
            <m:dPr>
              <m:begChr m:val="("/>
              <m:sepChr m:val=""/>
              <m:endChr m:val=")"/>
              <m:grow/>
            </m:dPr>
            <m:e>
              <m:r>
                <m:t>a</m:t>
              </m:r>
              <m:sSup>
                <m:e>
                  <m:d>
                    <m:dPr>
                      <m:begChr m:val="("/>
                      <m:sepChr m:val=""/>
                      <m:endChr m:val=")"/>
                      <m:grow/>
                    </m:dPr>
                    <m:e>
                      <m:r>
                        <m:t>x</m:t>
                      </m:r>
                    </m:e>
                  </m:d>
                </m:e>
                <m:sup>
                  <m:r>
                    <m:rPr>
                      <m:sty m:val="p"/>
                    </m:rPr>
                    <m:t>⊤</m:t>
                  </m:r>
                </m:sup>
              </m:sSup>
              <m:r>
                <m:t>ξ</m:t>
              </m:r>
              <m:r>
                <m:rPr>
                  <m:sty m:val="p"/>
                </m:rPr>
                <m:t>&gt;</m:t>
              </m:r>
              <m:r>
                <m:t>b</m:t>
              </m:r>
              <m:d>
                <m:dPr>
                  <m:begChr m:val="("/>
                  <m:sepChr m:val=""/>
                  <m:endChr m:val=")"/>
                  <m:grow/>
                </m:dPr>
                <m:e>
                  <m:r>
                    <m:t>x</m:t>
                  </m:r>
                </m:e>
              </m:d>
            </m:e>
          </m:d>
          <m:r>
            <m:rPr>
              <m:sty m:val="p"/>
            </m:rPr>
            <m:t>≤</m:t>
          </m:r>
          <m:r>
            <m:rPr>
              <m:sty m:val="p"/>
            </m:rPr>
            <m:t>exp</m:t>
          </m:r>
          <m:d>
            <m:dPr>
              <m:begChr m:val="("/>
              <m:sepChr m:val=""/>
              <m:endChr m:val=")"/>
              <m:grow/>
            </m:dPr>
            <m:e>
              <m:r>
                <m:rPr>
                  <m:sty m:val="p"/>
                </m:rPr>
                <m:t>−</m:t>
              </m:r>
              <m:f>
                <m:fPr>
                  <m:type m:val="bar"/>
                </m:fPr>
                <m:num>
                  <m:sSup>
                    <m:e>
                      <m:r>
                        <m:t>ρ</m:t>
                      </m:r>
                    </m:e>
                    <m:sup>
                      <m:r>
                        <m:t>2</m:t>
                      </m:r>
                    </m:sup>
                  </m:sSup>
                  <m:r>
                    <m:t> </m:t>
                  </m:r>
                  <m:sSub>
                    <m:e>
                      <m:r>
                        <m:t>h</m:t>
                      </m:r>
                    </m:e>
                    <m:sub>
                      <m:r>
                        <m:t>U</m:t>
                      </m:r>
                    </m:sub>
                  </m:sSub>
                  <m:sSup>
                    <m:e>
                      <m:d>
                        <m:dPr>
                          <m:begChr m:val="("/>
                          <m:sepChr m:val=""/>
                          <m:endChr m:val=")"/>
                          <m:grow/>
                        </m:dPr>
                        <m:e>
                          <m:r>
                            <m:t>a</m:t>
                          </m:r>
                          <m:d>
                            <m:dPr>
                              <m:begChr m:val="("/>
                              <m:sepChr m:val=""/>
                              <m:endChr m:val=")"/>
                              <m:grow/>
                            </m:dPr>
                            <m:e>
                              <m:r>
                                <m:t>x</m:t>
                              </m:r>
                            </m:e>
                          </m:d>
                        </m:e>
                      </m:d>
                    </m:e>
                    <m:sup>
                      <m:r>
                        <m:t>2</m:t>
                      </m:r>
                    </m:sup>
                  </m:sSup>
                </m:num>
                <m:den>
                  <m:r>
                    <m:t>2</m:t>
                  </m:r>
                  <m:sSup>
                    <m:e>
                      <m:r>
                        <m:t>σ</m:t>
                      </m:r>
                    </m:e>
                    <m:sup>
                      <m:r>
                        <m:t>2</m:t>
                      </m:r>
                    </m:sup>
                  </m:sSup>
                  <m:sSubSup>
                    <m:e>
                      <m:d>
                        <m:dPr>
                          <m:begChr m:val="‖"/>
                          <m:sepChr m:val=""/>
                          <m:endChr m:val="‖"/>
                          <m:grow/>
                        </m:dPr>
                        <m:e>
                          <m:r>
                            <m:t>a</m:t>
                          </m:r>
                          <m:d>
                            <m:dPr>
                              <m:begChr m:val="("/>
                              <m:sepChr m:val=""/>
                              <m:endChr m:val=")"/>
                              <m:grow/>
                            </m:dPr>
                            <m:e>
                              <m:r>
                                <m:t>x</m:t>
                              </m:r>
                            </m:e>
                          </m:d>
                        </m:e>
                      </m:d>
                    </m:e>
                    <m:sub>
                      <m:r>
                        <m:t>2</m:t>
                      </m:r>
                    </m:sub>
                    <m:sup>
                      <m:r>
                        <m:t>2</m:t>
                      </m:r>
                    </m:sup>
                  </m:sSubSup>
                </m:den>
              </m:f>
            </m:e>
          </m:d>
        </m:oMath>
      </m:oMathPara>
    </w:p>
    <w:p>
      <w:pPr>
        <w:spacing w:after="60"/>
        <w:jc w:val="both"/>
      </w:pPr>
      <m:oMath>
        <m:r>
          <m:t>ξ</m:t>
        </m:r>
      </m:oMath>
      <w:r>
        <w:rPr>
          <w:color w:val="3A4350"/>
          <w:sz w:val="15"/>
          <w:szCs w:val="15"/>
        </w:rPr>
        <w:t xml:space="preserve"> is zero-mean noise with independent </w:t>
      </w:r>
      <m:oMath>
        <m:r>
          <m:t>σ</m:t>
        </m:r>
      </m:oMath>
      <w:r>
        <w:rPr>
          <w:color w:val="3A4350"/>
          <w:sz w:val="15"/>
          <w:szCs w:val="15"/>
        </w:rPr>
        <w:t xml:space="preserve">-sub-Gaussian coordinates, </w:t>
      </w:r>
      <m:oMath>
        <m:r>
          <m:t>U</m:t>
        </m:r>
      </m:oMath>
      <w:r>
        <w:rPr>
          <w:color w:val="3A4350"/>
          <w:sz w:val="15"/>
          <w:szCs w:val="15"/>
        </w:rPr>
        <w:t xml:space="preserve"> the unit uncertainty set scaled by the radius </w:t>
      </w:r>
      <m:oMath>
        <m:r>
          <m:t>ρ</m:t>
        </m:r>
      </m:oMath>
      <w:r>
        <w:rPr>
          <w:color w:val="3A4350"/>
          <w:sz w:val="15"/>
          <w:szCs w:val="15"/>
        </w:rPr>
        <w:t xml:space="preserve">, </w:t>
      </w:r>
      <m:oMath>
        <m:sSub>
          <m:e>
            <m:r>
              <m:t>h</m:t>
            </m:r>
          </m:e>
          <m:sub>
            <m:r>
              <m:t>U</m:t>
            </m:r>
          </m:sub>
        </m:sSub>
        <m:d>
          <m:dPr>
            <m:begChr m:val="("/>
            <m:sepChr m:val=""/>
            <m:endChr m:val=")"/>
            <m:grow/>
          </m:dPr>
          <m:e>
            <m:r>
              <m:t>a</m:t>
            </m:r>
          </m:e>
        </m:d>
        <m:r>
          <m:rPr>
            <m:sty m:val="p"/>
          </m:rPr>
          <m:t>=</m:t>
        </m:r>
        <m:sSub>
          <m:e>
            <m:r>
              <m:rPr>
                <m:sty m:val="p"/>
              </m:rPr>
              <m:t>max</m:t>
            </m:r>
          </m:e>
          <m:sub>
            <m:r>
              <m:t>u</m:t>
            </m:r>
            <m:r>
              <m:rPr>
                <m:sty m:val="p"/>
              </m:rPr>
              <m:t>∈</m:t>
            </m:r>
            <m:r>
              <m:t>U</m:t>
            </m:r>
          </m:sub>
        </m:sSub>
        <m:sSup>
          <m:e>
            <m:r>
              <m:t>a</m:t>
            </m:r>
          </m:e>
          <m:sup>
            <m:r>
              <m:rPr>
                <m:sty m:val="p"/>
              </m:rPr>
              <m:t>⊤</m:t>
            </m:r>
          </m:sup>
        </m:sSup>
        <m:r>
          <m:t>u</m:t>
        </m:r>
        <m:r>
          <m:rPr>
            <m:sty m:val="p"/>
          </m:rPr>
          <m:t>≥</m:t>
        </m:r>
        <m:r>
          <m:t>0</m:t>
        </m:r>
      </m:oMath>
      <w:r>
        <w:rPr>
          <w:color w:val="3A4350"/>
          <w:sz w:val="15"/>
          <w:szCs w:val="15"/>
        </w:rPr>
        <w:t xml:space="preserve"> its support function and </w:t>
      </w:r>
      <m:oMath>
        <m:r>
          <m:t>a</m:t>
        </m:r>
        <m:sSup>
          <m:e>
            <m:d>
              <m:dPr>
                <m:begChr m:val="("/>
                <m:sepChr m:val=""/>
                <m:endChr m:val=")"/>
                <m:grow/>
              </m:dPr>
              <m:e>
                <m:r>
                  <m:t>x</m:t>
                </m:r>
              </m:e>
            </m:d>
          </m:e>
          <m:sup>
            <m:r>
              <m:rPr>
                <m:sty m:val="p"/>
              </m:rPr>
              <m:t>⊤</m:t>
            </m:r>
          </m:sup>
        </m:sSup>
        <m:r>
          <m:t>ξ</m:t>
        </m:r>
        <m:r>
          <m:rPr>
            <m:sty m:val="p"/>
          </m:rPr>
          <m:t>≤</m:t>
        </m:r>
        <m:r>
          <m:t>b</m:t>
        </m:r>
        <m:d>
          <m:dPr>
            <m:begChr m:val="("/>
            <m:sepChr m:val=""/>
            <m:endChr m:val=")"/>
            <m:grow/>
          </m:dPr>
          <m:e>
            <m:r>
              <m:t>x</m:t>
            </m:r>
          </m:e>
        </m:d>
      </m:oMath>
      <w:r>
        <w:rPr>
          <w:color w:val="3A4350"/>
          <w:sz w:val="15"/>
          <w:szCs w:val="15"/>
        </w:rPr>
        <w:t xml:space="preserve"> the uncertain constraint; the paper's general bounds, not transcribed here, are stated through its robust complexity of </w:t>
      </w:r>
      <m:oMath>
        <m:r>
          <m:t>U</m:t>
        </m:r>
      </m:oMath>
      <w:r>
        <w:rPr>
          <w:color w:val="3A4350"/>
          <w:sz w:val="15"/>
          <w:szCs w:val="15"/>
        </w:rPr>
        <w:t xml:space="preserve">.</w:t>
      </w:r>
    </w:p>
    <w:p>
      <w:pPr>
        <w:spacing w:after="60"/>
        <w:jc w:val="both"/>
      </w:pPr>
      <w:r>
        <w:rPr>
          <w:b/>
          <w:bCs/>
          <w:color w:val="4D4D4F"/>
          <w:sz w:val="17"/>
          <w:szCs w:val="17"/>
        </w:rPr>
        <w:t xml:space="preserve">Link to the Fushë-Kuqe stakeholders. </w:t>
      </w:r>
      <w:r>
        <w:rPr>
          <w:sz w:val="17"/>
          <w:szCs w:val="17"/>
        </w:rPr>
        <w:t xml:space="preserve">Belongs to theme 1. The unanimous rule protects only the five stated beliefs; a robust version requires the chloride limit at A1 and P10 to hold for every tilt within radius </w:t>
      </w:r>
      <m:oMath>
        <m:r>
          <m:t>ρ</m:t>
        </m:r>
      </m:oMath>
      <w:r>
        <w:rPr>
          <w:sz w:val="17"/>
          <w:szCs w:val="17"/>
        </w:rPr>
        <w:t xml:space="preserve"> of the calibration. The paper tells the agency how large </w:t>
      </w:r>
      <m:oMath>
        <m:r>
          <m:t>ρ</m:t>
        </m:r>
      </m:oMath>
      <w:r>
        <w:rPr>
          <w:sz w:val="17"/>
          <w:szCs w:val="17"/>
        </w:rPr>
        <w:t xml:space="preserve"> must be for a target violation probability such as 10%, and how to certify the plan afterwards.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a unified, distribution-light answer to the oldest practical question of robust optimisation, how large to make the uncertainty set, for any convex compact set and concave constraint rather than one set at a time, and adds tighter solution-dependent certificates. Published in SIAM Journal on Optimization.</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bounds assume light-tailed noise entering the constraint concavely. Chloride at A1 and P10 responds nonlinearly to mixing-zone width and recharge across the 20 000 draws; whether the a posteriori bounds stay tight there, for several wells at once,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robust complexity that links any convex compact uncertainty set to an a priori violation bound, and solution-dependent a posteriori bounds. Proposed extension: linearise chloride at A1 and P10 in the two tilt parameters around the calibration, size an ellipsoid so that the a priori bound gives at most 10% violation, solve the robust pumping-and-recharge problem, and compare its a posteriori bound with the violation rate observed over the 20 000 draws.</w:t>
      </w:r>
    </w:p>
    <w:p>
      <w:pPr>
        <w:keepNext/>
        <w:pBdr>
          <w:top w:val="single" w:color="4D4D4F" w:sz="6" w:space="4"/>
        </w:pBdr>
        <w:spacing w:after="60" w:before="220"/>
      </w:pPr>
      <w:r>
        <w:rPr>
          <w:b/>
          <w:bCs/>
          <w:color w:val="4D4D4F"/>
          <w:sz w:val="23"/>
          <w:szCs w:val="23"/>
        </w:rPr>
        <w:t xml:space="preserve">M3  </w:t>
      </w:r>
      <w:r>
        <w:rPr>
          <w:b/>
          <w:bCs/>
          <w:color w:val="1F3864"/>
          <w:sz w:val="23"/>
          <w:szCs w:val="23"/>
        </w:rPr>
        <w:t xml:space="preserve">Pathwise concentration bounds for Bayesian beliefs</w:t>
      </w:r>
    </w:p>
    <w:p>
      <w:pPr>
        <w:keepNext/>
        <w:spacing w:after="60" w:line="240" w:lineRule="auto"/>
      </w:pPr>
      <w:r>
        <w:rPr>
          <w:b/>
          <w:bCs/>
          <w:color w:val="333B47"/>
          <w:sz w:val="15"/>
          <w:szCs w:val="15"/>
        </w:rPr>
        <w:t xml:space="preserve">Authors: </w:t>
      </w:r>
      <w:r>
        <w:rPr>
          <w:sz w:val="15"/>
          <w:szCs w:val="15"/>
        </w:rPr>
        <w:t xml:space="preserve">Drew Fudenberg, Giacomo Lanzani, Philipp Strack</w:t>
      </w:r>
      <w:r>
        <w:rPr>
          <w:sz w:val="15"/>
          <w:szCs w:val="15"/>
        </w:rPr>
        <w:t xml:space="preserve">   </w:t>
      </w:r>
      <w:r>
        <w:rPr>
          <w:b/>
          <w:bCs/>
          <w:color w:val="333B47"/>
          <w:sz w:val="15"/>
          <w:szCs w:val="15"/>
        </w:rPr>
        <w:t xml:space="preserve">Published in: </w:t>
      </w:r>
      <w:r>
        <w:rPr>
          <w:sz w:val="15"/>
          <w:szCs w:val="15"/>
        </w:rPr>
        <w:t xml:space="preserve">Theoretical Economics, 18(4), 1585–1622 (November 2023)</w:t>
      </w:r>
      <w:r>
        <w:rPr>
          <w:sz w:val="15"/>
          <w:szCs w:val="15"/>
        </w:rPr>
        <w:t xml:space="preserve">   </w:t>
      </w:r>
      <w:r>
        <w:rPr>
          <w:b/>
          <w:bCs/>
          <w:color w:val="333B47"/>
          <w:sz w:val="15"/>
          <w:szCs w:val="15"/>
        </w:rPr>
        <w:t xml:space="preserve">Link: </w:t>
      </w:r>
      <w:hyperlink w:history="1" r:id="rIdfq0_aclf1h_uwmdprht08">
        <w:r>
          <w:rPr>
            <w:color w:val="1D4ED8"/>
            <w:sz w:val="15"/>
            <w:szCs w:val="15"/>
            <w:u w:val="single"/>
          </w:rPr>
          <w:t xml:space="preserve">https://doi.org/10.3982/TE5206</w:t>
        </w:r>
      </w:hyperlink>
    </w:p>
    <w:p>
      <w:pPr>
        <w:keepNext/>
        <w:spacing w:after="80" w:line="240" w:lineRule="auto"/>
      </w:pPr>
      <w:r>
        <w:rPr>
          <w:b/>
          <w:bCs/>
          <w:color w:val="333B47"/>
          <w:sz w:val="15"/>
          <w:szCs w:val="15"/>
        </w:rPr>
        <w:t xml:space="preserve">Affiliation: </w:t>
      </w:r>
      <w:r>
        <w:rPr>
          <w:color w:val="3A4350"/>
          <w:sz w:val="15"/>
          <w:szCs w:val="15"/>
        </w:rPr>
        <w:t xml:space="preserve">Drew Fudenberg and Giacomo Lanzani, MIT Department of Economics: a 2023 working-paper version is hosted on economics.mit.edu (search result); Philipp Strack, Yale (paper listed on the Yale economics and Cowles Foundation pages). Lanzani's position at the time (MIT doctoral student)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4D4D4F"/>
          <w:sz w:val="17"/>
          <w:szCs w:val="17"/>
        </w:rPr>
        <w:t xml:space="preserve">Summary. </w:t>
      </w:r>
      <w:r>
        <w:rPr>
          <w:sz w:val="17"/>
          <w:szCs w:val="17"/>
        </w:rPr>
        <w:t xml:space="preserve">When the prior puts no weight on the true distribution of outcomes, Bayesian beliefs cannot converge to the truth. The paper proves that posteriors concentrate on the outcome distributions that come closest to the empirical distribution in Kullback–Leibler divergence, uniformly across sample paths and even when the prior lacks full support. This extends Diaconis and Freedman (1990) to priors with finite support, priors constrained by independence assumptions and parametric priors that cannot match some distributions. Applications give a rate of convergence for Berk's (1966) limit result on misspecified posteriors, bound the approximation error of anticipated-utility models, and extend the analysis to outcomes perceived to follow a Markov process.</w:t>
      </w:r>
    </w:p>
    <w:p>
      <w:pPr>
        <w:keepNext/>
        <w:spacing w:after="20" w:before="40"/>
      </w:pPr>
      <w:r>
        <w:rPr>
          <w:b/>
          <w:bCs/>
          <w:color w:val="4D4D4F"/>
          <w:sz w:val="17"/>
          <w:szCs w:val="17"/>
        </w:rPr>
        <w:t xml:space="preserve">Key equation.</w:t>
      </w:r>
      <w:r>
        <w:rPr>
          <w:i/>
          <w:iCs/>
          <w:color w:val="5B6573"/>
          <w:sz w:val="15"/>
          <w:szCs w:val="15"/>
        </w:rPr>
        <w:t xml:space="preserve">  Posterior weight of a model after t outcomes as a function of its Kullback–Leibler distance from the empirical distribution (identity for finite outcomes, independent draws and a finite-support prior; representative formulation of the starting point of the bounds)</w:t>
      </w:r>
    </w:p>
    <w:p>
      <w:pPr>
        <w:pStyle w:val="Equation"/>
      </w:pPr>
      <m:oMathPara>
        <m:oMathParaPr>
          <m:jc m:val="center"/>
        </m:oMathParaPr>
        <m:oMath>
          <m:sSub>
            <m:e>
              <m:r>
                <m:t>μ</m:t>
              </m:r>
            </m:e>
            <m:sub>
              <m:r>
                <m:t>t</m:t>
              </m:r>
            </m:sub>
          </m:sSub>
          <m:d>
            <m:dPr>
              <m:begChr m:val="("/>
              <m:sepChr m:val=""/>
              <m:endChr m:val=")"/>
              <m:grow/>
            </m:dPr>
            <m:e>
              <m:r>
                <m:t>θ</m:t>
              </m:r>
            </m:e>
          </m:d>
          <m:r>
            <m:rPr>
              <m:sty m:val="p"/>
            </m:rPr>
            <m:t>=</m:t>
          </m:r>
          <m:f>
            <m:fPr>
              <m:type m:val="bar"/>
            </m:fPr>
            <m:num>
              <m:sSub>
                <m:e>
                  <m:r>
                    <m:t>μ</m:t>
                  </m:r>
                </m:e>
                <m:sub>
                  <m:r>
                    <m:t>0</m:t>
                  </m:r>
                </m:sub>
              </m:sSub>
              <m:d>
                <m:dPr>
                  <m:begChr m:val="("/>
                  <m:sepChr m:val=""/>
                  <m:endChr m:val=")"/>
                  <m:grow/>
                </m:dPr>
                <m:e>
                  <m:r>
                    <m:t>θ</m:t>
                  </m:r>
                </m:e>
              </m:d>
              <m:r>
                <m:rPr>
                  <m:sty m:val="p"/>
                </m:rPr>
                <m:t>exp</m:t>
              </m:r>
              <m:d>
                <m:dPr>
                  <m:begChr m:val="("/>
                  <m:sepChr m:val=""/>
                  <m:endChr m:val=")"/>
                  <m:grow/>
                </m:dPr>
                <m:e>
                  <m:r>
                    <m:rPr>
                      <m:sty m:val="p"/>
                    </m:rPr>
                    <m:t>−</m:t>
                  </m:r>
                  <m:r>
                    <m:t>t</m:t>
                  </m:r>
                  <m:r>
                    <m:t> </m:t>
                  </m:r>
                  <m:r>
                    <m:t>D</m:t>
                  </m:r>
                  <m:d>
                    <m:dPr>
                      <m:begChr m:val="("/>
                      <m:sepChr m:val=""/>
                      <m:endChr m:val=")"/>
                      <m:grow/>
                    </m:dPr>
                    <m:e>
                      <m:sSub>
                        <m:e>
                          <m:acc>
                            <m:accPr>
                              <m:chr m:val="̂"/>
                            </m:accPr>
                            <m:e>
                              <m:r>
                                <m:t>p</m:t>
                              </m:r>
                            </m:e>
                          </m:acc>
                        </m:e>
                        <m:sub>
                          <m:r>
                            <m:t>t</m:t>
                          </m:r>
                        </m:sub>
                      </m:sSub>
                      <m:r>
                        <m:t> </m:t>
                      </m:r>
                      <m:r>
                        <m:rPr>
                          <m:sty m:val="p"/>
                        </m:rPr>
                        <m:t>∥</m:t>
                      </m:r>
                      <m:r>
                        <m:t> </m:t>
                      </m:r>
                      <m:sSub>
                        <m:e>
                          <m:r>
                            <m:t>p</m:t>
                          </m:r>
                        </m:e>
                        <m:sub>
                          <m:r>
                            <m:t>θ</m:t>
                          </m:r>
                        </m:sub>
                      </m:sSub>
                    </m:e>
                  </m:d>
                </m:e>
              </m:d>
            </m:num>
            <m:den>
              <m:nary>
                <m:naryPr>
                  <m:chr m:val="∑"/>
                  <m:limLoc m:val="undOvr"/>
                  <m:subHide m:val="off"/>
                  <m:supHide m:val="on"/>
                </m:naryPr>
                <m:sub>
                  <m:r>
                    <m:t>θ</m:t>
                  </m:r>
                  <m:r>
                    <m:rPr>
                      <m:sty m:val="p"/>
                    </m:rPr>
                    <m:t>′</m:t>
                  </m:r>
                </m:sub>
                <m:sup>
                  <m:r>
                    <m:t>​</m:t>
                  </m:r>
                </m:sup>
                <m:e>
                  <m:sSub>
                    <m:e>
                      <m:r>
                        <m:t>μ</m:t>
                      </m:r>
                    </m:e>
                    <m:sub>
                      <m:r>
                        <m:t>0</m:t>
                      </m:r>
                    </m:sub>
                  </m:sSub>
                </m:e>
              </m:nary>
              <m:d>
                <m:dPr>
                  <m:begChr m:val="("/>
                  <m:sepChr m:val=""/>
                  <m:endChr m:val=")"/>
                  <m:grow/>
                </m:dPr>
                <m:e>
                  <m:r>
                    <m:t>θ</m:t>
                  </m:r>
                  <m:r>
                    <m:rPr>
                      <m:sty m:val="p"/>
                    </m:rPr>
                    <m:t>′</m:t>
                  </m:r>
                </m:e>
              </m:d>
              <m:r>
                <m:rPr>
                  <m:sty m:val="p"/>
                </m:rPr>
                <m:t>exp</m:t>
              </m:r>
              <m:d>
                <m:dPr>
                  <m:begChr m:val="("/>
                  <m:sepChr m:val=""/>
                  <m:endChr m:val=")"/>
                  <m:grow/>
                </m:dPr>
                <m:e>
                  <m:r>
                    <m:rPr>
                      <m:sty m:val="p"/>
                    </m:rPr>
                    <m:t>−</m:t>
                  </m:r>
                  <m:r>
                    <m:t>t</m:t>
                  </m:r>
                  <m:r>
                    <m:t> </m:t>
                  </m:r>
                  <m:r>
                    <m:t>D</m:t>
                  </m:r>
                  <m:d>
                    <m:dPr>
                      <m:begChr m:val="("/>
                      <m:sepChr m:val=""/>
                      <m:endChr m:val=")"/>
                      <m:grow/>
                    </m:dPr>
                    <m:e>
                      <m:sSub>
                        <m:e>
                          <m:acc>
                            <m:accPr>
                              <m:chr m:val="̂"/>
                            </m:accPr>
                            <m:e>
                              <m:r>
                                <m:t>p</m:t>
                              </m:r>
                            </m:e>
                          </m:acc>
                        </m:e>
                        <m:sub>
                          <m:r>
                            <m:t>t</m:t>
                          </m:r>
                        </m:sub>
                      </m:sSub>
                      <m:r>
                        <m:t> </m:t>
                      </m:r>
                      <m:r>
                        <m:rPr>
                          <m:sty m:val="p"/>
                        </m:rPr>
                        <m:t>∥</m:t>
                      </m:r>
                      <m:r>
                        <m:t> </m:t>
                      </m:r>
                      <m:sSub>
                        <m:e>
                          <m:r>
                            <m:t>p</m:t>
                          </m:r>
                        </m:e>
                        <m:sub>
                          <m:r>
                            <m:t>θ</m:t>
                          </m:r>
                          <m:r>
                            <m:rPr>
                              <m:sty m:val="p"/>
                            </m:rPr>
                            <m:t>′</m:t>
                          </m:r>
                        </m:sub>
                      </m:sSub>
                    </m:e>
                  </m:d>
                </m:e>
              </m:d>
            </m:den>
          </m:f>
        </m:oMath>
      </m:oMathPara>
    </w:p>
    <w:p>
      <w:pPr>
        <w:spacing w:after="60"/>
        <w:jc w:val="both"/>
      </w:pPr>
      <m:oMath>
        <m:sSub>
          <m:e>
            <m:r>
              <m:t>μ</m:t>
            </m:r>
          </m:e>
          <m:sub>
            <m:r>
              <m:t>0</m:t>
            </m:r>
          </m:sub>
        </m:sSub>
      </m:oMath>
      <w:r>
        <w:rPr>
          <w:color w:val="3A4350"/>
          <w:sz w:val="15"/>
          <w:szCs w:val="15"/>
        </w:rPr>
        <w:t xml:space="preserve"> is the prior over candidate outcome distributions </w:t>
      </w:r>
      <m:oMath>
        <m:sSub>
          <m:e>
            <m:r>
              <m:t>p</m:t>
            </m:r>
          </m:e>
          <m:sub>
            <m:r>
              <m:t>θ</m:t>
            </m:r>
          </m:sub>
        </m:sSub>
      </m:oMath>
      <w:r>
        <w:rPr>
          <w:color w:val="3A4350"/>
          <w:sz w:val="15"/>
          <w:szCs w:val="15"/>
        </w:rPr>
        <w:t xml:space="preserve">, </w:t>
      </w:r>
      <m:oMath>
        <m:sSub>
          <m:e>
            <m:acc>
              <m:accPr>
                <m:chr m:val="̂"/>
              </m:accPr>
              <m:e>
                <m:r>
                  <m:t>p</m:t>
                </m:r>
              </m:e>
            </m:acc>
          </m:e>
          <m:sub>
            <m:r>
              <m:t>t</m:t>
            </m:r>
          </m:sub>
        </m:sSub>
      </m:oMath>
      <w:r>
        <w:rPr>
          <w:color w:val="3A4350"/>
          <w:sz w:val="15"/>
          <w:szCs w:val="15"/>
        </w:rPr>
        <w:t xml:space="preserve"> the empirical distribution of the first </w:t>
      </w:r>
      <m:oMath>
        <m:r>
          <m:t>t</m:t>
        </m:r>
      </m:oMath>
      <w:r>
        <w:rPr>
          <w:color w:val="3A4350"/>
          <w:sz w:val="15"/>
          <w:szCs w:val="15"/>
        </w:rPr>
        <w:t xml:space="preserve"> outcomes and </w:t>
      </w:r>
      <m:oMath>
        <m:r>
          <m:t>D</m:t>
        </m:r>
      </m:oMath>
      <w:r>
        <w:rPr>
          <w:color w:val="3A4350"/>
          <w:sz w:val="15"/>
          <w:szCs w:val="15"/>
        </w:rPr>
        <w:t xml:space="preserve"> the Kullback–Leibler divergence; a model whose divergence exceeds the best by </w:t>
      </w:r>
      <m:oMath>
        <m:r>
          <m:t>ε</m:t>
        </m:r>
      </m:oMath>
      <w:r>
        <w:rPr>
          <w:color w:val="3A4350"/>
          <w:sz w:val="15"/>
          <w:szCs w:val="15"/>
        </w:rPr>
        <w:t xml:space="preserve"> therefore loses posterior weight like </w:t>
      </w:r>
      <m:oMath>
        <m:sSup>
          <m:e>
            <m:r>
              <m:t>e</m:t>
            </m:r>
          </m:e>
          <m:sup>
            <m:r>
              <m:rPr>
                <m:sty m:val="p"/>
              </m:rPr>
              <m:t>−</m:t>
            </m:r>
            <m:r>
              <m:t>t</m:t>
            </m:r>
            <m:r>
              <m:t>ε</m:t>
            </m:r>
          </m:sup>
        </m:sSup>
      </m:oMath>
      <w:r>
        <w:rPr>
          <w:color w:val="3A4350"/>
          <w:sz w:val="15"/>
          <w:szCs w:val="15"/>
        </w:rPr>
        <w:t xml:space="preserve"> on every sample path.</w:t>
      </w:r>
    </w:p>
    <w:p>
      <w:pPr>
        <w:spacing w:after="60"/>
        <w:jc w:val="both"/>
      </w:pPr>
      <w:r>
        <w:rPr>
          <w:b/>
          <w:bCs/>
          <w:color w:val="4D4D4F"/>
          <w:sz w:val="17"/>
          <w:szCs w:val="17"/>
        </w:rPr>
        <w:t xml:space="preserve">Link to the Fushë-Kuqe stakeholders. </w:t>
      </w:r>
      <w:r>
        <w:rPr>
          <w:sz w:val="17"/>
          <w:szCs w:val="17"/>
        </w:rPr>
        <w:t xml:space="preserve">Belongs to theme 2. Each stakeholder's belief is a tilt of the calibrated ensemble, so none need contain the true aquifer. The paper says what chloride data do to these beliefs: each posterior concentrates, at an exponential rate, on the tilt closest to the observed record in Kullback–Leibler divergence, so data shrink disagreement only along directions the record distinguishes.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asymptotic result that misspecified Bayesians end up on the Kullback–Leibler-closest model into explicit pathwise bounds with rates, covering priors without full support, and applies them to Berk's theorem and anticipated-utility approximations. Published in Theoretical Economics by MIT's Fudenberg and Lanzani with Strack.</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bounds are for outcomes not influenced by the agent's actions. At Fushë-Kuqe the chloride observed depends on the pumping chosen, so learning is endogenous; whether the stakeholders' closest tilts coincide after one A30 sample, ending the dispute,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uniform pathwise concentration of misspecified posteriors on Kullback–Leibler minimisers, with rates, for priors without full support. Proposed extension: for each stakeholder, compute from the 20 000 draws the divergence between the observed A30 chloride and the distribution simulated under its tilt, use the bound to find how many samples drive its posterior weight on rival tilts below 0.1, and stop sampling at that number.</w:t>
      </w:r>
    </w:p>
    <w:p>
      <w:pPr>
        <w:keepNext/>
        <w:pBdr>
          <w:top w:val="single" w:color="4D4D4F" w:sz="6" w:space="4"/>
        </w:pBdr>
        <w:spacing w:after="60" w:before="220"/>
      </w:pPr>
      <w:r>
        <w:rPr>
          <w:b/>
          <w:bCs/>
          <w:color w:val="4D4D4F"/>
          <w:sz w:val="23"/>
          <w:szCs w:val="23"/>
        </w:rPr>
        <w:t xml:space="preserve">M4  </w:t>
      </w:r>
      <w:r>
        <w:rPr>
          <w:b/>
          <w:bCs/>
          <w:color w:val="1F3864"/>
          <w:sz w:val="23"/>
          <w:szCs w:val="23"/>
        </w:rPr>
        <w:t xml:space="preserve">Inference in Opinion Dynamics under Social Pressure</w:t>
      </w:r>
    </w:p>
    <w:p>
      <w:pPr>
        <w:keepNext/>
        <w:spacing w:after="60" w:line="240" w:lineRule="auto"/>
      </w:pPr>
      <w:r>
        <w:rPr>
          <w:b/>
          <w:bCs/>
          <w:color w:val="333B47"/>
          <w:sz w:val="15"/>
          <w:szCs w:val="15"/>
        </w:rPr>
        <w:t xml:space="preserve">Authors: </w:t>
      </w:r>
      <w:r>
        <w:rPr>
          <w:sz w:val="15"/>
          <w:szCs w:val="15"/>
        </w:rPr>
        <w:t xml:space="preserve">Ali Jadbabaie, Anuran Makur, Elchanan Mossel, Rabih Salhab</w:t>
      </w:r>
      <w:r>
        <w:rPr>
          <w:sz w:val="15"/>
          <w:szCs w:val="15"/>
        </w:rPr>
        <w:t xml:space="preserve">   </w:t>
      </w:r>
      <w:r>
        <w:rPr>
          <w:b/>
          <w:bCs/>
          <w:color w:val="333B47"/>
          <w:sz w:val="15"/>
          <w:szCs w:val="15"/>
        </w:rPr>
        <w:t xml:space="preserve">Published in: </w:t>
      </w:r>
      <w:r>
        <w:rPr>
          <w:sz w:val="15"/>
          <w:szCs w:val="15"/>
        </w:rPr>
        <w:t xml:space="preserve">IEEE Transactions on Automatic Control, 3377–3392 (2023; volume and issue not verified; pages and DOI from an index listing, not checked on IEEE Xplore); arXiv 2104.11172</w:t>
      </w:r>
      <w:r>
        <w:rPr>
          <w:sz w:val="15"/>
          <w:szCs w:val="15"/>
        </w:rPr>
        <w:t xml:space="preserve">   </w:t>
      </w:r>
      <w:r>
        <w:rPr>
          <w:b/>
          <w:bCs/>
          <w:color w:val="333B47"/>
          <w:sz w:val="15"/>
          <w:szCs w:val="15"/>
        </w:rPr>
        <w:t xml:space="preserve">Link: </w:t>
      </w:r>
      <w:hyperlink w:history="1" r:id="rIdfbe8vcdubxclqgpdcvxeh">
        <w:r>
          <w:rPr>
            <w:color w:val="1D4ED8"/>
            <w:sz w:val="15"/>
            <w:szCs w:val="15"/>
            <w:u w:val="single"/>
          </w:rPr>
          <w:t xml:space="preserve">https://doi.org/10.1109/TAC.2022.3191791</w:t>
        </w:r>
      </w:hyperlink>
    </w:p>
    <w:p>
      <w:pPr>
        <w:keepNext/>
        <w:spacing w:after="80" w:line="240" w:lineRule="auto"/>
      </w:pPr>
      <w:r>
        <w:rPr>
          <w:b/>
          <w:bCs/>
          <w:color w:val="333B47"/>
          <w:sz w:val="15"/>
          <w:szCs w:val="15"/>
        </w:rPr>
        <w:t xml:space="preserve">Affiliation: </w:t>
      </w:r>
      <w:r>
        <w:rPr>
          <w:color w:val="3A4350"/>
          <w:sz w:val="15"/>
          <w:szCs w:val="15"/>
        </w:rPr>
        <w:t xml:space="preserve">Ali Jadbabaie and Elchanan Mossel, MIT; Anuran Makur, Purdue; Rabih Salhab, Amazon at the time of writing (search summary of the arXiv record). Departments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4D4D4F"/>
          <w:sz w:val="17"/>
          <w:szCs w:val="17"/>
        </w:rPr>
        <w:t xml:space="preserve">Summary. </w:t>
      </w:r>
      <w:r>
        <w:rPr>
          <w:sz w:val="17"/>
          <w:szCs w:val="17"/>
        </w:rPr>
        <w:t xml:space="preserve">Each agent holds a fixed, unobservable inherent opinion and at every step broadcasts a declared opinion, sampled from a distribution that depends on its inherent opinion, on its neighbours' past declarations and on its own resistance to social pressure: an interacting Pólya urn. Can the inherent opinions be estimated from the declarations alone? For a complete network the authors prove that, as long as the population contains no large majority, aggregate and individual inherent opinions can be estimated; large majorities instead force minorities to misreport over time, which makes asymptotic estimation impossible.</w:t>
      </w:r>
    </w:p>
    <w:p>
      <w:pPr>
        <w:keepNext/>
        <w:spacing w:after="20" w:before="40"/>
      </w:pPr>
      <w:r>
        <w:rPr>
          <w:b/>
          <w:bCs/>
          <w:color w:val="4D4D4F"/>
          <w:sz w:val="17"/>
          <w:szCs w:val="17"/>
        </w:rPr>
        <w:t xml:space="preserve">Key equation.</w:t>
      </w:r>
      <w:r>
        <w:rPr>
          <w:i/>
          <w:iCs/>
          <w:color w:val="5B6573"/>
          <w:sz w:val="15"/>
          <w:szCs w:val="15"/>
        </w:rPr>
        <w:t xml:space="preserve">  Declaration probability mixing an agent's inherent opinion with its neighbours' past declarations (representative formulation of an interacting Pólya urn)</w:t>
      </w:r>
    </w:p>
    <w:p>
      <w:pPr>
        <w:pStyle w:val="Equation"/>
      </w:pPr>
      <m:oMathPara>
        <m:oMathParaPr>
          <m:jc m:val="center"/>
        </m:oMathParaPr>
        <m:oMath>
          <m:r>
            <m:rPr>
              <m:scr m:val="double-struck"/>
              <m:sty m:val="p"/>
            </m:rPr>
            <m:t>P</m:t>
          </m:r>
          <m:d>
            <m:dPr>
              <m:begChr m:val="("/>
              <m:sepChr m:val=""/>
              <m:endChr m:val=")"/>
              <m:grow/>
            </m:dPr>
            <m:e>
              <m:sSub>
                <m:e>
                  <m:r>
                    <m:t>Y</m:t>
                  </m:r>
                </m:e>
                <m:sub>
                  <m:r>
                    <m:t>i</m:t>
                  </m:r>
                  <m:r>
                    <m:rPr>
                      <m:sty m:val="p"/>
                    </m:rPr>
                    <m:t>,</m:t>
                  </m:r>
                  <m:r>
                    <m:t>t</m:t>
                  </m:r>
                  <m:r>
                    <m:rPr>
                      <m:sty m:val="p"/>
                    </m:rPr>
                    <m:t>+</m:t>
                  </m:r>
                  <m:r>
                    <m:t>1</m:t>
                  </m:r>
                </m:sub>
              </m:sSub>
              <m:r>
                <m:rPr>
                  <m:sty m:val="p"/>
                </m:rPr>
                <m:t>=</m:t>
              </m:r>
              <m:r>
                <m:t>1</m:t>
              </m:r>
              <m:r>
                <m:rPr>
                  <m:sty m:val="p"/>
                </m:rPr>
                <m:t>∣</m:t>
              </m:r>
              <m:sSub>
                <m:e>
                  <m:r>
                    <m:rPr>
                      <m:scr m:val="script"/>
                      <m:sty m:val="p"/>
                    </m:rPr>
                    <m:t>F</m:t>
                  </m:r>
                </m:e>
                <m:sub>
                  <m:r>
                    <m:t>t</m:t>
                  </m:r>
                </m:sub>
              </m:sSub>
            </m:e>
          </m:d>
          <m:r>
            <m:rPr>
              <m:sty m:val="p"/>
            </m:rPr>
            <m:t>=</m:t>
          </m:r>
          <m:f>
            <m:fPr>
              <m:type m:val="bar"/>
            </m:fPr>
            <m:num>
              <m:sSub>
                <m:e>
                  <m:r>
                    <m:t>w</m:t>
                  </m:r>
                </m:e>
                <m:sub>
                  <m:r>
                    <m:t>i</m:t>
                  </m:r>
                </m:sub>
              </m:sSub>
              <m:sSub>
                <m:e>
                  <m:r>
                    <m:t>X</m:t>
                  </m:r>
                </m:e>
                <m:sub>
                  <m:r>
                    <m:t>i</m:t>
                  </m:r>
                </m:sub>
              </m:sSub>
              <m:r>
                <m:rPr>
                  <m:sty m:val="p"/>
                </m:rPr>
                <m:t>+</m:t>
              </m:r>
              <m:nary>
                <m:naryPr>
                  <m:chr m:val="∑"/>
                  <m:limLoc m:val="undOvr"/>
                  <m:subHide m:val="off"/>
                  <m:supHide m:val="on"/>
                </m:naryPr>
                <m:sub>
                  <m:r>
                    <m:t>j</m:t>
                  </m:r>
                  <m:r>
                    <m:rPr>
                      <m:sty m:val="p"/>
                    </m:rPr>
                    <m:t>∈</m:t>
                  </m:r>
                  <m:sSub>
                    <m:e>
                      <m:r>
                        <m:t>N</m:t>
                      </m:r>
                    </m:e>
                    <m:sub>
                      <m:r>
                        <m:t>i</m:t>
                      </m:r>
                    </m:sub>
                  </m:sSub>
                </m:sub>
                <m:sup>
                  <m:r>
                    <m:t>​</m:t>
                  </m:r>
                </m:sup>
                <m:e>
                  <m:nary>
                    <m:naryPr>
                      <m:chr m:val="∑"/>
                      <m:limLoc m:val="undOvr"/>
                      <m:subHide m:val="off"/>
                      <m:supHide m:val="on"/>
                    </m:naryPr>
                    <m:sub>
                      <m:r>
                        <m:t>s</m:t>
                      </m:r>
                      <m:r>
                        <m:rPr>
                          <m:sty m:val="p"/>
                        </m:rPr>
                        <m:t>≤</m:t>
                      </m:r>
                      <m:r>
                        <m:t>t</m:t>
                      </m:r>
                    </m:sub>
                    <m:sup>
                      <m:r>
                        <m:t>​</m:t>
                      </m:r>
                    </m:sup>
                    <m:e>
                      <m:sSub>
                        <m:e>
                          <m:r>
                            <m:t>Y</m:t>
                          </m:r>
                        </m:e>
                        <m:sub>
                          <m:r>
                            <m:t>j</m:t>
                          </m:r>
                          <m:r>
                            <m:rPr>
                              <m:sty m:val="p"/>
                            </m:rPr>
                            <m:t>,</m:t>
                          </m:r>
                          <m:r>
                            <m:t>s</m:t>
                          </m:r>
                        </m:sub>
                      </m:sSub>
                    </m:e>
                  </m:nary>
                </m:e>
              </m:nary>
            </m:num>
            <m:den>
              <m:sSub>
                <m:e>
                  <m:r>
                    <m:t>w</m:t>
                  </m:r>
                </m:e>
                <m:sub>
                  <m:r>
                    <m:t>i</m:t>
                  </m:r>
                </m:sub>
              </m:sSub>
              <m:r>
                <m:rPr>
                  <m:sty m:val="p"/>
                </m:rPr>
                <m:t>+</m:t>
              </m:r>
              <m:r>
                <m:t>t</m:t>
              </m:r>
              <m:d>
                <m:dPr>
                  <m:begChr m:val="|"/>
                  <m:sepChr m:val=""/>
                  <m:endChr m:val="|"/>
                  <m:grow/>
                </m:dPr>
                <m:e>
                  <m:sSub>
                    <m:e>
                      <m:r>
                        <m:t>N</m:t>
                      </m:r>
                    </m:e>
                    <m:sub>
                      <m:r>
                        <m:t>i</m:t>
                      </m:r>
                    </m:sub>
                  </m:sSub>
                </m:e>
              </m:d>
            </m:den>
          </m:f>
        </m:oMath>
      </m:oMathPara>
    </w:p>
    <w:p>
      <w:pPr>
        <w:spacing w:after="60"/>
        <w:jc w:val="both"/>
      </w:pPr>
      <m:oMath>
        <m:sSub>
          <m:e>
            <m:r>
              <m:t>X</m:t>
            </m:r>
          </m:e>
          <m:sub>
            <m:r>
              <m:t>i</m:t>
            </m:r>
          </m:sub>
        </m:sSub>
      </m:oMath>
      <w:r>
        <w:rPr>
          <w:color w:val="3A4350"/>
          <w:sz w:val="15"/>
          <w:szCs w:val="15"/>
        </w:rPr>
        <w:t xml:space="preserve"> is agent </w:t>
      </w:r>
      <m:oMath>
        <m:r>
          <m:t>i</m:t>
        </m:r>
      </m:oMath>
      <w:r>
        <w:rPr>
          <w:color w:val="3A4350"/>
          <w:sz w:val="15"/>
          <w:szCs w:val="15"/>
        </w:rPr>
        <w:t xml:space="preserve">'s inherent opinion (0 or 1), </w:t>
      </w:r>
      <m:oMath>
        <m:sSub>
          <m:e>
            <m:r>
              <m:t>Y</m:t>
            </m:r>
          </m:e>
          <m:sub>
            <m:r>
              <m:t>j</m:t>
            </m:r>
            <m:r>
              <m:rPr>
                <m:sty m:val="p"/>
              </m:rPr>
              <m:t>,</m:t>
            </m:r>
            <m:r>
              <m:t>s</m:t>
            </m:r>
          </m:sub>
        </m:sSub>
      </m:oMath>
      <w:r>
        <w:rPr>
          <w:color w:val="3A4350"/>
          <w:sz w:val="15"/>
          <w:szCs w:val="15"/>
        </w:rPr>
        <w:t xml:space="preserve"> the opinion declared by neighbour </w:t>
      </w:r>
      <m:oMath>
        <m:r>
          <m:t>j</m:t>
        </m:r>
      </m:oMath>
      <w:r>
        <w:rPr>
          <w:color w:val="3A4350"/>
          <w:sz w:val="15"/>
          <w:szCs w:val="15"/>
        </w:rPr>
        <w:t xml:space="preserve"> at step </w:t>
      </w:r>
      <m:oMath>
        <m:r>
          <m:t>s</m:t>
        </m:r>
      </m:oMath>
      <w:r>
        <w:rPr>
          <w:color w:val="3A4350"/>
          <w:sz w:val="15"/>
          <w:szCs w:val="15"/>
        </w:rPr>
        <w:t xml:space="preserve">, </w:t>
      </w:r>
      <m:oMath>
        <m:sSub>
          <m:e>
            <m:r>
              <m:t>N</m:t>
            </m:r>
          </m:e>
          <m:sub>
            <m:r>
              <m:t>i</m:t>
            </m:r>
          </m:sub>
        </m:sSub>
      </m:oMath>
      <w:r>
        <w:rPr>
          <w:color w:val="3A4350"/>
          <w:sz w:val="15"/>
          <w:szCs w:val="15"/>
        </w:rPr>
        <w:t xml:space="preserve"> the neighbours of </w:t>
      </w:r>
      <m:oMath>
        <m:r>
          <m:t>i</m:t>
        </m:r>
      </m:oMath>
      <w:r>
        <w:rPr>
          <w:color w:val="3A4350"/>
          <w:sz w:val="15"/>
          <w:szCs w:val="15"/>
        </w:rPr>
        <w:t xml:space="preserve">, </w:t>
      </w:r>
      <m:oMath>
        <m:sSub>
          <m:e>
            <m:r>
              <m:t>w</m:t>
            </m:r>
          </m:e>
          <m:sub>
            <m:r>
              <m:t>i</m:t>
            </m:r>
          </m:sub>
        </m:sSub>
      </m:oMath>
      <w:r>
        <w:rPr>
          <w:color w:val="3A4350"/>
          <w:sz w:val="15"/>
          <w:szCs w:val="15"/>
        </w:rPr>
        <w:t xml:space="preserve"> its resistance to social pressure and </w:t>
      </w:r>
      <m:oMath>
        <m:sSub>
          <m:e>
            <m:r>
              <m:rPr>
                <m:scr m:val="script"/>
                <m:sty m:val="p"/>
              </m:rPr>
              <m:t>F</m:t>
            </m:r>
          </m:e>
          <m:sub>
            <m:r>
              <m:t>t</m:t>
            </m:r>
          </m:sub>
        </m:sSub>
      </m:oMath>
      <w:r>
        <w:rPr>
          <w:color w:val="3A4350"/>
          <w:sz w:val="15"/>
          <w:szCs w:val="15"/>
        </w:rPr>
        <w:t xml:space="preserve"> the declarations up to step </w:t>
      </w:r>
      <m:oMath>
        <m:r>
          <m:t>t</m:t>
        </m:r>
      </m:oMath>
      <w:r>
        <w:rPr>
          <w:color w:val="3A4350"/>
          <w:sz w:val="15"/>
          <w:szCs w:val="15"/>
        </w:rPr>
        <w:t xml:space="preserve">; the paper's exact urn dynamics are not transcribed here.</w:t>
      </w:r>
    </w:p>
    <w:p>
      <w:pPr>
        <w:spacing w:after="60"/>
        <w:jc w:val="both"/>
      </w:pPr>
      <w:r>
        <w:rPr>
          <w:b/>
          <w:bCs/>
          <w:color w:val="4D4D4F"/>
          <w:sz w:val="17"/>
          <w:szCs w:val="17"/>
        </w:rPr>
        <w:t xml:space="preserve">Link to the Fushë-Kuqe stakeholders. </w:t>
      </w:r>
      <w:r>
        <w:rPr>
          <w:sz w:val="17"/>
          <w:szCs w:val="17"/>
        </w:rPr>
        <w:t xml:space="preserve">Belongs to theme 3. In workshops the environmental groups, hotels and irrigators state positions that may bend towards the majority. The paper shows when stated positions still reveal the underlying beliefs that the unanimous chloride rule needs, and warns that once a large majority forms, minority beliefs, often the cautious pivotal ones, cannot be recovered from what is said.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a rigorous model of the gap between what people believe and what they say under social pressure, with a proved boundary, large majorities, beyond which true beliefs cannot be recovered. Published in IEEE Transactions on Automatic Control and extended to arbitrary networks in a 2025 follow-up in the same journal.</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Opinions are binary, distortion comes from conformity rather than strategic exaggeration, and no decision is at stake. Whether the exceedance probabilities stated by six stakeholders, who can gain a veto by exaggerating, can be recovered from repeated declarations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interacting Pólya-urn model of inherent versus declared opinions, with proofs that estimation succeeds without large majorities and fails asymptotically with them. Proposed extension: record each stakeholder's declared probability that A1 or P10 exceeds 250 mg/L over successive workshops, fit the urn model, and test whether the inferred inherent beliefs, rather than the declared ones, change which stakeholder is pivotal under the unanimous rule.</w:t>
      </w:r>
    </w:p>
    <w:p>
      <w:pPr>
        <w:keepNext/>
        <w:pBdr>
          <w:top w:val="single" w:color="4D4D4F" w:sz="6" w:space="4"/>
        </w:pBdr>
        <w:spacing w:after="60" w:before="220"/>
      </w:pPr>
      <w:r>
        <w:rPr>
          <w:b/>
          <w:bCs/>
          <w:color w:val="4D4D4F"/>
          <w:sz w:val="23"/>
          <w:szCs w:val="23"/>
        </w:rPr>
        <w:t xml:space="preserve">M5  </w:t>
      </w:r>
      <w:r>
        <w:rPr>
          <w:b/>
          <w:bCs/>
          <w:color w:val="1F3864"/>
          <w:sz w:val="23"/>
          <w:szCs w:val="23"/>
        </w:rPr>
        <w:t xml:space="preserve">What Data Enables Optimal Decisions? An Exact Characterization for Linear Optimization</w:t>
      </w:r>
    </w:p>
    <w:p>
      <w:pPr>
        <w:keepNext/>
        <w:spacing w:after="60" w:line="240" w:lineRule="auto"/>
      </w:pPr>
      <w:r>
        <w:rPr>
          <w:b/>
          <w:bCs/>
          <w:color w:val="333B47"/>
          <w:sz w:val="15"/>
          <w:szCs w:val="15"/>
        </w:rPr>
        <w:t xml:space="preserve">Authors: </w:t>
      </w:r>
      <w:r>
        <w:rPr>
          <w:sz w:val="15"/>
          <w:szCs w:val="15"/>
        </w:rPr>
        <w:t xml:space="preserve">Omar Bennouna, Amine Bennouna, Saurabh Amin, Asuman Ozdaglar</w:t>
      </w:r>
      <w:r>
        <w:rPr>
          <w:sz w:val="15"/>
          <w:szCs w:val="15"/>
        </w:rPr>
        <w:t xml:space="preserve">   </w:t>
      </w:r>
      <w:r>
        <w:rPr>
          <w:b/>
          <w:bCs/>
          <w:color w:val="333B47"/>
          <w:sz w:val="15"/>
          <w:szCs w:val="15"/>
        </w:rPr>
        <w:t xml:space="preserve">Published in: </w:t>
      </w:r>
      <w:r>
        <w:rPr>
          <w:sz w:val="15"/>
          <w:szCs w:val="15"/>
        </w:rPr>
        <w:t xml:space="preserve">Advances in Neural Information Processing Systems 38 (NeurIPS 2025), main conference track (pages not verified); arXiv 2505.21692</w:t>
      </w:r>
      <w:r>
        <w:rPr>
          <w:sz w:val="15"/>
          <w:szCs w:val="15"/>
        </w:rPr>
        <w:t xml:space="preserve">   </w:t>
      </w:r>
      <w:r>
        <w:rPr>
          <w:b/>
          <w:bCs/>
          <w:color w:val="333B47"/>
          <w:sz w:val="15"/>
          <w:szCs w:val="15"/>
        </w:rPr>
        <w:t xml:space="preserve">Link: </w:t>
      </w:r>
      <w:hyperlink w:history="1" r:id="rIdlieo0xwy2vmx-wmnnsufe">
        <w:r>
          <w:rPr>
            <w:color w:val="1D4ED8"/>
            <w:sz w:val="15"/>
            <w:szCs w:val="15"/>
            <w:u w:val="single"/>
          </w:rPr>
          <w:t xml:space="preserve">https://papers.nips.cc/paper_files/paper/2025/hash/f2865c76810f9f702f52fd3e4150a296-Abstract-Conference.html</w:t>
        </w:r>
      </w:hyperlink>
    </w:p>
    <w:p>
      <w:pPr>
        <w:keepNext/>
        <w:spacing w:after="80" w:line="240" w:lineRule="auto"/>
      </w:pPr>
      <w:r>
        <w:rPr>
          <w:b/>
          <w:bCs/>
          <w:color w:val="333B47"/>
          <w:sz w:val="15"/>
          <w:szCs w:val="15"/>
        </w:rPr>
        <w:t xml:space="preserve">Affiliation: </w:t>
      </w:r>
      <w:r>
        <w:rPr>
          <w:color w:val="3A4350"/>
          <w:sz w:val="15"/>
          <w:szCs w:val="15"/>
        </w:rPr>
        <w:t xml:space="preserve">MIT News (November 2025): Omar Bennouna, MIT EECS graduate student; Saurabh Amin and Asuman Ozdaglar, principal investigators in MIT LIDS; Amine Bennouna, former MIT postdoc, now assistant professor at Northwestern. The INFORMS awards listing gives Amin, O. Bennouna and Ozdaglar as MIT.</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4D4D4F"/>
          <w:sz w:val="17"/>
          <w:szCs w:val="17"/>
        </w:rPr>
        <w:t xml:space="preserve">Summary. </w:t>
      </w:r>
      <w:r>
        <w:rPr>
          <w:sz w:val="17"/>
          <w:szCs w:val="17"/>
        </w:rPr>
        <w:t xml:space="preserve">A decision maker must solve a linear program whose cost vector is unknown but lies in a known uncertainty set, and can observe only some linear measurements (inner products) of the cost vector. A dataset is sufficient if some map from its observations returns an optimal solution for every cost vector in the set. The paper gives an exact geometric characterisation: a sufficient dataset must capture the directions of the cost vector that can change the optimal solution, given the constraints and the uncertainty set. It then gives an algorithm that builds a minimal or least-costly sufficient dataset, showing that small, well-chosen datasets can fully determine optimal decisions.</w:t>
      </w:r>
    </w:p>
    <w:p>
      <w:pPr>
        <w:keepNext/>
        <w:spacing w:after="20" w:before="40"/>
      </w:pPr>
      <w:r>
        <w:rPr>
          <w:b/>
          <w:bCs/>
          <w:color w:val="4D4D4F"/>
          <w:sz w:val="17"/>
          <w:szCs w:val="17"/>
        </w:rPr>
        <w:t xml:space="preserve">Key equation.</w:t>
      </w:r>
      <w:r>
        <w:rPr>
          <w:i/>
          <w:iCs/>
          <w:color w:val="5B6573"/>
          <w:sz w:val="15"/>
          <w:szCs w:val="15"/>
        </w:rPr>
        <w:t xml:space="preserve">  Definition of a decision-sufficient dataset (representative formulation)</w:t>
      </w:r>
    </w:p>
    <w:p>
      <w:pPr>
        <w:pStyle w:val="Equation"/>
      </w:pPr>
      <m:oMathPara>
        <m:oMathParaPr>
          <m:jc m:val="center"/>
        </m:oMathParaPr>
        <m:oMath>
          <m:r>
            <m:rPr>
              <m:sty m:val="p"/>
            </m:rPr>
            <m:t>∃</m:t>
          </m:r>
          <m:r>
            <m:t> </m:t>
          </m:r>
          <m:acc>
            <m:accPr>
              <m:chr m:val="̂"/>
            </m:accPr>
            <m:e>
              <m:r>
                <m:t>x</m:t>
              </m:r>
            </m:e>
          </m:acc>
          <m:r>
            <m:rPr>
              <m:sty m:val="p"/>
            </m:rPr>
            <m:t>:</m:t>
          </m:r>
          <m:r>
            <m:t> </m:t>
          </m:r>
          <m:acc>
            <m:accPr>
              <m:chr m:val="̂"/>
            </m:accPr>
            <m:e>
              <m:r>
                <m:t>x</m:t>
              </m:r>
            </m:e>
          </m:acc>
          <m:d>
            <m:dPr>
              <m:begChr m:val="("/>
              <m:sepChr m:val=""/>
              <m:endChr m:val=")"/>
              <m:grow/>
            </m:dPr>
            <m:e>
              <m:sSub>
                <m:e>
                  <m:d>
                    <m:dPr>
                      <m:begChr m:val="("/>
                      <m:sepChr m:val=""/>
                      <m:endChr m:val=")"/>
                      <m:grow/>
                    </m:dPr>
                    <m:e>
                      <m:sSup>
                        <m:e>
                          <m:r>
                            <m:t>d</m:t>
                          </m:r>
                        </m:e>
                        <m:sup>
                          <m:r>
                            <m:rPr>
                              <m:sty m:val="p"/>
                            </m:rPr>
                            <m:t>⊤</m:t>
                          </m:r>
                        </m:sup>
                      </m:sSup>
                      <m:r>
                        <m:t>c</m:t>
                      </m:r>
                    </m:e>
                  </m:d>
                </m:e>
                <m:sub>
                  <m:r>
                    <m:t>d</m:t>
                  </m:r>
                  <m:r>
                    <m:rPr>
                      <m:sty m:val="p"/>
                    </m:rPr>
                    <m:t>∈</m:t>
                  </m:r>
                  <m:r>
                    <m:rPr>
                      <m:scr m:val="script"/>
                      <m:sty m:val="p"/>
                    </m:rPr>
                    <m:t>D</m:t>
                  </m:r>
                </m:sub>
              </m:sSub>
            </m:e>
          </m:d>
          <m:r>
            <m:rPr>
              <m:sty m:val="p"/>
            </m:rPr>
            <m:t>∈</m:t>
          </m:r>
          <m:r>
            <m:rPr>
              <m:sty m:val="p"/>
            </m:rPr>
            <m:t>arg</m:t>
          </m:r>
          <m:limLow>
            <m:e>
              <m:r>
                <m:rPr>
                  <m:sty m:val="p"/>
                </m:rPr>
                <m:t>min</m:t>
              </m:r>
            </m:e>
            <m:lim>
              <m:r>
                <m:t>x</m:t>
              </m:r>
              <m:r>
                <m:rPr>
                  <m:sty m:val="p"/>
                </m:rPr>
                <m:t>∈</m:t>
              </m:r>
              <m:r>
                <m:t>P</m:t>
              </m:r>
            </m:lim>
          </m:limLow>
          <m:sSup>
            <m:e>
              <m:r>
                <m:t>c</m:t>
              </m:r>
            </m:e>
            <m:sup>
              <m:r>
                <m:rPr>
                  <m:sty m:val="p"/>
                </m:rPr>
                <m:t>⊤</m:t>
              </m:r>
            </m:sup>
          </m:sSup>
          <m:r>
            <m:t>x</m:t>
          </m:r>
          <m:r>
            <m:t> </m:t>
          </m:r>
          <m:r>
            <m:rPr>
              <m:nor/>
            </m:rPr>
            <m:t>for every </m:t>
          </m:r>
          <m:r>
            <m:t>c</m:t>
          </m:r>
          <m:r>
            <m:rPr>
              <m:sty m:val="p"/>
            </m:rPr>
            <m:t>∈</m:t>
          </m:r>
          <m:r>
            <m:t>C</m:t>
          </m:r>
        </m:oMath>
      </m:oMathPara>
    </w:p>
    <w:p>
      <w:pPr>
        <w:spacing w:after="60"/>
        <w:jc w:val="both"/>
      </w:pPr>
      <m:oMath>
        <m:r>
          <m:t>P</m:t>
        </m:r>
      </m:oMath>
      <w:r>
        <w:rPr>
          <w:color w:val="3A4350"/>
          <w:sz w:val="15"/>
          <w:szCs w:val="15"/>
        </w:rPr>
        <w:t xml:space="preserve"> is the feasible polytope, </w:t>
      </w:r>
      <m:oMath>
        <m:r>
          <m:t>C</m:t>
        </m:r>
      </m:oMath>
      <w:r>
        <w:rPr>
          <w:color w:val="3A4350"/>
          <w:sz w:val="15"/>
          <w:szCs w:val="15"/>
        </w:rPr>
        <w:t xml:space="preserve"> the uncertainty set of cost vectors </w:t>
      </w:r>
      <m:oMath>
        <m:r>
          <m:t>c</m:t>
        </m:r>
      </m:oMath>
      <w:r>
        <w:rPr>
          <w:color w:val="3A4350"/>
          <w:sz w:val="15"/>
          <w:szCs w:val="15"/>
        </w:rPr>
        <w:t xml:space="preserve">, </w:t>
      </w:r>
      <m:oMath>
        <m:r>
          <m:rPr>
            <m:scr m:val="script"/>
            <m:sty m:val="p"/>
          </m:rPr>
          <m:t>D</m:t>
        </m:r>
      </m:oMath>
      <w:r>
        <w:rPr>
          <w:color w:val="3A4350"/>
          <w:sz w:val="15"/>
          <w:szCs w:val="15"/>
        </w:rPr>
        <w:t xml:space="preserve"> the set of measured directions </w:t>
      </w:r>
      <m:oMath>
        <m:r>
          <m:t>d</m:t>
        </m:r>
      </m:oMath>
      <w:r>
        <w:rPr>
          <w:color w:val="3A4350"/>
          <w:sz w:val="15"/>
          <w:szCs w:val="15"/>
        </w:rPr>
        <w:t xml:space="preserve"> (each observation is </w:t>
      </w:r>
      <m:oMath>
        <m:sSup>
          <m:e>
            <m:r>
              <m:t>d</m:t>
            </m:r>
          </m:e>
          <m:sup>
            <m:r>
              <m:rPr>
                <m:sty m:val="p"/>
              </m:rPr>
              <m:t>⊤</m:t>
            </m:r>
          </m:sup>
        </m:sSup>
        <m:r>
          <m:t>c</m:t>
        </m:r>
      </m:oMath>
      <w:r>
        <w:rPr>
          <w:color w:val="3A4350"/>
          <w:sz w:val="15"/>
          <w:szCs w:val="15"/>
        </w:rPr>
        <w:t xml:space="preserve">) and </w:t>
      </w:r>
      <m:oMath>
        <m:acc>
          <m:accPr>
            <m:chr m:val="̂"/>
          </m:accPr>
          <m:e>
            <m:r>
              <m:t>x</m:t>
            </m:r>
          </m:e>
        </m:acc>
      </m:oMath>
      <w:r>
        <w:rPr>
          <w:color w:val="3A4350"/>
          <w:sz w:val="15"/>
          <w:szCs w:val="15"/>
        </w:rPr>
        <w:t xml:space="preserve"> a decision rule built from the observations; the paper characterises exactly which </w:t>
      </w:r>
      <m:oMath>
        <m:r>
          <m:rPr>
            <m:scr m:val="script"/>
            <m:sty m:val="p"/>
          </m:rPr>
          <m:t>D</m:t>
        </m:r>
      </m:oMath>
      <w:r>
        <w:rPr>
          <w:color w:val="3A4350"/>
          <w:sz w:val="15"/>
          <w:szCs w:val="15"/>
        </w:rPr>
        <w:t xml:space="preserve"> have this property.</w:t>
      </w:r>
    </w:p>
    <w:p>
      <w:pPr>
        <w:spacing w:after="60"/>
        <w:jc w:val="both"/>
      </w:pPr>
      <w:r>
        <w:rPr>
          <w:b/>
          <w:bCs/>
          <w:color w:val="4D4D4F"/>
          <w:sz w:val="17"/>
          <w:szCs w:val="17"/>
        </w:rPr>
        <w:t xml:space="preserve">Link to the Fushë-Kuqe stakeholders. </w:t>
      </w:r>
      <w:r>
        <w:rPr>
          <w:sz w:val="17"/>
          <w:szCs w:val="17"/>
        </w:rPr>
        <w:t xml:space="preserve">Belongs to theme 4. The group's question, buy one chloride sample at A30 first or commit now, becomes: is the current dataset sufficient for the pumping-and-recharge choice? If the measured directions already cover every direction of the disputed drivers that could change the optimal plan, sampling stops and the group commits; if not, the paper finds the cheapest additional measurement.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replaces 'more data is better' with an exact answer to which measurements suffice to commit to an optimal decision, plus an algorithm for the cheapest such set. NeurIPS 2025; INFORMS lists it as winner of the 2025 Data Mining Best Theoretical Paper award (the first author's homepage says finalist).</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covers linear programs with uncertain costs and exact measurements. At Fushë-Kuqe the uncertainty enters chance constraints on chloride and samples are noisy; whether one A30 sample is sufficient in this sense, for all six stakeholders' belief sets at once,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an exact geometric characterisation of datasets that determine an optimal linear-programming solution for every cost in an uncertainty set, and an algorithm for minimal ones. Proposed extension: linearise net water and the chloride limits at A1 and P10 in mixing-zone width and recharge, take the union of the six stakeholders' tilt sets as the uncertainty set, and test whether the direction measured at A30 is sufficient, so sampling can stop after one sample.</w:t>
      </w:r>
    </w:p>
    <w:p>
      <w:pPr>
        <w:pStyle w:val="Heading1"/>
      </w:pPr>
      <w:r>
        <w:rPr>
          <w:color w:val="215CAF"/>
        </w:rPr>
        <w:t xml:space="preserve">7. ETH Zürich</w:t>
      </w:r>
    </w:p>
    <w:p>
      <w:pPr>
        <w:spacing w:after="120"/>
        <w:jc w:val="both"/>
      </w:pPr>
      <w:r>
        <w:t xml:space="preserve">Five ETH Zürich papers. Soroosh Shafiee, Liviu Aolaritei, Florian Dörfler and Daniel Kuhn find Nash equilibria between a decision maker and nature in optimal-transport robust optimisation [E1]; Nicolas Lanzetti, Saverio Bolognani and Florian Dörfler prove first-order conditions in the Wasserstein space [E2]; Hans Gersbach and Oriol Tejada design semi-flexible majority rules [E3]; Paul Embrechts, Alexander Schied and Ruodu Wang show which risk measures are robust to optimisation [E4]; and Paul Embrechts, Tiantian Mao, Qiuqi Wang and Ruodu Wang characterise Bayes risk measures and elicitability [E5].</w:t>
      </w:r>
    </w:p>
    <w:p>
      <w:pPr>
        <w:keepNext/>
        <w:pBdr>
          <w:top w:val="single" w:color="215CAF" w:sz="6" w:space="4"/>
        </w:pBdr>
        <w:spacing w:after="60" w:before="220"/>
      </w:pPr>
      <w:r>
        <w:rPr>
          <w:b/>
          <w:bCs/>
          <w:color w:val="215CAF"/>
          <w:sz w:val="23"/>
          <w:szCs w:val="23"/>
        </w:rPr>
        <w:t xml:space="preserve">E1  </w:t>
      </w:r>
      <w:r>
        <w:rPr>
          <w:b/>
          <w:bCs/>
          <w:color w:val="1F3864"/>
          <w:sz w:val="23"/>
          <w:szCs w:val="23"/>
        </w:rPr>
        <w:t xml:space="preserve">Nash Equilibria, Regularization, and Computation in Optimal Transport-Based Distributionally Robust Optimization</w:t>
      </w:r>
    </w:p>
    <w:p>
      <w:pPr>
        <w:keepNext/>
        <w:spacing w:after="60" w:line="240" w:lineRule="auto"/>
      </w:pPr>
      <w:r>
        <w:rPr>
          <w:b/>
          <w:bCs/>
          <w:color w:val="333B47"/>
          <w:sz w:val="15"/>
          <w:szCs w:val="15"/>
        </w:rPr>
        <w:t xml:space="preserve">Authors: </w:t>
      </w:r>
      <w:r>
        <w:rPr>
          <w:sz w:val="15"/>
          <w:szCs w:val="15"/>
        </w:rPr>
        <w:t xml:space="preserve">Soroosh Shafiee, Liviu Aolaritei, Florian Dörfler, Daniel Kuhn</w:t>
      </w:r>
      <w:r>
        <w:rPr>
          <w:sz w:val="15"/>
          <w:szCs w:val="15"/>
        </w:rPr>
        <w:t xml:space="preserve">   </w:t>
      </w:r>
      <w:r>
        <w:rPr>
          <w:b/>
          <w:bCs/>
          <w:color w:val="333B47"/>
          <w:sz w:val="15"/>
          <w:szCs w:val="15"/>
        </w:rPr>
        <w:t xml:space="preserve">Published in: </w:t>
      </w:r>
      <w:r>
        <w:rPr>
          <w:sz w:val="15"/>
          <w:szCs w:val="15"/>
        </w:rPr>
        <w:t xml:space="preserve">Operations Research (2025; online 19 December 2025 according to OpenAlex; volume, issue and pages not verified)</w:t>
      </w:r>
      <w:r>
        <w:rPr>
          <w:sz w:val="15"/>
          <w:szCs w:val="15"/>
        </w:rPr>
        <w:t xml:space="preserve">   </w:t>
      </w:r>
      <w:r>
        <w:rPr>
          <w:b/>
          <w:bCs/>
          <w:color w:val="333B47"/>
          <w:sz w:val="15"/>
          <w:szCs w:val="15"/>
        </w:rPr>
        <w:t xml:space="preserve">Link: </w:t>
      </w:r>
      <w:hyperlink w:history="1" r:id="rIdj7bsr4j7nwjzsvm0twva1">
        <w:r>
          <w:rPr>
            <w:color w:val="1D4ED8"/>
            <w:sz w:val="15"/>
            <w:szCs w:val="15"/>
            <w:u w:val="single"/>
          </w:rPr>
          <w:t xml:space="preserve">https://doi.org/10.1287/opre.2023.0138</w:t>
        </w:r>
      </w:hyperlink>
    </w:p>
    <w:p>
      <w:pPr>
        <w:keepNext/>
        <w:spacing w:after="80" w:line="240" w:lineRule="auto"/>
      </w:pPr>
      <w:r>
        <w:rPr>
          <w:b/>
          <w:bCs/>
          <w:color w:val="333B47"/>
          <w:sz w:val="15"/>
          <w:szCs w:val="15"/>
        </w:rPr>
        <w:t xml:space="preserve">Affiliation: </w:t>
      </w:r>
      <w:r>
        <w:rPr>
          <w:color w:val="3A4350"/>
          <w:sz w:val="15"/>
          <w:szCs w:val="15"/>
        </w:rPr>
        <w:t xml:space="preserve">Aolaritei: ETH Zürich in the author line of arXiv 2303.03900v1 (March 2023, then titled “New perspectives on regularization and computation in optimal transport-based distributionally robust optimization”; the v4 header gives UC Berkeley); Dörfler: Automatic Control Laboratory, ETH Zürich (confirmed in the review-57 searches); Kuhn: EPFL, whose Infoscience repository lists the article (search results: INFORMS, OpenAlex, EPFL Infoscience, arXiv).</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215CAF"/>
          <w:sz w:val="17"/>
          <w:szCs w:val="17"/>
        </w:rPr>
        <w:t xml:space="preserve">Summary. </w:t>
      </w:r>
      <w:r>
        <w:rPr>
          <w:sz w:val="17"/>
          <w:szCs w:val="17"/>
        </w:rPr>
        <w:t xml:space="preserve">A decision maker chooses an action while a fictitious adversary, nature, may reshape a reference distribution of the uncertain parameters at a finite optimal-transport cost. The paper shows that this robustification is closely tied to variation and Lipschitz regularisation of the loss, even when the transport cost is not a power of a metric. It gives conditions under which a Nash equilibrium between the decision maker and nature exists and can be computed, shows numerically that nature's equilibrium strategy is supported on deceptive adversarial samples, and identifies practically relevant problem classes that gradient descent solves when either the loss or the transport cost is nonconvex, but not both.</w:t>
      </w:r>
    </w:p>
    <w:p>
      <w:pPr>
        <w:keepNext/>
        <w:spacing w:after="20" w:before="40"/>
      </w:pPr>
      <w:r>
        <w:rPr>
          <w:b/>
          <w:bCs/>
          <w:color w:val="215CAF"/>
          <w:sz w:val="17"/>
          <w:szCs w:val="17"/>
        </w:rPr>
        <w:t xml:space="preserve">Key equation.</w:t>
      </w:r>
      <w:r>
        <w:rPr>
          <w:i/>
          <w:iCs/>
          <w:color w:val="5B6573"/>
          <w:sz w:val="15"/>
          <w:szCs w:val="15"/>
        </w:rPr>
        <w:t xml:space="preserve">  Worst-case expected loss over an optimal-transport ball and a regularisation bound (representative formulation)</w:t>
      </w:r>
    </w:p>
    <w:p>
      <w:pPr>
        <w:pStyle w:val="Equation"/>
      </w:pPr>
      <m:oMathPara>
        <m:oMathParaPr>
          <m:jc m:val="center"/>
        </m:oMathParaPr>
        <m:oMath>
          <m:limLow>
            <m:e>
              <m:r>
                <m:rPr>
                  <m:sty m:val="p"/>
                </m:rPr>
                <m:t>max</m:t>
              </m:r>
            </m:e>
            <m:lim>
              <m:r>
                <m:t>Q</m:t>
              </m:r>
              <m:r>
                <m:rPr>
                  <m:sty m:val="p"/>
                </m:rPr>
                <m:t>:</m:t>
              </m:r>
              <m:sSub>
                <m:e>
                  <m:r>
                    <m:rPr>
                      <m:nor/>
                    </m:rPr>
                    <m:t>OT</m:t>
                  </m:r>
                </m:e>
                <m:sub>
                  <m:r>
                    <m:t>c</m:t>
                  </m:r>
                </m:sub>
              </m:sSub>
              <m:d>
                <m:dPr>
                  <m:begChr m:val="("/>
                  <m:sepChr m:val=""/>
                  <m:endChr m:val=")"/>
                  <m:grow/>
                </m:dPr>
                <m:e>
                  <m:acc>
                    <m:accPr>
                      <m:chr m:val="̂"/>
                    </m:accPr>
                    <m:e>
                      <m:r>
                        <m:t>P</m:t>
                      </m:r>
                    </m:e>
                  </m:acc>
                  <m:r>
                    <m:rPr>
                      <m:sty m:val="p"/>
                    </m:rPr>
                    <m:t>,</m:t>
                  </m:r>
                  <m:r>
                    <m:t>Q</m:t>
                  </m:r>
                </m:e>
              </m:d>
              <m:r>
                <m:rPr>
                  <m:sty m:val="p"/>
                </m:rPr>
                <m:t>≤</m:t>
              </m:r>
              <m:r>
                <m:t>ρ</m:t>
              </m:r>
            </m:lim>
          </m:limLow>
          <m:sSub>
            <m:e>
              <m:r>
                <m:rPr>
                  <m:scr m:val="double-struck"/>
                  <m:sty m:val="p"/>
                </m:rPr>
                <m:t>E</m:t>
              </m:r>
            </m:e>
            <m:sub>
              <m:r>
                <m:t>Q</m:t>
              </m:r>
            </m:sub>
          </m:sSub>
          <m:d>
            <m:dPr>
              <m:begChr m:val="["/>
              <m:sepChr m:val=""/>
              <m:endChr m:val="]"/>
              <m:grow/>
            </m:dPr>
            <m:e>
              <m:r>
                <m:rPr>
                  <m:sty m:val="p"/>
                </m:rPr>
                <m:t>ℓ</m:t>
              </m:r>
              <m:d>
                <m:dPr>
                  <m:begChr m:val="("/>
                  <m:sepChr m:val=""/>
                  <m:endChr m:val=")"/>
                  <m:grow/>
                </m:dPr>
                <m:e>
                  <m:r>
                    <m:t>x</m:t>
                  </m:r>
                  <m:r>
                    <m:rPr>
                      <m:sty m:val="p"/>
                    </m:rPr>
                    <m:t>,</m:t>
                  </m:r>
                  <m:r>
                    <m:t>ξ</m:t>
                  </m:r>
                </m:e>
              </m:d>
            </m:e>
          </m:d>
          <m:r>
            <m:rPr>
              <m:sty m:val="p"/>
            </m:rPr>
            <m:t>≤</m:t>
          </m:r>
          <m:sSub>
            <m:e>
              <m:r>
                <m:rPr>
                  <m:scr m:val="double-struck"/>
                  <m:sty m:val="p"/>
                </m:rPr>
                <m:t>E</m:t>
              </m:r>
            </m:e>
            <m:sub>
              <m:acc>
                <m:accPr>
                  <m:chr m:val="̂"/>
                </m:accPr>
                <m:e>
                  <m:r>
                    <m:t>P</m:t>
                  </m:r>
                </m:e>
              </m:acc>
            </m:sub>
          </m:sSub>
          <m:d>
            <m:dPr>
              <m:begChr m:val="["/>
              <m:sepChr m:val=""/>
              <m:endChr m:val="]"/>
              <m:grow/>
            </m:dPr>
            <m:e>
              <m:r>
                <m:rPr>
                  <m:sty m:val="p"/>
                </m:rPr>
                <m:t>ℓ</m:t>
              </m:r>
              <m:d>
                <m:dPr>
                  <m:begChr m:val="("/>
                  <m:sepChr m:val=""/>
                  <m:endChr m:val=")"/>
                  <m:grow/>
                </m:dPr>
                <m:e>
                  <m:r>
                    <m:t>x</m:t>
                  </m:r>
                  <m:r>
                    <m:rPr>
                      <m:sty m:val="p"/>
                    </m:rPr>
                    <m:t>,</m:t>
                  </m:r>
                  <m:r>
                    <m:t>ξ</m:t>
                  </m:r>
                </m:e>
              </m:d>
            </m:e>
          </m:d>
          <m:r>
            <m:rPr>
              <m:sty m:val="p"/>
            </m:rPr>
            <m:t>+</m:t>
          </m:r>
          <m:r>
            <m:t>ρ</m:t>
          </m:r>
          <m:r>
            <m:rPr>
              <m:sty m:val="p"/>
            </m:rPr>
            <m:t>⋅</m:t>
          </m:r>
          <m:sSub>
            <m:e>
              <m:r>
                <m:rPr>
                  <m:nor/>
                </m:rPr>
                <m:t>Lip</m:t>
              </m:r>
            </m:e>
            <m:sub>
              <m:r>
                <m:t>c</m:t>
              </m:r>
            </m:sub>
          </m:sSub>
          <m:d>
            <m:dPr>
              <m:begChr m:val="("/>
              <m:sepChr m:val=""/>
              <m:endChr m:val=")"/>
              <m:grow/>
            </m:dPr>
            <m:e>
              <m:r>
                <m:rPr>
                  <m:sty m:val="p"/>
                </m:rPr>
                <m:t>ℓ</m:t>
              </m:r>
              <m:d>
                <m:dPr>
                  <m:begChr m:val="("/>
                  <m:sepChr m:val=""/>
                  <m:endChr m:val=")"/>
                  <m:grow/>
                </m:dPr>
                <m:e>
                  <m:r>
                    <m:t>x</m:t>
                  </m:r>
                  <m:r>
                    <m:rPr>
                      <m:sty m:val="p"/>
                    </m:rPr>
                    <m:t>,</m:t>
                  </m:r>
                  <m:r>
                    <m:rPr>
                      <m:sty m:val="p"/>
                    </m:rPr>
                    <m:t>⋅</m:t>
                  </m:r>
                </m:e>
              </m:d>
            </m:e>
          </m:d>
        </m:oMath>
      </m:oMathPara>
    </w:p>
    <w:p>
      <w:pPr>
        <w:spacing w:after="60"/>
        <w:jc w:val="both"/>
      </w:pPr>
      <w:r>
        <w:rPr>
          <w:color w:val="3A4350"/>
          <w:sz w:val="15"/>
          <w:szCs w:val="15"/>
        </w:rPr>
        <w:t xml:space="preserve">Here </w:t>
      </w:r>
      <m:oMath>
        <m:r>
          <m:t>x</m:t>
        </m:r>
      </m:oMath>
      <w:r>
        <w:rPr>
          <w:color w:val="3A4350"/>
          <w:sz w:val="15"/>
          <w:szCs w:val="15"/>
        </w:rPr>
        <w:t xml:space="preserve"> is the action, </w:t>
      </w:r>
      <m:oMath>
        <m:r>
          <m:t>ξ</m:t>
        </m:r>
      </m:oMath>
      <w:r>
        <w:rPr>
          <w:color w:val="3A4350"/>
          <w:sz w:val="15"/>
          <w:szCs w:val="15"/>
        </w:rPr>
        <w:t xml:space="preserve"> the uncertain parameters, </w:t>
      </w:r>
      <m:oMath>
        <m:acc>
          <m:accPr>
            <m:chr m:val="̂"/>
          </m:accPr>
          <m:e>
            <m:r>
              <m:t>P</m:t>
            </m:r>
          </m:e>
        </m:acc>
      </m:oMath>
      <w:r>
        <w:rPr>
          <w:color w:val="3A4350"/>
          <w:sz w:val="15"/>
          <w:szCs w:val="15"/>
        </w:rPr>
        <w:t xml:space="preserve"> the reference distribution, </w:t>
      </w:r>
      <m:oMath>
        <m:sSub>
          <m:e>
            <m:r>
              <m:rPr>
                <m:nor/>
              </m:rPr>
              <m:t>OT</m:t>
            </m:r>
          </m:e>
          <m:sub>
            <m:r>
              <m:t>c</m:t>
            </m:r>
          </m:sub>
        </m:sSub>
      </m:oMath>
      <w:r>
        <w:rPr>
          <w:color w:val="3A4350"/>
          <w:sz w:val="15"/>
          <w:szCs w:val="15"/>
        </w:rPr>
        <w:t xml:space="preserve"> the optimal-transport cost for transport cost </w:t>
      </w:r>
      <m:oMath>
        <m:r>
          <m:t>c</m:t>
        </m:r>
      </m:oMath>
      <w:r>
        <w:rPr>
          <w:color w:val="3A4350"/>
          <w:sz w:val="15"/>
          <w:szCs w:val="15"/>
        </w:rPr>
        <w:t xml:space="preserve">, </w:t>
      </w:r>
      <m:oMath>
        <m:r>
          <m:t>ρ</m:t>
        </m:r>
      </m:oMath>
      <w:r>
        <w:rPr>
          <w:color w:val="3A4350"/>
          <w:sz w:val="15"/>
          <w:szCs w:val="15"/>
        </w:rPr>
        <w:t xml:space="preserve"> the transport budget (radius) and </w:t>
      </w:r>
      <m:oMath>
        <m:sSub>
          <m:e>
            <m:r>
              <m:rPr>
                <m:nor/>
              </m:rPr>
              <m:t>Lip</m:t>
            </m:r>
          </m:e>
          <m:sub>
            <m:r>
              <m:t>c</m:t>
            </m:r>
          </m:sub>
        </m:sSub>
      </m:oMath>
      <w:r>
        <w:rPr>
          <w:color w:val="3A4350"/>
          <w:sz w:val="15"/>
          <w:szCs w:val="15"/>
        </w:rPr>
        <w:t xml:space="preserve"> the Lipschitz modulus of the loss measured with </w:t>
      </w:r>
      <m:oMath>
        <m:r>
          <m:t>c</m:t>
        </m:r>
      </m:oMath>
      <w:r>
        <w:rPr>
          <w:color w:val="3A4350"/>
          <w:sz w:val="15"/>
          <w:szCs w:val="15"/>
        </w:rPr>
        <w:t xml:space="preserve">; the paper relates the worst case to such variation and Lipschitz penalties for general costs.</w:t>
      </w:r>
    </w:p>
    <w:p>
      <w:pPr>
        <w:spacing w:after="60"/>
        <w:jc w:val="both"/>
      </w:pPr>
      <w:r>
        <w:rPr>
          <w:b/>
          <w:bCs/>
          <w:color w:val="215CAF"/>
          <w:sz w:val="17"/>
          <w:szCs w:val="17"/>
        </w:rPr>
        <w:t xml:space="preserve">Link to the Fushë-Kuqe stakeholders. </w:t>
      </w:r>
      <w:r>
        <w:rPr>
          <w:sz w:val="17"/>
          <w:szCs w:val="17"/>
        </w:rPr>
        <w:t xml:space="preserve">Belongs to theme 2. A transport budget </w:t>
      </w:r>
      <m:oMath>
        <m:r>
          <m:t>ρ</m:t>
        </m:r>
      </m:oMath>
      <w:r>
        <w:rPr>
          <w:sz w:val="17"/>
          <w:szCs w:val="17"/>
        </w:rPr>
        <w:t xml:space="preserve"> around the 20 000 weighted calibration draws covers every belief within reach, including beliefs no stakeholder has stated. The pumping and recharge plan is checked against nature's equilibrium belief, and the robust exceedance risk at A1 and P10 reads as nominal risk plus </w:t>
      </w:r>
      <m:oMath>
        <m:r>
          <m:t>ρ</m:t>
        </m:r>
      </m:oMath>
      <w:r>
        <w:rPr>
          <w:sz w:val="17"/>
          <w:szCs w:val="17"/>
        </w:rPr>
        <w:t xml:space="preserve"> times its sensitivity to mixing-zone width and recharge.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Settles, for general transport costs, when optimal-transport robustness amounts to regularisation and when a computable saddle point between decision maker and nature exists, so a robust decision comes with an explicit worst-case distribution. Published in Operations Research, a top venue on the review's list; on arXiv since 2023.</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theory treats expected losses and a single decision maker. Whether an equilibrium with nature still exists under a unanimous chance constraint, with each of the five stakeholders' tilted beliefs inside the transport budget, is open and would be new for aquifer governance.</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optimal-transport robustness linked to variation or Lipschitz regularisation for non-metric costs, conditions for a computable equilibrium with nature, and gradient methods when one of loss or cost is nonconvex. Proposed extension: weigh mixing-zone width and recharge differently in the transport cost, compute nature's equilibrium belief against 3 × 5 000 m³/d recharge with 9 648 m³/d pumping, and report the largest </w:t>
      </w:r>
      <m:oMath>
        <m:r>
          <m:t>ρ</m:t>
        </m:r>
      </m:oMath>
      <w:r>
        <w:rPr>
          <w:sz w:val="17"/>
          <w:szCs w:val="17"/>
        </w:rPr>
        <w:t xml:space="preserve"> keeping exceedance at A1 and P10 at or below 10%.</w:t>
      </w:r>
    </w:p>
    <w:p>
      <w:pPr>
        <w:keepNext/>
        <w:pBdr>
          <w:top w:val="single" w:color="215CAF" w:sz="6" w:space="4"/>
        </w:pBdr>
        <w:spacing w:after="60" w:before="220"/>
      </w:pPr>
      <w:r>
        <w:rPr>
          <w:b/>
          <w:bCs/>
          <w:color w:val="215CAF"/>
          <w:sz w:val="23"/>
          <w:szCs w:val="23"/>
        </w:rPr>
        <w:t xml:space="preserve">E2  </w:t>
      </w:r>
      <w:r>
        <w:rPr>
          <w:b/>
          <w:bCs/>
          <w:color w:val="1F3864"/>
          <w:sz w:val="23"/>
          <w:szCs w:val="23"/>
        </w:rPr>
        <w:t xml:space="preserve">First-Order Conditions for Optimization in the Wasserstein Space</w:t>
      </w:r>
    </w:p>
    <w:p>
      <w:pPr>
        <w:keepNext/>
        <w:spacing w:after="60" w:line="240" w:lineRule="auto"/>
      </w:pPr>
      <w:r>
        <w:rPr>
          <w:b/>
          <w:bCs/>
          <w:color w:val="333B47"/>
          <w:sz w:val="15"/>
          <w:szCs w:val="15"/>
        </w:rPr>
        <w:t xml:space="preserve">Authors: </w:t>
      </w:r>
      <w:r>
        <w:rPr>
          <w:sz w:val="15"/>
          <w:szCs w:val="15"/>
        </w:rPr>
        <w:t xml:space="preserve">Nicolas Lanzetti, Saverio Bolognani, Florian Dörfler</w:t>
      </w:r>
      <w:r>
        <w:rPr>
          <w:sz w:val="15"/>
          <w:szCs w:val="15"/>
        </w:rPr>
        <w:t xml:space="preserve">   </w:t>
      </w:r>
      <w:r>
        <w:rPr>
          <w:b/>
          <w:bCs/>
          <w:color w:val="333B47"/>
          <w:sz w:val="15"/>
          <w:szCs w:val="15"/>
        </w:rPr>
        <w:t xml:space="preserve">Published in: </w:t>
      </w:r>
      <w:r>
        <w:rPr>
          <w:sz w:val="15"/>
          <w:szCs w:val="15"/>
        </w:rPr>
        <w:t xml:space="preserve">SIAM Journal on Mathematics of Data Science, 7(1), 274–300 (2025)</w:t>
      </w:r>
      <w:r>
        <w:rPr>
          <w:sz w:val="15"/>
          <w:szCs w:val="15"/>
        </w:rPr>
        <w:t xml:space="preserve">   </w:t>
      </w:r>
      <w:r>
        <w:rPr>
          <w:b/>
          <w:bCs/>
          <w:color w:val="333B47"/>
          <w:sz w:val="15"/>
          <w:szCs w:val="15"/>
        </w:rPr>
        <w:t xml:space="preserve">Link: </w:t>
      </w:r>
      <w:hyperlink w:history="1" r:id="rId_kowo_txcrbf6wg2nedcy">
        <w:r>
          <w:rPr>
            <w:color w:val="1D4ED8"/>
            <w:sz w:val="15"/>
            <w:szCs w:val="15"/>
            <w:u w:val="single"/>
          </w:rPr>
          <w:t xml:space="preserve">https://doi.org/10.1137/23M156687X</w:t>
        </w:r>
      </w:hyperlink>
    </w:p>
    <w:p>
      <w:pPr>
        <w:keepNext/>
        <w:spacing w:after="80" w:line="240" w:lineRule="auto"/>
      </w:pPr>
      <w:r>
        <w:rPr>
          <w:b/>
          <w:bCs/>
          <w:color w:val="333B47"/>
          <w:sz w:val="15"/>
          <w:szCs w:val="15"/>
        </w:rPr>
        <w:t xml:space="preserve">Affiliation: </w:t>
      </w:r>
      <w:r>
        <w:rPr>
          <w:color w:val="3A4350"/>
          <w:sz w:val="15"/>
          <w:szCs w:val="15"/>
        </w:rPr>
        <w:t xml:space="preserve">All three authors at ETH Zürich: author line of arXiv 2209.12197, whose HTML version carries the notice of the SIAM published version (search results: arXiv, SIAM supplement page); the ETH Research Collection also holds the related work “Optimization in Wasserstein Spaces”.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215CAF"/>
          <w:sz w:val="17"/>
          <w:szCs w:val="17"/>
        </w:rPr>
        <w:t xml:space="preserve">Summary. </w:t>
      </w:r>
      <w:r>
        <w:rPr>
          <w:sz w:val="17"/>
          <w:szCs w:val="17"/>
        </w:rPr>
        <w:t xml:space="preserve">The paper studies constrained optimisation over probability measures endowed with the Wasserstein distance: a real-valued functional of a distribution is minimised subject to constraints on that distribution. Combining recent results on the geometry and differential structure of the Wasserstein space with the classical calculus of variations, it proves first-order optimality conditions showing that the Euclidean rules “set the derivative to zero” and “gradients are aligned at an optimum” carry over. The tools are used to study and solve problems in distributionally robust optimisation and statistical inference, and handle in one framework functionals such as mean–variance, the Kullback–Leibler divergence and the Wasserstein distance, traditionally difficult to treat together.</w:t>
      </w:r>
    </w:p>
    <w:p>
      <w:pPr>
        <w:keepNext/>
        <w:spacing w:after="20" w:before="40"/>
      </w:pPr>
      <w:r>
        <w:rPr>
          <w:b/>
          <w:bCs/>
          <w:color w:val="215CAF"/>
          <w:sz w:val="17"/>
          <w:szCs w:val="17"/>
        </w:rPr>
        <w:t xml:space="preserve">Key equation.</w:t>
      </w:r>
      <w:r>
        <w:rPr>
          <w:i/>
          <w:iCs/>
          <w:color w:val="5B6573"/>
          <w:sz w:val="15"/>
          <w:szCs w:val="15"/>
        </w:rPr>
        <w:t xml:space="preserve">  Aligned-gradient condition at a minimiser over a Wasserstein ball (representative formulation)</w:t>
      </w:r>
    </w:p>
    <w:p>
      <w:pPr>
        <w:pStyle w:val="Equation"/>
      </w:pPr>
      <m:oMathPara>
        <m:oMathParaPr>
          <m:jc m:val="center"/>
        </m:oMathParaPr>
        <m:oMath>
          <m:sSub>
            <m:e>
              <m:r>
                <m:rPr>
                  <m:sty m:val="p"/>
                </m:rPr>
                <m:t>∇</m:t>
              </m:r>
            </m:e>
            <m:sub>
              <m:r>
                <m:t>μ</m:t>
              </m:r>
            </m:sub>
          </m:sSub>
          <m:r>
            <m:t>J</m:t>
          </m:r>
          <m:d>
            <m:dPr>
              <m:begChr m:val="("/>
              <m:sepChr m:val=""/>
              <m:endChr m:val=")"/>
              <m:grow/>
            </m:dPr>
            <m:e>
              <m:sSup>
                <m:e>
                  <m:r>
                    <m:t>μ</m:t>
                  </m:r>
                </m:e>
                <m:sup>
                  <m:r>
                    <m:rPr>
                      <m:sty m:val="p"/>
                    </m:rPr>
                    <m:t>⋆</m:t>
                  </m:r>
                </m:sup>
              </m:sSup>
            </m:e>
          </m:d>
          <m:d>
            <m:dPr>
              <m:begChr m:val="("/>
              <m:sepChr m:val=""/>
              <m:endChr m:val=")"/>
              <m:grow/>
            </m:dPr>
            <m:e>
              <m:r>
                <m:t>x</m:t>
              </m:r>
            </m:e>
          </m:d>
          <m:r>
            <m:rPr>
              <m:sty m:val="p"/>
            </m:rPr>
            <m:t>+</m:t>
          </m:r>
          <m:r>
            <m:t>λ</m:t>
          </m:r>
          <m:d>
            <m:dPr>
              <m:begChr m:val="("/>
              <m:sepChr m:val=""/>
              <m:endChr m:val=")"/>
              <m:grow/>
            </m:dPr>
            <m:e>
              <m:r>
                <m:t>x</m:t>
              </m:r>
              <m:r>
                <m:rPr>
                  <m:sty m:val="p"/>
                </m:rPr>
                <m:t>−</m:t>
              </m:r>
              <m:r>
                <m:t>T</m:t>
              </m:r>
              <m:d>
                <m:dPr>
                  <m:begChr m:val="("/>
                  <m:sepChr m:val=""/>
                  <m:endChr m:val=")"/>
                  <m:grow/>
                </m:dPr>
                <m:e>
                  <m:r>
                    <m:t>x</m:t>
                  </m:r>
                </m:e>
              </m:d>
            </m:e>
          </m:d>
          <m:r>
            <m:rPr>
              <m:sty m:val="p"/>
            </m:rPr>
            <m:t>=</m:t>
          </m:r>
          <m:r>
            <m:t>0</m:t>
          </m:r>
          <m:r>
            <m:t> </m:t>
          </m:r>
          <m:r>
            <m:rPr>
              <m:nor/>
            </m:rPr>
            <m:t>for </m:t>
          </m:r>
          <m:sSup>
            <m:e>
              <m:r>
                <m:t>μ</m:t>
              </m:r>
            </m:e>
            <m:sup>
              <m:r>
                <m:rPr>
                  <m:sty m:val="p"/>
                </m:rPr>
                <m:t>⋆</m:t>
              </m:r>
            </m:sup>
          </m:sSup>
          <m:r>
            <m:rPr>
              <m:nor/>
            </m:rPr>
            <m:t>-almost every </m:t>
          </m:r>
          <m:r>
            <m:t>x</m:t>
          </m:r>
          <m:r>
            <m:rPr>
              <m:sty m:val="p"/>
            </m:rPr>
            <m:t>,</m:t>
          </m:r>
          <m:r>
            <m:t> </m:t>
          </m:r>
          <m:r>
            <m:t>λ</m:t>
          </m:r>
          <m:r>
            <m:rPr>
              <m:sty m:val="p"/>
            </m:rPr>
            <m:t>≥</m:t>
          </m:r>
          <m:r>
            <m:t>0</m:t>
          </m:r>
        </m:oMath>
      </m:oMathPara>
    </w:p>
    <w:p>
      <w:pPr>
        <w:spacing w:after="60"/>
        <w:jc w:val="both"/>
      </w:pPr>
      <m:oMath>
        <m:r>
          <m:t>J</m:t>
        </m:r>
      </m:oMath>
      <w:r>
        <w:rPr>
          <w:color w:val="3A4350"/>
          <w:sz w:val="15"/>
          <w:szCs w:val="15"/>
        </w:rPr>
        <w:t xml:space="preserve"> is the objective functional, </w:t>
      </w:r>
      <m:oMath>
        <m:sSub>
          <m:e>
            <m:r>
              <m:rPr>
                <m:sty m:val="p"/>
              </m:rPr>
              <m:t>∇</m:t>
            </m:r>
          </m:e>
          <m:sub>
            <m:r>
              <m:t>μ</m:t>
            </m:r>
          </m:sub>
        </m:sSub>
        <m:r>
          <m:t>J</m:t>
        </m:r>
        <m:d>
          <m:dPr>
            <m:begChr m:val="("/>
            <m:sepChr m:val=""/>
            <m:endChr m:val=")"/>
            <m:grow/>
          </m:dPr>
          <m:e>
            <m:sSup>
              <m:e>
                <m:r>
                  <m:t>μ</m:t>
                </m:r>
              </m:e>
              <m:sup>
                <m:r>
                  <m:rPr>
                    <m:sty m:val="p"/>
                  </m:rPr>
                  <m:t>⋆</m:t>
                </m:r>
              </m:sup>
            </m:sSup>
          </m:e>
        </m:d>
      </m:oMath>
      <w:r>
        <w:rPr>
          <w:color w:val="3A4350"/>
          <w:sz w:val="15"/>
          <w:szCs w:val="15"/>
        </w:rPr>
        <w:t xml:space="preserve"> its Wasserstein gradient at the optimum </w:t>
      </w:r>
      <m:oMath>
        <m:sSup>
          <m:e>
            <m:r>
              <m:t>μ</m:t>
            </m:r>
          </m:e>
          <m:sup>
            <m:r>
              <m:rPr>
                <m:sty m:val="p"/>
              </m:rPr>
              <m:t>⋆</m:t>
            </m:r>
          </m:sup>
        </m:sSup>
      </m:oMath>
      <w:r>
        <w:rPr>
          <w:color w:val="3A4350"/>
          <w:sz w:val="15"/>
          <w:szCs w:val="15"/>
        </w:rPr>
        <w:t xml:space="preserve">, </w:t>
      </w:r>
      <m:oMath>
        <m:r>
          <m:t>T</m:t>
        </m:r>
      </m:oMath>
      <w:r>
        <w:rPr>
          <w:color w:val="3A4350"/>
          <w:sz w:val="15"/>
          <w:szCs w:val="15"/>
        </w:rPr>
        <w:t xml:space="preserve"> the optimal transport map from </w:t>
      </w:r>
      <m:oMath>
        <m:sSup>
          <m:e>
            <m:r>
              <m:t>μ</m:t>
            </m:r>
          </m:e>
          <m:sup>
            <m:r>
              <m:rPr>
                <m:sty m:val="p"/>
              </m:rPr>
              <m:t>⋆</m:t>
            </m:r>
          </m:sup>
        </m:sSup>
      </m:oMath>
      <w:r>
        <w:rPr>
          <w:color w:val="3A4350"/>
          <w:sz w:val="15"/>
          <w:szCs w:val="15"/>
        </w:rPr>
        <w:t xml:space="preserve"> to the reference distribution, whose displacement </w:t>
      </w:r>
      <m:oMath>
        <m:r>
          <m:t>x</m:t>
        </m:r>
        <m:r>
          <m:rPr>
            <m:sty m:val="p"/>
          </m:rPr>
          <m:t>−</m:t>
        </m:r>
        <m:r>
          <m:t>T</m:t>
        </m:r>
        <m:d>
          <m:dPr>
            <m:begChr m:val="("/>
            <m:sepChr m:val=""/>
            <m:endChr m:val=")"/>
            <m:grow/>
          </m:dPr>
          <m:e>
            <m:r>
              <m:t>x</m:t>
            </m:r>
          </m:e>
        </m:d>
      </m:oMath>
      <w:r>
        <w:rPr>
          <w:color w:val="3A4350"/>
          <w:sz w:val="15"/>
          <w:szCs w:val="15"/>
        </w:rPr>
        <w:t xml:space="preserve"> is the gradient of half the squared Wasserstein distance, and </w:t>
      </w:r>
      <m:oMath>
        <m:r>
          <m:t>λ</m:t>
        </m:r>
      </m:oMath>
      <w:r>
        <w:rPr>
          <w:color w:val="3A4350"/>
          <w:sz w:val="15"/>
          <w:szCs w:val="15"/>
        </w:rPr>
        <w:t xml:space="preserve"> the multiplier of the ball constraint.</w:t>
      </w:r>
    </w:p>
    <w:p>
      <w:pPr>
        <w:spacing w:after="60"/>
        <w:jc w:val="both"/>
      </w:pPr>
      <w:r>
        <w:rPr>
          <w:b/>
          <w:bCs/>
          <w:color w:val="215CAF"/>
          <w:sz w:val="17"/>
          <w:szCs w:val="17"/>
        </w:rPr>
        <w:t xml:space="preserve">Link to the Fushë-Kuqe stakeholders. </w:t>
      </w:r>
      <w:r>
        <w:rPr>
          <w:sz w:val="17"/>
          <w:szCs w:val="17"/>
        </w:rPr>
        <w:t xml:space="preserve">Belongs to theme 2. The aligned-gradient rule shows how the most dangerous belief within distance </w:t>
      </w:r>
      <m:oMath>
        <m:r>
          <m:t>ε</m:t>
        </m:r>
      </m:oMath>
      <w:r>
        <w:rPr>
          <w:sz w:val="17"/>
          <w:szCs w:val="17"/>
        </w:rPr>
        <w:t xml:space="preserve"> of the calibration is built: each of the 20 000 draws moves along the gradient of the exceedance loss at A1 and P10. Because the framework also covers the Kullback–Leibler divergence, it fits VENDIMI-GO's exponentially tilted stakeholder beliefs.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Supplies research-level optimality conditions for optimisation over distributions, the calculus needed to compute worst-case beliefs in Wasserstein and divergence-based ambiguity sets, for functionals earlier work treated separately. Published in a SIAM journal on the review's list; a later paper, “Variational analysis in the Wasserstein space”, generalises the conditions.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conditions are necessary conditions for smooth functionals. Whether they characterise the worst-case belief for an indicator loss such as exceeding 250 mg/L, and with several stakeholders' belief constraints at once, is open and would be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Wasserstein-space analogues of a vanishing derivative and of Lagrange-type aligned gradients for constrained problems, covering mean–variance, divergence and transport functionals in one setting. Proposed extension: smooth the 250 mg/L exceedance indicator, solve the aligned-gradient condition for the worst-case belief in a Wasserstein ball and in a Kullback–Leibler ball around the calibrated ensemble, and compare which mixing-zone widths and recharge values each ball moves toward.</w:t>
      </w:r>
    </w:p>
    <w:p>
      <w:pPr>
        <w:keepNext/>
        <w:pBdr>
          <w:top w:val="single" w:color="215CAF" w:sz="6" w:space="4"/>
        </w:pBdr>
        <w:spacing w:after="60" w:before="220"/>
      </w:pPr>
      <w:r>
        <w:rPr>
          <w:b/>
          <w:bCs/>
          <w:color w:val="215CAF"/>
          <w:sz w:val="23"/>
          <w:szCs w:val="23"/>
        </w:rPr>
        <w:t xml:space="preserve">E3  </w:t>
      </w:r>
      <w:r>
        <w:rPr>
          <w:b/>
          <w:bCs/>
          <w:color w:val="1F3864"/>
          <w:sz w:val="23"/>
          <w:szCs w:val="23"/>
        </w:rPr>
        <w:t xml:space="preserve">Semi-flexible majority rules for public good provision</w:t>
      </w:r>
    </w:p>
    <w:p>
      <w:pPr>
        <w:keepNext/>
        <w:spacing w:after="60" w:line="240" w:lineRule="auto"/>
      </w:pPr>
      <w:r>
        <w:rPr>
          <w:b/>
          <w:bCs/>
          <w:color w:val="333B47"/>
          <w:sz w:val="15"/>
          <w:szCs w:val="15"/>
        </w:rPr>
        <w:t xml:space="preserve">Authors: </w:t>
      </w:r>
      <w:r>
        <w:rPr>
          <w:sz w:val="15"/>
          <w:szCs w:val="15"/>
        </w:rPr>
        <w:t xml:space="preserve">Hans Gersbach, Oriol Tejada</w:t>
      </w:r>
      <w:r>
        <w:rPr>
          <w:sz w:val="15"/>
          <w:szCs w:val="15"/>
        </w:rPr>
        <w:t xml:space="preserve">   </w:t>
      </w:r>
      <w:r>
        <w:rPr>
          <w:b/>
          <w:bCs/>
          <w:color w:val="333B47"/>
          <w:sz w:val="15"/>
          <w:szCs w:val="15"/>
        </w:rPr>
        <w:t xml:space="preserve">Published in: </w:t>
      </w:r>
      <w:r>
        <w:rPr>
          <w:sz w:val="15"/>
          <w:szCs w:val="15"/>
        </w:rPr>
        <w:t xml:space="preserve">Social Choice and Welfare, 63(3), 677–715 (November 2024; online 2 April 2024; open access)</w:t>
      </w:r>
      <w:r>
        <w:rPr>
          <w:sz w:val="15"/>
          <w:szCs w:val="15"/>
        </w:rPr>
        <w:t xml:space="preserve">   </w:t>
      </w:r>
      <w:r>
        <w:rPr>
          <w:b/>
          <w:bCs/>
          <w:color w:val="333B47"/>
          <w:sz w:val="15"/>
          <w:szCs w:val="15"/>
        </w:rPr>
        <w:t xml:space="preserve">Link: </w:t>
      </w:r>
      <w:hyperlink w:history="1" r:id="rIdhvvwkegz-ycphjnjxuw9j">
        <w:r>
          <w:rPr>
            <w:color w:val="1D4ED8"/>
            <w:sz w:val="15"/>
            <w:szCs w:val="15"/>
            <w:u w:val="single"/>
          </w:rPr>
          <w:t xml:space="preserve">https://doi.org/10.1007/s00355-024-01508-3</w:t>
        </w:r>
      </w:hyperlink>
    </w:p>
    <w:p>
      <w:pPr>
        <w:keepNext/>
        <w:spacing w:after="80" w:line="240" w:lineRule="auto"/>
      </w:pPr>
      <w:r>
        <w:rPr>
          <w:b/>
          <w:bCs/>
          <w:color w:val="333B47"/>
          <w:sz w:val="15"/>
          <w:szCs w:val="15"/>
        </w:rPr>
        <w:t xml:space="preserve">Affiliation: </w:t>
      </w:r>
      <w:r>
        <w:rPr>
          <w:color w:val="3A4350"/>
          <w:sz w:val="15"/>
          <w:szCs w:val="15"/>
        </w:rPr>
        <w:t xml:space="preserve">Gersbach: CER-ETH Center of Economic Research, ETH Zürich; the article is recorded in the ETH Research Collection and grew from a 2017 ETH working paper (Research Collection file WP-17-272); Tejada: CER-ETH, D-MTEC, ETH Zürich per his RePEc profile; the article is also deposited at the University of Barcelona (search results: ETH Research Collection, UB repository, RePEc, CEPR DP15099).</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(4/5)</w:t>
      </w:r>
    </w:p>
    <w:p>
      <w:pPr>
        <w:spacing w:after="60"/>
        <w:jc w:val="both"/>
      </w:pPr>
      <w:r>
        <w:rPr>
          <w:b/>
          <w:bCs/>
          <w:color w:val="215CAF"/>
          <w:sz w:val="17"/>
          <w:szCs w:val="17"/>
        </w:rPr>
        <w:t xml:space="preserve">Summary. </w:t>
      </w:r>
      <w:r>
        <w:rPr>
          <w:sz w:val="17"/>
          <w:szCs w:val="17"/>
        </w:rPr>
        <w:t xml:space="preserve">A society must choose the level of a public good while individual valuations are private. The paper proposes semi-flexible majority rules: a two-stage, multi-round voting mechanism in which the outcome of the first stage becomes the default for the second, and the vote share needed to approve a level depends on that level relative to the default rather than being fixed. With only high and low valuation types, these mechanisms implement the ex post utilitarian optimal level of the public good. The authors also show how to reduce the number of voting rounds and construct a compound mechanism for three or more valuation types.</w:t>
      </w:r>
    </w:p>
    <w:p>
      <w:pPr>
        <w:keepNext/>
        <w:spacing w:after="20" w:before="40"/>
      </w:pPr>
      <w:r>
        <w:rPr>
          <w:b/>
          <w:bCs/>
          <w:color w:val="215CAF"/>
          <w:sz w:val="17"/>
          <w:szCs w:val="17"/>
        </w:rPr>
        <w:t xml:space="preserve">Key equation.</w:t>
      </w:r>
      <w:r>
        <w:rPr>
          <w:i/>
          <w:iCs/>
          <w:color w:val="5B6573"/>
          <w:sz w:val="15"/>
          <w:szCs w:val="15"/>
        </w:rPr>
        <w:t xml:space="preserve">  Approval condition in a semi-flexible majority vote (representative formulation)</w:t>
      </w:r>
    </w:p>
    <w:p>
      <w:pPr>
        <w:pStyle w:val="Equation"/>
      </w:pPr>
      <m:oMathPara>
        <m:oMathParaPr>
          <m:jc m:val="center"/>
        </m:oMathParaPr>
        <m:oMath>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d>
            <m:dPr>
              <m:begChr m:val="{"/>
              <m:sepChr m:val=""/>
              <m:endChr m:val="}"/>
              <m:grow/>
            </m:dPr>
            <m:e>
              <m:r>
                <m:t>i</m:t>
              </m:r>
              <m:r>
                <m:rPr>
                  <m:nor/>
                </m:rPr>
                <m:t> approves </m:t>
              </m:r>
              <m:r>
                <m:t>g</m:t>
              </m:r>
            </m:e>
          </m:d>
          <m:r>
            <m:rPr>
              <m:sty m:val="p"/>
            </m:rPr>
            <m:t>≥</m:t>
          </m:r>
          <m:r>
            <m:t>θ</m:t>
          </m:r>
          <m:d>
            <m:dPr>
              <m:begChr m:val="("/>
              <m:sepChr m:val=""/>
              <m:endChr m:val=")"/>
              <m:grow/>
            </m:dPr>
            <m:e>
              <m:r>
                <m:t>g</m:t>
              </m:r>
              <m:r>
                <m:rPr>
                  <m:sty m:val="p"/>
                </m:rPr>
                <m:t>∣</m:t>
              </m:r>
              <m:sSub>
                <m:e>
                  <m:r>
                    <m:t>g</m:t>
                  </m:r>
                </m:e>
                <m:sub>
                  <m:r>
                    <m:t>0</m:t>
                  </m:r>
                </m:sub>
              </m:sSub>
            </m:e>
          </m:d>
        </m:oMath>
      </m:oMathPara>
    </w:p>
    <w:p>
      <w:pPr>
        <w:spacing w:after="60"/>
        <w:jc w:val="both"/>
      </w:pPr>
      <w:r>
        <w:rPr>
          <w:color w:val="3A4350"/>
          <w:sz w:val="15"/>
          <w:szCs w:val="15"/>
        </w:rPr>
        <w:t xml:space="preserve">There are </w:t>
      </w:r>
      <m:oMath>
        <m:r>
          <m:t>n</m:t>
        </m:r>
      </m:oMath>
      <w:r>
        <w:rPr>
          <w:color w:val="3A4350"/>
          <w:sz w:val="15"/>
          <w:szCs w:val="15"/>
        </w:rPr>
        <w:t xml:space="preserve"> voters, </w:t>
      </w:r>
      <m:oMath>
        <m:r>
          <m:t>g</m:t>
        </m:r>
      </m:oMath>
      <w:r>
        <w:rPr>
          <w:color w:val="3A4350"/>
          <w:sz w:val="15"/>
          <w:szCs w:val="15"/>
        </w:rPr>
        <w:t xml:space="preserve"> is the public-good level put to the vote, </w:t>
      </w:r>
      <m:oMath>
        <m:sSub>
          <m:e>
            <m:r>
              <m:t>g</m:t>
            </m:r>
          </m:e>
          <m:sub>
            <m:r>
              <m:t>0</m:t>
            </m:r>
          </m:sub>
        </m:sSub>
      </m:oMath>
      <w:r>
        <w:rPr>
          <w:color w:val="3A4350"/>
          <w:sz w:val="15"/>
          <w:szCs w:val="15"/>
        </w:rPr>
        <w:t xml:space="preserve"> the default set by the first stage and </w:t>
      </w:r>
      <m:oMath>
        <m:r>
          <m:t>θ</m:t>
        </m:r>
        <m:d>
          <m:dPr>
            <m:begChr m:val="("/>
            <m:sepChr m:val=""/>
            <m:endChr m:val=")"/>
            <m:grow/>
          </m:dPr>
          <m:e>
            <m:r>
              <m:t>g</m:t>
            </m:r>
            <m:r>
              <m:rPr>
                <m:sty m:val="p"/>
              </m:rPr>
              <m:t>∣</m:t>
            </m:r>
            <m:sSub>
              <m:e>
                <m:r>
                  <m:t>g</m:t>
                </m:r>
              </m:e>
              <m:sub>
                <m:r>
                  <m:t>0</m:t>
                </m:r>
              </m:sub>
            </m:sSub>
          </m:e>
        </m:d>
      </m:oMath>
      <w:r>
        <w:rPr>
          <w:color w:val="3A4350"/>
          <w:sz w:val="15"/>
          <w:szCs w:val="15"/>
        </w:rPr>
        <w:t xml:space="preserve"> the required vote share, which varies with </w:t>
      </w:r>
      <m:oMath>
        <m:r>
          <m:t>g</m:t>
        </m:r>
      </m:oMath>
      <w:r>
        <w:rPr>
          <w:color w:val="3A4350"/>
          <w:sz w:val="15"/>
          <w:szCs w:val="15"/>
        </w:rPr>
        <w:t xml:space="preserve"> relative to </w:t>
      </w:r>
      <m:oMath>
        <m:sSub>
          <m:e>
            <m:r>
              <m:t>g</m:t>
            </m:r>
          </m:e>
          <m:sub>
            <m:r>
              <m:t>0</m:t>
            </m:r>
          </m:sub>
        </m:sSub>
      </m:oMath>
      <w:r>
        <w:rPr>
          <w:color w:val="3A4350"/>
          <w:sz w:val="15"/>
          <w:szCs w:val="15"/>
        </w:rPr>
        <w:t xml:space="preserve"> instead of being fixed at one half.</w:t>
      </w:r>
    </w:p>
    <w:p>
      <w:pPr>
        <w:spacing w:after="60"/>
        <w:jc w:val="both"/>
      </w:pPr>
      <w:r>
        <w:rPr>
          <w:b/>
          <w:bCs/>
          <w:color w:val="215CAF"/>
          <w:sz w:val="17"/>
          <w:szCs w:val="17"/>
        </w:rPr>
        <w:t xml:space="preserve">Link to the Fushë-Kuqe stakeholders. </w:t>
      </w:r>
      <w:r>
        <w:rPr>
          <w:sz w:val="17"/>
          <w:szCs w:val="17"/>
        </w:rPr>
        <w:t xml:space="preserve">Belongs to theme 4. The number of recharge sites to build (none to three, 5 000 m³/d each) is a public good. A semi-flexible vote among the utility, irrigators, hotels, municipality, regional agency and environmental groups would settle it in a few rounds, with thresholds tied to the proposed level, instead of leaving every group a veto.</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Proves that a short, decisive voting procedure with thresholds that move with the proposal implements the utilitarian optimum although valuations are private, a clean implementation result for a classic collective-choice problem. Published open access in Social Choice and Welfare; earlier versions are an ETH working paper (2017) and CEPR DP15099.</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Valuations are private, but nobody is uncertain about what the good does. Whether semi-flexible thresholds still implement the optimum when voters also disagree on the probability that recharge keeps chloride at A1 and P10 below 250 mg/L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majority thresholds that depend on the proposed level relative to a first-stage default, proved to implement the ex post utilitarian optimum with two valuation types, plus a compound mechanism for more. Proposed extension: give each stakeholder a valuation of recharge equal to its belief-weighted benefit under its tilted ensemble, run the two-stage vote over zero to three sites, and compare the chosen level and exceedance risks with VENDIMI-GO's unanimous rule.</w:t>
      </w:r>
    </w:p>
    <w:p>
      <w:pPr>
        <w:keepNext/>
        <w:pBdr>
          <w:top w:val="single" w:color="215CAF" w:sz="6" w:space="4"/>
        </w:pBdr>
        <w:spacing w:after="60" w:before="220"/>
      </w:pPr>
      <w:r>
        <w:rPr>
          <w:b/>
          <w:bCs/>
          <w:color w:val="215CAF"/>
          <w:sz w:val="23"/>
          <w:szCs w:val="23"/>
        </w:rPr>
        <w:t xml:space="preserve">E4  </w:t>
      </w:r>
      <w:r>
        <w:rPr>
          <w:b/>
          <w:bCs/>
          <w:color w:val="1F3864"/>
          <w:sz w:val="23"/>
          <w:szCs w:val="23"/>
        </w:rPr>
        <w:t xml:space="preserve">Robustness in the Optimization of Risk Measures</w:t>
      </w:r>
    </w:p>
    <w:p>
      <w:pPr>
        <w:keepNext/>
        <w:spacing w:after="60" w:line="240" w:lineRule="auto"/>
      </w:pPr>
      <w:r>
        <w:rPr>
          <w:b/>
          <w:bCs/>
          <w:color w:val="333B47"/>
          <w:sz w:val="15"/>
          <w:szCs w:val="15"/>
        </w:rPr>
        <w:t xml:space="preserve">Authors: </w:t>
      </w:r>
      <w:r>
        <w:rPr>
          <w:sz w:val="15"/>
          <w:szCs w:val="15"/>
        </w:rPr>
        <w:t xml:space="preserve">Paul Embrechts, Alexander Schied, Ruodu Wang</w:t>
      </w:r>
      <w:r>
        <w:rPr>
          <w:sz w:val="15"/>
          <w:szCs w:val="15"/>
        </w:rPr>
        <w:t xml:space="preserve">   </w:t>
      </w:r>
      <w:r>
        <w:rPr>
          <w:b/>
          <w:bCs/>
          <w:color w:val="333B47"/>
          <w:sz w:val="15"/>
          <w:szCs w:val="15"/>
        </w:rPr>
        <w:t xml:space="preserve">Published in: </w:t>
      </w:r>
      <w:r>
        <w:rPr>
          <w:sz w:val="15"/>
          <w:szCs w:val="15"/>
        </w:rPr>
        <w:t xml:space="preserve">Operations Research, 70(1), 95–110 (January 2022)</w:t>
      </w:r>
      <w:r>
        <w:rPr>
          <w:sz w:val="15"/>
          <w:szCs w:val="15"/>
        </w:rPr>
        <w:t xml:space="preserve">   </w:t>
      </w:r>
      <w:r>
        <w:rPr>
          <w:b/>
          <w:bCs/>
          <w:color w:val="333B47"/>
          <w:sz w:val="15"/>
          <w:szCs w:val="15"/>
        </w:rPr>
        <w:t xml:space="preserve">Link: </w:t>
      </w:r>
      <w:hyperlink w:history="1" r:id="rIdfeptepnn-seq0ch7bvtbs">
        <w:r>
          <w:rPr>
            <w:color w:val="1D4ED8"/>
            <w:sz w:val="15"/>
            <w:szCs w:val="15"/>
            <w:u w:val="single"/>
          </w:rPr>
          <w:t xml:space="preserve">https://doi.org/10.1287/opre.2021.2147</w:t>
        </w:r>
      </w:hyperlink>
    </w:p>
    <w:p>
      <w:pPr>
        <w:keepNext/>
        <w:spacing w:after="80" w:line="240" w:lineRule="auto"/>
      </w:pPr>
      <w:r>
        <w:rPr>
          <w:b/>
          <w:bCs/>
          <w:color w:val="333B47"/>
          <w:sz w:val="15"/>
          <w:szCs w:val="15"/>
        </w:rPr>
        <w:t xml:space="preserve">Affiliation: </w:t>
      </w:r>
      <w:r>
        <w:rPr>
          <w:color w:val="3A4350"/>
          <w:sz w:val="15"/>
          <w:szCs w:val="15"/>
        </w:rPr>
        <w:t xml:space="preserve">Embrechts: RiskLab, Department of Mathematics, ETH Zürich; Schied and Wang: University of Waterloo (search results: arXiv 1809.09268 author line, INFORMS, RePEc/IDEAS).</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215CAF"/>
          <w:sz w:val="17"/>
          <w:szCs w:val="17"/>
        </w:rPr>
        <w:t xml:space="preserve">Summary. </w:t>
      </w:r>
      <w:r>
        <w:rPr>
          <w:sz w:val="17"/>
          <w:szCs w:val="17"/>
        </w:rPr>
        <w:t xml:space="preserve">Risk measures are not only computed but optimised, for example when a position is chosen to minimise regulatory risk. The paper develops a general method to decide whether such an optimisation problem is robust, called robustness against optimisation: roughly, whether the risk of the optimised position stays close to its optimal value when the model is slightly perturbed. For a class of general optimisation problems it proves that Value-at-Risk leads to non-robust optimisers, whereas convex risk measures, Expected Shortfall among them, generally lead to robust ones. The notion differs from robust optimisation, but the authors derive links between the two.</w:t>
      </w:r>
    </w:p>
    <w:p>
      <w:pPr>
        <w:keepNext/>
        <w:spacing w:after="20" w:before="40"/>
      </w:pPr>
      <w:r>
        <w:rPr>
          <w:b/>
          <w:bCs/>
          <w:color w:val="215CAF"/>
          <w:sz w:val="17"/>
          <w:szCs w:val="17"/>
        </w:rPr>
        <w:t xml:space="preserve">Key equation.</w:t>
      </w:r>
      <w:r>
        <w:rPr>
          <w:i/>
          <w:iCs/>
          <w:color w:val="5B6573"/>
          <w:sz w:val="15"/>
          <w:szCs w:val="15"/>
        </w:rPr>
        <w:t xml:space="preserve">  Worst-case risk of an optimised position under small model perturbations (representative formulation)</w:t>
      </w:r>
    </w:p>
    <w:p>
      <w:pPr>
        <w:pStyle w:val="Equation"/>
      </w:pPr>
      <m:oMathPara>
        <m:oMathParaPr>
          <m:jc m:val="center"/>
        </m:oMathParaPr>
        <m:oMath>
          <m:sSup>
            <m:e>
              <m:r>
                <m:t>ρ</m:t>
              </m:r>
            </m:e>
            <m:sup>
              <m:r>
                <m:t>ϵ</m:t>
              </m:r>
            </m:sup>
          </m:sSup>
          <m:d>
            <m:dPr>
              <m:begChr m:val="("/>
              <m:sepChr m:val=""/>
              <m:endChr m:val=")"/>
              <m:grow/>
            </m:dPr>
            <m:e>
              <m:sSup>
                <m:e>
                  <m:r>
                    <m:t>X</m:t>
                  </m:r>
                </m:e>
                <m:sup>
                  <m:r>
                    <m:rPr>
                      <m:sty m:val="p"/>
                    </m:rPr>
                    <m:t>⋆</m:t>
                  </m:r>
                </m:sup>
              </m:sSup>
            </m:e>
          </m:d>
          <m:r>
            <m:rPr>
              <m:sty m:val="p"/>
            </m:rPr>
            <m:t>=</m:t>
          </m:r>
          <m:limLow>
            <m:e>
              <m:r>
                <m:rPr>
                  <m:sty m:val="p"/>
                </m:rPr>
                <m:t>max</m:t>
              </m:r>
            </m:e>
            <m:lim>
              <m:r>
                <m:t>Y</m:t>
              </m:r>
              <m:r>
                <m:rPr>
                  <m:sty m:val="p"/>
                </m:rPr>
                <m:t>∈</m:t>
              </m:r>
              <m:sSub>
                <m:e>
                  <m:r>
                    <m:rPr>
                      <m:scr m:val="script"/>
                      <m:sty m:val="p"/>
                    </m:rPr>
                    <m:t>B</m:t>
                  </m:r>
                </m:e>
                <m:sub>
                  <m:r>
                    <m:t>ϵ</m:t>
                  </m:r>
                </m:sub>
              </m:sSub>
              <m:d>
                <m:dPr>
                  <m:begChr m:val="("/>
                  <m:sepChr m:val=""/>
                  <m:endChr m:val=")"/>
                  <m:grow/>
                </m:dPr>
                <m:e>
                  <m:sSup>
                    <m:e>
                      <m:r>
                        <m:t>X</m:t>
                      </m:r>
                    </m:e>
                    <m:sup>
                      <m:r>
                        <m:rPr>
                          <m:sty m:val="p"/>
                        </m:rPr>
                        <m:t>⋆</m:t>
                      </m:r>
                    </m:sup>
                  </m:sSup>
                </m:e>
              </m:d>
            </m:lim>
          </m:limLow>
          <m:r>
            <m:t>ρ</m:t>
          </m:r>
          <m:d>
            <m:dPr>
              <m:begChr m:val="("/>
              <m:sepChr m:val=""/>
              <m:endChr m:val=")"/>
              <m:grow/>
            </m:dPr>
            <m:e>
              <m:r>
                <m:t>Y</m:t>
              </m:r>
            </m:e>
          </m:d>
          <m:r>
            <m:rPr>
              <m:sty m:val="p"/>
            </m:rPr>
            <m:t>,</m:t>
          </m:r>
          <m:r>
            <m:t>  </m:t>
          </m:r>
          <m:sSup>
            <m:e>
              <m:r>
                <m:t>X</m:t>
              </m:r>
            </m:e>
            <m:sup>
              <m:r>
                <m:rPr>
                  <m:sty m:val="p"/>
                </m:rPr>
                <m:t>⋆</m:t>
              </m:r>
            </m:sup>
          </m:sSup>
          <m:r>
            <m:rPr>
              <m:sty m:val="p"/>
            </m:rPr>
            <m:t>∈</m:t>
          </m:r>
          <m:r>
            <m:rPr>
              <m:sty m:val="p"/>
            </m:rPr>
            <m:t>arg</m:t>
          </m:r>
          <m:limLow>
            <m:e>
              <m:r>
                <m:rPr>
                  <m:sty m:val="p"/>
                </m:rPr>
                <m:t>min</m:t>
              </m:r>
            </m:e>
            <m:lim>
              <m:r>
                <m:t>X</m:t>
              </m:r>
              <m:r>
                <m:rPr>
                  <m:sty m:val="p"/>
                </m:rPr>
                <m:t>∈</m:t>
              </m:r>
              <m:r>
                <m:rPr>
                  <m:scr m:val="script"/>
                  <m:sty m:val="p"/>
                </m:rPr>
                <m:t>X</m:t>
              </m:r>
            </m:lim>
          </m:limLow>
          <m:r>
            <m:t>ρ</m:t>
          </m:r>
          <m:d>
            <m:dPr>
              <m:begChr m:val="("/>
              <m:sepChr m:val=""/>
              <m:endChr m:val=")"/>
              <m:grow/>
            </m:dPr>
            <m:e>
              <m:r>
                <m:t>X</m:t>
              </m:r>
            </m:e>
          </m:d>
        </m:oMath>
      </m:oMathPara>
    </w:p>
    <w:p>
      <w:pPr>
        <w:spacing w:after="60"/>
        <w:jc w:val="both"/>
      </w:pPr>
      <m:oMath>
        <m:r>
          <m:rPr>
            <m:scr m:val="script"/>
            <m:sty m:val="p"/>
          </m:rPr>
          <m:t>X</m:t>
        </m:r>
      </m:oMath>
      <w:r>
        <w:rPr>
          <w:color w:val="3A4350"/>
          <w:sz w:val="15"/>
          <w:szCs w:val="15"/>
        </w:rPr>
        <w:t xml:space="preserve"> is the set of attainable positions, </w:t>
      </w:r>
      <m:oMath>
        <m:r>
          <m:t>ρ</m:t>
        </m:r>
      </m:oMath>
      <w:r>
        <w:rPr>
          <w:color w:val="3A4350"/>
          <w:sz w:val="15"/>
          <w:szCs w:val="15"/>
        </w:rPr>
        <w:t xml:space="preserve"> the risk measure, </w:t>
      </w:r>
      <m:oMath>
        <m:sSup>
          <m:e>
            <m:r>
              <m:t>X</m:t>
            </m:r>
          </m:e>
          <m:sup>
            <m:r>
              <m:rPr>
                <m:sty m:val="p"/>
              </m:rPr>
              <m:t>⋆</m:t>
            </m:r>
          </m:sup>
        </m:sSup>
      </m:oMath>
      <w:r>
        <w:rPr>
          <w:color w:val="3A4350"/>
          <w:sz w:val="15"/>
          <w:szCs w:val="15"/>
        </w:rPr>
        <w:t xml:space="preserve"> an optimiser and </w:t>
      </w:r>
      <m:oMath>
        <m:sSub>
          <m:e>
            <m:r>
              <m:rPr>
                <m:scr m:val="script"/>
                <m:sty m:val="p"/>
              </m:rPr>
              <m:t>B</m:t>
            </m:r>
          </m:e>
          <m:sub>
            <m:r>
              <m:t>ϵ</m:t>
            </m:r>
          </m:sub>
        </m:sSub>
        <m:d>
          <m:dPr>
            <m:begChr m:val="("/>
            <m:sepChr m:val=""/>
            <m:endChr m:val=")"/>
            <m:grow/>
          </m:dPr>
          <m:e>
            <m:sSup>
              <m:e>
                <m:r>
                  <m:t>X</m:t>
                </m:r>
              </m:e>
              <m:sup>
                <m:r>
                  <m:rPr>
                    <m:sty m:val="p"/>
                  </m:rPr>
                  <m:t>⋆</m:t>
                </m:r>
              </m:sup>
            </m:sSup>
          </m:e>
        </m:d>
      </m:oMath>
      <w:r>
        <w:rPr>
          <w:color w:val="3A4350"/>
          <w:sz w:val="15"/>
          <w:szCs w:val="15"/>
        </w:rPr>
        <w:t xml:space="preserve"> the positions within model distance </w:t>
      </w:r>
      <m:oMath>
        <m:r>
          <m:t>ϵ</m:t>
        </m:r>
      </m:oMath>
      <w:r>
        <w:rPr>
          <w:color w:val="3A4350"/>
          <w:sz w:val="15"/>
          <w:szCs w:val="15"/>
        </w:rPr>
        <w:t xml:space="preserve">; robustness means, roughly, that </w:t>
      </w:r>
      <m:oMath>
        <m:sSup>
          <m:e>
            <m:r>
              <m:t>ρ</m:t>
            </m:r>
          </m:e>
          <m:sup>
            <m:r>
              <m:t>ϵ</m:t>
            </m:r>
          </m:sup>
        </m:sSup>
        <m:d>
          <m:dPr>
            <m:begChr m:val="("/>
            <m:sepChr m:val=""/>
            <m:endChr m:val=")"/>
            <m:grow/>
          </m:dPr>
          <m:e>
            <m:sSup>
              <m:e>
                <m:r>
                  <m:t>X</m:t>
                </m:r>
              </m:e>
              <m:sup>
                <m:r>
                  <m:rPr>
                    <m:sty m:val="p"/>
                  </m:rPr>
                  <m:t>⋆</m:t>
                </m:r>
              </m:sup>
            </m:sSup>
          </m:e>
        </m:d>
      </m:oMath>
      <w:r>
        <w:rPr>
          <w:color w:val="3A4350"/>
          <w:sz w:val="15"/>
          <w:szCs w:val="15"/>
        </w:rPr>
        <w:t xml:space="preserve"> tends to </w:t>
      </w:r>
      <m:oMath>
        <m:r>
          <m:t>ρ</m:t>
        </m:r>
        <m:d>
          <m:dPr>
            <m:begChr m:val="("/>
            <m:sepChr m:val=""/>
            <m:endChr m:val=")"/>
            <m:grow/>
          </m:dPr>
          <m:e>
            <m:sSup>
              <m:e>
                <m:r>
                  <m:t>X</m:t>
                </m:r>
              </m:e>
              <m:sup>
                <m:r>
                  <m:rPr>
                    <m:sty m:val="p"/>
                  </m:rPr>
                  <m:t>⋆</m:t>
                </m:r>
              </m:sup>
            </m:sSup>
          </m:e>
        </m:d>
      </m:oMath>
      <w:r>
        <w:rPr>
          <w:color w:val="3A4350"/>
          <w:sz w:val="15"/>
          <w:szCs w:val="15"/>
        </w:rPr>
        <w:t xml:space="preserve"> as </w:t>
      </w:r>
      <m:oMath>
        <m:r>
          <m:t>ϵ</m:t>
        </m:r>
      </m:oMath>
      <w:r>
        <w:rPr>
          <w:color w:val="3A4350"/>
          <w:sz w:val="15"/>
          <w:szCs w:val="15"/>
        </w:rPr>
        <w:t xml:space="preserve"> tends to zero, which the paper shows fails for Value-at-Risk and generally holds for convex risk measures.</w:t>
      </w:r>
    </w:p>
    <w:p>
      <w:pPr>
        <w:spacing w:after="60"/>
        <w:jc w:val="both"/>
      </w:pPr>
      <w:r>
        <w:rPr>
          <w:b/>
          <w:bCs/>
          <w:color w:val="215CAF"/>
          <w:sz w:val="17"/>
          <w:szCs w:val="17"/>
        </w:rPr>
        <w:t xml:space="preserve">Link to the Fushë-Kuqe stakeholders. </w:t>
      </w:r>
      <w:r>
        <w:rPr>
          <w:sz w:val="17"/>
          <w:szCs w:val="17"/>
        </w:rPr>
        <w:t xml:space="preserve">Belongs to theme 2. VENDIMI-GO's rule, exceedance probability at most 10%, is a Value-at-Risk constraint: the 90% chloride quantile at A1 and P10 must stay below 250 mg/L. Maximising pumping under it is the fragile case the paper identifies: a slightly different belief can raise the risk abruptly. A belief radius or an Expected-Shortfall-type limit avoids this.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Turns the regulatory debate between Value-at-Risk and Expected Shortfall into theorems: quantile criteria give optimisers that are fragile to model error, convex criteria generally do not. Published in Operations Research; a University of Waterloo news item reports a best paper award in financial engineering for it (award details not verified).</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results concern one decision maker and one model neighbourhood. Which convex chloride limit keeps this robustness while still letting five stakeholders with tilted beliefs agree on pumping and recharge, and at what cost in water, is open and new.</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general criterion, robustness against optimisation, with proofs separating quantile-based from convex risk measures in optimisation and links to robust optimisation. Proposed extension: for each stakeholder belief, compare the largest pumping allowed by the 10% exceedance rule with that allowed by an Expected Shortfall limit on chloride at A1 and P10, then perturb the beliefs slightly and measure how far each plan's exceedance risk jumps.</w:t>
      </w:r>
    </w:p>
    <w:p>
      <w:pPr>
        <w:keepNext/>
        <w:pBdr>
          <w:top w:val="single" w:color="215CAF" w:sz="6" w:space="4"/>
        </w:pBdr>
        <w:spacing w:after="60" w:before="220"/>
      </w:pPr>
      <w:r>
        <w:rPr>
          <w:b/>
          <w:bCs/>
          <w:color w:val="215CAF"/>
          <w:sz w:val="23"/>
          <w:szCs w:val="23"/>
        </w:rPr>
        <w:t xml:space="preserve">E5  </w:t>
      </w:r>
      <w:r>
        <w:rPr>
          <w:b/>
          <w:bCs/>
          <w:color w:val="1F3864"/>
          <w:sz w:val="23"/>
          <w:szCs w:val="23"/>
        </w:rPr>
        <w:t xml:space="preserve">Bayes risk, elicitability, and the Expected Shortfall</w:t>
      </w:r>
    </w:p>
    <w:p>
      <w:pPr>
        <w:keepNext/>
        <w:spacing w:after="60" w:line="240" w:lineRule="auto"/>
      </w:pPr>
      <w:r>
        <w:rPr>
          <w:b/>
          <w:bCs/>
          <w:color w:val="333B47"/>
          <w:sz w:val="15"/>
          <w:szCs w:val="15"/>
        </w:rPr>
        <w:t xml:space="preserve">Authors: </w:t>
      </w:r>
      <w:r>
        <w:rPr>
          <w:sz w:val="15"/>
          <w:szCs w:val="15"/>
        </w:rPr>
        <w:t xml:space="preserve">Paul Embrechts, Tiantian Mao, Qiuqi Wang, Ruodu Wang</w:t>
      </w:r>
      <w:r>
        <w:rPr>
          <w:sz w:val="15"/>
          <w:szCs w:val="15"/>
        </w:rPr>
        <w:t xml:space="preserve">   </w:t>
      </w:r>
      <w:r>
        <w:rPr>
          <w:b/>
          <w:bCs/>
          <w:color w:val="333B47"/>
          <w:sz w:val="15"/>
          <w:szCs w:val="15"/>
        </w:rPr>
        <w:t xml:space="preserve">Published in: </w:t>
      </w:r>
      <w:r>
        <w:rPr>
          <w:sz w:val="15"/>
          <w:szCs w:val="15"/>
        </w:rPr>
        <w:t xml:space="preserve">Mathematical Finance, 31(4), 1190–1217 (October 2021)</w:t>
      </w:r>
      <w:r>
        <w:rPr>
          <w:sz w:val="15"/>
          <w:szCs w:val="15"/>
        </w:rPr>
        <w:t xml:space="preserve">   </w:t>
      </w:r>
      <w:r>
        <w:rPr>
          <w:b/>
          <w:bCs/>
          <w:color w:val="333B47"/>
          <w:sz w:val="15"/>
          <w:szCs w:val="15"/>
        </w:rPr>
        <w:t xml:space="preserve">Link: </w:t>
      </w:r>
      <w:hyperlink w:history="1" r:id="rIddfonhiq5umme094_vnvw2">
        <w:r>
          <w:rPr>
            <w:color w:val="1D4ED8"/>
            <w:sz w:val="15"/>
            <w:szCs w:val="15"/>
            <w:u w:val="single"/>
          </w:rPr>
          <w:t xml:space="preserve">https://doi.org/10.1111/mafi.12313</w:t>
        </w:r>
      </w:hyperlink>
    </w:p>
    <w:p>
      <w:pPr>
        <w:keepNext/>
        <w:spacing w:after="80" w:line="240" w:lineRule="auto"/>
      </w:pPr>
      <w:r>
        <w:rPr>
          <w:b/>
          <w:bCs/>
          <w:color w:val="333B47"/>
          <w:sz w:val="15"/>
          <w:szCs w:val="15"/>
        </w:rPr>
        <w:t xml:space="preserve">Affiliation: </w:t>
      </w:r>
      <w:r>
        <w:rPr>
          <w:color w:val="3A4350"/>
          <w:sz w:val="15"/>
          <w:szCs w:val="15"/>
        </w:rPr>
        <w:t xml:space="preserve">Embrechts: RiskLab, ETH Zürich; the article is recorded in the ETH Research Collection (handle 20.500.11850/494988) (search results: ETH Research Collection, RePEc/IDEAS, R. Wang’s Waterloo page). Affiliations of Mao and Q. Wang not verified.</w:t>
      </w:r>
      <w:r>
        <w:rPr>
          <w:sz w:val="15"/>
          <w:szCs w:val="15"/>
        </w:rPr>
        <w:t xml:space="preserve">   </w:t>
      </w:r>
      <w:r>
        <w:rPr>
          <w:b/>
          <w:bCs/>
          <w:color w:val="333B47"/>
          <w:sz w:val="15"/>
          <w:szCs w:val="15"/>
        </w:rPr>
        <w:t xml:space="preserve">Mathematical depth: </w:t>
      </w:r>
      <w:r>
        <w:rPr>
          <w:color w:val="D97706"/>
          <w:sz w:val="15"/>
          <w:szCs w:val="15"/>
        </w:rPr>
        <w:t xml:space="preserve">★★★★★</w:t>
      </w:r>
      <w:r>
        <w:rPr>
          <w:color w:val="5B6573"/>
          <w:sz w:val="15"/>
          <w:szCs w:val="15"/>
        </w:rPr>
        <w:t xml:space="preserve"> (5/5)</w:t>
      </w:r>
    </w:p>
    <w:p>
      <w:pPr>
        <w:spacing w:after="60"/>
        <w:jc w:val="both"/>
      </w:pPr>
      <w:r>
        <w:rPr>
          <w:b/>
          <w:bCs/>
          <w:color w:val="215CAF"/>
          <w:sz w:val="17"/>
          <w:szCs w:val="17"/>
        </w:rPr>
        <w:t xml:space="preserve">Summary. </w:t>
      </w:r>
      <w:r>
        <w:rPr>
          <w:sz w:val="17"/>
          <w:szCs w:val="17"/>
        </w:rPr>
        <w:t xml:space="preserve">A statistical functional is elicitable if it minimises an expected scoring function, so that truthful reports can be rewarded and forecasts compared. The paper studies the companion quantity, the minimal expected score, and introduces Bayes pairs and Bayes risk measures as the counterpart of elicitable risk measures. Its main results are that, under a continuity condition, Expected Shortfall is the only class of coherent Bayes risk measures, and that entropic risk measures are the only risk measures that are both elicitable and Bayes risk measures. This explains how Expected Shortfall, not elicitable on its own, arises from scoring Value-at-Risk forecasts.</w:t>
      </w:r>
    </w:p>
    <w:p>
      <w:pPr>
        <w:keepNext/>
        <w:spacing w:after="20" w:before="40"/>
      </w:pPr>
      <w:r>
        <w:rPr>
          <w:b/>
          <w:bCs/>
          <w:color w:val="215CAF"/>
          <w:sz w:val="17"/>
          <w:szCs w:val="17"/>
        </w:rPr>
        <w:t xml:space="preserve">Key equation.</w:t>
      </w:r>
      <w:r>
        <w:rPr>
          <w:i/>
          <w:iCs/>
          <w:color w:val="5B6573"/>
          <w:sz w:val="15"/>
          <w:szCs w:val="15"/>
        </w:rPr>
        <w:t xml:space="preserve">  Expected Shortfall as the Bayes risk of a quantile scoring function (representative formulation)</w:t>
      </w:r>
    </w:p>
    <w:p>
      <w:pPr>
        <w:pStyle w:val="Equation"/>
      </w:pPr>
      <m:oMathPara>
        <m:oMathParaPr>
          <m:jc m:val="center"/>
        </m:oMathParaPr>
        <m:oMath>
          <m:sSub>
            <m:e>
              <m:r>
                <m:rPr>
                  <m:nor/>
                </m:rPr>
                <m:t>ES</m:t>
              </m:r>
            </m:e>
            <m:sub>
              <m:r>
                <m:t>α</m:t>
              </m:r>
            </m:sub>
          </m:sSub>
          <m:d>
            <m:dPr>
              <m:begChr m:val="("/>
              <m:sepChr m:val=""/>
              <m:endChr m:val=")"/>
              <m:grow/>
            </m:dPr>
            <m:e>
              <m:r>
                <m:t>X</m:t>
              </m:r>
            </m:e>
          </m:d>
          <m:r>
            <m:rPr>
              <m:sty m:val="p"/>
            </m:rPr>
            <m:t>=</m:t>
          </m:r>
          <m:limLow>
            <m:e>
              <m:r>
                <m:rPr>
                  <m:sty m:val="p"/>
                </m:rPr>
                <m:t>min</m:t>
              </m:r>
            </m:e>
            <m:lim>
              <m:r>
                <m:t>x</m:t>
              </m:r>
              <m:r>
                <m:rPr>
                  <m:sty m:val="p"/>
                </m:rPr>
                <m:t>∈</m:t>
              </m:r>
              <m:r>
                <m:rPr>
                  <m:scr m:val="double-struck"/>
                  <m:sty m:val="p"/>
                </m:rPr>
                <m:t>R</m:t>
              </m:r>
            </m:lim>
          </m:limLow>
          <m:r>
            <m:rPr>
              <m:scr m:val="double-struck"/>
              <m:sty m:val="p"/>
            </m:rPr>
            <m:t>E</m:t>
          </m:r>
          <m:d>
            <m:dPr>
              <m:begChr m:val="["/>
              <m:sepChr m:val=""/>
              <m:endChr m:val="]"/>
              <m:grow/>
            </m:dPr>
            <m:e>
              <m:r>
                <m:t>S</m:t>
              </m:r>
              <m:d>
                <m:dPr>
                  <m:begChr m:val="("/>
                  <m:sepChr m:val=""/>
                  <m:endChr m:val=")"/>
                  <m:grow/>
                </m:dPr>
                <m:e>
                  <m:r>
                    <m:t>x</m:t>
                  </m:r>
                  <m:r>
                    <m:rPr>
                      <m:sty m:val="p"/>
                    </m:rPr>
                    <m:t>,</m:t>
                  </m:r>
                  <m:r>
                    <m:t>X</m:t>
                  </m:r>
                </m:e>
              </m:d>
            </m:e>
          </m:d>
          <m:r>
            <m:rPr>
              <m:sty m:val="p"/>
            </m:rPr>
            <m:t>,</m:t>
          </m:r>
          <m:r>
            <m:t>  </m:t>
          </m:r>
          <m:r>
            <m:t>S</m:t>
          </m:r>
          <m:d>
            <m:dPr>
              <m:begChr m:val="("/>
              <m:sepChr m:val=""/>
              <m:endChr m:val=")"/>
              <m:grow/>
            </m:dPr>
            <m:e>
              <m:r>
                <m:t>x</m:t>
              </m:r>
              <m:r>
                <m:rPr>
                  <m:sty m:val="p"/>
                </m:rPr>
                <m:t>,</m:t>
              </m:r>
              <m:r>
                <m:t>y</m:t>
              </m:r>
            </m:e>
          </m:d>
          <m:r>
            <m:rPr>
              <m:sty m:val="p"/>
            </m:rPr>
            <m:t>=</m:t>
          </m:r>
          <m:r>
            <m:t>x</m:t>
          </m:r>
          <m:r>
            <m:rPr>
              <m:sty m:val="p"/>
            </m:rPr>
            <m:t>+</m:t>
          </m:r>
          <m:f>
            <m:fPr>
              <m:type m:val="bar"/>
            </m:fPr>
            <m:num>
              <m:r>
                <m:t>1</m:t>
              </m:r>
            </m:num>
            <m:den>
              <m:r>
                <m:t>1</m:t>
              </m:r>
              <m:r>
                <m:rPr>
                  <m:sty m:val="p"/>
                </m:rPr>
                <m:t>−</m:t>
              </m:r>
              <m:r>
                <m:t>α</m:t>
              </m:r>
            </m:den>
          </m:f>
          <m:r>
            <m:rPr>
              <m:sty m:val="p"/>
            </m:rPr>
            <m:t>max</m:t>
          </m:r>
          <m:d>
            <m:dPr>
              <m:begChr m:val="{"/>
              <m:sepChr m:val=""/>
              <m:endChr m:val="}"/>
              <m:grow/>
            </m:dPr>
            <m:e>
              <m:r>
                <m:t>y</m:t>
              </m:r>
              <m:r>
                <m:rPr>
                  <m:sty m:val="p"/>
                </m:rPr>
                <m:t>−</m:t>
              </m:r>
              <m:r>
                <m:t>x</m:t>
              </m:r>
              <m:r>
                <m:rPr>
                  <m:sty m:val="p"/>
                </m:rPr>
                <m:t>,</m:t>
              </m:r>
              <m:r>
                <m:t>0</m:t>
              </m:r>
            </m:e>
          </m:d>
        </m:oMath>
      </m:oMathPara>
    </w:p>
    <w:p>
      <w:pPr>
        <w:spacing w:after="60"/>
        <w:jc w:val="both"/>
      </w:pPr>
      <m:oMath>
        <m:r>
          <m:t>X</m:t>
        </m:r>
      </m:oMath>
      <w:r>
        <w:rPr>
          <w:color w:val="3A4350"/>
          <w:sz w:val="15"/>
          <w:szCs w:val="15"/>
        </w:rPr>
        <w:t xml:space="preserve"> is the loss (here a chloride concentration), </w:t>
      </w:r>
      <m:oMath>
        <m:r>
          <m:t>α</m:t>
        </m:r>
      </m:oMath>
      <w:r>
        <w:rPr>
          <w:color w:val="3A4350"/>
          <w:sz w:val="15"/>
          <w:szCs w:val="15"/>
        </w:rPr>
        <w:t xml:space="preserve"> the level and </w:t>
      </w:r>
      <m:oMath>
        <m:r>
          <m:t>S</m:t>
        </m:r>
      </m:oMath>
      <w:r>
        <w:rPr>
          <w:color w:val="3A4350"/>
          <w:sz w:val="15"/>
          <w:szCs w:val="15"/>
        </w:rPr>
        <w:t xml:space="preserve"> a scoring function whose expectation is minimised at the </w:t>
      </w:r>
      <m:oMath>
        <m:r>
          <m:t>α</m:t>
        </m:r>
      </m:oMath>
      <w:r>
        <w:rPr>
          <w:color w:val="3A4350"/>
          <w:sz w:val="15"/>
          <w:szCs w:val="15"/>
        </w:rPr>
        <w:t xml:space="preserve">-quantile </w:t>
      </w:r>
      <m:oMath>
        <m:r>
          <m:t>x</m:t>
        </m:r>
        <m:r>
          <m:rPr>
            <m:sty m:val="p"/>
          </m:rPr>
          <m:t>=</m:t>
        </m:r>
        <m:sSub>
          <m:e>
            <m:r>
              <m:rPr>
                <m:nor/>
              </m:rPr>
              <m:t>VaR</m:t>
            </m:r>
          </m:e>
          <m:sub>
            <m:r>
              <m:t>α</m:t>
            </m:r>
          </m:sub>
        </m:sSub>
        <m:d>
          <m:dPr>
            <m:begChr m:val="("/>
            <m:sepChr m:val=""/>
            <m:endChr m:val=")"/>
            <m:grow/>
          </m:dPr>
          <m:e>
            <m:r>
              <m:t>X</m:t>
            </m:r>
          </m:e>
        </m:d>
      </m:oMath>
      <w:r>
        <w:rPr>
          <w:color w:val="3A4350"/>
          <w:sz w:val="15"/>
          <w:szCs w:val="15"/>
        </w:rPr>
        <w:t xml:space="preserve">; the minimal expected score, the Bayes risk, is the Expected Shortfall.</w:t>
      </w:r>
    </w:p>
    <w:p>
      <w:pPr>
        <w:spacing w:after="60"/>
        <w:jc w:val="both"/>
      </w:pPr>
      <w:r>
        <w:rPr>
          <w:b/>
          <w:bCs/>
          <w:color w:val="215CAF"/>
          <w:sz w:val="17"/>
          <w:szCs w:val="17"/>
        </w:rPr>
        <w:t xml:space="preserve">Link to the Fushë-Kuqe stakeholders. </w:t>
      </w:r>
      <w:r>
        <w:rPr>
          <w:sz w:val="17"/>
          <w:szCs w:val="17"/>
        </w:rPr>
        <w:t xml:space="preserve">Belongs to theme 3. Each stakeholder can state its 90% chloride quantile at A1 and P10 and be scored later by </w:t>
      </w:r>
      <m:oMath>
        <m:r>
          <m:t>S</m:t>
        </m:r>
      </m:oMath>
      <w:r>
        <w:rPr>
          <w:sz w:val="17"/>
          <w:szCs w:val="17"/>
        </w:rPr>
        <w:t xml:space="preserve"> against measured chloride, so exaggerated pessimism or optimism lowers its expected record. The entropic risk measures singled out by the paper are the worst case over exponential tilts, the very form of VENDIMI-GO's stakeholder beliefs.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Answers which coherent risk measures are minimal expected scores (only Expected Shortfall) and which are both elicitable and Bayes (only entropic risk measures); such characterisation theorems fix what can be truthfully elicited and scored. Published in Mathematical Finance, a leading journal of its field.</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Elicitation is studied for a forecaster whose report does not change the outcome. When a stated quantile also triggers a veto over pumping, truthful reporting can fail; scores that remain incentive compatible for a stakeholder who influences the decision are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the notion of Bayes pairs, with theorems singling out Expected Shortfall as the coherent Bayes risk and entropic risk measures as the elicitable Bayes risks. Proposed extension: score each stakeholder's stated 90% chloride quantile against the A30 sample and later monitoring, and test in simulation whether a veto rule that weights stakeholders by past scores still selects 3 × 5 000 m³/d recharge with 9 648 m³/d pumping.</w:t>
      </w:r>
    </w:p>
    <w:p>
      <w:pPr>
        <w:pStyle w:val="Heading1"/>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800"/>
        <w:gridCol w:w="3800"/>
        <w:gridCol w:w="2038"/>
      </w:tblGrid>
      <w:tr>
        <w:trPr>
          <w:cantSplit/>
          <w:tblHeader/>
        </w:trPr>
        <w:tc>
          <w:tcPr>
            <w:tcW w:type="dxa" w:w="38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38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2038"/>
            <w:shd w:fill="1F3864" w:color="auto" w:val="clear"/>
            <w:tcMar>
              <w:top w:type="dxa" w:w="60"/>
              <w:left w:type="dxa" w:w="100"/>
              <w:bottom w:type="dxa" w:w="60"/>
              <w:right w:type="dxa" w:w="100"/>
            </w:tcMar>
            <w:vAlign w:val="top"/>
          </w:tcPr>
          <w:p>
            <w:r>
              <w:rPr>
                <w:b/>
                <w:bCs/>
                <w:color w:val="FFFFFF"/>
                <w:sz w:val="17"/>
                <w:szCs w:val="17"/>
              </w:rPr>
              <w:t xml:space="preserve">Reserves</w:t>
            </w:r>
          </w:p>
        </w:tc>
      </w:tr>
      <w:tr>
        <w:trPr>
          <w:cantSplit/>
        </w:trPr>
        <w:tc>
          <w:tcPr>
            <w:tcW w:type="dxa" w:w="3800"/>
            <w:tcMar>
              <w:top w:type="dxa" w:w="60"/>
              <w:left w:type="dxa" w:w="100"/>
              <w:bottom w:type="dxa" w:w="60"/>
              <w:right w:type="dxa" w:w="100"/>
            </w:tcMar>
            <w:vAlign w:val="top"/>
          </w:tcPr>
          <w:p>
            <w:r>
              <w:rPr>
                <w:sz w:val="17"/>
                <w:szCs w:val="17"/>
              </w:rPr>
              <w:t xml:space="preserve">1.1 Robustness radii and robust satisficing</w:t>
            </w:r>
          </w:p>
        </w:tc>
        <w:tc>
          <w:tcPr>
            <w:tcW w:type="dxa" w:w="3800"/>
            <w:tcMar>
              <w:top w:type="dxa" w:w="60"/>
              <w:left w:type="dxa" w:w="100"/>
              <w:bottom w:type="dxa" w:w="60"/>
              <w:right w:type="dxa" w:w="100"/>
            </w:tcMar>
            <w:vAlign w:val="top"/>
          </w:tcPr>
          <w:p>
            <w:r>
              <w:rPr>
                <w:sz w:val="17"/>
                <w:szCs w:val="17"/>
              </w:rPr>
              <w:t xml:space="preserve">[O5], [M2]</w:t>
            </w:r>
          </w:p>
        </w:tc>
        <w:tc>
          <w:tcPr>
            <w:tcW w:type="dxa" w:w="2038"/>
            <w:tcMar>
              <w:top w:type="dxa" w:w="60"/>
              <w:left w:type="dxa" w:w="100"/>
              <w:bottom w:type="dxa" w:w="60"/>
              <w:right w:type="dxa" w:w="100"/>
            </w:tcMar>
            <w:vAlign w:val="top"/>
          </w:tcPr>
          <w:p>
            <w:r>
              <w:rPr>
                <w:sz w:val="17"/>
                <w:szCs w:val="17"/>
              </w:rPr>
              <w:t xml:space="preserve">[CR1]</w:t>
            </w:r>
          </w:p>
        </w:tc>
      </w:tr>
      <w:tr>
        <w:trPr>
          <w:cantSplit/>
        </w:trPr>
        <w:tc>
          <w:tcPr>
            <w:tcW w:type="dxa" w:w="3800"/>
            <w:shd w:fill="F7F9FC" w:color="auto" w:val="clear"/>
            <w:tcMar>
              <w:top w:type="dxa" w:w="60"/>
              <w:left w:type="dxa" w:w="100"/>
              <w:bottom w:type="dxa" w:w="60"/>
              <w:right w:type="dxa" w:w="100"/>
            </w:tcMar>
            <w:vAlign w:val="top"/>
          </w:tcPr>
          <w:p>
            <w:r>
              <w:rPr>
                <w:sz w:val="17"/>
                <w:szCs w:val="17"/>
              </w:rPr>
              <w:t xml:space="preserve">1.2 Ambiguity sets and their calibration</w:t>
            </w:r>
          </w:p>
        </w:tc>
        <w:tc>
          <w:tcPr>
            <w:tcW w:type="dxa" w:w="3800"/>
            <w:shd w:fill="F7F9FC" w:color="auto" w:val="clear"/>
            <w:tcMar>
              <w:top w:type="dxa" w:w="60"/>
              <w:left w:type="dxa" w:w="100"/>
              <w:bottom w:type="dxa" w:w="60"/>
              <w:right w:type="dxa" w:w="100"/>
            </w:tcMar>
            <w:vAlign w:val="top"/>
          </w:tcPr>
          <w:p>
            <w:r>
              <w:rPr>
                <w:sz w:val="17"/>
                <w:szCs w:val="17"/>
              </w:rPr>
              <w:t xml:space="preserve">[O2], [C3], [C4], [M1], [M3], [E1], [E2], [E4]</w:t>
            </w:r>
          </w:p>
        </w:tc>
        <w:tc>
          <w:tcPr>
            <w:tcW w:type="dxa" w:w="2038"/>
            <w:shd w:fill="F7F9FC" w:color="auto" w:val="clear"/>
            <w:tcMar>
              <w:top w:type="dxa" w:w="60"/>
              <w:left w:type="dxa" w:w="100"/>
              <w:bottom w:type="dxa" w:w="60"/>
              <w:right w:type="dxa" w:w="100"/>
            </w:tcMar>
            <w:vAlign w:val="top"/>
          </w:tcPr>
          <w:p>
            <w:r>
              <w:rPr>
                <w:sz w:val="17"/>
                <w:szCs w:val="17"/>
              </w:rPr>
              <w:t xml:space="preserve">[MR2], [ER1]</w:t>
            </w:r>
          </w:p>
        </w:tc>
      </w:tr>
      <w:tr>
        <w:trPr>
          <w:cantSplit/>
        </w:trPr>
        <w:tc>
          <w:tcPr>
            <w:tcW w:type="dxa" w:w="3800"/>
            <w:tcMar>
              <w:top w:type="dxa" w:w="60"/>
              <w:left w:type="dxa" w:w="100"/>
              <w:bottom w:type="dxa" w:w="60"/>
              <w:right w:type="dxa" w:w="100"/>
            </w:tcMar>
            <w:vAlign w:val="top"/>
          </w:tcPr>
          <w:p>
            <w:r>
              <w:rPr>
                <w:sz w:val="17"/>
                <w:szCs w:val="17"/>
              </w:rPr>
              <w:t xml:space="preserve">1.3 Eliciting and combining disputed beliefs</w:t>
            </w:r>
          </w:p>
        </w:tc>
        <w:tc>
          <w:tcPr>
            <w:tcW w:type="dxa" w:w="3800"/>
            <w:tcMar>
              <w:top w:type="dxa" w:w="60"/>
              <w:left w:type="dxa" w:w="100"/>
              <w:bottom w:type="dxa" w:w="60"/>
              <w:right w:type="dxa" w:w="100"/>
            </w:tcMar>
            <w:vAlign w:val="top"/>
          </w:tcPr>
          <w:p>
            <w:r>
              <w:rPr>
                <w:sz w:val="17"/>
                <w:szCs w:val="17"/>
              </w:rPr>
              <w:t xml:space="preserve">[O3], [O4], [M4], [E5]</w:t>
            </w:r>
          </w:p>
        </w:tc>
        <w:tc>
          <w:tcPr>
            <w:tcW w:type="dxa" w:w="2038"/>
            <w:tcMar>
              <w:top w:type="dxa" w:w="60"/>
              <w:left w:type="dxa" w:w="100"/>
              <w:bottom w:type="dxa" w:w="60"/>
              <w:right w:type="dxa" w:w="100"/>
            </w:tcMar>
            <w:vAlign w:val="top"/>
          </w:tcPr>
          <w:p>
            <w:r>
              <w:rPr>
                <w:sz w:val="17"/>
                <w:szCs w:val="17"/>
              </w:rPr>
              <w:t xml:space="preserve">—</w:t>
            </w:r>
          </w:p>
        </w:tc>
      </w:tr>
      <w:tr>
        <w:trPr>
          <w:cantSplit/>
        </w:trPr>
        <w:tc>
          <w:tcPr>
            <w:tcW w:type="dxa" w:w="3800"/>
            <w:shd w:fill="F7F9FC" w:color="auto" w:val="clear"/>
            <w:tcMar>
              <w:top w:type="dxa" w:w="60"/>
              <w:left w:type="dxa" w:w="100"/>
              <w:bottom w:type="dxa" w:w="60"/>
              <w:right w:type="dxa" w:w="100"/>
            </w:tcMar>
            <w:vAlign w:val="top"/>
          </w:tcPr>
          <w:p>
            <w:r>
              <w:rPr>
                <w:sz w:val="17"/>
                <w:szCs w:val="17"/>
              </w:rPr>
              <w:t xml:space="preserve">1.4 Commitment and collective choice</w:t>
            </w:r>
          </w:p>
        </w:tc>
        <w:tc>
          <w:tcPr>
            <w:tcW w:type="dxa" w:w="3800"/>
            <w:shd w:fill="F7F9FC" w:color="auto" w:val="clear"/>
            <w:tcMar>
              <w:top w:type="dxa" w:w="60"/>
              <w:left w:type="dxa" w:w="100"/>
              <w:bottom w:type="dxa" w:w="60"/>
              <w:right w:type="dxa" w:w="100"/>
            </w:tcMar>
            <w:vAlign w:val="top"/>
          </w:tcPr>
          <w:p>
            <w:r>
              <w:rPr>
                <w:sz w:val="17"/>
                <w:szCs w:val="17"/>
              </w:rPr>
              <w:t xml:space="preserve">[O1], [C1], [C2], [C5], [M5], [E3]</w:t>
            </w:r>
          </w:p>
        </w:tc>
        <w:tc>
          <w:tcPr>
            <w:tcW w:type="dxa" w:w="2038"/>
            <w:shd w:fill="F7F9FC" w:color="auto" w:val="clear"/>
            <w:tcMar>
              <w:top w:type="dxa" w:w="60"/>
              <w:left w:type="dxa" w:w="100"/>
              <w:bottom w:type="dxa" w:w="60"/>
              <w:right w:type="dxa" w:w="100"/>
            </w:tcMar>
            <w:vAlign w:val="top"/>
          </w:tcPr>
          <w:p>
            <w:r>
              <w:rPr>
                <w:sz w:val="17"/>
                <w:szCs w:val="17"/>
              </w:rPr>
              <w:t xml:space="preserve">[OR1], [OR2], [CR2], [MR1], [ER2]</w:t>
            </w:r>
          </w:p>
        </w:tc>
      </w:tr>
    </w:tbl>
    <w:p>
      <w:pPr>
        <w:spacing w:after="160"/>
      </w:pPr>
    </w:p>
    <w:p>
      <w:pPr>
        <w:pStyle w:val="Heading3"/>
      </w:pPr>
      <w:r>
        <w:rPr>
          <w:color w:val="1F3864"/>
        </w:rPr>
        <w:t xml:space="preserve">8.2 A radius, and how to read its price</w:t>
      </w:r>
    </w:p>
    <w:p>
      <w:pPr>
        <w:spacing w:after="120"/>
        <w:jc w:val="both"/>
      </w:pPr>
      <w:r>
        <w:t xml:space="preserve">The robustness papers agree that the size of the ambiguity set is the decision and should be read in the units of the problem. Distributionally robust decisions are the least conservative ones with a guaranteed disappointment rate [M1]; robust sets can be sized for a probability guarantee [M2]; misspecified beliefs concentrate on the models nearest to the data in relative entropy [M3]; optimal-transport robustness is Lipschitz regularisation [E1], made computable by first-order expansions in the radius [E2, O2]; Value-at-Risk optimisers are fragile where Expected Shortfall optimisers are not [E4]; and robustness can multiply the data a policy needs [C3]. Adaptive water planning adds triggers chosen against the cost of acting [O5].</w:t>
      </w:r>
    </w:p>
    <w:p>
      <w:pPr>
        <w:pStyle w:val="Heading3"/>
      </w:pPr>
      <w:r>
        <w:rPr>
          <w:color w:val="1F3864"/>
        </w:rPr>
        <w:t xml:space="preserve">8.3 Truthful beliefs and decisive rules</w:t>
      </w:r>
    </w:p>
    <w:p>
      <w:pPr>
        <w:spacing w:after="120"/>
        <w:jc w:val="both"/>
      </w:pPr>
      <w:r>
        <w:t xml:space="preserve">Scores make forecasts truthful when the forecast does not change the outcome [E5, O3], combined forecasts work best by medians early and by track records later [O4], and social pressure distorts declarations [M4]. Medians are the strategy-proof rules, in budget aggregation [O1] and in placing a facility [C2]; limited commitment changes what a designer can learn [C1]; two-stage voting makes the first vote the default of the second [E3]; and data are sufficient when they fix every direction that can change the decision [M5]. None of these papers combines a probability limit, disputed beliefs and strategic statements in one rule, which is what a shared aquifer needs.</w:t>
      </w:r>
    </w:p>
    <w:p>
      <w:pPr>
        <w:pStyle w:val="Heading3"/>
      </w:pPr>
      <w:r>
        <w:rPr>
          <w:color w:val="1F3864"/>
        </w:rPr>
        <w:t xml:space="preserve">8.4 Map of opportunities</w:t>
      </w:r>
    </w:p>
    <w:p>
      <w:pPr>
        <w:spacing w:after="120"/>
        <w:jc w:val="both"/>
      </w:pPr>
      <w:r>
        <w:t xml:space="preserve">Each row joins open problems of several cards into a question no published work has answered for a shared aquifer (searches of 26 October 2026). Row 1, one radius of belief instead of five stated beliefs, is begun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00"/>
        <w:gridCol w:w="2500"/>
        <w:gridCol w:w="1800"/>
        <w:gridCol w:w="4838"/>
      </w:tblGrid>
      <w:tr>
        <w:trPr>
          <w:cantSplit/>
          <w:tblHeader/>
        </w:trPr>
        <w:tc>
          <w:tcPr>
            <w:tcW w:type="dxa" w:w="500"/>
            <w:shd w:fill="1F3864" w:color="auto" w:val="clear"/>
            <w:tcMar>
              <w:top w:type="dxa" w:w="60"/>
              <w:left w:type="dxa" w:w="100"/>
              <w:bottom w:type="dxa" w:w="60"/>
              <w:right w:type="dxa" w:w="100"/>
            </w:tcMar>
            <w:vAlign w:val="top"/>
          </w:tcPr>
          <w:p>
            <w:r>
              <w:rPr>
                <w:b/>
                <w:bCs/>
                <w:color w:val="FFFFFF"/>
                <w:sz w:val="16"/>
                <w:szCs w:val="16"/>
              </w:rPr>
              <w:t xml:space="preser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Opportunity</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Built on</w:t>
            </w:r>
          </w:p>
        </w:tc>
        <w:tc>
          <w:tcPr>
            <w:tcW w:type="dxa" w:w="4838"/>
            <w:shd w:fill="1F3864" w:color="auto" w:val="clear"/>
            <w:tcMar>
              <w:top w:type="dxa" w:w="60"/>
              <w:left w:type="dxa" w:w="100"/>
              <w:bottom w:type="dxa" w:w="60"/>
              <w:right w:type="dxa" w:w="100"/>
            </w:tcMar>
            <w:vAlign w:val="top"/>
          </w:tcPr>
          <w:p>
            <w:r>
              <w:rPr>
                <w:b/>
                <w:bCs/>
                <w:color w:val="FFFFFF"/>
                <w:sz w:val="16"/>
                <w:szCs w:val="16"/>
              </w:rPr>
              <w:t xml:space="preserve">What is open and what a first result would prove</w:t>
            </w:r>
          </w:p>
        </w:tc>
      </w:tr>
      <w:tr>
        <w:trPr>
          <w:cantSplit/>
        </w:trPr>
        <w:tc>
          <w:tcPr>
            <w:tcW w:type="dxa" w:w="500"/>
            <w:tcMar>
              <w:top w:type="dxa" w:w="60"/>
              <w:left w:type="dxa" w:w="100"/>
              <w:bottom w:type="dxa" w:w="60"/>
              <w:right w:type="dxa" w:w="100"/>
            </w:tcMar>
            <w:vAlign w:val="top"/>
          </w:tcPr>
          <w:p>
            <w:r>
              <w:rPr>
                <w:sz w:val="16"/>
                <w:szCs w:val="16"/>
              </w:rPr>
              <w:t xml:space="preserve">1</w:t>
            </w:r>
          </w:p>
        </w:tc>
        <w:tc>
          <w:tcPr>
            <w:tcW w:type="dxa" w:w="2500"/>
            <w:tcMar>
              <w:top w:type="dxa" w:w="60"/>
              <w:left w:type="dxa" w:w="100"/>
              <w:bottom w:type="dxa" w:w="60"/>
              <w:right w:type="dxa" w:w="100"/>
            </w:tcMar>
            <w:vAlign w:val="top"/>
          </w:tcPr>
          <w:p>
            <w:r>
              <w:rPr>
                <w:sz w:val="16"/>
                <w:szCs w:val="16"/>
              </w:rPr>
              <w:t xml:space="preserve">A radius of belief instead of a list of beliefs</w:t>
            </w:r>
          </w:p>
        </w:tc>
        <w:tc>
          <w:tcPr>
            <w:tcW w:type="dxa" w:w="1800"/>
            <w:tcMar>
              <w:top w:type="dxa" w:w="60"/>
              <w:left w:type="dxa" w:w="100"/>
              <w:bottom w:type="dxa" w:w="60"/>
              <w:right w:type="dxa" w:w="100"/>
            </w:tcMar>
            <w:vAlign w:val="top"/>
          </w:tcPr>
          <w:p>
            <w:r>
              <w:rPr>
                <w:sz w:val="16"/>
                <w:szCs w:val="16"/>
              </w:rPr>
              <w:t xml:space="preserve">[M1], [E1], [M2], [C3], [B2]</w:t>
            </w:r>
          </w:p>
        </w:tc>
        <w:tc>
          <w:tcPr>
            <w:tcW w:type="dxa" w:w="4838"/>
            <w:tcMar>
              <w:top w:type="dxa" w:w="60"/>
              <w:left w:type="dxa" w:w="100"/>
              <w:bottom w:type="dxa" w:w="60"/>
              <w:right w:type="dxa" w:w="100"/>
            </w:tcMar>
            <w:vAlign w:val="top"/>
          </w:tcPr>
          <w:p>
            <w:r>
              <w:rPr>
                <w:sz w:val="16"/>
                <w:szCs w:val="16"/>
              </w:rPr>
              <w:t xml:space="preserve">One relative-entropy radius agreed before the data; the committed choice protects every belief within it. Begun in section 9.</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2</w:t>
            </w:r>
          </w:p>
        </w:tc>
        <w:tc>
          <w:tcPr>
            <w:tcW w:type="dxa" w:w="2500"/>
            <w:shd w:fill="F7F9FC" w:color="auto" w:val="clear"/>
            <w:tcMar>
              <w:top w:type="dxa" w:w="60"/>
              <w:left w:type="dxa" w:w="100"/>
              <w:bottom w:type="dxa" w:w="60"/>
              <w:right w:type="dxa" w:w="100"/>
            </w:tcMar>
            <w:vAlign w:val="top"/>
          </w:tcPr>
          <w:p>
            <w:r>
              <w:rPr>
                <w:sz w:val="16"/>
                <w:szCs w:val="16"/>
              </w:rPr>
              <w:t xml:space="preserve">Choosing the radius from data</w:t>
            </w:r>
          </w:p>
        </w:tc>
        <w:tc>
          <w:tcPr>
            <w:tcW w:type="dxa" w:w="1800"/>
            <w:shd w:fill="F7F9FC" w:color="auto" w:val="clear"/>
            <w:tcMar>
              <w:top w:type="dxa" w:w="60"/>
              <w:left w:type="dxa" w:w="100"/>
              <w:bottom w:type="dxa" w:w="60"/>
              <w:right w:type="dxa" w:w="100"/>
            </w:tcMar>
            <w:vAlign w:val="top"/>
          </w:tcPr>
          <w:p>
            <w:r>
              <w:rPr>
                <w:sz w:val="16"/>
                <w:szCs w:val="16"/>
              </w:rPr>
              <w:t xml:space="preserve">[M1], [M3], [C3], [E4]</w:t>
            </w:r>
          </w:p>
        </w:tc>
        <w:tc>
          <w:tcPr>
            <w:tcW w:type="dxa" w:w="4838"/>
            <w:shd w:fill="F7F9FC" w:color="auto" w:val="clear"/>
            <w:tcMar>
              <w:top w:type="dxa" w:w="60"/>
              <w:left w:type="dxa" w:w="100"/>
              <w:bottom w:type="dxa" w:w="60"/>
              <w:right w:type="dxa" w:w="100"/>
            </w:tcMar>
            <w:vAlign w:val="top"/>
          </w:tcPr>
          <w:p>
            <w:r>
              <w:rPr>
                <w:sz w:val="16"/>
                <w:szCs w:val="16"/>
              </w:rPr>
              <w:t xml:space="preserve">A radius that shrinks with the evidence at a guaranteed rate; how many samples make robust and nominal choices coincide.</w:t>
            </w:r>
          </w:p>
        </w:tc>
      </w:tr>
      <w:tr>
        <w:trPr>
          <w:cantSplit/>
        </w:trPr>
        <w:tc>
          <w:tcPr>
            <w:tcW w:type="dxa" w:w="500"/>
            <w:tcMar>
              <w:top w:type="dxa" w:w="60"/>
              <w:left w:type="dxa" w:w="100"/>
              <w:bottom w:type="dxa" w:w="60"/>
              <w:right w:type="dxa" w:w="100"/>
            </w:tcMar>
            <w:vAlign w:val="top"/>
          </w:tcPr>
          <w:p>
            <w:r>
              <w:rPr>
                <w:sz w:val="16"/>
                <w:szCs w:val="16"/>
              </w:rPr>
              <w:t xml:space="preserve">3</w:t>
            </w:r>
          </w:p>
        </w:tc>
        <w:tc>
          <w:tcPr>
            <w:tcW w:type="dxa" w:w="2500"/>
            <w:tcMar>
              <w:top w:type="dxa" w:w="60"/>
              <w:left w:type="dxa" w:w="100"/>
              <w:bottom w:type="dxa" w:w="60"/>
              <w:right w:type="dxa" w:w="100"/>
            </w:tcMar>
            <w:vAlign w:val="top"/>
          </w:tcPr>
          <w:p>
            <w:r>
              <w:rPr>
                <w:sz w:val="16"/>
                <w:szCs w:val="16"/>
              </w:rPr>
              <w:t xml:space="preserve">Truthful beliefs when beliefs decide</w:t>
            </w:r>
          </w:p>
        </w:tc>
        <w:tc>
          <w:tcPr>
            <w:tcW w:type="dxa" w:w="1800"/>
            <w:tcMar>
              <w:top w:type="dxa" w:w="60"/>
              <w:left w:type="dxa" w:w="100"/>
              <w:bottom w:type="dxa" w:w="60"/>
              <w:right w:type="dxa" w:w="100"/>
            </w:tcMar>
            <w:vAlign w:val="top"/>
          </w:tcPr>
          <w:p>
            <w:r>
              <w:rPr>
                <w:sz w:val="16"/>
                <w:szCs w:val="16"/>
              </w:rPr>
              <w:t xml:space="preserve">[E5], [M4], [C2], [C1]</w:t>
            </w:r>
          </w:p>
        </w:tc>
        <w:tc>
          <w:tcPr>
            <w:tcW w:type="dxa" w:w="4838"/>
            <w:tcMar>
              <w:top w:type="dxa" w:w="60"/>
              <w:left w:type="dxa" w:w="100"/>
              <w:bottom w:type="dxa" w:w="60"/>
              <w:right w:type="dxa" w:w="100"/>
            </w:tcMar>
            <w:vAlign w:val="top"/>
          </w:tcPr>
          <w:p>
            <w:r>
              <w:rPr>
                <w:sz w:val="16"/>
                <w:szCs w:val="16"/>
              </w:rPr>
              <w:t xml:space="preserve">Scores or mechanisms that keep truthful beliefs, or radii, optimal when a statement can trigger a veto.</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4</w:t>
            </w:r>
          </w:p>
        </w:tc>
        <w:tc>
          <w:tcPr>
            <w:tcW w:type="dxa" w:w="2500"/>
            <w:shd w:fill="F7F9FC" w:color="auto" w:val="clear"/>
            <w:tcMar>
              <w:top w:type="dxa" w:w="60"/>
              <w:left w:type="dxa" w:w="100"/>
              <w:bottom w:type="dxa" w:w="60"/>
              <w:right w:type="dxa" w:w="100"/>
            </w:tcMar>
            <w:vAlign w:val="top"/>
          </w:tcPr>
          <w:p>
            <w:r>
              <w:rPr>
                <w:sz w:val="16"/>
                <w:szCs w:val="16"/>
              </w:rPr>
              <w:t xml:space="preserve">Committing in stages</w:t>
            </w:r>
          </w:p>
        </w:tc>
        <w:tc>
          <w:tcPr>
            <w:tcW w:type="dxa" w:w="1800"/>
            <w:shd w:fill="F7F9FC" w:color="auto" w:val="clear"/>
            <w:tcMar>
              <w:top w:type="dxa" w:w="60"/>
              <w:left w:type="dxa" w:w="100"/>
              <w:bottom w:type="dxa" w:w="60"/>
              <w:right w:type="dxa" w:w="100"/>
            </w:tcMar>
            <w:vAlign w:val="top"/>
          </w:tcPr>
          <w:p>
            <w:r>
              <w:rPr>
                <w:sz w:val="16"/>
                <w:szCs w:val="16"/>
              </w:rPr>
              <w:t xml:space="preserve">[C1], [E3], [M5]</w:t>
            </w:r>
          </w:p>
        </w:tc>
        <w:tc>
          <w:tcPr>
            <w:tcW w:type="dxa" w:w="4838"/>
            <w:shd w:fill="F7F9FC" w:color="auto" w:val="clear"/>
            <w:tcMar>
              <w:top w:type="dxa" w:w="60"/>
              <w:left w:type="dxa" w:w="100"/>
              <w:bottom w:type="dxa" w:w="60"/>
              <w:right w:type="dxa" w:w="100"/>
            </w:tcMar>
            <w:vAlign w:val="top"/>
          </w:tcPr>
          <w:p>
            <w:r>
              <w:rPr>
                <w:sz w:val="16"/>
                <w:szCs w:val="16"/>
              </w:rPr>
              <w:t xml:space="preserve">What to commit now (screens, recharge works) and what to vote on after the data, with a decisive default.</w:t>
            </w:r>
          </w:p>
        </w:tc>
      </w:tr>
      <w:tr>
        <w:trPr>
          <w:cantSplit/>
        </w:trPr>
        <w:tc>
          <w:tcPr>
            <w:tcW w:type="dxa" w:w="500"/>
            <w:tcMar>
              <w:top w:type="dxa" w:w="60"/>
              <w:left w:type="dxa" w:w="100"/>
              <w:bottom w:type="dxa" w:w="60"/>
              <w:right w:type="dxa" w:w="100"/>
            </w:tcMar>
            <w:vAlign w:val="top"/>
          </w:tcPr>
          <w:p>
            <w:r>
              <w:rPr>
                <w:sz w:val="16"/>
                <w:szCs w:val="16"/>
              </w:rPr>
              <w:t xml:space="preserve">5</w:t>
            </w:r>
          </w:p>
        </w:tc>
        <w:tc>
          <w:tcPr>
            <w:tcW w:type="dxa" w:w="2500"/>
            <w:tcMar>
              <w:top w:type="dxa" w:w="60"/>
              <w:left w:type="dxa" w:w="100"/>
              <w:bottom w:type="dxa" w:w="60"/>
              <w:right w:type="dxa" w:w="100"/>
            </w:tcMar>
            <w:vAlign w:val="top"/>
          </w:tcPr>
          <w:p>
            <w:r>
              <w:rPr>
                <w:sz w:val="16"/>
                <w:szCs w:val="16"/>
              </w:rPr>
              <w:t xml:space="preserve">Sharing the safe yield and its risk</w:t>
            </w:r>
          </w:p>
        </w:tc>
        <w:tc>
          <w:tcPr>
            <w:tcW w:type="dxa" w:w="1800"/>
            <w:tcMar>
              <w:top w:type="dxa" w:w="60"/>
              <w:left w:type="dxa" w:w="100"/>
              <w:bottom w:type="dxa" w:w="60"/>
              <w:right w:type="dxa" w:w="100"/>
            </w:tcMar>
            <w:vAlign w:val="top"/>
          </w:tcPr>
          <w:p>
            <w:r>
              <w:rPr>
                <w:sz w:val="16"/>
                <w:szCs w:val="16"/>
              </w:rPr>
              <w:t xml:space="preserve">[C5], [ER2], [C4]</w:t>
            </w:r>
          </w:p>
        </w:tc>
        <w:tc>
          <w:tcPr>
            <w:tcW w:type="dxa" w:w="4838"/>
            <w:tcMar>
              <w:top w:type="dxa" w:w="60"/>
              <w:left w:type="dxa" w:w="100"/>
              <w:bottom w:type="dxa" w:w="60"/>
              <w:right w:type="dxa" w:w="100"/>
            </w:tcMar>
            <w:vAlign w:val="top"/>
          </w:tcPr>
          <w:p>
            <w:r>
              <w:rPr>
                <w:sz w:val="16"/>
                <w:szCs w:val="16"/>
              </w:rPr>
              <w:t xml:space="preserve">Dividing the agreed pumping and its residual risk among users who disagree, fairly and with participation.</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6</w:t>
            </w:r>
          </w:p>
        </w:tc>
        <w:tc>
          <w:tcPr>
            <w:tcW w:type="dxa" w:w="2500"/>
            <w:shd w:fill="F7F9FC" w:color="auto" w:val="clear"/>
            <w:tcMar>
              <w:top w:type="dxa" w:w="60"/>
              <w:left w:type="dxa" w:w="100"/>
              <w:bottom w:type="dxa" w:w="60"/>
              <w:right w:type="dxa" w:w="100"/>
            </w:tcMar>
            <w:vAlign w:val="top"/>
          </w:tcPr>
          <w:p>
            <w:r>
              <w:rPr>
                <w:sz w:val="16"/>
                <w:szCs w:val="16"/>
              </w:rPr>
              <w:t xml:space="preserve">Robust risk measures for the 10% rule</w:t>
            </w:r>
          </w:p>
        </w:tc>
        <w:tc>
          <w:tcPr>
            <w:tcW w:type="dxa" w:w="1800"/>
            <w:shd w:fill="F7F9FC" w:color="auto" w:val="clear"/>
            <w:tcMar>
              <w:top w:type="dxa" w:w="60"/>
              <w:left w:type="dxa" w:w="100"/>
              <w:bottom w:type="dxa" w:w="60"/>
              <w:right w:type="dxa" w:w="100"/>
            </w:tcMar>
            <w:vAlign w:val="top"/>
          </w:tcPr>
          <w:p>
            <w:r>
              <w:rPr>
                <w:sz w:val="16"/>
                <w:szCs w:val="16"/>
              </w:rPr>
              <w:t xml:space="preserve">[E4], [E5], [C4]</w:t>
            </w:r>
          </w:p>
        </w:tc>
        <w:tc>
          <w:tcPr>
            <w:tcW w:type="dxa" w:w="4838"/>
            <w:shd w:fill="F7F9FC" w:color="auto" w:val="clear"/>
            <w:tcMar>
              <w:top w:type="dxa" w:w="60"/>
              <w:left w:type="dxa" w:w="100"/>
              <w:bottom w:type="dxa" w:w="60"/>
              <w:right w:type="dxa" w:w="100"/>
            </w:tcMar>
            <w:vAlign w:val="top"/>
          </w:tcPr>
          <w:p>
            <w:r>
              <w:rPr>
                <w:sz w:val="16"/>
                <w:szCs w:val="16"/>
              </w:rPr>
              <w:t xml:space="preserve">Replacing the probability limit (Value-at-Risk) by an Expected Shortfall limit on chloride, robust and elicitable in a pair.</w:t>
            </w:r>
          </w:p>
        </w:tc>
      </w:tr>
    </w:tbl>
    <w:p>
      <w:pPr>
        <w:pStyle w:val="Heading1"/>
        <w:pageBreakBefore/>
      </w:pPr>
      <w:r>
        <w:rPr>
          <w:color w:val="92400E"/>
        </w:rPr>
        <w:t xml:space="preserve">9. The proposed innovation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rPr>
          <w:b/>
          <w:bCs/>
        </w:rPr>
        <w:t xml:space="preserve">RREZJA-GO</w:t>
      </w:r>
      <w:r>
        <w:t xml:space="preserve"> (</w:t>
      </w:r>
      <w:r>
        <w:rPr>
          <w:i/>
          <w:iCs/>
        </w:rPr>
        <w:t xml:space="preserve">rrezja</w:t>
      </w:r>
      <w:r>
        <w:t xml:space="preserve">: the radius) asks the Fushë-Kuqe stakeholders to agree on </w:t>
      </w:r>
      <w:r>
        <w:rPr>
          <w:b/>
          <w:bCs/>
        </w:rPr>
        <w:t xml:space="preserve">one number instead of a list of beliefs</w:t>
      </w:r>
      <w:r>
        <w:t xml:space="preserve">: a radius of relative entropy around the calibrated chloride ensemble. The committed pumping and recharge choice must keep the risk that supply well A1 or P10 exceeds 250 mg/L at or below 10% for </w:t>
      </w:r>
      <w:r>
        <w:rPr>
          <w:b/>
          <w:bCs/>
        </w:rPr>
        <w:t xml:space="preserve">every belief within the radius</w:t>
      </w:r>
      <w:r>
        <w:t xml:space="preserve">, including beliefs nobody has stated. Three propositions make the rule usable: the full relative-entropy ball has a closed form and is very cautious (R1); a ball of tilts along the disputed drivers costs only the part of the failure event that the drivers explain, a price the stakeholders can read before they agree (R2); and tilts commute with Bayes' rule, so data shrink the margin (R3). On 2,000 simulated truths, the review-57 choice without data exposes a belief nobody stated, a hydrogeologist who doubts only the mixing width and is no farther from the calibration than the environmental groups, to a risk of 0.119; the radius rule keeps every one of the 416 unstated beliefs tested at or below 0.089 for 867 m³/d of net water. After the chloride sample the review-57 choice is safe for them on average, but in 20% of the samples some belief within the radius would judge it unsafe once the result is known; the radius rule removes that for 1,144 m³/d.</w:t>
      </w:r>
    </w:p>
    <w:p>
      <w:pPr>
        <w:pStyle w:val="Heading3"/>
      </w:pPr>
      <w:r>
        <w:rPr>
          <w:color w:val="1F3864"/>
        </w:rPr>
        <w:t xml:space="preserve">9.1 From five stated beliefs to a radius of belief</w:t>
      </w:r>
    </w:p>
    <w:p>
      <w:pPr>
        <w:spacing w:after="120"/>
        <w:jc w:val="both"/>
      </w:pPr>
      <w:r>
        <w:t xml:space="preserve">VENDIMI-GO (review 57) wrote each Fushë-Kuqe stakeholder's belief as an exponential tilt </w:t>
      </w:r>
      <m:oMath>
        <m:sSub>
          <m:e>
            <m:r>
              <m:t>p</m:t>
            </m:r>
          </m:e>
          <m:sub>
            <m:r>
              <m:t>λ</m:t>
            </m:r>
          </m:sub>
        </m:sSub>
        <m:r>
          <m:rPr>
            <m:sty m:val="p"/>
          </m:rPr>
          <m:t>∝</m:t>
        </m:r>
        <m:r>
          <m:t>p</m:t>
        </m:r>
        <m:r>
          <m:t> </m:t>
        </m:r>
        <m:sSup>
          <m:e>
            <m:r>
              <m:t>e</m:t>
            </m:r>
          </m:e>
          <m:sup>
            <m:sSup>
              <m:e>
                <m:r>
                  <m:t>λ</m:t>
                </m:r>
              </m:e>
              <m:sup>
                <m:r>
                  <m:rPr>
                    <m:sty m:val="p"/>
                  </m:rPr>
                  <m:t>⊤</m:t>
                </m:r>
              </m:sup>
            </m:sSup>
            <m:r>
              <m:t>z</m:t>
            </m:r>
          </m:sup>
        </m:sSup>
      </m:oMath>
      <w:r>
        <w:t xml:space="preserve"> of the calibrated chloride ensemble </w:t>
      </w:r>
      <m:oMath>
        <m:r>
          <m:t>p</m:t>
        </m:r>
      </m:oMath>
      <w:r>
        <w:t xml:space="preserve"> along the standardised logarithms </w:t>
      </w:r>
      <m:oMath>
        <m:r>
          <m:t>z</m:t>
        </m:r>
      </m:oMath>
      <w:r>
        <w:t xml:space="preserve"> of the mixing-zone width and the recharge, and allowed an action </w:t>
      </w:r>
      <m:oMath>
        <m:r>
          <m:t>a</m:t>
        </m:r>
        <m:r>
          <m:rPr>
            <m:sty m:val="p"/>
          </m:rPr>
          <m:t>=</m:t>
        </m:r>
        <m:d>
          <m:dPr>
            <m:begChr m:val="("/>
            <m:sepChr m:val=""/>
            <m:endChr m:val=")"/>
            <m:grow/>
          </m:dPr>
          <m:e>
            <m:r>
              <m:t>s</m:t>
            </m:r>
            <m:r>
              <m:rPr>
                <m:sty m:val="p"/>
              </m:rPr>
              <m:t>,</m:t>
            </m:r>
            <m:r>
              <m:t>q</m:t>
            </m:r>
          </m:e>
        </m:d>
      </m:oMath>
      <w:r>
        <w:t xml:space="preserve"> (pumping scale, recharge per site) only if every one of the five stated beliefs gave a probability of at most </w:t>
      </w:r>
      <m:oMath>
        <m:r>
          <m:t>α</m:t>
        </m:r>
        <m:r>
          <m:rPr>
            <m:sty m:val="p"/>
          </m:rPr>
          <m:t>=</m:t>
        </m:r>
        <m:r>
          <m:t>0.10</m:t>
        </m:r>
      </m:oMath>
      <w:r>
        <w:t xml:space="preserve"> that supply well A1 or P10 exceeds 250 mg/L. That rule protects the beliefs that were stated and no others. A hydrogeologist who doubts only the mixing width, or a stakeholder who joins later, may hold a belief that is no farther from the calibration than the environmental groups' belief and still be exposed to more than the agreed risk. RREZJA-GO (</w:t>
      </w:r>
      <w:r>
        <w:rPr>
          <w:i/>
          <w:iCs/>
        </w:rPr>
        <w:t xml:space="preserve">rrezja</w:t>
      </w:r>
      <w:r>
        <w:t xml:space="preserve">: the radius) asks the group to agree on one number instead of a list: a radius </w:t>
      </w:r>
      <m:oMath>
        <m:r>
          <m:t>ρ</m:t>
        </m:r>
      </m:oMath>
      <w:r>
        <w:t xml:space="preserve"> of relative entropy around the calibrated ensemble, before any data. Every belief within the radius is protected, each updated by Bayes' rule with the common likelihood:</w:t>
      </w:r>
    </w:p>
    <w:p>
      <w:pPr>
        <w:pStyle w:val="Equation"/>
      </w:pPr>
      <m:oMathPara>
        <m:oMathParaPr>
          <m:jc m:val="center"/>
        </m:oMathParaPr>
        <m:oMath>
          <m:r>
            <m:rPr>
              <m:scr m:val="script"/>
              <m:sty m:val="p"/>
            </m:rPr>
            <m:t>B</m:t>
          </m:r>
          <m:d>
            <m:dPr>
              <m:begChr m:val="("/>
              <m:sepChr m:val=""/>
              <m:endChr m:val=")"/>
              <m:grow/>
            </m:dPr>
            <m:e>
              <m:r>
                <m:t>ρ</m:t>
              </m:r>
            </m:e>
          </m:d>
          <m:r>
            <m:rPr>
              <m:sty m:val="p"/>
            </m:rPr>
            <m:t>=</m:t>
          </m:r>
          <m:d>
            <m:dPr>
              <m:begChr m:val="{"/>
              <m:sepChr m:val=""/>
              <m:endChr m:val="}"/>
              <m:grow/>
            </m:dPr>
            <m:e>
              <m:sSub>
                <m:e>
                  <m:r>
                    <m:t>p</m:t>
                  </m:r>
                </m:e>
                <m:sub>
                  <m:r>
                    <m:t>λ</m:t>
                  </m:r>
                </m:sub>
              </m:sSub>
              <m:r>
                <m:rPr>
                  <m:sty m:val="p"/>
                </m:rPr>
                <m:t>∝</m:t>
              </m:r>
              <m:r>
                <m:t>p</m:t>
              </m:r>
              <m:r>
                <m:t> </m:t>
              </m:r>
              <m:sSup>
                <m:e>
                  <m:r>
                    <m:t>e</m:t>
                  </m:r>
                </m:e>
                <m:sup>
                  <m:sSup>
                    <m:e>
                      <m:r>
                        <m:t>λ</m:t>
                      </m:r>
                    </m:e>
                    <m:sup>
                      <m:r>
                        <m:rPr>
                          <m:sty m:val="p"/>
                        </m:rPr>
                        <m:t>⊤</m:t>
                      </m:r>
                    </m:sup>
                  </m:sSup>
                  <m:r>
                    <m:t>z</m:t>
                  </m:r>
                </m:sup>
              </m:sSup>
              <m:r>
                <m:rPr>
                  <m:sty m:val="p"/>
                </m:rPr>
                <m:t>:</m:t>
              </m:r>
              <m:r>
                <m:t> </m:t>
              </m:r>
              <m:r>
                <m:rPr>
                  <m:nor/>
                </m:rPr>
                <m:t>KL</m:t>
              </m:r>
              <m:d>
                <m:dPr>
                  <m:begChr m:val="("/>
                  <m:sepChr m:val=""/>
                  <m:endChr m:val=")"/>
                  <m:grow/>
                </m:dPr>
                <m:e>
                  <m:sSub>
                    <m:e>
                      <m:r>
                        <m:t>p</m:t>
                      </m:r>
                    </m:e>
                    <m:sub>
                      <m:r>
                        <m:t>λ</m:t>
                      </m:r>
                    </m:sub>
                  </m:sSub>
                  <m:r>
                    <m:rPr>
                      <m:sty m:val="p"/>
                    </m:rPr>
                    <m:t>,</m:t>
                  </m:r>
                  <m:r>
                    <m:t>p</m:t>
                  </m:r>
                </m:e>
              </m:d>
              <m:r>
                <m:rPr>
                  <m:sty m:val="p"/>
                </m:rPr>
                <m:t>≤</m:t>
              </m:r>
              <m:r>
                <m:t>ρ</m:t>
              </m:r>
            </m:e>
          </m:d>
          <m:r>
            <m:rPr>
              <m:sty m:val="p"/>
            </m:rPr>
            <m:t>,</m:t>
          </m:r>
          <m:r>
            <m:t>  </m:t>
          </m:r>
          <m:sSub>
            <m:e>
              <m:r>
                <m:rPr>
                  <m:scr m:val="script"/>
                  <m:sty m:val="p"/>
                </m:rPr>
                <m:t>A</m:t>
              </m:r>
            </m:e>
            <m:sub>
              <m:r>
                <m:t>ρ</m:t>
              </m:r>
            </m:sub>
          </m:sSub>
          <m:d>
            <m:dPr>
              <m:begChr m:val="("/>
              <m:sepChr m:val=""/>
              <m:endChr m:val=")"/>
              <m:grow/>
            </m:dPr>
            <m:e>
              <m:r>
                <m:t>y</m:t>
              </m:r>
            </m:e>
          </m:d>
          <m:r>
            <m:rPr>
              <m:sty m:val="p"/>
            </m:rPr>
            <m:t>=</m:t>
          </m:r>
          <m:d>
            <m:dPr>
              <m:begChr m:val="{"/>
              <m:sepChr m:val=""/>
              <m:endChr m:val="}"/>
              <m:grow/>
            </m:dPr>
            <m:e>
              <m:r>
                <m:t>a</m:t>
              </m:r>
              <m:r>
                <m:rPr>
                  <m:sty m:val="p"/>
                </m:rPr>
                <m:t>:</m:t>
              </m:r>
              <m:r>
                <m:t> </m:t>
              </m:r>
              <m:limLow>
                <m:e>
                  <m:r>
                    <m:rPr>
                      <m:sty m:val="p"/>
                    </m:rPr>
                    <m:t>max</m:t>
                  </m:r>
                </m:e>
                <m:lim>
                  <m:sSub>
                    <m:e>
                      <m:r>
                        <m:t>p</m:t>
                      </m:r>
                    </m:e>
                    <m:sub>
                      <m:r>
                        <m:t>λ</m:t>
                      </m:r>
                    </m:sub>
                  </m:sSub>
                  <m:r>
                    <m:rPr>
                      <m:sty m:val="p"/>
                    </m:rPr>
                    <m:t>∈</m:t>
                  </m:r>
                  <m:r>
                    <m:rPr>
                      <m:scr m:val="script"/>
                      <m:sty m:val="p"/>
                    </m:rPr>
                    <m:t>B</m:t>
                  </m:r>
                  <m:d>
                    <m:dPr>
                      <m:begChr m:val="("/>
                      <m:sepChr m:val=""/>
                      <m:endChr m:val=")"/>
                      <m:grow/>
                    </m:dPr>
                    <m:e>
                      <m:r>
                        <m:t>ρ</m:t>
                      </m:r>
                    </m:e>
                  </m:d>
                </m:lim>
              </m:limLow>
              <m:sSub>
                <m:e>
                  <m:acc>
                    <m:accPr>
                      <m:chr m:val="̂"/>
                    </m:accPr>
                    <m:e>
                      <m:r>
                        <m:t>P</m:t>
                      </m:r>
                    </m:e>
                  </m:acc>
                </m:e>
                <m:sub>
                  <m:r>
                    <m:t>λ</m:t>
                  </m:r>
                </m:sub>
              </m:sSub>
              <m:d>
                <m:dPr>
                  <m:begChr m:val="("/>
                  <m:sepChr m:val=""/>
                  <m:endChr m:val=")"/>
                  <m:grow/>
                </m:dPr>
                <m:e>
                  <m:r>
                    <m:t>F</m:t>
                  </m:r>
                  <m:r>
                    <m:rPr>
                      <m:sty m:val="p"/>
                    </m:rPr>
                    <m:t>∣</m:t>
                  </m:r>
                  <m:r>
                    <m:t>y</m:t>
                  </m:r>
                  <m:r>
                    <m:rPr>
                      <m:sty m:val="p"/>
                    </m:rPr>
                    <m:t>,</m:t>
                  </m:r>
                  <m:r>
                    <m:t>a</m:t>
                  </m:r>
                </m:e>
              </m:d>
              <m:r>
                <m:rPr>
                  <m:sty m:val="p"/>
                </m:rPr>
                <m:t>+</m:t>
              </m:r>
              <m:r>
                <m:t>1.645</m:t>
              </m:r>
              <m:r>
                <m:t> </m:t>
              </m:r>
              <m:sSub>
                <m:e>
                  <m:acc>
                    <m:accPr>
                      <m:chr m:val="̂"/>
                    </m:accPr>
                    <m:e>
                      <m:r>
                        <m:t>σ</m:t>
                      </m:r>
                    </m:e>
                  </m:acc>
                </m:e>
                <m:sub>
                  <m:r>
                    <m:t>λ</m:t>
                  </m:r>
                </m:sub>
              </m:sSub>
              <m:d>
                <m:dPr>
                  <m:begChr m:val="("/>
                  <m:sepChr m:val=""/>
                  <m:endChr m:val=")"/>
                  <m:grow/>
                </m:dPr>
                <m:e>
                  <m:r>
                    <m:t>y</m:t>
                  </m:r>
                  <m:r>
                    <m:rPr>
                      <m:sty m:val="p"/>
                    </m:rPr>
                    <m:t>,</m:t>
                  </m:r>
                  <m:r>
                    <m:t>a</m:t>
                  </m:r>
                </m:e>
              </m:d>
              <m:r>
                <m:rPr>
                  <m:sty m:val="p"/>
                </m:rPr>
                <m:t>≤</m:t>
              </m:r>
              <m:r>
                <m:t>α</m:t>
              </m:r>
            </m:e>
          </m:d>
        </m:oMath>
      </m:oMathPara>
    </w:p>
    <w:p>
      <w:pPr>
        <w:spacing w:after="120"/>
        <w:jc w:val="both"/>
      </w:pPr>
      <w:r>
        <w:t xml:space="preserve">The drivers </w:t>
      </w:r>
      <m:oMath>
        <m:r>
          <m:t>z</m:t>
        </m:r>
      </m:oMath>
      <w:r>
        <w:t xml:space="preserve"> are either the two disputed ones (width and recharge, the ball </w:t>
      </w:r>
      <m:oMath>
        <m:sSub>
          <m:e>
            <m:r>
              <m:rPr>
                <m:scr m:val="script"/>
                <m:sty m:val="p"/>
              </m:rPr>
              <m:t>B</m:t>
            </m:r>
          </m:e>
          <m:sub>
            <m:r>
              <m:t>2</m:t>
            </m:r>
          </m:sub>
        </m:sSub>
      </m:oMath>
      <w:r>
        <w:t xml:space="preserve">) or all eight parameters of the ensemble (width, recharge, coastal and inland thickness, the length over which the thickness changes, ground elevation, the parameter </w:t>
      </w:r>
      <m:oMath>
        <m:r>
          <m:t>η</m:t>
        </m:r>
      </m:oMath>
      <w:r>
        <w:t xml:space="preserve"> and the sea chloride, the ball </w:t>
      </w:r>
      <m:oMath>
        <m:sSub>
          <m:e>
            <m:r>
              <m:rPr>
                <m:scr m:val="script"/>
                <m:sty m:val="p"/>
              </m:rPr>
              <m:t>B</m:t>
            </m:r>
          </m:e>
          <m:sub>
            <m:r>
              <m:t>8</m:t>
            </m:r>
          </m:sub>
        </m:sSub>
      </m:oMath>
      <w:r>
        <w:t xml:space="preserve">). Two radii are natural: the distance of the environmental groups, the most cautious stated belief (</w:t>
      </w:r>
      <m:oMath>
        <m:sSub>
          <m:e>
            <m:r>
              <m:t>ρ</m:t>
            </m:r>
          </m:e>
          <m:sub>
            <m:r>
              <m:rPr>
                <m:nor/>
              </m:rPr>
              <m:t>env</m:t>
            </m:r>
          </m:sub>
        </m:sSub>
      </m:oMath>
      <w:r>
        <w:t xml:space="preserve">), and the distance of the farthest stated belief, which is the optimists' (</w:t>
      </w:r>
      <m:oMath>
        <m:sSub>
          <m:e>
            <m:r>
              <m:t>ρ</m:t>
            </m:r>
          </m:e>
          <m:sub>
            <m:r>
              <m:rPr>
                <m:sty m:val="p"/>
              </m:rPr>
              <m:t>max</m:t>
            </m:r>
          </m:sub>
        </m:sSub>
      </m:oMath>
      <w:r>
        <w:t xml:space="preserve">); a ball is symmetric, so the optimists' distance also licenses an equally distant pessimist. As in VENDIMI-GO, the group takes the admissible action with the most net water (pumped water minus half the recharged water) and stops pumping with the largest recharge if no action is admissible. Two rules are compared with it: the five stated beliefs of VENDIMI-GO, and the </w:t>
      </w:r>
      <w:r>
        <w:rPr>
          <w:i/>
          <w:iCs/>
        </w:rPr>
        <w:t xml:space="preserve">full</w:t>
      </w:r>
      <w:r>
        <w:t xml:space="preserve"> ball, which protects every probability distribution within </w:t>
      </w:r>
      <m:oMath>
        <m:r>
          <m:t>ρ</m:t>
        </m:r>
      </m:oMath>
      <w:r>
        <w:t xml:space="preserve">, not only tilts.</w:t>
      </w:r>
    </w:p>
    <w:p>
      <w:pPr>
        <w:pStyle w:val="Heading3"/>
      </w:pPr>
      <w:r>
        <w:rPr>
          <w:color w:val="1F3864"/>
        </w:rPr>
        <w:t xml:space="preserve">9.2 Proposition R1: the full ball has a closed form, and it is very cautious</w:t>
      </w:r>
    </w:p>
    <w:p>
      <w:pPr>
        <w:spacing w:after="120"/>
        <w:jc w:val="both"/>
      </w:pPr>
      <w:r>
        <w:rPr>
          <w:b/>
          <w:bCs/>
        </w:rPr>
        <w:t xml:space="preserve">Proposition R1.</w:t>
      </w:r>
      <w:r>
        <w:t xml:space="preserve"> For every event </w:t>
      </w:r>
      <m:oMath>
        <m:r>
          <m:t>F</m:t>
        </m:r>
      </m:oMath>
      <w:r>
        <w:t xml:space="preserve"> and every distribution </w:t>
      </w:r>
      <m:oMath>
        <m:r>
          <m:t>p</m:t>
        </m:r>
      </m:oMath>
      <w:r>
        <w:t xml:space="preserve"> with </w:t>
      </w:r>
      <m:oMath>
        <m:r>
          <m:t>0</m:t>
        </m:r>
        <m:r>
          <m:rPr>
            <m:sty m:val="p"/>
          </m:rPr>
          <m:t>&lt;</m:t>
        </m:r>
        <m:r>
          <m:t>p</m:t>
        </m:r>
        <m:d>
          <m:dPr>
            <m:begChr m:val="("/>
            <m:sepChr m:val=""/>
            <m:endChr m:val=")"/>
            <m:grow/>
          </m:dPr>
          <m:e>
            <m:r>
              <m:t>F</m:t>
            </m:r>
          </m:e>
        </m:d>
        <m:r>
          <m:rPr>
            <m:sty m:val="p"/>
          </m:rPr>
          <m:t>&lt;</m:t>
        </m:r>
        <m:r>
          <m:t>1</m:t>
        </m:r>
      </m:oMath>
      <w:r>
        <w:t xml:space="preserve">,</w:t>
      </w:r>
    </w:p>
    <w:p>
      <w:pPr>
        <w:pStyle w:val="Equation"/>
      </w:pPr>
      <m:oMathPara>
        <m:oMathParaPr>
          <m:jc m:val="center"/>
        </m:oMathParaPr>
        <m:oMath>
          <m:limLow>
            <m:e>
              <m:r>
                <m:rPr>
                  <m:sty m:val="p"/>
                </m:rPr>
                <m:t>max</m:t>
              </m:r>
            </m:e>
            <m:lim>
              <m:r>
                <m:t>q</m:t>
              </m:r>
              <m:r>
                <m:rPr>
                  <m:sty m:val="p"/>
                </m:rPr>
                <m:t>:</m:t>
              </m:r>
              <m:r>
                <m:t> </m:t>
              </m:r>
              <m:r>
                <m:rPr>
                  <m:nor/>
                </m:rPr>
                <m:t>KL</m:t>
              </m:r>
              <m:d>
                <m:dPr>
                  <m:begChr m:val="("/>
                  <m:sepChr m:val=""/>
                  <m:endChr m:val=")"/>
                  <m:grow/>
                </m:dPr>
                <m:e>
                  <m:r>
                    <m:t>q</m:t>
                  </m:r>
                  <m:r>
                    <m:rPr>
                      <m:sty m:val="p"/>
                    </m:rPr>
                    <m:t>,</m:t>
                  </m:r>
                  <m:r>
                    <m:t>p</m:t>
                  </m:r>
                </m:e>
              </m:d>
              <m:r>
                <m:rPr>
                  <m:sty m:val="p"/>
                </m:rPr>
                <m:t>≤</m:t>
              </m:r>
              <m:r>
                <m:t>ρ</m:t>
              </m:r>
            </m:lim>
          </m:limLow>
          <m:r>
            <m:t>q</m:t>
          </m:r>
          <m:d>
            <m:dPr>
              <m:begChr m:val="("/>
              <m:sepChr m:val=""/>
              <m:endChr m:val=")"/>
              <m:grow/>
            </m:dPr>
            <m:e>
              <m:r>
                <m:t>F</m:t>
              </m:r>
            </m:e>
          </m:d>
          <m:r>
            <m:rPr>
              <m:sty m:val="p"/>
            </m:rPr>
            <m:t>=</m:t>
          </m:r>
          <m:sSubSup>
            <m:e>
              <m:r>
                <m:rPr>
                  <m:nor/>
                </m:rPr>
                <m:t>kl</m:t>
              </m:r>
            </m:e>
            <m:sub>
              <m:r>
                <m:rPr>
                  <m:nor/>
                </m:rPr>
                <m:t>+</m:t>
              </m:r>
            </m:sub>
            <m:sup>
              <m:r>
                <m:rPr>
                  <m:sty m:val="p"/>
                </m:rPr>
                <m:t>−</m:t>
              </m:r>
              <m:r>
                <m:t>1</m:t>
              </m:r>
            </m:sup>
          </m:sSubSup>
          <m:d>
            <m:dPr>
              <m:begChr m:val="("/>
              <m:sepChr m:val=""/>
              <m:endChr m:val=")"/>
              <m:grow/>
            </m:dPr>
            <m:e>
              <m:r>
                <m:t>p</m:t>
              </m:r>
              <m:d>
                <m:dPr>
                  <m:begChr m:val="("/>
                  <m:sepChr m:val=""/>
                  <m:endChr m:val=")"/>
                  <m:grow/>
                </m:dPr>
                <m:e>
                  <m:r>
                    <m:t>F</m:t>
                  </m:r>
                </m:e>
              </m:d>
              <m:r>
                <m:rPr>
                  <m:sty m:val="p"/>
                </m:rPr>
                <m:t>,</m:t>
              </m:r>
              <m:r>
                <m:t>ρ</m:t>
              </m:r>
            </m:e>
          </m:d>
          <m:r>
            <m:rPr>
              <m:sty m:val="p"/>
            </m:rPr>
            <m:t>=</m:t>
          </m:r>
          <m:r>
            <m:rPr>
              <m:sty m:val="p"/>
            </m:rPr>
            <m:t>max</m:t>
          </m:r>
          <m:d>
            <m:dPr>
              <m:begChr m:val="{"/>
              <m:sepChr m:val=""/>
              <m:endChr m:val="}"/>
              <m:grow/>
            </m:dPr>
            <m:e>
              <m:r>
                <m:t>x</m:t>
              </m:r>
              <m:r>
                <m:rPr>
                  <m:sty m:val="p"/>
                </m:rPr>
                <m:t>∈</m:t>
              </m:r>
              <m:d>
                <m:dPr>
                  <m:begChr m:val="["/>
                  <m:sepChr m:val=""/>
                  <m:endChr m:val="]"/>
                  <m:grow/>
                </m:dPr>
                <m:e>
                  <m:r>
                    <m:t>p</m:t>
                  </m:r>
                  <m:d>
                    <m:dPr>
                      <m:begChr m:val="("/>
                      <m:sepChr m:val=""/>
                      <m:endChr m:val=")"/>
                      <m:grow/>
                    </m:dPr>
                    <m:e>
                      <m:r>
                        <m:t>F</m:t>
                      </m:r>
                    </m:e>
                  </m:d>
                  <m:r>
                    <m:rPr>
                      <m:sty m:val="p"/>
                    </m:rPr>
                    <m:t>,</m:t>
                  </m:r>
                  <m:r>
                    <m:t>1</m:t>
                  </m:r>
                </m:e>
              </m:d>
              <m:r>
                <m:rPr>
                  <m:sty m:val="p"/>
                </m:rPr>
                <m:t>:</m:t>
              </m:r>
              <m:r>
                <m:t> </m:t>
              </m:r>
              <m:r>
                <m:rPr>
                  <m:nor/>
                </m:rPr>
                <m:t>kl</m:t>
              </m:r>
              <m:d>
                <m:dPr>
                  <m:begChr m:val="("/>
                  <m:sepChr m:val=""/>
                  <m:endChr m:val=")"/>
                  <m:grow/>
                </m:dPr>
                <m:e>
                  <m:r>
                    <m:t>x</m:t>
                  </m:r>
                  <m:r>
                    <m:rPr>
                      <m:sty m:val="p"/>
                    </m:rPr>
                    <m:t>,</m:t>
                  </m:r>
                  <m:r>
                    <m:t>p</m:t>
                  </m:r>
                  <m:d>
                    <m:dPr>
                      <m:begChr m:val="("/>
                      <m:sepChr m:val=""/>
                      <m:endChr m:val=")"/>
                      <m:grow/>
                    </m:dPr>
                    <m:e>
                      <m:r>
                        <m:t>F</m:t>
                      </m:r>
                    </m:e>
                  </m:d>
                </m:e>
              </m:d>
              <m:r>
                <m:rPr>
                  <m:sty m:val="p"/>
                </m:rPr>
                <m:t>≤</m:t>
              </m:r>
              <m:r>
                <m:t>ρ</m:t>
              </m:r>
            </m:e>
          </m:d>
          <m:r>
            <m:rPr>
              <m:sty m:val="p"/>
            </m:rPr>
            <m:t>,</m:t>
          </m:r>
          <m:r>
            <m:t>  </m:t>
          </m:r>
          <m:r>
            <m:rPr>
              <m:nor/>
            </m:rPr>
            <m:t>kl</m:t>
          </m:r>
          <m:d>
            <m:dPr>
              <m:begChr m:val="("/>
              <m:sepChr m:val=""/>
              <m:endChr m:val=")"/>
              <m:grow/>
            </m:dPr>
            <m:e>
              <m:r>
                <m:t>x</m:t>
              </m:r>
              <m:r>
                <m:rPr>
                  <m:sty m:val="p"/>
                </m:rPr>
                <m:t>,</m:t>
              </m:r>
              <m:r>
                <m:t>u</m:t>
              </m:r>
            </m:e>
          </m:d>
          <m:r>
            <m:rPr>
              <m:sty m:val="p"/>
            </m:rPr>
            <m:t>=</m:t>
          </m:r>
          <m:r>
            <m:t>x</m:t>
          </m:r>
          <m:r>
            <m:rPr>
              <m:sty m:val="p"/>
            </m:rPr>
            <m:t>log</m:t>
          </m:r>
          <m:f>
            <m:fPr>
              <m:type m:val="bar"/>
            </m:fPr>
            <m:num>
              <m:r>
                <m:t>x</m:t>
              </m:r>
            </m:num>
            <m:den>
              <m:r>
                <m:t>u</m:t>
              </m:r>
            </m:den>
          </m:f>
          <m:r>
            <m:rPr>
              <m:sty m:val="p"/>
            </m:rPr>
            <m:t>+</m:t>
          </m:r>
          <m:d>
            <m:dPr>
              <m:begChr m:val="("/>
              <m:sepChr m:val=""/>
              <m:endChr m:val=")"/>
              <m:grow/>
            </m:dPr>
            <m:e>
              <m:r>
                <m:t>1</m:t>
              </m:r>
              <m:r>
                <m:rPr>
                  <m:sty m:val="p"/>
                </m:rPr>
                <m:t>−</m:t>
              </m:r>
              <m:r>
                <m:t>x</m:t>
              </m:r>
            </m:e>
          </m:d>
          <m:r>
            <m:rPr>
              <m:sty m:val="p"/>
            </m:rPr>
            <m:t>log</m:t>
          </m:r>
          <m:f>
            <m:fPr>
              <m:type m:val="bar"/>
            </m:fPr>
            <m:num>
              <m:r>
                <m:t>1</m:t>
              </m:r>
              <m:r>
                <m:rPr>
                  <m:sty m:val="p"/>
                </m:rPr>
                <m:t>−</m:t>
              </m:r>
              <m:r>
                <m:t>x</m:t>
              </m:r>
            </m:num>
            <m:den>
              <m:r>
                <m:t>1</m:t>
              </m:r>
              <m:r>
                <m:rPr>
                  <m:sty m:val="p"/>
                </m:rPr>
                <m:t>−</m:t>
              </m:r>
              <m:r>
                <m:t>u</m:t>
              </m:r>
            </m:den>
          </m:f>
        </m:oMath>
      </m:oMathPara>
    </w:p>
    <w:p>
      <w:pPr>
        <w:spacing w:after="120"/>
        <w:jc w:val="both"/>
      </w:pPr>
      <w:r>
        <w:t xml:space="preserve">so the full-ball rule is the nominal rule with a tighter limit: an action is admissible if and only if its calibrated risk is at most </w:t>
      </w:r>
      <m:oMath>
        <m:sSub>
          <m:e>
            <m:r>
              <m:t>α</m:t>
            </m:r>
          </m:e>
          <m:sub>
            <m:r>
              <m:t>ρ</m:t>
            </m:r>
          </m:sub>
        </m:sSub>
      </m:oMath>
      <w:r>
        <w:t xml:space="preserve">, where </w:t>
      </w:r>
      <m:oMath>
        <m:r>
          <m:rPr>
            <m:nor/>
          </m:rPr>
          <m:t>kl</m:t>
        </m:r>
        <m:d>
          <m:dPr>
            <m:begChr m:val="("/>
            <m:sepChr m:val=""/>
            <m:endChr m:val=")"/>
            <m:grow/>
          </m:dPr>
          <m:e>
            <m:r>
              <m:t>α</m:t>
            </m:r>
            <m:r>
              <m:rPr>
                <m:sty m:val="p"/>
              </m:rPr>
              <m:t>,</m:t>
            </m:r>
            <m:sSub>
              <m:e>
                <m:r>
                  <m:t>α</m:t>
                </m:r>
              </m:e>
              <m:sub>
                <m:r>
                  <m:t>ρ</m:t>
                </m:r>
              </m:sub>
            </m:sSub>
          </m:e>
        </m:d>
        <m:r>
          <m:rPr>
            <m:sty m:val="p"/>
          </m:rPr>
          <m:t>=</m:t>
        </m:r>
        <m:r>
          <m:t>ρ</m:t>
        </m:r>
      </m:oMath>
      <w:r>
        <w:t xml:space="preserve"> and </w:t>
      </w:r>
      <m:oMath>
        <m:sSub>
          <m:e>
            <m:r>
              <m:t>α</m:t>
            </m:r>
          </m:e>
          <m:sub>
            <m:r>
              <m:t>ρ</m:t>
            </m:r>
          </m:sub>
        </m:sSub>
        <m:r>
          <m:rPr>
            <m:sty m:val="p"/>
          </m:rPr>
          <m:t>&lt;</m:t>
        </m:r>
        <m:r>
          <m:t>α</m:t>
        </m:r>
      </m:oMath>
      <w:r>
        <w:t xml:space="preserve">. </w:t>
      </w:r>
      <w:r>
        <w:rPr>
          <w:i/>
          <w:iCs/>
        </w:rPr>
        <w:t xml:space="preserve">Proof.</w:t>
      </w:r>
      <w:r>
        <w:t xml:space="preserve"> The map </w:t>
      </w:r>
      <m:oMath>
        <m:r>
          <m:t>θ</m:t>
        </m:r>
        <m:r>
          <m:rPr>
            <m:sty m:val="p"/>
          </m:rPr>
          <m:t>↦</m:t>
        </m:r>
        <m:sSub>
          <m:e>
            <m:r>
              <m:t>1</m:t>
            </m:r>
          </m:e>
          <m:sub>
            <m:r>
              <m:t>F</m:t>
            </m:r>
          </m:sub>
        </m:sSub>
        <m:d>
          <m:dPr>
            <m:begChr m:val="("/>
            <m:sepChr m:val=""/>
            <m:endChr m:val=")"/>
            <m:grow/>
          </m:dPr>
          <m:e>
            <m:r>
              <m:t>θ</m:t>
            </m:r>
          </m:e>
        </m:d>
      </m:oMath>
      <w:r>
        <w:t xml:space="preserve"> cannot increase relative entropy (the data-processing inequality), so </w:t>
      </w:r>
      <m:oMath>
        <m:r>
          <m:rPr>
            <m:nor/>
          </m:rPr>
          <m:t>KL</m:t>
        </m:r>
        <m:d>
          <m:dPr>
            <m:begChr m:val="("/>
            <m:sepChr m:val=""/>
            <m:endChr m:val=")"/>
            <m:grow/>
          </m:dPr>
          <m:e>
            <m:r>
              <m:t>q</m:t>
            </m:r>
            <m:r>
              <m:rPr>
                <m:sty m:val="p"/>
              </m:rPr>
              <m:t>,</m:t>
            </m:r>
            <m:r>
              <m:t>p</m:t>
            </m:r>
          </m:e>
        </m:d>
        <m:r>
          <m:rPr>
            <m:sty m:val="p"/>
          </m:rPr>
          <m:t>≥</m:t>
        </m:r>
        <m:r>
          <m:rPr>
            <m:nor/>
          </m:rPr>
          <m:t>kl</m:t>
        </m:r>
        <m:d>
          <m:dPr>
            <m:begChr m:val="("/>
            <m:sepChr m:val=""/>
            <m:endChr m:val=")"/>
            <m:grow/>
          </m:dPr>
          <m:e>
            <m:r>
              <m:t>q</m:t>
            </m:r>
            <m:d>
              <m:dPr>
                <m:begChr m:val="("/>
                <m:sepChr m:val=""/>
                <m:endChr m:val=")"/>
                <m:grow/>
              </m:dPr>
              <m:e>
                <m:r>
                  <m:t>F</m:t>
                </m:r>
              </m:e>
            </m:d>
            <m:r>
              <m:rPr>
                <m:sty m:val="p"/>
              </m:rPr>
              <m:t>,</m:t>
            </m:r>
            <m:r>
              <m:t>p</m:t>
            </m:r>
            <m:d>
              <m:dPr>
                <m:begChr m:val="("/>
                <m:sepChr m:val=""/>
                <m:endChr m:val=")"/>
                <m:grow/>
              </m:dPr>
              <m:e>
                <m:r>
                  <m:t>F</m:t>
                </m:r>
              </m:e>
            </m:d>
          </m:e>
        </m:d>
      </m:oMath>
      <w:r>
        <w:t xml:space="preserve"> and no </w:t>
      </w:r>
      <m:oMath>
        <m:r>
          <m:t>q</m:t>
        </m:r>
      </m:oMath>
      <w:r>
        <w:t xml:space="preserve"> in the ball gives </w:t>
      </w:r>
      <m:oMath>
        <m:r>
          <m:t>F</m:t>
        </m:r>
      </m:oMath>
      <w:r>
        <w:t xml:space="preserve"> more than </w:t>
      </w:r>
      <m:oMath>
        <m:sSubSup>
          <m:e>
            <m:r>
              <m:rPr>
                <m:nor/>
              </m:rPr>
              <m:t>kl</m:t>
            </m:r>
          </m:e>
          <m:sub>
            <m:r>
              <m:rPr>
                <m:nor/>
              </m:rPr>
              <m:t>+</m:t>
            </m:r>
          </m:sub>
          <m:sup>
            <m:r>
              <m:rPr>
                <m:sty m:val="p"/>
              </m:rPr>
              <m:t>−</m:t>
            </m:r>
            <m:r>
              <m:t>1</m:t>
            </m:r>
          </m:sup>
        </m:sSubSup>
      </m:oMath>
      <w:r>
        <w:t xml:space="preserve">. The two-point mixture </w:t>
      </w:r>
      <m:oMath>
        <m:r>
          <m:t>q</m:t>
        </m:r>
        <m:r>
          <m:rPr>
            <m:sty m:val="p"/>
          </m:rPr>
          <m:t>=</m:t>
        </m:r>
        <m:r>
          <m:t>x</m:t>
        </m:r>
        <m:r>
          <m:t> </m:t>
        </m:r>
        <m:r>
          <m:t>p</m:t>
        </m:r>
        <m:d>
          <m:dPr>
            <m:begChr m:val="("/>
            <m:sepChr m:val=""/>
            <m:endChr m:val=")"/>
            <m:grow/>
          </m:dPr>
          <m:e>
            <m:r>
              <m:rPr>
                <m:sty m:val="p"/>
              </m:rPr>
              <m:t>⋅</m:t>
            </m:r>
            <m:r>
              <m:rPr>
                <m:sty m:val="p"/>
              </m:rPr>
              <m:t>∣</m:t>
            </m:r>
            <m:r>
              <m:t>F</m:t>
            </m:r>
          </m:e>
        </m:d>
        <m:r>
          <m:rPr>
            <m:sty m:val="p"/>
          </m:rPr>
          <m:t>+</m:t>
        </m:r>
        <m:d>
          <m:dPr>
            <m:begChr m:val="("/>
            <m:sepChr m:val=""/>
            <m:endChr m:val=")"/>
            <m:grow/>
          </m:dPr>
          <m:e>
            <m:r>
              <m:t>1</m:t>
            </m:r>
            <m:r>
              <m:rPr>
                <m:sty m:val="p"/>
              </m:rPr>
              <m:t>−</m:t>
            </m:r>
            <m:r>
              <m:t>x</m:t>
            </m:r>
          </m:e>
        </m:d>
        <m:r>
          <m:t> </m:t>
        </m:r>
        <m:r>
          <m:t>p</m:t>
        </m:r>
        <m:d>
          <m:dPr>
            <m:begChr m:val="("/>
            <m:sepChr m:val=""/>
            <m:endChr m:val=")"/>
            <m:grow/>
          </m:dPr>
          <m:e>
            <m:r>
              <m:rPr>
                <m:sty m:val="p"/>
              </m:rPr>
              <m:t>⋅</m:t>
            </m:r>
            <m:r>
              <m:rPr>
                <m:sty m:val="p"/>
              </m:rPr>
              <m:t>∣</m:t>
            </m:r>
            <m:sSup>
              <m:e>
                <m:r>
                  <m:t>F</m:t>
                </m:r>
              </m:e>
              <m:sup>
                <m:r>
                  <m:t>c</m:t>
                </m:r>
              </m:sup>
            </m:sSup>
          </m:e>
        </m:d>
      </m:oMath>
      <w:r>
        <w:t xml:space="preserve"> has </w:t>
      </w:r>
      <m:oMath>
        <m:r>
          <m:rPr>
            <m:nor/>
          </m:rPr>
          <m:t>KL</m:t>
        </m:r>
        <m:d>
          <m:dPr>
            <m:begChr m:val="("/>
            <m:sepChr m:val=""/>
            <m:endChr m:val=")"/>
            <m:grow/>
          </m:dPr>
          <m:e>
            <m:r>
              <m:t>q</m:t>
            </m:r>
            <m:r>
              <m:rPr>
                <m:sty m:val="p"/>
              </m:rPr>
              <m:t>,</m:t>
            </m:r>
            <m:r>
              <m:t>p</m:t>
            </m:r>
          </m:e>
        </m:d>
        <m:r>
          <m:rPr>
            <m:sty m:val="p"/>
          </m:rPr>
          <m:t>=</m:t>
        </m:r>
        <m:r>
          <m:rPr>
            <m:nor/>
          </m:rPr>
          <m:t>kl</m:t>
        </m:r>
        <m:d>
          <m:dPr>
            <m:begChr m:val="("/>
            <m:sepChr m:val=""/>
            <m:endChr m:val=")"/>
            <m:grow/>
          </m:dPr>
          <m:e>
            <m:r>
              <m:t>x</m:t>
            </m:r>
            <m:r>
              <m:rPr>
                <m:sty m:val="p"/>
              </m:rPr>
              <m:t>,</m:t>
            </m:r>
            <m:r>
              <m:t>p</m:t>
            </m:r>
            <m:d>
              <m:dPr>
                <m:begChr m:val="("/>
                <m:sepChr m:val=""/>
                <m:endChr m:val=")"/>
                <m:grow/>
              </m:dPr>
              <m:e>
                <m:r>
                  <m:t>F</m:t>
                </m:r>
              </m:e>
            </m:d>
          </m:e>
        </m:d>
      </m:oMath>
      <w:r>
        <w:t xml:space="preserve"> and attains the bound; the equivalence follows because </w:t>
      </w:r>
      <m:oMath>
        <m:r>
          <m:rPr>
            <m:nor/>
          </m:rPr>
          <m:t>kl</m:t>
        </m:r>
        <m:d>
          <m:dPr>
            <m:begChr m:val="("/>
            <m:sepChr m:val=""/>
            <m:endChr m:val=")"/>
            <m:grow/>
          </m:dPr>
          <m:e>
            <m:r>
              <m:t>α</m:t>
            </m:r>
            <m:r>
              <m:rPr>
                <m:sty m:val="p"/>
              </m:rPr>
              <m:t>,</m:t>
            </m:r>
            <m:r>
              <m:t>u</m:t>
            </m:r>
          </m:e>
        </m:d>
      </m:oMath>
      <w:r>
        <w:t xml:space="preserve"> decreases in </w:t>
      </w:r>
      <m:oMath>
        <m:r>
          <m:t>u</m:t>
        </m:r>
      </m:oMath>
      <w:r>
        <w:t xml:space="preserve"> on </w:t>
      </w:r>
      <m:oMath>
        <m:d>
          <m:dPr>
            <m:begChr m:val="("/>
            <m:sepChr m:val=""/>
            <m:endChr m:val=")"/>
            <m:grow/>
          </m:dPr>
          <m:e>
            <m:r>
              <m:t>0</m:t>
            </m:r>
            <m:r>
              <m:rPr>
                <m:sty m:val="p"/>
              </m:rPr>
              <m:t>,</m:t>
            </m:r>
            <m:r>
              <m:t>α</m:t>
            </m:r>
          </m:e>
        </m:d>
      </m:oMath>
      <w:r>
        <w:t xml:space="preserve">. </w:t>
      </w:r>
      <m:oMath>
        <m:r>
          <m:rPr>
            <m:sty m:val="p"/>
          </m:rPr>
          <m:t>▫</m:t>
        </m:r>
      </m:oMath>
      <w:r>
        <w:t xml:space="preserve"> The worst-case belief puts its extra weight directly on the aquifers in which the screen salts, whatever their parameters: it is a belief about the answer, not about the drivers.</w:t>
      </w:r>
    </w:p>
    <w:p>
      <w:pPr>
        <w:pStyle w:val="Heading3"/>
      </w:pPr>
      <w:r>
        <w:rPr>
          <w:color w:val="1F3864"/>
        </w:rPr>
        <w:t xml:space="preserve">9.3 Proposition R2: the price of robustness of a tilt ball</w:t>
      </w:r>
    </w:p>
    <w:p>
      <w:pPr>
        <w:spacing w:after="120"/>
        <w:jc w:val="both"/>
      </w:pPr>
      <w:r>
        <w:rPr>
          <w:b/>
          <w:bCs/>
        </w:rPr>
        <w:t xml:space="preserve">Proposition R2.</w:t>
      </w:r>
      <w:r>
        <w:t xml:space="preserve"> Let </w:t>
      </w:r>
      <m:oMath>
        <m:r>
          <m:t>c</m:t>
        </m:r>
        <m:r>
          <m:rPr>
            <m:sty m:val="p"/>
          </m:rPr>
          <m:t>=</m:t>
        </m:r>
        <m:sSub>
          <m:e>
            <m:r>
              <m:rPr>
                <m:nor/>
              </m:rPr>
              <m:t>Cov</m:t>
            </m:r>
          </m:e>
          <m:sub>
            <m:r>
              <m:t>p</m:t>
            </m:r>
          </m:sub>
        </m:sSub>
        <m:d>
          <m:dPr>
            <m:begChr m:val="("/>
            <m:sepChr m:val=""/>
            <m:endChr m:val=")"/>
            <m:grow/>
          </m:dPr>
          <m:e>
            <m:r>
              <m:t>z</m:t>
            </m:r>
            <m:r>
              <m:rPr>
                <m:sty m:val="p"/>
              </m:rPr>
              <m:t>,</m:t>
            </m:r>
            <m:sSub>
              <m:e>
                <m:r>
                  <m:t>1</m:t>
                </m:r>
              </m:e>
              <m:sub>
                <m:r>
                  <m:t>F</m:t>
                </m:r>
              </m:sub>
            </m:sSub>
          </m:e>
        </m:d>
      </m:oMath>
      <w:r>
        <w:t xml:space="preserve"> and </w:t>
      </w:r>
      <m:oMath>
        <m:r>
          <m:t>S</m:t>
        </m:r>
        <m:r>
          <m:rPr>
            <m:sty m:val="p"/>
          </m:rPr>
          <m:t>=</m:t>
        </m:r>
        <m:sSub>
          <m:e>
            <m:r>
              <m:rPr>
                <m:nor/>
              </m:rPr>
              <m:t>Cov</m:t>
            </m:r>
          </m:e>
          <m:sub>
            <m:r>
              <m:t>p</m:t>
            </m:r>
          </m:sub>
        </m:sSub>
        <m:d>
          <m:dPr>
            <m:begChr m:val="("/>
            <m:sepChr m:val=""/>
            <m:endChr m:val=")"/>
            <m:grow/>
          </m:dPr>
          <m:e>
            <m:r>
              <m:t>z</m:t>
            </m:r>
          </m:e>
        </m:d>
      </m:oMath>
      <w:r>
        <w:t xml:space="preserve">, with </w:t>
      </w:r>
      <m:oMath>
        <m:r>
          <m:t>S</m:t>
        </m:r>
      </m:oMath>
      <w:r>
        <w:t xml:space="preserve"> invertible. Then, as </w:t>
      </w:r>
      <m:oMath>
        <m:r>
          <m:t>ρ</m:t>
        </m:r>
        <m:r>
          <m:rPr>
            <m:sty m:val="p"/>
          </m:rPr>
          <m:t>→</m:t>
        </m:r>
        <m:r>
          <m:t>0</m:t>
        </m:r>
      </m:oMath>
      <w:r>
        <w:t xml:space="preserve">,</w:t>
      </w:r>
    </w:p>
    <w:p>
      <w:pPr>
        <w:pStyle w:val="Equation"/>
      </w:pPr>
      <m:oMathPara>
        <m:oMathParaPr>
          <m:jc m:val="center"/>
        </m:oMathParaPr>
        <m:oMath>
          <m:limLow>
            <m:e>
              <m:r>
                <m:rPr>
                  <m:sty m:val="p"/>
                </m:rPr>
                <m:t>max</m:t>
              </m:r>
            </m:e>
            <m:lim>
              <m:sSub>
                <m:e>
                  <m:r>
                    <m:t>p</m:t>
                  </m:r>
                </m:e>
                <m:sub>
                  <m:r>
                    <m:t>λ</m:t>
                  </m:r>
                </m:sub>
              </m:sSub>
              <m:r>
                <m:rPr>
                  <m:sty m:val="p"/>
                </m:rPr>
                <m:t>∈</m:t>
              </m:r>
              <m:r>
                <m:rPr>
                  <m:scr m:val="script"/>
                  <m:sty m:val="p"/>
                </m:rPr>
                <m:t>B</m:t>
              </m:r>
              <m:d>
                <m:dPr>
                  <m:begChr m:val="("/>
                  <m:sepChr m:val=""/>
                  <m:endChr m:val=")"/>
                  <m:grow/>
                </m:dPr>
                <m:e>
                  <m:r>
                    <m:t>ρ</m:t>
                  </m:r>
                </m:e>
              </m:d>
            </m:lim>
          </m:limLow>
          <m:sSub>
            <m:e>
              <m:r>
                <m:t>P</m:t>
              </m:r>
            </m:e>
            <m:sub>
              <m:r>
                <m:t>λ</m:t>
              </m:r>
            </m:sub>
          </m:sSub>
          <m:d>
            <m:dPr>
              <m:begChr m:val="("/>
              <m:sepChr m:val=""/>
              <m:endChr m:val=")"/>
              <m:grow/>
            </m:dPr>
            <m:e>
              <m:r>
                <m:t>F</m:t>
              </m:r>
            </m:e>
          </m:d>
          <m:r>
            <m:rPr>
              <m:sty m:val="p"/>
            </m:rPr>
            <m:t>=</m:t>
          </m:r>
          <m:r>
            <m:t>P</m:t>
          </m:r>
          <m:d>
            <m:dPr>
              <m:begChr m:val="("/>
              <m:sepChr m:val=""/>
              <m:endChr m:val=")"/>
              <m:grow/>
            </m:dPr>
            <m:e>
              <m:r>
                <m:t>F</m:t>
              </m:r>
            </m:e>
          </m:d>
          <m:r>
            <m:rPr>
              <m:sty m:val="p"/>
            </m:rPr>
            <m:t>+</m:t>
          </m:r>
          <m:rad>
            <m:radPr>
              <m:degHide m:val="on"/>
            </m:radPr>
            <m:deg/>
            <m:e>
              <m:r>
                <m:t>2</m:t>
              </m:r>
              <m:r>
                <m:t>ρ</m:t>
              </m:r>
              <m:r>
                <m:t> </m:t>
              </m:r>
              <m:sSup>
                <m:e>
                  <m:r>
                    <m:t>c</m:t>
                  </m:r>
                </m:e>
                <m:sup>
                  <m:r>
                    <m:rPr>
                      <m:sty m:val="p"/>
                    </m:rPr>
                    <m:t>⊤</m:t>
                  </m:r>
                </m:sup>
              </m:sSup>
              <m:sSup>
                <m:e>
                  <m:r>
                    <m:t>S</m:t>
                  </m:r>
                </m:e>
                <m:sup>
                  <m:r>
                    <m:rPr>
                      <m:sty m:val="p"/>
                    </m:rPr>
                    <m:t>−</m:t>
                  </m:r>
                  <m:r>
                    <m:t>1</m:t>
                  </m:r>
                </m:sup>
              </m:sSup>
              <m:r>
                <m:t>c</m:t>
              </m:r>
            </m:e>
          </m:rad>
          <m:r>
            <m:rPr>
              <m:sty m:val="p"/>
            </m:rPr>
            <m:t>+</m:t>
          </m:r>
          <m:r>
            <m:t>O</m:t>
          </m:r>
          <m:d>
            <m:dPr>
              <m:begChr m:val="("/>
              <m:sepChr m:val=""/>
              <m:endChr m:val=")"/>
              <m:grow/>
            </m:dPr>
            <m:e>
              <m:r>
                <m:t>ρ</m:t>
              </m:r>
            </m:e>
          </m:d>
          <m:r>
            <m:rPr>
              <m:sty m:val="p"/>
            </m:rPr>
            <m:t>,</m:t>
          </m:r>
          <m:r>
            <m:t>  </m:t>
          </m:r>
          <m:rad>
            <m:radPr>
              <m:degHide m:val="on"/>
            </m:radPr>
            <m:deg/>
            <m:e>
              <m:sSup>
                <m:e>
                  <m:r>
                    <m:t>c</m:t>
                  </m:r>
                </m:e>
                <m:sup>
                  <m:r>
                    <m:rPr>
                      <m:sty m:val="p"/>
                    </m:rPr>
                    <m:t>⊤</m:t>
                  </m:r>
                </m:sup>
              </m:sSup>
              <m:sSup>
                <m:e>
                  <m:r>
                    <m:t>S</m:t>
                  </m:r>
                </m:e>
                <m:sup>
                  <m:r>
                    <m:rPr>
                      <m:sty m:val="p"/>
                    </m:rPr>
                    <m:t>−</m:t>
                  </m:r>
                  <m:r>
                    <m:t>1</m:t>
                  </m:r>
                </m:sup>
              </m:sSup>
              <m:r>
                <m:t>c</m:t>
              </m:r>
            </m:e>
          </m:rad>
          <m:r>
            <m:rPr>
              <m:sty m:val="p"/>
            </m:rPr>
            <m:t>=</m:t>
          </m:r>
          <m:r>
            <m:rPr>
              <m:nor/>
            </m:rPr>
            <m:t>sd</m:t>
          </m:r>
          <m:d>
            <m:dPr>
              <m:begChr m:val="("/>
              <m:sepChr m:val=""/>
              <m:endChr m:val=")"/>
              <m:grow/>
            </m:dPr>
            <m:e>
              <m:sSub>
                <m:e>
                  <m:r>
                    <m:t>1</m:t>
                  </m:r>
                </m:e>
                <m:sub>
                  <m:r>
                    <m:t>F</m:t>
                  </m:r>
                </m:sub>
              </m:sSub>
            </m:e>
          </m:d>
          <m:sSub>
            <m:e>
              <m:r>
                <m:t>R</m:t>
              </m:r>
            </m:e>
            <m:sub>
              <m:r>
                <m:t>F</m:t>
              </m:r>
              <m:r>
                <m:rPr>
                  <m:sty m:val="p"/>
                </m:rPr>
                <m:t>∣</m:t>
              </m:r>
              <m:r>
                <m:t>z</m:t>
              </m:r>
            </m:sub>
          </m:sSub>
          <m:r>
            <m:rPr>
              <m:sty m:val="p"/>
            </m:rPr>
            <m:t>,</m:t>
          </m:r>
        </m:oMath>
      </m:oMathPara>
    </w:p>
    <w:p>
      <w:pPr>
        <w:spacing w:after="120"/>
        <w:jc w:val="both"/>
      </w:pPr>
      <w:r>
        <w:t xml:space="preserve">where </w:t>
      </w:r>
      <m:oMath>
        <m:sSub>
          <m:e>
            <m:r>
              <m:t>R</m:t>
            </m:r>
          </m:e>
          <m:sub>
            <m:r>
              <m:t>F</m:t>
            </m:r>
            <m:r>
              <m:rPr>
                <m:sty m:val="p"/>
              </m:rPr>
              <m:t>∣</m:t>
            </m:r>
            <m:r>
              <m:t>z</m:t>
            </m:r>
          </m:sub>
        </m:sSub>
        <m:r>
          <m:rPr>
            <m:sty m:val="p"/>
          </m:rPr>
          <m:t>∈</m:t>
        </m:r>
        <m:d>
          <m:dPr>
            <m:begChr m:val="["/>
            <m:sepChr m:val=""/>
            <m:endChr m:val="]"/>
            <m:grow/>
          </m:dPr>
          <m:e>
            <m:r>
              <m:t>0</m:t>
            </m:r>
            <m:r>
              <m:rPr>
                <m:sty m:val="p"/>
              </m:rPr>
              <m:t>,</m:t>
            </m:r>
            <m:r>
              <m:t>1</m:t>
            </m:r>
          </m:e>
        </m:d>
      </m:oMath>
      <w:r>
        <w:t xml:space="preserve"> is the multiple correlation between the failure indicator and the drivers. The full ball of Proposition R1 has the same expansion with </w:t>
      </w:r>
      <m:oMath>
        <m:sSub>
          <m:e>
            <m:r>
              <m:t>R</m:t>
            </m:r>
          </m:e>
          <m:sub>
            <m:r>
              <m:t>F</m:t>
            </m:r>
            <m:r>
              <m:rPr>
                <m:sty m:val="p"/>
              </m:rPr>
              <m:t>∣</m:t>
            </m:r>
            <m:r>
              <m:t>z</m:t>
            </m:r>
          </m:sub>
        </m:sSub>
        <m:r>
          <m:rPr>
            <m:sty m:val="p"/>
          </m:rPr>
          <m:t>=</m:t>
        </m:r>
        <m:r>
          <m:t>1</m:t>
        </m:r>
      </m:oMath>
      <w:r>
        <w:t xml:space="preserve">, since </w:t>
      </w:r>
      <m:oMath>
        <m:sSubSup>
          <m:e>
            <m:r>
              <m:rPr>
                <m:nor/>
              </m:rPr>
              <m:t>kl</m:t>
            </m:r>
          </m:e>
          <m:sub>
            <m:r>
              <m:rPr>
                <m:nor/>
              </m:rPr>
              <m:t>+</m:t>
            </m:r>
          </m:sub>
          <m:sup>
            <m:r>
              <m:rPr>
                <m:sty m:val="p"/>
              </m:rPr>
              <m:t>−</m:t>
            </m:r>
            <m:r>
              <m:t>1</m:t>
            </m:r>
          </m:sup>
        </m:sSubSup>
        <m:d>
          <m:dPr>
            <m:begChr m:val="("/>
            <m:sepChr m:val=""/>
            <m:endChr m:val=")"/>
            <m:grow/>
          </m:dPr>
          <m:e>
            <m:r>
              <m:t>P</m:t>
            </m:r>
            <m:r>
              <m:rPr>
                <m:sty m:val="p"/>
              </m:rPr>
              <m:t>,</m:t>
            </m:r>
            <m:r>
              <m:t>ρ</m:t>
            </m:r>
          </m:e>
        </m:d>
        <m:r>
          <m:rPr>
            <m:sty m:val="p"/>
          </m:rPr>
          <m:t>=</m:t>
        </m:r>
        <m:r>
          <m:t>P</m:t>
        </m:r>
        <m:r>
          <m:rPr>
            <m:sty m:val="p"/>
          </m:rPr>
          <m:t>+</m:t>
        </m:r>
        <m:rad>
          <m:radPr>
            <m:degHide m:val="on"/>
          </m:radPr>
          <m:deg/>
          <m:e>
            <m:r>
              <m:t>2</m:t>
            </m:r>
            <m:r>
              <m:t>ρ</m:t>
            </m:r>
            <m:r>
              <m:t>P</m:t>
            </m:r>
            <m:d>
              <m:dPr>
                <m:begChr m:val="("/>
                <m:sepChr m:val=""/>
                <m:endChr m:val=")"/>
                <m:grow/>
              </m:dPr>
              <m:e>
                <m:r>
                  <m:t>1</m:t>
                </m:r>
                <m:r>
                  <m:rPr>
                    <m:sty m:val="p"/>
                  </m:rPr>
                  <m:t>−</m:t>
                </m:r>
                <m:r>
                  <m:t>P</m:t>
                </m:r>
              </m:e>
            </m:d>
          </m:e>
        </m:rad>
        <m:r>
          <m:rPr>
            <m:sty m:val="p"/>
          </m:rPr>
          <m:t>+</m:t>
        </m:r>
        <m:r>
          <m:t>O</m:t>
        </m:r>
        <m:d>
          <m:dPr>
            <m:begChr m:val="("/>
            <m:sepChr m:val=""/>
            <m:endChr m:val=")"/>
            <m:grow/>
          </m:dPr>
          <m:e>
            <m:r>
              <m:t>ρ</m:t>
            </m:r>
          </m:e>
        </m:d>
      </m:oMath>
      <w:r>
        <w:t xml:space="preserve">. </w:t>
      </w:r>
      <w:r>
        <w:rPr>
          <w:i/>
          <w:iCs/>
        </w:rPr>
        <w:t xml:space="preserve">Proof.</w:t>
      </w:r>
      <w:r>
        <w:t xml:space="preserve"> The relative entropy of a tilt is </w:t>
      </w:r>
      <m:oMath>
        <m:r>
          <m:rPr>
            <m:nor/>
          </m:rPr>
          <m:t>KL</m:t>
        </m:r>
        <m:d>
          <m:dPr>
            <m:begChr m:val="("/>
            <m:sepChr m:val=""/>
            <m:endChr m:val=")"/>
            <m:grow/>
          </m:dPr>
          <m:e>
            <m:sSub>
              <m:e>
                <m:r>
                  <m:t>p</m:t>
                </m:r>
              </m:e>
              <m:sub>
                <m:r>
                  <m:t>λ</m:t>
                </m:r>
              </m:sub>
            </m:sSub>
            <m:r>
              <m:rPr>
                <m:sty m:val="p"/>
              </m:rPr>
              <m:t>,</m:t>
            </m:r>
            <m:r>
              <m:t>p</m:t>
            </m:r>
          </m:e>
        </m:d>
        <m:r>
          <m:rPr>
            <m:sty m:val="p"/>
          </m:rPr>
          <m:t>=</m:t>
        </m:r>
        <m:f>
          <m:fPr>
            <m:type m:val="lin"/>
          </m:fPr>
          <m:num>
            <m:r>
              <m:t>1</m:t>
            </m:r>
          </m:num>
          <m:den>
            <m:r>
              <m:t>2</m:t>
            </m:r>
          </m:den>
        </m:f>
        <m:sSup>
          <m:e>
            <m:r>
              <m:t>λ</m:t>
            </m:r>
          </m:e>
          <m:sup>
            <m:r>
              <m:rPr>
                <m:sty m:val="p"/>
              </m:rPr>
              <m:t>⊤</m:t>
            </m:r>
          </m:sup>
        </m:sSup>
        <m:r>
          <m:t>S</m:t>
        </m:r>
        <m:r>
          <m:t>λ</m:t>
        </m:r>
        <m:r>
          <m:rPr>
            <m:sty m:val="p"/>
          </m:rPr>
          <m:t>+</m:t>
        </m:r>
        <m:r>
          <m:t>O</m:t>
        </m:r>
        <m:d>
          <m:dPr>
            <m:begChr m:val="("/>
            <m:sepChr m:val=""/>
            <m:endChr m:val=")"/>
            <m:grow/>
          </m:dPr>
          <m:e>
            <m:sSup>
              <m:e>
                <m:d>
                  <m:dPr>
                    <m:begChr m:val="|"/>
                    <m:sepChr m:val=""/>
                    <m:endChr m:val="|"/>
                    <m:grow/>
                  </m:dPr>
                  <m:e>
                    <m:r>
                      <m:t>λ</m:t>
                    </m:r>
                  </m:e>
                </m:d>
              </m:e>
              <m:sup>
                <m:r>
                  <m:t>3</m:t>
                </m:r>
              </m:sup>
            </m:sSup>
          </m:e>
        </m:d>
      </m:oMath>
      <w:r>
        <w:t xml:space="preserve"> (the cumulant expansion of </w:t>
      </w:r>
      <m:oMath>
        <m:r>
          <m:rPr>
            <m:sty m:val="p"/>
          </m:rPr>
          <m:t>log</m:t>
        </m:r>
        <m:sSub>
          <m:e>
            <m:r>
              <m:t>E</m:t>
            </m:r>
          </m:e>
          <m:sub>
            <m:r>
              <m:t>p</m:t>
            </m:r>
          </m:sub>
        </m:sSub>
        <m:sSup>
          <m:e>
            <m:r>
              <m:t>e</m:t>
            </m:r>
          </m:e>
          <m:sup>
            <m:sSup>
              <m:e>
                <m:r>
                  <m:t>λ</m:t>
                </m:r>
              </m:e>
              <m:sup>
                <m:r>
                  <m:rPr>
                    <m:sty m:val="p"/>
                  </m:rPr>
                  <m:t>⊤</m:t>
                </m:r>
              </m:sup>
            </m:sSup>
            <m:r>
              <m:t>z</m:t>
            </m:r>
          </m:sup>
        </m:sSup>
      </m:oMath>
      <w:r>
        <w:t xml:space="preserve">) and </w:t>
      </w:r>
      <m:oMath>
        <m:sSub>
          <m:e>
            <m:r>
              <m:t>P</m:t>
            </m:r>
          </m:e>
          <m:sub>
            <m:r>
              <m:t>λ</m:t>
            </m:r>
          </m:sub>
        </m:sSub>
        <m:d>
          <m:dPr>
            <m:begChr m:val="("/>
            <m:sepChr m:val=""/>
            <m:endChr m:val=")"/>
            <m:grow/>
          </m:dPr>
          <m:e>
            <m:r>
              <m:t>F</m:t>
            </m:r>
          </m:e>
        </m:d>
        <m:r>
          <m:rPr>
            <m:sty m:val="p"/>
          </m:rPr>
          <m:t>=</m:t>
        </m:r>
        <m:r>
          <m:t>P</m:t>
        </m:r>
        <m:d>
          <m:dPr>
            <m:begChr m:val="("/>
            <m:sepChr m:val=""/>
            <m:endChr m:val=")"/>
            <m:grow/>
          </m:dPr>
          <m:e>
            <m:r>
              <m:t>F</m:t>
            </m:r>
          </m:e>
        </m:d>
        <m:r>
          <m:rPr>
            <m:sty m:val="p"/>
          </m:rPr>
          <m:t>+</m:t>
        </m:r>
        <m:sSup>
          <m:e>
            <m:r>
              <m:t>λ</m:t>
            </m:r>
          </m:e>
          <m:sup>
            <m:r>
              <m:rPr>
                <m:sty m:val="p"/>
              </m:rPr>
              <m:t>⊤</m:t>
            </m:r>
          </m:sup>
        </m:sSup>
        <m:r>
          <m:t>c</m:t>
        </m:r>
        <m:r>
          <m:rPr>
            <m:sty m:val="p"/>
          </m:rPr>
          <m:t>+</m:t>
        </m:r>
        <m:r>
          <m:t>O</m:t>
        </m:r>
        <m:d>
          <m:dPr>
            <m:begChr m:val="("/>
            <m:sepChr m:val=""/>
            <m:endChr m:val=")"/>
            <m:grow/>
          </m:dPr>
          <m:e>
            <m:sSup>
              <m:e>
                <m:d>
                  <m:dPr>
                    <m:begChr m:val="|"/>
                    <m:sepChr m:val=""/>
                    <m:endChr m:val="|"/>
                    <m:grow/>
                  </m:dPr>
                  <m:e>
                    <m:r>
                      <m:t>λ</m:t>
                    </m:r>
                  </m:e>
                </m:d>
              </m:e>
              <m:sup>
                <m:r>
                  <m:t>2</m:t>
                </m:r>
              </m:sup>
            </m:sSup>
          </m:e>
        </m:d>
      </m:oMath>
      <w:r>
        <w:t xml:space="preserve">. The largest value of </w:t>
      </w:r>
      <m:oMath>
        <m:sSup>
          <m:e>
            <m:r>
              <m:t>λ</m:t>
            </m:r>
          </m:e>
          <m:sup>
            <m:r>
              <m:rPr>
                <m:sty m:val="p"/>
              </m:rPr>
              <m:t>⊤</m:t>
            </m:r>
          </m:sup>
        </m:sSup>
        <m:r>
          <m:t>c</m:t>
        </m:r>
      </m:oMath>
      <w:r>
        <w:t xml:space="preserve"> on the ellipsoid </w:t>
      </w:r>
      <m:oMath>
        <m:f>
          <m:fPr>
            <m:type m:val="lin"/>
          </m:fPr>
          <m:num>
            <m:r>
              <m:t>1</m:t>
            </m:r>
          </m:num>
          <m:den>
            <m:r>
              <m:t>2</m:t>
            </m:r>
          </m:den>
        </m:f>
        <m:sSup>
          <m:e>
            <m:r>
              <m:t>λ</m:t>
            </m:r>
          </m:e>
          <m:sup>
            <m:r>
              <m:rPr>
                <m:sty m:val="p"/>
              </m:rPr>
              <m:t>⊤</m:t>
            </m:r>
          </m:sup>
        </m:sSup>
        <m:r>
          <m:t>S</m:t>
        </m:r>
        <m:r>
          <m:t>λ</m:t>
        </m:r>
        <m:r>
          <m:rPr>
            <m:sty m:val="p"/>
          </m:rPr>
          <m:t>≤</m:t>
        </m:r>
        <m:r>
          <m:t>ρ</m:t>
        </m:r>
      </m:oMath>
      <w:r>
        <w:t xml:space="preserve"> is </w:t>
      </w:r>
      <m:oMath>
        <m:rad>
          <m:radPr>
            <m:degHide m:val="on"/>
          </m:radPr>
          <m:deg/>
          <m:e>
            <m:r>
              <m:t>2</m:t>
            </m:r>
            <m:r>
              <m:t>ρ</m:t>
            </m:r>
            <m:r>
              <m:t> </m:t>
            </m:r>
            <m:sSup>
              <m:e>
                <m:r>
                  <m:t>c</m:t>
                </m:r>
              </m:e>
              <m:sup>
                <m:r>
                  <m:rPr>
                    <m:sty m:val="p"/>
                  </m:rPr>
                  <m:t>⊤</m:t>
                </m:r>
              </m:sup>
            </m:sSup>
            <m:sSup>
              <m:e>
                <m:r>
                  <m:t>S</m:t>
                </m:r>
              </m:e>
              <m:sup>
                <m:r>
                  <m:rPr>
                    <m:sty m:val="p"/>
                  </m:rPr>
                  <m:t>−</m:t>
                </m:r>
                <m:r>
                  <m:t>1</m:t>
                </m:r>
              </m:sup>
            </m:sSup>
            <m:r>
              <m:t>c</m:t>
            </m:r>
          </m:e>
        </m:rad>
      </m:oMath>
      <w:r>
        <w:t xml:space="preserve">, attained at </w:t>
      </w:r>
      <m:oMath>
        <m:sSup>
          <m:e>
            <m:r>
              <m:t>λ</m:t>
            </m:r>
          </m:e>
          <m:sup>
            <m:r>
              <m:rPr>
                <m:sty m:val="p"/>
              </m:rPr>
              <m:t>⋆</m:t>
            </m:r>
          </m:sup>
        </m:sSup>
        <m:r>
          <m:rPr>
            <m:sty m:val="p"/>
          </m:rPr>
          <m:t>=</m:t>
        </m:r>
        <m:rad>
          <m:radPr>
            <m:degHide m:val="on"/>
          </m:radPr>
          <m:deg/>
          <m:e>
            <m:r>
              <m:t>2</m:t>
            </m:r>
            <m:r>
              <m:t>ρ</m:t>
            </m:r>
          </m:e>
        </m:rad>
        <m:r>
          <m:t> </m:t>
        </m:r>
        <m:sSup>
          <m:e>
            <m:r>
              <m:t>S</m:t>
            </m:r>
          </m:e>
          <m:sup>
            <m:r>
              <m:rPr>
                <m:sty m:val="p"/>
              </m:rPr>
              <m:t>−</m:t>
            </m:r>
            <m:r>
              <m:t>1</m:t>
            </m:r>
          </m:sup>
        </m:sSup>
        <m:r>
          <m:t>c</m:t>
        </m:r>
        <m:r>
          <m:rPr>
            <m:sty m:val="p"/>
          </m:rPr>
          <m:t>/</m:t>
        </m:r>
        <m:rad>
          <m:radPr>
            <m:degHide m:val="on"/>
          </m:radPr>
          <m:deg/>
          <m:e>
            <m:sSup>
              <m:e>
                <m:r>
                  <m:t>c</m:t>
                </m:r>
              </m:e>
              <m:sup>
                <m:r>
                  <m:rPr>
                    <m:sty m:val="p"/>
                  </m:rPr>
                  <m:t>⊤</m:t>
                </m:r>
              </m:sup>
            </m:sSup>
            <m:sSup>
              <m:e>
                <m:r>
                  <m:t>S</m:t>
                </m:r>
              </m:e>
              <m:sup>
                <m:r>
                  <m:rPr>
                    <m:sty m:val="p"/>
                  </m:rPr>
                  <m:t>−</m:t>
                </m:r>
                <m:r>
                  <m:t>1</m:t>
                </m:r>
              </m:sup>
            </m:sSup>
            <m:r>
              <m:t>c</m:t>
            </m:r>
          </m:e>
        </m:rad>
      </m:oMath>
      <w:r>
        <w:t xml:space="preserve">; both remainders are </w:t>
      </w:r>
      <m:oMath>
        <m:r>
          <m:t>O</m:t>
        </m:r>
        <m:d>
          <m:dPr>
            <m:begChr m:val="("/>
            <m:sepChr m:val=""/>
            <m:endChr m:val=")"/>
            <m:grow/>
          </m:dPr>
          <m:e>
            <m:r>
              <m:t>ρ</m:t>
            </m:r>
          </m:e>
        </m:d>
      </m:oMath>
      <w:r>
        <w:t xml:space="preserve"> on the ball. Finally </w:t>
      </w:r>
      <m:oMath>
        <m:sSup>
          <m:e>
            <m:r>
              <m:t>c</m:t>
            </m:r>
          </m:e>
          <m:sup>
            <m:r>
              <m:rPr>
                <m:sty m:val="p"/>
              </m:rPr>
              <m:t>⊤</m:t>
            </m:r>
          </m:sup>
        </m:sSup>
        <m:sSup>
          <m:e>
            <m:r>
              <m:t>S</m:t>
            </m:r>
          </m:e>
          <m:sup>
            <m:r>
              <m:rPr>
                <m:sty m:val="p"/>
              </m:rPr>
              <m:t>−</m:t>
            </m:r>
            <m:r>
              <m:t>1</m:t>
            </m:r>
          </m:sup>
        </m:sSup>
        <m:r>
          <m:t>c</m:t>
        </m:r>
        <m:r>
          <m:rPr>
            <m:sty m:val="p"/>
          </m:rPr>
          <m:t>/</m:t>
        </m:r>
        <m:r>
          <m:rPr>
            <m:nor/>
          </m:rPr>
          <m:t>Var</m:t>
        </m:r>
        <m:d>
          <m:dPr>
            <m:begChr m:val="("/>
            <m:sepChr m:val=""/>
            <m:endChr m:val=")"/>
            <m:grow/>
          </m:dPr>
          <m:e>
            <m:sSub>
              <m:e>
                <m:r>
                  <m:t>1</m:t>
                </m:r>
              </m:e>
              <m:sub>
                <m:r>
                  <m:t>F</m:t>
                </m:r>
              </m:sub>
            </m:sSub>
          </m:e>
        </m:d>
      </m:oMath>
      <w:r>
        <w:t xml:space="preserve"> is the </w:t>
      </w:r>
      <m:oMath>
        <m:sSup>
          <m:e>
            <m:r>
              <m:t>R</m:t>
            </m:r>
          </m:e>
          <m:sup>
            <m:r>
              <m:t>2</m:t>
            </m:r>
          </m:sup>
        </m:sSup>
      </m:oMath>
      <w:r>
        <w:t xml:space="preserve"> of the linear regression of </w:t>
      </w:r>
      <m:oMath>
        <m:sSub>
          <m:e>
            <m:r>
              <m:t>1</m:t>
            </m:r>
          </m:e>
          <m:sub>
            <m:r>
              <m:t>F</m:t>
            </m:r>
          </m:sub>
        </m:sSub>
      </m:oMath>
      <w:r>
        <w:t xml:space="preserve"> on </w:t>
      </w:r>
      <m:oMath>
        <m:r>
          <m:t>z</m:t>
        </m:r>
      </m:oMath>
      <w:r>
        <w:t xml:space="preserve">, and </w:t>
      </w:r>
      <m:oMath>
        <m:r>
          <m:rPr>
            <m:nor/>
          </m:rPr>
          <m:t>kl</m:t>
        </m:r>
        <m:d>
          <m:dPr>
            <m:begChr m:val="("/>
            <m:sepChr m:val=""/>
            <m:endChr m:val=")"/>
            <m:grow/>
          </m:dPr>
          <m:e>
            <m:r>
              <m:t>x</m:t>
            </m:r>
            <m:r>
              <m:rPr>
                <m:sty m:val="p"/>
              </m:rPr>
              <m:t>,</m:t>
            </m:r>
            <m:r>
              <m:t>P</m:t>
            </m:r>
          </m:e>
        </m:d>
        <m:r>
          <m:rPr>
            <m:sty m:val="p"/>
          </m:rPr>
          <m:t>=</m:t>
        </m:r>
        <m:sSup>
          <m:e>
            <m:d>
              <m:dPr>
                <m:begChr m:val="("/>
                <m:sepChr m:val=""/>
                <m:endChr m:val=")"/>
                <m:grow/>
              </m:dPr>
              <m:e>
                <m:r>
                  <m:t>x</m:t>
                </m:r>
                <m:r>
                  <m:rPr>
                    <m:sty m:val="p"/>
                  </m:rPr>
                  <m:t>−</m:t>
                </m:r>
                <m:r>
                  <m:t>P</m:t>
                </m:r>
              </m:e>
            </m:d>
          </m:e>
          <m:sup>
            <m:r>
              <m:t>2</m:t>
            </m:r>
          </m:sup>
        </m:sSup>
        <m:r>
          <m:rPr>
            <m:sty m:val="p"/>
          </m:rPr>
          <m:t>/</m:t>
        </m:r>
        <m:d>
          <m:dPr>
            <m:begChr m:val="("/>
            <m:sepChr m:val=""/>
            <m:endChr m:val=")"/>
            <m:grow/>
          </m:dPr>
          <m:e>
            <m:r>
              <m:t>2</m:t>
            </m:r>
            <m:r>
              <m:t>P</m:t>
            </m:r>
            <m:d>
              <m:dPr>
                <m:begChr m:val="("/>
                <m:sepChr m:val=""/>
                <m:endChr m:val=")"/>
                <m:grow/>
              </m:dPr>
              <m:e>
                <m:r>
                  <m:t>1</m:t>
                </m:r>
                <m:r>
                  <m:rPr>
                    <m:sty m:val="p"/>
                  </m:rPr>
                  <m:t>−</m:t>
                </m:r>
                <m:r>
                  <m:t>P</m:t>
                </m:r>
              </m:e>
            </m:d>
          </m:e>
        </m:d>
        <m:r>
          <m:rPr>
            <m:sty m:val="p"/>
          </m:rPr>
          <m:t>+</m:t>
        </m:r>
        <m:r>
          <m:t>O</m:t>
        </m:r>
        <m:d>
          <m:dPr>
            <m:begChr m:val="("/>
            <m:sepChr m:val=""/>
            <m:endChr m:val=")"/>
            <m:grow/>
          </m:dPr>
          <m:e>
            <m:sSup>
              <m:e>
                <m:d>
                  <m:dPr>
                    <m:begChr m:val="("/>
                    <m:sepChr m:val=""/>
                    <m:endChr m:val=")"/>
                    <m:grow/>
                  </m:dPr>
                  <m:e>
                    <m:r>
                      <m:t>x</m:t>
                    </m:r>
                    <m:r>
                      <m:rPr>
                        <m:sty m:val="p"/>
                      </m:rPr>
                      <m:t>−</m:t>
                    </m:r>
                    <m:r>
                      <m:t>P</m:t>
                    </m:r>
                  </m:e>
                </m:d>
              </m:e>
              <m:sup>
                <m:r>
                  <m:t>3</m:t>
                </m:r>
              </m:sup>
            </m:sSup>
          </m:e>
        </m:d>
      </m:oMath>
      <w:r>
        <w:t xml:space="preserve">. </w:t>
      </w:r>
      <m:oMath>
        <m:r>
          <m:rPr>
            <m:sty m:val="p"/>
          </m:rPr>
          <m:t>▫</m:t>
        </m:r>
      </m:oMath>
    </w:p>
    <w:p>
      <w:pPr>
        <w:spacing w:after="120"/>
        <w:jc w:val="both"/>
      </w:pPr>
      <w:r>
        <w:t xml:space="preserve">The price of protecting every belief within the radius is therefore the radius times the part of the failure indicator that the disputed drivers explain. A tilt ball costs only </w:t>
      </w:r>
      <m:oMath>
        <m:sSub>
          <m:e>
            <m:r>
              <m:t>R</m:t>
            </m:r>
          </m:e>
          <m:sub>
            <m:r>
              <m:t>F</m:t>
            </m:r>
            <m:r>
              <m:rPr>
                <m:sty m:val="p"/>
              </m:rPr>
              <m:t>∣</m:t>
            </m:r>
            <m:r>
              <m:t>z</m:t>
            </m:r>
          </m:sub>
        </m:sSub>
      </m:oMath>
      <w:r>
        <w:t xml:space="preserve"> times what the full ball costs, and adding drivers that do not explain failure costs almost nothing. Because every tilt ball contains the stated beliefs that lie within its radius, and because the maximum of monotone functions is monotone, the ball rule inherits Proposition V2 of review 57: the admissible pumping at each recharge level is an interval, one cap per recharge level, and the choice is decisive. The exact maximum is computed by ascent on the first-order direction </w:t>
      </w:r>
      <m:oMath>
        <m:sSup>
          <m:e>
            <m:r>
              <m:t>λ</m:t>
            </m:r>
          </m:e>
          <m:sup>
            <m:r>
              <m:rPr>
                <m:sty m:val="p"/>
              </m:rPr>
              <m:t>⋆</m:t>
            </m:r>
          </m:sup>
        </m:sSup>
      </m:oMath>
      <w:r>
        <w:t xml:space="preserve"> followed by an exact projection onto the boundary </w:t>
      </w:r>
      <m:oMath>
        <m:r>
          <m:rPr>
            <m:nor/>
          </m:rPr>
          <m:t>KL</m:t>
        </m:r>
        <m:d>
          <m:dPr>
            <m:begChr m:val="("/>
            <m:sepChr m:val=""/>
            <m:endChr m:val=")"/>
            <m:grow/>
          </m:dPr>
          <m:e>
            <m:sSub>
              <m:e>
                <m:r>
                  <m:t>p</m:t>
                </m:r>
              </m:e>
              <m:sub>
                <m:r>
                  <m:t>λ</m:t>
                </m:r>
              </m:sub>
            </m:sSub>
            <m:r>
              <m:rPr>
                <m:sty m:val="p"/>
              </m:rPr>
              <m:t>,</m:t>
            </m:r>
            <m:r>
              <m:t>p</m:t>
            </m:r>
          </m:e>
        </m:d>
        <m:r>
          <m:rPr>
            <m:sty m:val="p"/>
          </m:rPr>
          <m:t>=</m:t>
        </m:r>
        <m:r>
          <m:t>ρ</m:t>
        </m:r>
      </m:oMath>
      <w:r>
        <w:t xml:space="preserve">.</w:t>
      </w:r>
    </w:p>
    <w:p>
      <w:pPr>
        <w:pStyle w:val="Heading3"/>
      </w:pPr>
      <w:r>
        <w:rPr>
          <w:color w:val="1F3864"/>
        </w:rPr>
        <w:t xml:space="preserve">9.4 Proposition R3: tilts commute with Bayes, and data shrink the margin</w:t>
      </w:r>
    </w:p>
    <w:p>
      <w:pPr>
        <w:spacing w:after="120"/>
        <w:jc w:val="both"/>
      </w:pPr>
      <w:r>
        <w:rPr>
          <w:b/>
          <w:bCs/>
        </w:rPr>
        <w:t xml:space="preserve">Proposition R3.</w:t>
      </w:r>
      <w:r>
        <w:t xml:space="preserve"> (i) The posterior of a tilted prior is the same tilt of the calibrated posterior, </w:t>
      </w:r>
      <m:oMath>
        <m:sSub>
          <m:e>
            <m:r>
              <m:t>p</m:t>
            </m:r>
          </m:e>
          <m:sub>
            <m:r>
              <m:t>λ</m:t>
            </m:r>
          </m:sub>
        </m:sSub>
        <m:d>
          <m:dPr>
            <m:begChr m:val="("/>
            <m:sepChr m:val=""/>
            <m:endChr m:val=")"/>
            <m:grow/>
          </m:dPr>
          <m:e>
            <m:r>
              <m:t>θ</m:t>
            </m:r>
            <m:r>
              <m:rPr>
                <m:sty m:val="p"/>
              </m:rPr>
              <m:t>∣</m:t>
            </m:r>
            <m:r>
              <m:t>y</m:t>
            </m:r>
          </m:e>
        </m:d>
        <m:r>
          <m:rPr>
            <m:sty m:val="p"/>
          </m:rPr>
          <m:t>∝</m:t>
        </m:r>
        <m:r>
          <m:t>p</m:t>
        </m:r>
        <m:d>
          <m:dPr>
            <m:begChr m:val="("/>
            <m:sepChr m:val=""/>
            <m:endChr m:val=")"/>
            <m:grow/>
          </m:dPr>
          <m:e>
            <m:r>
              <m:t>θ</m:t>
            </m:r>
            <m:r>
              <m:rPr>
                <m:sty m:val="p"/>
              </m:rPr>
              <m:t>∣</m:t>
            </m:r>
            <m:r>
              <m:t>y</m:t>
            </m:r>
          </m:e>
        </m:d>
        <m:r>
          <m:t> </m:t>
        </m:r>
        <m:sSup>
          <m:e>
            <m:r>
              <m:t>e</m:t>
            </m:r>
          </m:e>
          <m:sup>
            <m:sSup>
              <m:e>
                <m:r>
                  <m:t>λ</m:t>
                </m:r>
              </m:e>
              <m:sup>
                <m:r>
                  <m:rPr>
                    <m:sty m:val="p"/>
                  </m:rPr>
                  <m:t>⊤</m:t>
                </m:r>
              </m:sup>
            </m:sSup>
            <m:r>
              <m:t>z</m:t>
            </m:r>
            <m:d>
              <m:dPr>
                <m:begChr m:val="("/>
                <m:sepChr m:val=""/>
                <m:endChr m:val=")"/>
                <m:grow/>
              </m:dPr>
              <m:e>
                <m:r>
                  <m:t>θ</m:t>
                </m:r>
              </m:e>
            </m:d>
          </m:sup>
        </m:sSup>
      </m:oMath>
      <w:r>
        <w:t xml:space="preserve">, so a belief stated before the data keeps its tilt </w:t>
      </w:r>
      <m:oMath>
        <m:r>
          <m:t>λ</m:t>
        </m:r>
      </m:oMath>
      <w:r>
        <w:t xml:space="preserve"> after them, and its distance from the calibrated posterior is </w:t>
      </w:r>
      <m:oMath>
        <m:r>
          <m:rPr>
            <m:nor/>
          </m:rPr>
          <m:t>KL</m:t>
        </m:r>
        <m:d>
          <m:dPr>
            <m:begChr m:val="("/>
            <m:sepChr m:val=""/>
            <m:endChr m:val=")"/>
            <m:grow/>
          </m:dPr>
          <m:e>
            <m:sSub>
              <m:e>
                <m:r>
                  <m:t>p</m:t>
                </m:r>
              </m:e>
              <m:sub>
                <m:r>
                  <m:t>λ</m:t>
                </m:r>
              </m:sub>
            </m:sSub>
            <m:d>
              <m:dPr>
                <m:begChr m:val="("/>
                <m:sepChr m:val=""/>
                <m:endChr m:val=")"/>
                <m:grow/>
              </m:dPr>
              <m:e>
                <m:r>
                  <m:rPr>
                    <m:sty m:val="p"/>
                  </m:rPr>
                  <m:t>⋅</m:t>
                </m:r>
                <m:r>
                  <m:rPr>
                    <m:sty m:val="p"/>
                  </m:rPr>
                  <m:t>∣</m:t>
                </m:r>
                <m:r>
                  <m:t>y</m:t>
                </m:r>
              </m:e>
            </m:d>
            <m:r>
              <m:rPr>
                <m:sty m:val="p"/>
              </m:rPr>
              <m:t>,</m:t>
            </m:r>
            <m:r>
              <m:t>p</m:t>
            </m:r>
            <m:d>
              <m:dPr>
                <m:begChr m:val="("/>
                <m:sepChr m:val=""/>
                <m:endChr m:val=")"/>
                <m:grow/>
              </m:dPr>
              <m:e>
                <m:r>
                  <m:rPr>
                    <m:sty m:val="p"/>
                  </m:rPr>
                  <m:t>⋅</m:t>
                </m:r>
                <m:r>
                  <m:rPr>
                    <m:sty m:val="p"/>
                  </m:rPr>
                  <m:t>∣</m:t>
                </m:r>
                <m:r>
                  <m:t>y</m:t>
                </m:r>
              </m:e>
            </m:d>
          </m:e>
        </m:d>
        <m:r>
          <m:rPr>
            <m:sty m:val="p"/>
          </m:rPr>
          <m:t>=</m:t>
        </m:r>
        <m:f>
          <m:fPr>
            <m:type m:val="lin"/>
          </m:fPr>
          <m:num>
            <m:r>
              <m:t>1</m:t>
            </m:r>
          </m:num>
          <m:den>
            <m:r>
              <m:t>2</m:t>
            </m:r>
          </m:den>
        </m:f>
        <m:sSup>
          <m:e>
            <m:r>
              <m:t>λ</m:t>
            </m:r>
          </m:e>
          <m:sup>
            <m:r>
              <m:rPr>
                <m:sty m:val="p"/>
              </m:rPr>
              <m:t>⊤</m:t>
            </m:r>
          </m:sup>
        </m:sSup>
        <m:sSub>
          <m:e>
            <m:r>
              <m:t>S</m:t>
            </m:r>
          </m:e>
          <m:sub>
            <m:r>
              <m:t>y</m:t>
            </m:r>
          </m:sub>
        </m:sSub>
        <m:r>
          <m:t>λ</m:t>
        </m:r>
        <m:r>
          <m:rPr>
            <m:sty m:val="p"/>
          </m:rPr>
          <m:t>+</m:t>
        </m:r>
        <m:r>
          <m:t>O</m:t>
        </m:r>
        <m:d>
          <m:dPr>
            <m:begChr m:val="("/>
            <m:sepChr m:val=""/>
            <m:endChr m:val=")"/>
            <m:grow/>
          </m:dPr>
          <m:e>
            <m:sSup>
              <m:e>
                <m:d>
                  <m:dPr>
                    <m:begChr m:val="|"/>
                    <m:sepChr m:val=""/>
                    <m:endChr m:val="|"/>
                    <m:grow/>
                  </m:dPr>
                  <m:e>
                    <m:r>
                      <m:t>λ</m:t>
                    </m:r>
                  </m:e>
                </m:d>
              </m:e>
              <m:sup>
                <m:r>
                  <m:t>3</m:t>
                </m:r>
              </m:sup>
            </m:sSup>
          </m:e>
        </m:d>
      </m:oMath>
      <w:r>
        <w:t xml:space="preserve"> with </w:t>
      </w:r>
      <m:oMath>
        <m:sSub>
          <m:e>
            <m:r>
              <m:t>S</m:t>
            </m:r>
          </m:e>
          <m:sub>
            <m:r>
              <m:t>y</m:t>
            </m:r>
          </m:sub>
        </m:sSub>
        <m:r>
          <m:rPr>
            <m:sty m:val="p"/>
          </m:rPr>
          <m:t>=</m:t>
        </m:r>
        <m:r>
          <m:rPr>
            <m:nor/>
          </m:rPr>
          <m:t>Cov</m:t>
        </m:r>
        <m:d>
          <m:dPr>
            <m:begChr m:val="("/>
            <m:sepChr m:val=""/>
            <m:endChr m:val=")"/>
            <m:grow/>
          </m:dPr>
          <m:e>
            <m:r>
              <m:t>z</m:t>
            </m:r>
            <m:r>
              <m:rPr>
                <m:sty m:val="p"/>
              </m:rPr>
              <m:t>∣</m:t>
            </m:r>
            <m:r>
              <m:t>y</m:t>
            </m:r>
          </m:e>
        </m:d>
      </m:oMath>
      <w:r>
        <w:t xml:space="preserve">. (ii) For the beliefs of the ball registered before the data, the robust margin after the data is, to first order,</w:t>
      </w:r>
    </w:p>
    <w:p>
      <w:pPr>
        <w:pStyle w:val="Equation"/>
      </w:pPr>
      <m:oMathPara>
        <m:oMathParaPr>
          <m:jc m:val="center"/>
        </m:oMathParaPr>
        <m:oMath>
          <m:limLow>
            <m:e>
              <m:r>
                <m:rPr>
                  <m:sty m:val="p"/>
                </m:rPr>
                <m:t>max</m:t>
              </m:r>
            </m:e>
            <m:lim>
              <m:f>
                <m:fPr>
                  <m:type m:val="bar"/>
                </m:fPr>
                <m:num>
                  <m:r>
                    <m:t>1</m:t>
                  </m:r>
                </m:num>
                <m:den>
                  <m:r>
                    <m:t>2</m:t>
                  </m:r>
                </m:den>
              </m:f>
              <m:sSup>
                <m:e>
                  <m:r>
                    <m:t>λ</m:t>
                  </m:r>
                </m:e>
                <m:sup>
                  <m:r>
                    <m:rPr>
                      <m:sty m:val="p"/>
                    </m:rPr>
                    <m:t>⊤</m:t>
                  </m:r>
                </m:sup>
              </m:sSup>
              <m:r>
                <m:t>S</m:t>
              </m:r>
              <m:r>
                <m:t>λ</m:t>
              </m:r>
              <m:r>
                <m:rPr>
                  <m:sty m:val="p"/>
                </m:rPr>
                <m:t>≤</m:t>
              </m:r>
              <m:r>
                <m:t>ρ</m:t>
              </m:r>
            </m:lim>
          </m:limLow>
          <m:sSup>
            <m:e>
              <m:r>
                <m:t>λ</m:t>
              </m:r>
            </m:e>
            <m:sup>
              <m:r>
                <m:rPr>
                  <m:sty m:val="p"/>
                </m:rPr>
                <m:t>⊤</m:t>
              </m:r>
            </m:sup>
          </m:sSup>
          <m:sSub>
            <m:e>
              <m:r>
                <m:t>c</m:t>
              </m:r>
            </m:e>
            <m:sub>
              <m:r>
                <m:t>y</m:t>
              </m:r>
            </m:sub>
          </m:sSub>
          <m:r>
            <m:rPr>
              <m:sty m:val="p"/>
            </m:rPr>
            <m:t>=</m:t>
          </m:r>
          <m:rad>
            <m:radPr>
              <m:degHide m:val="on"/>
            </m:radPr>
            <m:deg/>
            <m:e>
              <m:r>
                <m:t>2</m:t>
              </m:r>
              <m:r>
                <m:t>ρ</m:t>
              </m:r>
              <m:r>
                <m:t> </m:t>
              </m:r>
              <m:sSubSup>
                <m:e>
                  <m:r>
                    <m:t>c</m:t>
                  </m:r>
                </m:e>
                <m:sub>
                  <m:r>
                    <m:t>y</m:t>
                  </m:r>
                </m:sub>
                <m:sup>
                  <m:r>
                    <m:rPr>
                      <m:sty m:val="p"/>
                    </m:rPr>
                    <m:t>⊤</m:t>
                  </m:r>
                </m:sup>
              </m:sSubSup>
              <m:sSup>
                <m:e>
                  <m:r>
                    <m:t>S</m:t>
                  </m:r>
                </m:e>
                <m:sup>
                  <m:r>
                    <m:rPr>
                      <m:sty m:val="p"/>
                    </m:rPr>
                    <m:t>−</m:t>
                  </m:r>
                  <m:r>
                    <m:t>1</m:t>
                  </m:r>
                </m:sup>
              </m:sSup>
              <m:sSub>
                <m:e>
                  <m:r>
                    <m:t>c</m:t>
                  </m:r>
                </m:e>
                <m:sub>
                  <m:r>
                    <m:t>y</m:t>
                  </m:r>
                </m:sub>
              </m:sSub>
            </m:e>
          </m:rad>
          <m:r>
            <m:rPr>
              <m:sty m:val="p"/>
            </m:rPr>
            <m:t>≤</m:t>
          </m:r>
          <m:rad>
            <m:radPr>
              <m:degHide m:val="on"/>
            </m:radPr>
            <m:deg/>
            <m:e>
              <m:r>
                <m:t>2</m:t>
              </m:r>
              <m:r>
                <m:t>ρ</m:t>
              </m:r>
              <m:r>
                <m:t> </m:t>
              </m:r>
              <m:r>
                <m:t>γ</m:t>
              </m:r>
              <m:d>
                <m:dPr>
                  <m:begChr m:val="("/>
                  <m:sepChr m:val=""/>
                  <m:endChr m:val=")"/>
                  <m:grow/>
                </m:dPr>
                <m:e>
                  <m:r>
                    <m:t>y</m:t>
                  </m:r>
                </m:e>
              </m:d>
            </m:e>
          </m:rad>
          <m:r>
            <m:t> </m:t>
          </m:r>
          <m:r>
            <m:rPr>
              <m:nor/>
            </m:rPr>
            <m:t>sd</m:t>
          </m:r>
          <m:d>
            <m:dPr>
              <m:begChr m:val="("/>
              <m:sepChr m:val=""/>
              <m:endChr m:val=")"/>
              <m:grow/>
            </m:dPr>
            <m:e>
              <m:sSub>
                <m:e>
                  <m:r>
                    <m:t>1</m:t>
                  </m:r>
                </m:e>
                <m:sub>
                  <m:r>
                    <m:t>F</m:t>
                  </m:r>
                </m:sub>
              </m:sSub>
              <m:r>
                <m:rPr>
                  <m:sty m:val="p"/>
                </m:rPr>
                <m:t>∣</m:t>
              </m:r>
              <m:r>
                <m:t>y</m:t>
              </m:r>
            </m:e>
          </m:d>
          <m:sSub>
            <m:e>
              <m:r>
                <m:t>R</m:t>
              </m:r>
            </m:e>
            <m:sub>
              <m:r>
                <m:t>F</m:t>
              </m:r>
              <m:r>
                <m:rPr>
                  <m:sty m:val="p"/>
                </m:rPr>
                <m:t>∣</m:t>
              </m:r>
              <m:r>
                <m:t>z</m:t>
              </m:r>
            </m:sub>
          </m:sSub>
          <m:d>
            <m:dPr>
              <m:begChr m:val="("/>
              <m:sepChr m:val=""/>
              <m:endChr m:val=")"/>
              <m:grow/>
            </m:dPr>
            <m:e>
              <m:r>
                <m:t>y</m:t>
              </m:r>
            </m:e>
          </m:d>
          <m:r>
            <m:rPr>
              <m:sty m:val="p"/>
            </m:rPr>
            <m:t>,</m:t>
          </m:r>
          <m:r>
            <m:t>  </m:t>
          </m:r>
          <m:sSub>
            <m:e>
              <m:r>
                <m:t>c</m:t>
              </m:r>
            </m:e>
            <m:sub>
              <m:r>
                <m:t>y</m:t>
              </m:r>
            </m:sub>
          </m:sSub>
          <m:r>
            <m:rPr>
              <m:sty m:val="p"/>
            </m:rPr>
            <m:t>=</m:t>
          </m:r>
          <m:r>
            <m:rPr>
              <m:nor/>
            </m:rPr>
            <m:t>Cov</m:t>
          </m:r>
          <m:d>
            <m:dPr>
              <m:begChr m:val="("/>
              <m:sepChr m:val=""/>
              <m:endChr m:val=")"/>
              <m:grow/>
            </m:dPr>
            <m:e>
              <m:r>
                <m:t>z</m:t>
              </m:r>
              <m:r>
                <m:rPr>
                  <m:sty m:val="p"/>
                </m:rPr>
                <m:t>,</m:t>
              </m:r>
              <m:sSub>
                <m:e>
                  <m:r>
                    <m:t>1</m:t>
                  </m:r>
                </m:e>
                <m:sub>
                  <m:r>
                    <m:t>F</m:t>
                  </m:r>
                </m:sub>
              </m:sSub>
              <m:r>
                <m:rPr>
                  <m:sty m:val="p"/>
                </m:rPr>
                <m:t>∣</m:t>
              </m:r>
              <m:r>
                <m:t>y</m:t>
              </m:r>
            </m:e>
          </m:d>
          <m:r>
            <m:rPr>
              <m:sty m:val="p"/>
            </m:rPr>
            <m:t>,</m:t>
          </m:r>
        </m:oMath>
      </m:oMathPara>
    </w:p>
    <w:p>
      <w:pPr>
        <w:spacing w:after="120"/>
        <w:jc w:val="both"/>
      </w:pPr>
      <w:r>
        <w:t xml:space="preserve">where </w:t>
      </w:r>
      <m:oMath>
        <m:r>
          <m:t>γ</m:t>
        </m:r>
        <m:d>
          <m:dPr>
            <m:begChr m:val="("/>
            <m:sepChr m:val=""/>
            <m:endChr m:val=")"/>
            <m:grow/>
          </m:dPr>
          <m:e>
            <m:r>
              <m:t>y</m:t>
            </m:r>
          </m:e>
        </m:d>
      </m:oMath>
      <w:r>
        <w:t xml:space="preserve"> is the largest eigenvalue of </w:t>
      </w:r>
      <m:oMath>
        <m:sSup>
          <m:e>
            <m:r>
              <m:t>S</m:t>
            </m:r>
          </m:e>
          <m:sup>
            <m:r>
              <m:rPr>
                <m:sty m:val="p"/>
              </m:rPr>
              <m:t>−</m:t>
            </m:r>
            <m:r>
              <m:t>1</m:t>
            </m:r>
          </m:sup>
        </m:sSup>
        <m:sSub>
          <m:e>
            <m:r>
              <m:t>S</m:t>
            </m:r>
          </m:e>
          <m:sub>
            <m:r>
              <m:t>y</m:t>
            </m:r>
          </m:sub>
        </m:sSub>
      </m:oMath>
      <w:r>
        <w:t xml:space="preserve">. </w:t>
      </w:r>
      <w:r>
        <w:rPr>
          <w:i/>
          <w:iCs/>
        </w:rPr>
        <w:t xml:space="preserve">Proof.</w:t>
      </w:r>
      <w:r>
        <w:t xml:space="preserve"> (i) Bayes' rule multiplies by the likelihood, which does not depend on </w:t>
      </w:r>
      <m:oMath>
        <m:r>
          <m:t>λ</m:t>
        </m:r>
      </m:oMath>
      <w:r>
        <w:t xml:space="preserve">, and normalising commutes with the tilt; the expansion is that of R2 under </w:t>
      </w:r>
      <m:oMath>
        <m:r>
          <m:t>p</m:t>
        </m:r>
        <m:d>
          <m:dPr>
            <m:begChr m:val="("/>
            <m:sepChr m:val=""/>
            <m:endChr m:val=")"/>
            <m:grow/>
          </m:dPr>
          <m:e>
            <m:r>
              <m:rPr>
                <m:sty m:val="p"/>
              </m:rPr>
              <m:t>⋅</m:t>
            </m:r>
            <m:r>
              <m:rPr>
                <m:sty m:val="p"/>
              </m:rPr>
              <m:t>∣</m:t>
            </m:r>
            <m:r>
              <m:t>y</m:t>
            </m:r>
          </m:e>
        </m:d>
      </m:oMath>
      <w:r>
        <w:t xml:space="preserve">. (ii) The equality is R2's ellipsoid argument with </w:t>
      </w:r>
      <m:oMath>
        <m:sSub>
          <m:e>
            <m:r>
              <m:t>c</m:t>
            </m:r>
          </m:e>
          <m:sub>
            <m:r>
              <m:t>y</m:t>
            </m:r>
          </m:sub>
        </m:sSub>
      </m:oMath>
      <w:r>
        <w:t xml:space="preserve">; the inequality is </w:t>
      </w:r>
      <m:oMath>
        <m:sSubSup>
          <m:e>
            <m:r>
              <m:t>c</m:t>
            </m:r>
          </m:e>
          <m:sub>
            <m:r>
              <m:t>y</m:t>
            </m:r>
          </m:sub>
          <m:sup>
            <m:r>
              <m:rPr>
                <m:sty m:val="p"/>
              </m:rPr>
              <m:t>⊤</m:t>
            </m:r>
          </m:sup>
        </m:sSubSup>
        <m:sSup>
          <m:e>
            <m:r>
              <m:t>S</m:t>
            </m:r>
          </m:e>
          <m:sup>
            <m:r>
              <m:rPr>
                <m:sty m:val="p"/>
              </m:rPr>
              <m:t>−</m:t>
            </m:r>
            <m:r>
              <m:t>1</m:t>
            </m:r>
          </m:sup>
        </m:sSup>
        <m:sSub>
          <m:e>
            <m:r>
              <m:t>c</m:t>
            </m:r>
          </m:e>
          <m:sub>
            <m:r>
              <m:t>y</m:t>
            </m:r>
          </m:sub>
        </m:sSub>
        <m:r>
          <m:rPr>
            <m:sty m:val="p"/>
          </m:rPr>
          <m:t>≤</m:t>
        </m:r>
        <m:r>
          <m:t>γ</m:t>
        </m:r>
        <m:d>
          <m:dPr>
            <m:begChr m:val="("/>
            <m:sepChr m:val=""/>
            <m:endChr m:val=")"/>
            <m:grow/>
          </m:dPr>
          <m:e>
            <m:r>
              <m:t>y</m:t>
            </m:r>
          </m:e>
        </m:d>
        <m:r>
          <m:t> </m:t>
        </m:r>
        <m:sSubSup>
          <m:e>
            <m:r>
              <m:t>c</m:t>
            </m:r>
          </m:e>
          <m:sub>
            <m:r>
              <m:t>y</m:t>
            </m:r>
          </m:sub>
          <m:sup>
            <m:r>
              <m:rPr>
                <m:sty m:val="p"/>
              </m:rPr>
              <m:t>⊤</m:t>
            </m:r>
          </m:sup>
        </m:sSubSup>
        <m:sSubSup>
          <m:e>
            <m:r>
              <m:t>S</m:t>
            </m:r>
          </m:e>
          <m:sub>
            <m:r>
              <m:t>y</m:t>
            </m:r>
          </m:sub>
          <m:sup>
            <m:r>
              <m:rPr>
                <m:sty m:val="p"/>
              </m:rPr>
              <m:t>−</m:t>
            </m:r>
            <m:r>
              <m:t>1</m:t>
            </m:r>
          </m:sup>
        </m:sSubSup>
        <m:sSub>
          <m:e>
            <m:r>
              <m:t>c</m:t>
            </m:r>
          </m:e>
          <m:sub>
            <m:r>
              <m:t>y</m:t>
            </m:r>
          </m:sub>
        </m:sSub>
      </m:oMath>
      <w:r>
        <w:t xml:space="preserve"> and the definition of </w:t>
      </w:r>
      <m:oMath>
        <m:sSub>
          <m:e>
            <m:r>
              <m:t>R</m:t>
            </m:r>
          </m:e>
          <m:sub>
            <m:r>
              <m:t>F</m:t>
            </m:r>
            <m:r>
              <m:rPr>
                <m:sty m:val="p"/>
              </m:rPr>
              <m:t>∣</m:t>
            </m:r>
            <m:r>
              <m:t>z</m:t>
            </m:r>
          </m:sub>
        </m:sSub>
        <m:d>
          <m:dPr>
            <m:begChr m:val="("/>
            <m:sepChr m:val=""/>
            <m:endChr m:val=")"/>
            <m:grow/>
          </m:dPr>
          <m:e>
            <m:r>
              <m:t>y</m:t>
            </m:r>
          </m:e>
        </m:d>
      </m:oMath>
      <w:r>
        <w:t xml:space="preserve">. </w:t>
      </w:r>
      <m:oMath>
        <m:r>
          <m:rPr>
            <m:sty m:val="p"/>
          </m:rPr>
          <m:t>▫</m:t>
        </m:r>
      </m:oMath>
      <w:r>
        <w:t xml:space="preserve"> Data shrink the margin in three ways: by narrowing the drivers (</w:t>
      </w:r>
      <m:oMath>
        <m:r>
          <m:t>γ</m:t>
        </m:r>
        <m:r>
          <m:rPr>
            <m:sty m:val="p"/>
          </m:rPr>
          <m:t>&lt;</m:t>
        </m:r>
        <m:r>
          <m:t>1</m:t>
        </m:r>
      </m:oMath>
      <w:r>
        <w:t xml:space="preserve">), by resolving the event (</w:t>
      </w:r>
      <m:oMath>
        <m:r>
          <m:rPr>
            <m:nor/>
          </m:rPr>
          <m:t>sd</m:t>
        </m:r>
        <m:d>
          <m:dPr>
            <m:begChr m:val="("/>
            <m:sepChr m:val=""/>
            <m:endChr m:val=")"/>
            <m:grow/>
          </m:dPr>
          <m:e>
            <m:sSub>
              <m:e>
                <m:r>
                  <m:t>1</m:t>
                </m:r>
              </m:e>
              <m:sub>
                <m:r>
                  <m:t>F</m:t>
                </m:r>
              </m:sub>
            </m:sSub>
            <m:r>
              <m:rPr>
                <m:sty m:val="p"/>
              </m:rPr>
              <m:t>∣</m:t>
            </m:r>
            <m:r>
              <m:t>y</m:t>
            </m:r>
          </m:e>
        </m:d>
      </m:oMath>
      <w:r>
        <w:t xml:space="preserve"> small), and by decoupling failure from the drivers (</w:t>
      </w:r>
      <m:oMath>
        <m:sSub>
          <m:e>
            <m:r>
              <m:t>R</m:t>
            </m:r>
          </m:e>
          <m:sub>
            <m:r>
              <m:t>F</m:t>
            </m:r>
            <m:r>
              <m:rPr>
                <m:sty m:val="p"/>
              </m:rPr>
              <m:t>∣</m:t>
            </m:r>
            <m:r>
              <m:t>z</m:t>
            </m:r>
          </m:sub>
        </m:sSub>
        <m:d>
          <m:dPr>
            <m:begChr m:val="("/>
            <m:sepChr m:val=""/>
            <m:endChr m:val=")"/>
            <m:grow/>
          </m:dPr>
          <m:e>
            <m:r>
              <m:t>y</m:t>
            </m:r>
          </m:e>
        </m:d>
      </m:oMath>
      <w:r>
        <w:t xml:space="preserve"> small). The second way is Proposition V1 of review 57 again, now for a whole ball of beliefs rather than for a pair. Nothing guarantees </w:t>
      </w:r>
      <m:oMath>
        <m:r>
          <m:t>γ</m:t>
        </m:r>
        <m:d>
          <m:dPr>
            <m:begChr m:val="("/>
            <m:sepChr m:val=""/>
            <m:endChr m:val=")"/>
            <m:grow/>
          </m:dPr>
          <m:e>
            <m:r>
              <m:t>y</m:t>
            </m:r>
          </m:e>
        </m:d>
        <m:r>
          <m:rPr>
            <m:sty m:val="p"/>
          </m:rPr>
          <m:t>&lt;</m:t>
        </m:r>
        <m:r>
          <m:t>1</m:t>
        </m:r>
      </m:oMath>
      <w:r>
        <w:t xml:space="preserve">: data can widen the spread of some combination of drivers, so the test measures it.</w:t>
      </w:r>
    </w:p>
    <w:p>
      <w:pPr>
        <w:pStyle w:val="Heading3"/>
      </w:pPr>
      <w:r>
        <w:rPr>
          <w:color w:val="1F3864"/>
        </w:rPr>
        <w:t xml:space="preserve">9.5 The test: the same 2,000 truths, beliefs nobody stated</w:t>
      </w:r>
    </w:p>
    <w:p>
      <w:pPr>
        <w:spacing w:after="120"/>
        <w:jc w:val="both"/>
      </w:pPr>
      <w:r>
        <w:t xml:space="preserve">The test reuses the truths, the chloride sample, the action grid and the certified margin of VENDIMI-GO. The radius of each stated belief is computed exactly on the weighted ensemble (Table 9.1). The worst case over a tilt ball is found, for each truth and action, by ascent from the first-order direction of Proposition R2, followed by an exact projection onto the boundary, and the largest admissible pumping at each recharge level by bisection on the grid of 61 pumping scales. Rules are compared on net water and on the risk </w:t>
      </w:r>
      <w:r>
        <w:rPr>
          <w:i/>
          <w:iCs/>
        </w:rPr>
        <w:t xml:space="preserve">realised in the truths</w:t>
      </w:r>
      <w:r>
        <w:t xml:space="preserve">, judged by the five stated beliefs and by 416 beliefs that nobody stated: random tilts along all eight parameters, plus the sixteen single-parameter tilts, each placed exactly at the radius </w:t>
      </w:r>
      <m:oMath>
        <m:sSub>
          <m:e>
            <m:r>
              <m:t>ρ</m:t>
            </m:r>
          </m:e>
          <m:sub>
            <m:r>
              <m:rPr>
                <m:nor/>
              </m:rPr>
              <m:t>env</m:t>
            </m:r>
          </m:sub>
        </m:sSub>
      </m:oMath>
      <w:r>
        <w:t xml:space="preserve"> of the environmental groups. One of them is the "width pessimist", a tilt along the mixing width alone (</w:t>
      </w:r>
      <m:oMath>
        <m:sSub>
          <m:e>
            <m:r>
              <m:t>λ</m:t>
            </m:r>
          </m:e>
          <m:sub>
            <m:r>
              <m:t>w</m:t>
            </m:r>
          </m:sub>
        </m:sSub>
        <m:r>
          <m:rPr>
            <m:sty m:val="p"/>
          </m:rPr>
          <m:t>=</m:t>
        </m:r>
        <m:r>
          <m:t>0.958</m:t>
        </m:r>
      </m:oMath>
      <w:r>
        <w:t xml:space="preserv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1700"/>
        <w:gridCol w:w="1600"/>
        <w:gridCol w:w="1900"/>
        <w:gridCol w:w="213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4"/>
                <w:szCs w:val="14"/>
              </w:rPr>
              <w:t xml:space="preserve">Stakeholder</w:t>
            </w:r>
          </w:p>
        </w:tc>
        <w:tc>
          <w:tcPr>
            <w:tcW w:type="dxa" w:w="1700"/>
            <w:shd w:fill="1F3864" w:color="auto" w:val="clear"/>
            <w:tcMar>
              <w:top w:type="dxa" w:w="60"/>
              <w:left w:type="dxa" w:w="100"/>
              <w:bottom w:type="dxa" w:w="60"/>
              <w:right w:type="dxa" w:w="100"/>
            </w:tcMar>
            <w:vAlign w:val="top"/>
          </w:tcPr>
          <w:p>
            <w:r>
              <w:rPr>
                <w:b/>
                <w:bCs/>
                <w:color w:val="FFFFFF"/>
                <w:sz w:val="14"/>
                <w:szCs w:val="14"/>
              </w:rPr>
              <w:t xml:space="preserve">Tilt λ (width, recharge)</w:t>
            </w:r>
          </w:p>
        </w:tc>
        <w:tc>
          <w:tcPr>
            <w:tcW w:type="dxa" w:w="1600"/>
            <w:shd w:fill="1F3864" w:color="auto" w:val="clear"/>
            <w:tcMar>
              <w:top w:type="dxa" w:w="60"/>
              <w:left w:type="dxa" w:w="100"/>
              <w:bottom w:type="dxa" w:w="60"/>
              <w:right w:type="dxa" w:w="100"/>
            </w:tcMar>
            <w:vAlign w:val="top"/>
          </w:tcPr>
          <w:p>
            <w:r>
              <w:rPr>
                <w:b/>
                <w:bCs/>
                <w:color w:val="FFFFFF"/>
                <w:sz w:val="14"/>
                <w:szCs w:val="14"/>
              </w:rPr>
              <w:t xml:space="preserve">Radius before data (nats)</w:t>
            </w:r>
          </w:p>
        </w:tc>
        <w:tc>
          <w:tcPr>
            <w:tcW w:type="dxa" w:w="1900"/>
            <w:shd w:fill="1F3864" w:color="auto" w:val="clear"/>
            <w:tcMar>
              <w:top w:type="dxa" w:w="60"/>
              <w:left w:type="dxa" w:w="100"/>
              <w:bottom w:type="dxa" w:w="60"/>
              <w:right w:type="dxa" w:w="100"/>
            </w:tcMar>
            <w:vAlign w:val="top"/>
          </w:tcPr>
          <w:p>
            <w:r>
              <w:rPr>
                <w:b/>
                <w:bCs/>
                <w:color w:val="FFFFFF"/>
                <w:sz w:val="14"/>
                <w:szCs w:val="14"/>
              </w:rPr>
              <w:t xml:space="preserve">Quadratic approximation ½λᵀSλ</w:t>
            </w:r>
          </w:p>
        </w:tc>
        <w:tc>
          <w:tcPr>
            <w:tcW w:type="dxa" w:w="2138"/>
            <w:shd w:fill="1F3864" w:color="auto" w:val="clear"/>
            <w:tcMar>
              <w:top w:type="dxa" w:w="60"/>
              <w:left w:type="dxa" w:w="100"/>
              <w:bottom w:type="dxa" w:w="60"/>
              <w:right w:type="dxa" w:w="100"/>
            </w:tcMar>
            <w:vAlign w:val="top"/>
          </w:tcPr>
          <w:p>
            <w:r>
              <w:rPr>
                <w:b/>
                <w:bCs/>
                <w:color w:val="FFFFFF"/>
                <w:sz w:val="14"/>
                <w:szCs w:val="14"/>
              </w:rPr>
              <w:t xml:space="preserve">Radius after the chloride sample: median (10–90%)</w:t>
            </w:r>
          </w:p>
        </w:tc>
      </w:tr>
      <w:tr>
        <w:trPr>
          <w:cantSplit/>
        </w:trPr>
        <w:tc>
          <w:tcPr>
            <w:tcW w:type="dxa" w:w="2300"/>
            <w:tcMar>
              <w:top w:type="dxa" w:w="60"/>
              <w:left w:type="dxa" w:w="100"/>
              <w:bottom w:type="dxa" w:w="60"/>
              <w:right w:type="dxa" w:w="100"/>
            </w:tcMar>
            <w:vAlign w:val="top"/>
          </w:tcPr>
          <w:p>
            <w:r>
              <w:rPr>
                <w:sz w:val="14"/>
                <w:szCs w:val="14"/>
              </w:rPr>
              <w:t xml:space="preserve">Water utility</w:t>
            </w:r>
          </w:p>
        </w:tc>
        <w:tc>
          <w:tcPr>
            <w:tcW w:type="dxa" w:w="1700"/>
            <w:tcMar>
              <w:top w:type="dxa" w:w="60"/>
              <w:left w:type="dxa" w:w="100"/>
              <w:bottom w:type="dxa" w:w="60"/>
              <w:right w:type="dxa" w:w="100"/>
            </w:tcMar>
            <w:vAlign w:val="top"/>
          </w:tcPr>
          <w:p>
            <w:r>
              <w:rPr>
                <w:sz w:val="14"/>
                <w:szCs w:val="14"/>
              </w:rPr>
              <w:t xml:space="preserve">(0.00, 0.00)</w:t>
            </w:r>
          </w:p>
        </w:tc>
        <w:tc>
          <w:tcPr>
            <w:tcW w:type="dxa" w:w="1600"/>
            <w:tcMar>
              <w:top w:type="dxa" w:w="60"/>
              <w:left w:type="dxa" w:w="100"/>
              <w:bottom w:type="dxa" w:w="60"/>
              <w:right w:type="dxa" w:w="100"/>
            </w:tcMar>
            <w:vAlign w:val="top"/>
          </w:tcPr>
          <w:p>
            <w:r>
              <w:rPr>
                <w:sz w:val="14"/>
                <w:szCs w:val="14"/>
              </w:rPr>
              <w:t xml:space="preserve">0.000</w:t>
            </w:r>
          </w:p>
        </w:tc>
        <w:tc>
          <w:tcPr>
            <w:tcW w:type="dxa" w:w="1900"/>
            <w:tcMar>
              <w:top w:type="dxa" w:w="60"/>
              <w:left w:type="dxa" w:w="100"/>
              <w:bottom w:type="dxa" w:w="60"/>
              <w:right w:type="dxa" w:w="100"/>
            </w:tcMar>
            <w:vAlign w:val="top"/>
          </w:tcPr>
          <w:p>
            <w:r>
              <w:rPr>
                <w:sz w:val="14"/>
                <w:szCs w:val="14"/>
              </w:rPr>
              <w:t xml:space="preserve">0.000</w:t>
            </w:r>
          </w:p>
        </w:tc>
        <w:tc>
          <w:tcPr>
            <w:tcW w:type="dxa" w:w="2138"/>
            <w:tcMar>
              <w:top w:type="dxa" w:w="60"/>
              <w:left w:type="dxa" w:w="100"/>
              <w:bottom w:type="dxa" w:w="60"/>
              <w:right w:type="dxa" w:w="100"/>
            </w:tcMar>
            <w:vAlign w:val="top"/>
          </w:tcPr>
          <w:p>
            <w:r>
              <w:rPr>
                <w:sz w:val="14"/>
                <w:szCs w:val="14"/>
              </w:rPr>
              <w:t xml:space="preserve">0</w:t>
            </w: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Irrigators and hotels</w:t>
            </w:r>
          </w:p>
        </w:tc>
        <w:tc>
          <w:tcPr>
            <w:tcW w:type="dxa" w:w="1700"/>
            <w:shd w:fill="F7F9FC" w:color="auto" w:val="clear"/>
            <w:tcMar>
              <w:top w:type="dxa" w:w="60"/>
              <w:left w:type="dxa" w:w="100"/>
              <w:bottom w:type="dxa" w:w="60"/>
              <w:right w:type="dxa" w:w="100"/>
            </w:tcMar>
            <w:vAlign w:val="top"/>
          </w:tcPr>
          <w:p>
            <w:r>
              <w:rPr>
                <w:sz w:val="14"/>
                <w:szCs w:val="14"/>
              </w:rPr>
              <w:t xml:space="preserve">(−0.75, 0.75)</w:t>
            </w:r>
          </w:p>
        </w:tc>
        <w:tc>
          <w:tcPr>
            <w:tcW w:type="dxa" w:w="1600"/>
            <w:shd w:fill="F7F9FC" w:color="auto" w:val="clear"/>
            <w:tcMar>
              <w:top w:type="dxa" w:w="60"/>
              <w:left w:type="dxa" w:w="100"/>
              <w:bottom w:type="dxa" w:w="60"/>
              <w:right w:type="dxa" w:w="100"/>
            </w:tcMar>
            <w:vAlign w:val="top"/>
          </w:tcPr>
          <w:p>
            <w:r>
              <w:rPr>
                <w:sz w:val="14"/>
                <w:szCs w:val="14"/>
              </w:rPr>
              <w:t xml:space="preserve">0.412</w:t>
            </w:r>
          </w:p>
        </w:tc>
        <w:tc>
          <w:tcPr>
            <w:tcW w:type="dxa" w:w="1900"/>
            <w:shd w:fill="F7F9FC" w:color="auto" w:val="clear"/>
            <w:tcMar>
              <w:top w:type="dxa" w:w="60"/>
              <w:left w:type="dxa" w:w="100"/>
              <w:bottom w:type="dxa" w:w="60"/>
              <w:right w:type="dxa" w:w="100"/>
            </w:tcMar>
            <w:vAlign w:val="top"/>
          </w:tcPr>
          <w:p>
            <w:r>
              <w:rPr>
                <w:sz w:val="14"/>
                <w:szCs w:val="14"/>
              </w:rPr>
              <w:t xml:space="preserve">0.334</w:t>
            </w:r>
          </w:p>
        </w:tc>
        <w:tc>
          <w:tcPr>
            <w:tcW w:type="dxa" w:w="2138"/>
            <w:shd w:fill="F7F9FC" w:color="auto" w:val="clear"/>
            <w:tcMar>
              <w:top w:type="dxa" w:w="60"/>
              <w:left w:type="dxa" w:w="100"/>
              <w:bottom w:type="dxa" w:w="60"/>
              <w:right w:type="dxa" w:w="100"/>
            </w:tcMar>
            <w:vAlign w:val="top"/>
          </w:tcPr>
          <w:p>
            <w:r>
              <w:rPr>
                <w:sz w:val="14"/>
                <w:szCs w:val="14"/>
              </w:rPr>
              <w:t xml:space="preserve">0.157 (0.149–0.307)</w:t>
            </w:r>
          </w:p>
        </w:tc>
      </w:tr>
      <w:tr>
        <w:trPr>
          <w:cantSplit/>
        </w:trPr>
        <w:tc>
          <w:tcPr>
            <w:tcW w:type="dxa" w:w="2300"/>
            <w:tcMar>
              <w:top w:type="dxa" w:w="60"/>
              <w:left w:type="dxa" w:w="100"/>
              <w:bottom w:type="dxa" w:w="60"/>
              <w:right w:type="dxa" w:w="100"/>
            </w:tcMar>
            <w:vAlign w:val="top"/>
          </w:tcPr>
          <w:p>
            <w:r>
              <w:rPr>
                <w:sz w:val="14"/>
                <w:szCs w:val="14"/>
              </w:rPr>
              <w:t xml:space="preserve">Municipality</w:t>
            </w:r>
          </w:p>
        </w:tc>
        <w:tc>
          <w:tcPr>
            <w:tcW w:type="dxa" w:w="1700"/>
            <w:tcMar>
              <w:top w:type="dxa" w:w="60"/>
              <w:left w:type="dxa" w:w="100"/>
              <w:bottom w:type="dxa" w:w="60"/>
              <w:right w:type="dxa" w:w="100"/>
            </w:tcMar>
            <w:vAlign w:val="top"/>
          </w:tcPr>
          <w:p>
            <w:r>
              <w:rPr>
                <w:sz w:val="14"/>
                <w:szCs w:val="14"/>
              </w:rPr>
              <w:t xml:space="preserve">(0.50, 0.00)</w:t>
            </w:r>
          </w:p>
        </w:tc>
        <w:tc>
          <w:tcPr>
            <w:tcW w:type="dxa" w:w="1600"/>
            <w:tcMar>
              <w:top w:type="dxa" w:w="60"/>
              <w:left w:type="dxa" w:w="100"/>
              <w:bottom w:type="dxa" w:w="60"/>
              <w:right w:type="dxa" w:w="100"/>
            </w:tcMar>
            <w:vAlign w:val="top"/>
          </w:tcPr>
          <w:p>
            <w:r>
              <w:rPr>
                <w:sz w:val="14"/>
                <w:szCs w:val="14"/>
              </w:rPr>
              <w:t xml:space="preserve">0.095</w:t>
            </w:r>
          </w:p>
        </w:tc>
        <w:tc>
          <w:tcPr>
            <w:tcW w:type="dxa" w:w="1900"/>
            <w:tcMar>
              <w:top w:type="dxa" w:w="60"/>
              <w:left w:type="dxa" w:w="100"/>
              <w:bottom w:type="dxa" w:w="60"/>
              <w:right w:type="dxa" w:w="100"/>
            </w:tcMar>
            <w:vAlign w:val="top"/>
          </w:tcPr>
          <w:p>
            <w:r>
              <w:rPr>
                <w:sz w:val="14"/>
                <w:szCs w:val="14"/>
              </w:rPr>
              <w:t xml:space="preserve">0.122</w:t>
            </w:r>
          </w:p>
        </w:tc>
        <w:tc>
          <w:tcPr>
            <w:tcW w:type="dxa" w:w="2138"/>
            <w:tcMar>
              <w:top w:type="dxa" w:w="60"/>
              <w:left w:type="dxa" w:w="100"/>
              <w:bottom w:type="dxa" w:w="60"/>
              <w:right w:type="dxa" w:w="100"/>
            </w:tcMar>
            <w:vAlign w:val="top"/>
          </w:tcPr>
          <w:p>
            <w:r>
              <w:rPr>
                <w:sz w:val="14"/>
                <w:szCs w:val="14"/>
              </w:rPr>
              <w:t xml:space="preserve">0.044 (0.036–0.084)</w:t>
            </w: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Regional water agency</w:t>
            </w:r>
          </w:p>
        </w:tc>
        <w:tc>
          <w:tcPr>
            <w:tcW w:type="dxa" w:w="1700"/>
            <w:shd w:fill="F7F9FC" w:color="auto" w:val="clear"/>
            <w:tcMar>
              <w:top w:type="dxa" w:w="60"/>
              <w:left w:type="dxa" w:w="100"/>
              <w:bottom w:type="dxa" w:w="60"/>
              <w:right w:type="dxa" w:w="100"/>
            </w:tcMar>
            <w:vAlign w:val="top"/>
          </w:tcPr>
          <w:p>
            <w:r>
              <w:rPr>
                <w:sz w:val="14"/>
                <w:szCs w:val="14"/>
              </w:rPr>
              <w:t xml:space="preserve">(0.00, −0.75)</w:t>
            </w:r>
          </w:p>
        </w:tc>
        <w:tc>
          <w:tcPr>
            <w:tcW w:type="dxa" w:w="1600"/>
            <w:shd w:fill="F7F9FC" w:color="auto" w:val="clear"/>
            <w:tcMar>
              <w:top w:type="dxa" w:w="60"/>
              <w:left w:type="dxa" w:w="100"/>
              <w:bottom w:type="dxa" w:w="60"/>
              <w:right w:type="dxa" w:w="100"/>
            </w:tcMar>
            <w:vAlign w:val="top"/>
          </w:tcPr>
          <w:p>
            <w:r>
              <w:rPr>
                <w:sz w:val="14"/>
                <w:szCs w:val="14"/>
              </w:rPr>
              <w:t xml:space="preserve">0.283</w:t>
            </w:r>
          </w:p>
        </w:tc>
        <w:tc>
          <w:tcPr>
            <w:tcW w:type="dxa" w:w="1900"/>
            <w:shd w:fill="F7F9FC" w:color="auto" w:val="clear"/>
            <w:tcMar>
              <w:top w:type="dxa" w:w="60"/>
              <w:left w:type="dxa" w:w="100"/>
              <w:bottom w:type="dxa" w:w="60"/>
              <w:right w:type="dxa" w:w="100"/>
            </w:tcMar>
            <w:vAlign w:val="top"/>
          </w:tcPr>
          <w:p>
            <w:r>
              <w:rPr>
                <w:sz w:val="14"/>
                <w:szCs w:val="14"/>
              </w:rPr>
              <w:t xml:space="preserve">0.284</w:t>
            </w:r>
          </w:p>
        </w:tc>
        <w:tc>
          <w:tcPr>
            <w:tcW w:type="dxa" w:w="2138"/>
            <w:shd w:fill="F7F9FC" w:color="auto" w:val="clear"/>
            <w:tcMar>
              <w:top w:type="dxa" w:w="60"/>
              <w:left w:type="dxa" w:w="100"/>
              <w:bottom w:type="dxa" w:w="60"/>
              <w:right w:type="dxa" w:w="100"/>
            </w:tcMar>
            <w:vAlign w:val="top"/>
          </w:tcPr>
          <w:p>
            <w:r>
              <w:rPr>
                <w:sz w:val="14"/>
                <w:szCs w:val="14"/>
              </w:rPr>
              <w:t xml:space="preserve">0.244 (0.218–0.294)</w:t>
            </w:r>
          </w:p>
        </w:tc>
      </w:tr>
      <w:tr>
        <w:trPr>
          <w:cantSplit/>
        </w:trPr>
        <w:tc>
          <w:tcPr>
            <w:tcW w:type="dxa" w:w="2300"/>
            <w:tcMar>
              <w:top w:type="dxa" w:w="60"/>
              <w:left w:type="dxa" w:w="100"/>
              <w:bottom w:type="dxa" w:w="60"/>
              <w:right w:type="dxa" w:w="100"/>
            </w:tcMar>
            <w:vAlign w:val="top"/>
          </w:tcPr>
          <w:p>
            <w:r>
              <w:rPr>
                <w:sz w:val="14"/>
                <w:szCs w:val="14"/>
              </w:rPr>
              <w:t xml:space="preserve">Environmental groups</w:t>
            </w:r>
          </w:p>
        </w:tc>
        <w:tc>
          <w:tcPr>
            <w:tcW w:type="dxa" w:w="1700"/>
            <w:tcMar>
              <w:top w:type="dxa" w:w="60"/>
              <w:left w:type="dxa" w:w="100"/>
              <w:bottom w:type="dxa" w:w="60"/>
              <w:right w:type="dxa" w:w="100"/>
            </w:tcMar>
            <w:vAlign w:val="top"/>
          </w:tcPr>
          <w:p>
            <w:r>
              <w:rPr>
                <w:sz w:val="14"/>
                <w:szCs w:val="14"/>
              </w:rPr>
              <w:t xml:space="preserve">(0.75, −0.75)</w:t>
            </w:r>
          </w:p>
        </w:tc>
        <w:tc>
          <w:tcPr>
            <w:tcW w:type="dxa" w:w="1600"/>
            <w:tcMar>
              <w:top w:type="dxa" w:w="60"/>
              <w:left w:type="dxa" w:w="100"/>
              <w:bottom w:type="dxa" w:w="60"/>
              <w:right w:type="dxa" w:w="100"/>
            </w:tcMar>
            <w:vAlign w:val="top"/>
          </w:tcPr>
          <w:p>
            <w:r>
              <w:rPr>
                <w:sz w:val="14"/>
                <w:szCs w:val="14"/>
              </w:rPr>
              <w:t xml:space="preserve">0.293</w:t>
            </w:r>
          </w:p>
        </w:tc>
        <w:tc>
          <w:tcPr>
            <w:tcW w:type="dxa" w:w="1900"/>
            <w:tcMar>
              <w:top w:type="dxa" w:w="60"/>
              <w:left w:type="dxa" w:w="100"/>
              <w:bottom w:type="dxa" w:w="60"/>
              <w:right w:type="dxa" w:w="100"/>
            </w:tcMar>
            <w:vAlign w:val="top"/>
          </w:tcPr>
          <w:p>
            <w:r>
              <w:rPr>
                <w:sz w:val="14"/>
                <w:szCs w:val="14"/>
              </w:rPr>
              <w:t xml:space="preserve">0.334</w:t>
            </w:r>
          </w:p>
        </w:tc>
        <w:tc>
          <w:tcPr>
            <w:tcW w:type="dxa" w:w="2138"/>
            <w:tcMar>
              <w:top w:type="dxa" w:w="60"/>
              <w:left w:type="dxa" w:w="100"/>
              <w:bottom w:type="dxa" w:w="60"/>
              <w:right w:type="dxa" w:w="100"/>
            </w:tcMar>
            <w:vAlign w:val="top"/>
          </w:tcPr>
          <w:p>
            <w:r>
              <w:rPr>
                <w:sz w:val="14"/>
                <w:szCs w:val="14"/>
              </w:rPr>
              <w:t xml:space="preserve">0.137 (0.121–0.198)</w:t>
            </w:r>
          </w:p>
        </w:tc>
      </w:tr>
    </w:tbl>
    <w:p>
      <w:pPr>
        <w:spacing w:after="160"/>
      </w:pPr>
    </w:p>
    <w:p>
      <w:pPr>
        <w:spacing w:after="120"/>
      </w:pPr>
      <w:r>
        <w:rPr>
          <w:i/>
          <w:iCs/>
          <w:color w:val="5B6573"/>
          <w:sz w:val="18"/>
          <w:szCs w:val="18"/>
        </w:rPr>
        <w:t xml:space="preserve">Table 9.1. Distance of each stated belief from the calibrated ensemble, before and after the chloride sample at A30 (2,000 truths). </w:t>
      </w:r>
      <m:oMath>
        <m:sSub>
          <m:e>
            <m:r>
              <m:t>ρ</m:t>
            </m:r>
          </m:e>
          <m:sub>
            <m:r>
              <m:rPr>
                <m:nor/>
              </m:rPr>
              <m:t>env</m:t>
            </m:r>
          </m:sub>
        </m:sSub>
      </m:oMath>
      <w:r>
        <w:rPr>
          <w:i/>
          <w:iCs/>
          <w:color w:val="5B6573"/>
          <w:sz w:val="18"/>
          <w:szCs w:val="18"/>
        </w:rPr>
        <w:t xml:space="preserve"> is the radius of the environmental groups, </w:t>
      </w:r>
      <m:oMath>
        <m:sSub>
          <m:e>
            <m:r>
              <m:t>ρ</m:t>
            </m:r>
          </m:e>
          <m:sub>
            <m:r>
              <m:rPr>
                <m:sty m:val="p"/>
              </m:rPr>
              <m:t>max</m:t>
            </m:r>
          </m:sub>
        </m:sSub>
      </m:oMath>
      <w:r>
        <w:rPr>
          <w:i/>
          <w:iCs/>
          <w:color w:val="5B6573"/>
          <w:sz w:val="18"/>
          <w:szCs w:val="18"/>
        </w:rPr>
        <w:t xml:space="preserve"> that of the irrigators and hotels.</w:t>
      </w:r>
    </w:p>
    <w:p>
      <w:pPr>
        <w:keepNext/>
        <w:spacing w:after="60" w:before="120"/>
        <w:jc w:val="center"/>
      </w:pPr>
      <w:r>
        <w:drawing>
          <wp:inline distT="0" distB="0" distL="0" distR="0">
            <wp:extent cx="5943600" cy="4248150"/>
            <wp:effectExtent t="0" r="0" b="0" l="0"/>
            <wp:docPr id="1" name="Four panels: radii of the stated beliefs, net water against the radius, the largest realised risk among unstated beliefs for five rules, and the net water of each rule" descr="Four panels: radii of the stated beliefs, net water against the radius, the largest realised risk among unstated beliefs for five rules, and the net water of each rule" title="Four panels: radii of the stated beliefs, net water against the radius, the largest realised risk among unstated beliefs for five rules, and the net water of each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248150"/>
                    </a:xfrm>
                    <a:prstGeom prst="rect">
                      <a:avLst/>
                    </a:prstGeom>
                  </pic:spPr>
                </pic:pic>
              </a:graphicData>
            </a:graphic>
          </wp:inline>
        </w:drawing>
      </w:r>
    </w:p>
    <w:p>
      <w:pPr>
        <w:spacing w:after="200"/>
        <w:jc w:val="both"/>
      </w:pPr>
      <w:r>
        <w:rPr>
          <w:b/>
          <w:bCs/>
          <w:color w:val="3A4350"/>
          <w:sz w:val="18"/>
          <w:szCs w:val="18"/>
        </w:rPr>
        <w:t xml:space="preserve">Figure R1.</w:t>
      </w:r>
      <w:r>
        <w:rPr>
          <w:color w:val="3A4350"/>
          <w:sz w:val="18"/>
          <w:szCs w:val="18"/>
        </w:rPr>
        <w:t xml:space="preserve"> (a) Distance of each stated belief from the calibration before the data and after the chloride sample. (b) Net water against the agreed radius for the tilt ball over eight drivers (solid) and the full ball (dashed), without data and with the chloride sample; stars mark the five stated beliefs of VENDIMI-GO. (c) Largest realised risk among 416 unstated beliefs at the radius </w:t>
      </w:r>
      <m:oMath>
        <m:sSub>
          <m:e>
            <m:r>
              <m:t>ρ</m:t>
            </m:r>
          </m:e>
          <m:sub>
            <m:r>
              <m:rPr>
                <m:nor/>
              </m:rPr>
              <m:t>env</m:t>
            </m:r>
          </m:sub>
        </m:sSub>
      </m:oMath>
      <w:r>
        <w:rPr>
          <w:color w:val="3A4350"/>
          <w:sz w:val="18"/>
          <w:szCs w:val="18"/>
        </w:rPr>
        <w:t xml:space="preserve">, with one Monte Carlo standard error. (d) Net water of each rule.</w:t>
      </w:r>
    </w:p>
    <w:p>
      <w:pPr>
        <w:pStyle w:val="Heading3"/>
      </w:pPr>
      <w:r>
        <w:rPr>
          <w:color w:val="1F3864"/>
        </w:rPr>
        <w:t xml:space="preserve">9.6 What the test shows</w:t>
      </w:r>
    </w:p>
    <w:p>
      <w:pPr>
        <w:pStyle w:val="ListParagraph"/>
        <w:numPr>
          <w:ilvl w:val="0"/>
          <w:numId w:val="2"/>
        </w:numPr>
        <w:spacing w:after="60"/>
        <w:jc w:val="both"/>
      </w:pPr>
      <w:r>
        <w:rPr>
          <w:b/>
          <w:bCs/>
        </w:rPr>
        <w:t xml:space="preserve">A list of beliefs leaves gaps; a radius closes them.</w:t>
      </w:r>
      <w:r>
        <w:t xml:space="preserve"> Without data the review-57 choice (recharge of 3 × 5,000 m³/d, pumping of 9,648 m³/d) keeps the five stated beliefs within the limit, but beliefs nobody stated are not protected: the largest realised risk among the 416 unstated beliefs at the environmental groups' radius is 0.119 ± 0.013, and 1% of them exceed 10%; the width pessimist reaches 0.119. The tilt-ball rule at the same radius keeps all of them at or below 0.089 (Table 9.2, Figure R1c).</w:t>
      </w:r>
    </w:p>
    <w:p>
      <w:pPr>
        <w:pStyle w:val="ListParagraph"/>
        <w:numPr>
          <w:ilvl w:val="0"/>
          <w:numId w:val="2"/>
        </w:numPr>
        <w:spacing w:after="60"/>
        <w:jc w:val="both"/>
      </w:pPr>
      <w:r>
        <w:rPr>
          <w:b/>
          <w:bCs/>
        </w:rPr>
        <w:t xml:space="preserve">The price of robustness can be read in advance, and it is small for a tilt ball and large for the full ball.</w:t>
      </w:r>
      <w:r>
        <w:t xml:space="preserve"> Without data the tilt ball costs 867 m³/d of net water against VENDIMI-GO (1,281 instead of 2,148); the full ball at the same radius, which also protects beliefs about the answer rather than about the drivers, costs 17,148 m³/d, because it is the nominal rule with the limit 0.0021 instead of 0.10 (Proposition R1). The reason is Proposition R2: the eight parameters explain only </w:t>
      </w:r>
      <m:oMath>
        <m:sSup>
          <m:e>
            <m:r>
              <m:t>R</m:t>
            </m:r>
          </m:e>
          <m:sup>
            <m:r>
              <m:t>2</m:t>
            </m:r>
          </m:sup>
        </m:sSup>
        <m:r>
          <m:rPr>
            <m:sty m:val="p"/>
          </m:rPr>
          <m:t>=</m:t>
        </m:r>
        <m:r>
          <m:t>0.076</m:t>
        </m:r>
      </m:oMath>
      <w:r>
        <w:t xml:space="preserve"> of the failure indicator at the review-57 choice (0.072 with the two disputed drivers alone), so Proposition R2 predicts a tilt-ball margin about </w:t>
      </w:r>
      <m:oMath>
        <m:sSub>
          <m:e>
            <m:r>
              <m:t>R</m:t>
            </m:r>
          </m:e>
          <m:sub>
            <m:r>
              <m:t>F</m:t>
            </m:r>
            <m:r>
              <m:rPr>
                <m:sty m:val="p"/>
              </m:rPr>
              <m:t>∣</m:t>
            </m:r>
            <m:r>
              <m:t>z</m:t>
            </m:r>
          </m:sub>
        </m:sSub>
        <m:r>
          <m:rPr>
            <m:sty m:val="p"/>
          </m:rPr>
          <m:t>≈</m:t>
        </m:r>
        <m:r>
          <m:t>0.28</m:t>
        </m:r>
      </m:oMath>
      <w:r>
        <w:t xml:space="preserve"> times the full ball's; at </w:t>
      </w:r>
      <m:oMath>
        <m:sSub>
          <m:e>
            <m:r>
              <m:t>ρ</m:t>
            </m:r>
          </m:e>
          <m:sub>
            <m:r>
              <m:rPr>
                <m:nor/>
              </m:rPr>
              <m:t>env</m:t>
            </m:r>
          </m:sub>
        </m:sSub>
      </m:oMath>
      <w:r>
        <w:t xml:space="preserve"> the exact margins are 0.071 and 0.216, a ratio of 0.33. Adding the six drivers nobody disputes costs nothing without data (the two balls choose the same action) and 485 m³/d after the sample. The full ball deadlocks in every truth without data: no pumping, the largest recharge. Choosing the radius of the optimists instead, the farthest stated belief, costs more (−1,131 m³/d of net water without data), because a ball is symmetric and the optimists' distance licenses an equally distant pessimist (Figure R1b).</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1000"/>
        <w:gridCol w:w="1000"/>
        <w:gridCol w:w="850"/>
        <w:gridCol w:w="1050"/>
        <w:gridCol w:w="1500"/>
        <w:gridCol w:w="1000"/>
        <w:gridCol w:w="93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4"/>
                <w:szCs w:val="14"/>
              </w:rPr>
              <w:t xml:space="preserve">Rule</w:t>
            </w:r>
          </w:p>
        </w:tc>
        <w:tc>
          <w:tcPr>
            <w:tcW w:type="dxa" w:w="1000"/>
            <w:shd w:fill="1F3864" w:color="auto" w:val="clear"/>
            <w:tcMar>
              <w:top w:type="dxa" w:w="60"/>
              <w:left w:type="dxa" w:w="100"/>
              <w:bottom w:type="dxa" w:w="60"/>
              <w:right w:type="dxa" w:w="100"/>
            </w:tcMar>
            <w:vAlign w:val="top"/>
          </w:tcPr>
          <w:p>
            <w:r>
              <w:rPr>
                <w:b/>
                <w:bCs/>
                <w:color w:val="FFFFFF"/>
                <w:sz w:val="14"/>
                <w:szCs w:val="14"/>
              </w:rPr>
              <w:t xml:space="preserve">Net water (m³/d)</w:t>
            </w:r>
          </w:p>
        </w:tc>
        <w:tc>
          <w:tcPr>
            <w:tcW w:type="dxa" w:w="1000"/>
            <w:shd w:fill="1F3864" w:color="auto" w:val="clear"/>
            <w:tcMar>
              <w:top w:type="dxa" w:w="60"/>
              <w:left w:type="dxa" w:w="100"/>
              <w:bottom w:type="dxa" w:w="60"/>
              <w:right w:type="dxa" w:w="100"/>
            </w:tcMar>
            <w:vAlign w:val="top"/>
          </w:tcPr>
          <w:p>
            <w:r>
              <w:rPr>
                <w:b/>
                <w:bCs/>
                <w:color w:val="FFFFFF"/>
                <w:sz w:val="14"/>
                <w:szCs w:val="14"/>
              </w:rPr>
              <w:t xml:space="preserve">Recharge (m³/d)</w:t>
            </w:r>
          </w:p>
        </w:tc>
        <w:tc>
          <w:tcPr>
            <w:tcW w:type="dxa" w:w="850"/>
            <w:shd w:fill="1F3864" w:color="auto" w:val="clear"/>
            <w:tcMar>
              <w:top w:type="dxa" w:w="60"/>
              <w:left w:type="dxa" w:w="100"/>
              <w:bottom w:type="dxa" w:w="60"/>
              <w:right w:type="dxa" w:w="100"/>
            </w:tcMar>
            <w:vAlign w:val="top"/>
          </w:tcPr>
          <w:p>
            <w:r>
              <w:rPr>
                <w:b/>
                <w:bCs/>
                <w:color w:val="FFFFFF"/>
                <w:sz w:val="14"/>
                <w:szCs w:val="14"/>
              </w:rPr>
              <w:t xml:space="preserve">Deadlock</w:t>
            </w:r>
          </w:p>
        </w:tc>
        <w:tc>
          <w:tcPr>
            <w:tcW w:type="dxa" w:w="1050"/>
            <w:shd w:fill="1F3864" w:color="auto" w:val="clear"/>
            <w:tcMar>
              <w:top w:type="dxa" w:w="60"/>
              <w:left w:type="dxa" w:w="100"/>
              <w:bottom w:type="dxa" w:w="60"/>
              <w:right w:type="dxa" w:w="100"/>
            </w:tcMar>
            <w:vAlign w:val="top"/>
          </w:tcPr>
          <w:p>
            <w:r>
              <w:rPr>
                <w:b/>
                <w:bCs/>
                <w:color w:val="FFFFFF"/>
                <w:sz w:val="14"/>
                <w:szCs w:val="14"/>
              </w:rPr>
              <w:t xml:space="preserve">Largest risk, stated beliefs</w:t>
            </w:r>
          </w:p>
        </w:tc>
        <w:tc>
          <w:tcPr>
            <w:tcW w:type="dxa" w:w="1500"/>
            <w:shd w:fill="1F3864" w:color="auto" w:val="clear"/>
            <w:tcMar>
              <w:top w:type="dxa" w:w="60"/>
              <w:left w:type="dxa" w:w="100"/>
              <w:bottom w:type="dxa" w:w="60"/>
              <w:right w:type="dxa" w:w="100"/>
            </w:tcMar>
            <w:vAlign w:val="top"/>
          </w:tcPr>
          <w:p>
            <w:r>
              <w:rPr>
                <w:b/>
                <w:bCs/>
                <w:color w:val="FFFFFF"/>
                <w:sz w:val="14"/>
                <w:szCs w:val="14"/>
              </w:rPr>
              <w:t xml:space="preserve">Largest risk, unstated beliefs (± se)</w:t>
            </w:r>
          </w:p>
        </w:tc>
        <w:tc>
          <w:tcPr>
            <w:tcW w:type="dxa" w:w="1000"/>
            <w:shd w:fill="1F3864" w:color="auto" w:val="clear"/>
            <w:tcMar>
              <w:top w:type="dxa" w:w="60"/>
              <w:left w:type="dxa" w:w="100"/>
              <w:bottom w:type="dxa" w:w="60"/>
              <w:right w:type="dxa" w:w="100"/>
            </w:tcMar>
            <w:vAlign w:val="top"/>
          </w:tcPr>
          <w:p>
            <w:r>
              <w:rPr>
                <w:b/>
                <w:bCs/>
                <w:color w:val="FFFFFF"/>
                <w:sz w:val="14"/>
                <w:szCs w:val="14"/>
              </w:rPr>
              <w:t xml:space="preserve">Unstated above 10%</w:t>
            </w:r>
          </w:p>
        </w:tc>
        <w:tc>
          <w:tcPr>
            <w:tcW w:type="dxa" w:w="938"/>
            <w:shd w:fill="1F3864" w:color="auto" w:val="clear"/>
            <w:tcMar>
              <w:top w:type="dxa" w:w="60"/>
              <w:left w:type="dxa" w:w="100"/>
              <w:bottom w:type="dxa" w:w="60"/>
              <w:right w:type="dxa" w:w="100"/>
            </w:tcMar>
            <w:vAlign w:val="top"/>
          </w:tcPr>
          <w:p>
            <w:r>
              <w:rPr>
                <w:b/>
                <w:bCs/>
                <w:color w:val="FFFFFF"/>
                <w:sz w:val="14"/>
                <w:szCs w:val="14"/>
              </w:rPr>
              <w:t xml:space="preserve">Width pessimist</w:t>
            </w:r>
          </w:p>
        </w:tc>
      </w:tr>
      <w:tr>
        <w:trPr>
          <w:cantSplit/>
        </w:trPr>
        <w:tc>
          <w:tcPr>
            <w:tcW w:type="dxa" w:w="2300"/>
            <w:tcMar>
              <w:top w:type="dxa" w:w="60"/>
              <w:left w:type="dxa" w:w="100"/>
              <w:bottom w:type="dxa" w:w="60"/>
              <w:right w:type="dxa" w:w="100"/>
            </w:tcMar>
            <w:vAlign w:val="top"/>
          </w:tcPr>
          <w:p>
            <w:r>
              <w:rPr>
                <w:sz w:val="14"/>
                <w:szCs w:val="14"/>
              </w:rPr>
              <w:t xml:space="preserve">No information</w:t>
            </w:r>
          </w:p>
        </w:tc>
        <w:tc>
          <w:tcPr>
            <w:tcW w:type="dxa" w:w="1000"/>
            <w:tcMar>
              <w:top w:type="dxa" w:w="60"/>
              <w:left w:type="dxa" w:w="100"/>
              <w:bottom w:type="dxa" w:w="60"/>
              <w:right w:type="dxa" w:w="100"/>
            </w:tcMar>
            <w:vAlign w:val="top"/>
          </w:tcPr>
          <w:p/>
        </w:tc>
        <w:tc>
          <w:tcPr>
            <w:tcW w:type="dxa" w:w="1000"/>
            <w:tcMar>
              <w:top w:type="dxa" w:w="60"/>
              <w:left w:type="dxa" w:w="100"/>
              <w:bottom w:type="dxa" w:w="60"/>
              <w:right w:type="dxa" w:w="100"/>
            </w:tcMar>
            <w:vAlign w:val="top"/>
          </w:tcPr>
          <w:p/>
        </w:tc>
        <w:tc>
          <w:tcPr>
            <w:tcW w:type="dxa" w:w="850"/>
            <w:tcMar>
              <w:top w:type="dxa" w:w="60"/>
              <w:left w:type="dxa" w:w="100"/>
              <w:bottom w:type="dxa" w:w="60"/>
              <w:right w:type="dxa" w:w="100"/>
            </w:tcMar>
            <w:vAlign w:val="top"/>
          </w:tcPr>
          <w:p/>
        </w:tc>
        <w:tc>
          <w:tcPr>
            <w:tcW w:type="dxa" w:w="105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tc>
        <w:tc>
          <w:tcPr>
            <w:tcW w:type="dxa" w:w="1000"/>
            <w:tcMar>
              <w:top w:type="dxa" w:w="60"/>
              <w:left w:type="dxa" w:w="100"/>
              <w:bottom w:type="dxa" w:w="60"/>
              <w:right w:type="dxa" w:w="100"/>
            </w:tcMar>
            <w:vAlign w:val="top"/>
          </w:tcPr>
          <w:p/>
        </w:tc>
        <w:tc>
          <w:tcPr>
            <w:tcW w:type="dxa" w:w="938"/>
            <w:tcMar>
              <w:top w:type="dxa" w:w="60"/>
              <w:left w:type="dxa" w:w="100"/>
              <w:bottom w:type="dxa" w:w="60"/>
              <w:right w:type="dxa" w:w="100"/>
            </w:tcMar>
            <w:vAlign w:val="top"/>
          </w:tcP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Five stated beliefs (VENDIMI-GO)</w:t>
            </w:r>
          </w:p>
        </w:tc>
        <w:tc>
          <w:tcPr>
            <w:tcW w:type="dxa" w:w="1000"/>
            <w:shd w:fill="F7F9FC" w:color="auto" w:val="clear"/>
            <w:tcMar>
              <w:top w:type="dxa" w:w="60"/>
              <w:left w:type="dxa" w:w="100"/>
              <w:bottom w:type="dxa" w:w="60"/>
              <w:right w:type="dxa" w:w="100"/>
            </w:tcMar>
            <w:vAlign w:val="top"/>
          </w:tcPr>
          <w:p>
            <w:r>
              <w:rPr>
                <w:sz w:val="14"/>
                <w:szCs w:val="14"/>
              </w:rPr>
              <w:t xml:space="preserve">2,148</w:t>
            </w:r>
          </w:p>
        </w:tc>
        <w:tc>
          <w:tcPr>
            <w:tcW w:type="dxa" w:w="1000"/>
            <w:shd w:fill="F7F9FC" w:color="auto" w:val="clear"/>
            <w:tcMar>
              <w:top w:type="dxa" w:w="60"/>
              <w:left w:type="dxa" w:w="100"/>
              <w:bottom w:type="dxa" w:w="60"/>
              <w:right w:type="dxa" w:w="100"/>
            </w:tcMar>
            <w:vAlign w:val="top"/>
          </w:tcPr>
          <w:p>
            <w:r>
              <w:rPr>
                <w:sz w:val="14"/>
                <w:szCs w:val="14"/>
              </w:rPr>
              <w:t xml:space="preserve">15,000</w:t>
            </w:r>
          </w:p>
        </w:tc>
        <w:tc>
          <w:tcPr>
            <w:tcW w:type="dxa" w:w="850"/>
            <w:shd w:fill="F7F9FC" w:color="auto" w:val="clear"/>
            <w:tcMar>
              <w:top w:type="dxa" w:w="60"/>
              <w:left w:type="dxa" w:w="100"/>
              <w:bottom w:type="dxa" w:w="60"/>
              <w:right w:type="dxa" w:w="100"/>
            </w:tcMar>
            <w:vAlign w:val="top"/>
          </w:tcPr>
          <w:p>
            <w:r>
              <w:rPr>
                <w:sz w:val="14"/>
                <w:szCs w:val="14"/>
              </w:rPr>
              <w:t xml:space="preserve">0.0%</w:t>
            </w:r>
          </w:p>
        </w:tc>
        <w:tc>
          <w:tcPr>
            <w:tcW w:type="dxa" w:w="1050"/>
            <w:shd w:fill="F7F9FC" w:color="auto" w:val="clear"/>
            <w:tcMar>
              <w:top w:type="dxa" w:w="60"/>
              <w:left w:type="dxa" w:w="100"/>
              <w:bottom w:type="dxa" w:w="60"/>
              <w:right w:type="dxa" w:w="100"/>
            </w:tcMar>
            <w:vAlign w:val="top"/>
          </w:tcPr>
          <w:p>
            <w:r>
              <w:rPr>
                <w:sz w:val="14"/>
                <w:szCs w:val="14"/>
              </w:rPr>
              <w:t xml:space="preserve">0.094</w:t>
            </w:r>
          </w:p>
        </w:tc>
        <w:tc>
          <w:tcPr>
            <w:tcW w:type="dxa" w:w="1500"/>
            <w:shd w:fill="F7F9FC" w:color="auto" w:val="clear"/>
            <w:tcMar>
              <w:top w:type="dxa" w:w="60"/>
              <w:left w:type="dxa" w:w="100"/>
              <w:bottom w:type="dxa" w:w="60"/>
              <w:right w:type="dxa" w:w="100"/>
            </w:tcMar>
            <w:vAlign w:val="top"/>
          </w:tcPr>
          <w:p>
            <w:r>
              <w:rPr>
                <w:sz w:val="14"/>
                <w:szCs w:val="14"/>
              </w:rPr>
              <w:t xml:space="preserve">0.119 ± 0.013</w:t>
            </w:r>
          </w:p>
        </w:tc>
        <w:tc>
          <w:tcPr>
            <w:tcW w:type="dxa" w:w="1000"/>
            <w:shd w:fill="F7F9FC" w:color="auto" w:val="clear"/>
            <w:tcMar>
              <w:top w:type="dxa" w:w="60"/>
              <w:left w:type="dxa" w:w="100"/>
              <w:bottom w:type="dxa" w:w="60"/>
              <w:right w:type="dxa" w:w="100"/>
            </w:tcMar>
            <w:vAlign w:val="top"/>
          </w:tcPr>
          <w:p>
            <w:r>
              <w:rPr>
                <w:sz w:val="14"/>
                <w:szCs w:val="14"/>
              </w:rPr>
              <w:t xml:space="preserve">1%</w:t>
            </w:r>
          </w:p>
        </w:tc>
        <w:tc>
          <w:tcPr>
            <w:tcW w:type="dxa" w:w="938"/>
            <w:shd w:fill="F7F9FC" w:color="auto" w:val="clear"/>
            <w:tcMar>
              <w:top w:type="dxa" w:w="60"/>
              <w:left w:type="dxa" w:w="100"/>
              <w:bottom w:type="dxa" w:w="60"/>
              <w:right w:type="dxa" w:w="100"/>
            </w:tcMar>
            <w:vAlign w:val="top"/>
          </w:tcPr>
          <w:p>
            <w:r>
              <w:rPr>
                <w:sz w:val="14"/>
                <w:szCs w:val="14"/>
              </w:rPr>
              <w:t xml:space="preserve">0.119</w:t>
            </w:r>
          </w:p>
        </w:tc>
      </w:tr>
      <w:tr>
        <w:trPr>
          <w:cantSplit/>
        </w:trPr>
        <w:tc>
          <w:tcPr>
            <w:tcW w:type="dxa" w:w="2300"/>
            <w:tcMar>
              <w:top w:type="dxa" w:w="60"/>
              <w:left w:type="dxa" w:w="100"/>
              <w:bottom w:type="dxa" w:w="60"/>
              <w:right w:type="dxa" w:w="100"/>
            </w:tcMar>
            <w:vAlign w:val="top"/>
          </w:tcPr>
          <w:p>
            <w:r>
              <w:rPr>
                <w:sz w:val="14"/>
                <w:szCs w:val="14"/>
              </w:rPr>
              <w:t xml:space="preserve">Tilt ball, 2 drivers, radius of the environmental groups</w:t>
            </w:r>
          </w:p>
        </w:tc>
        <w:tc>
          <w:tcPr>
            <w:tcW w:type="dxa" w:w="1000"/>
            <w:tcMar>
              <w:top w:type="dxa" w:w="60"/>
              <w:left w:type="dxa" w:w="100"/>
              <w:bottom w:type="dxa" w:w="60"/>
              <w:right w:type="dxa" w:w="100"/>
            </w:tcMar>
            <w:vAlign w:val="top"/>
          </w:tcPr>
          <w:p>
            <w:r>
              <w:rPr>
                <w:sz w:val="14"/>
                <w:szCs w:val="14"/>
              </w:rPr>
              <w:t xml:space="preserve">1,281</w:t>
            </w:r>
          </w:p>
        </w:tc>
        <w:tc>
          <w:tcPr>
            <w:tcW w:type="dxa" w:w="1000"/>
            <w:tcMar>
              <w:top w:type="dxa" w:w="60"/>
              <w:left w:type="dxa" w:w="100"/>
              <w:bottom w:type="dxa" w:w="60"/>
              <w:right w:type="dxa" w:w="100"/>
            </w:tcMar>
            <w:vAlign w:val="top"/>
          </w:tcPr>
          <w:p>
            <w:r>
              <w:rPr>
                <w:sz w:val="14"/>
                <w:szCs w:val="14"/>
              </w:rPr>
              <w:t xml:space="preserve">30,000</w:t>
            </w:r>
          </w:p>
        </w:tc>
        <w:tc>
          <w:tcPr>
            <w:tcW w:type="dxa" w:w="850"/>
            <w:tcMar>
              <w:top w:type="dxa" w:w="60"/>
              <w:left w:type="dxa" w:w="100"/>
              <w:bottom w:type="dxa" w:w="60"/>
              <w:right w:type="dxa" w:w="100"/>
            </w:tcMar>
            <w:vAlign w:val="top"/>
          </w:tcPr>
          <w:p>
            <w:r>
              <w:rPr>
                <w:sz w:val="14"/>
                <w:szCs w:val="14"/>
              </w:rPr>
              <w:t xml:space="preserve">0.0%</w:t>
            </w:r>
          </w:p>
        </w:tc>
        <w:tc>
          <w:tcPr>
            <w:tcW w:type="dxa" w:w="1050"/>
            <w:tcMar>
              <w:top w:type="dxa" w:w="60"/>
              <w:left w:type="dxa" w:w="100"/>
              <w:bottom w:type="dxa" w:w="60"/>
              <w:right w:type="dxa" w:w="100"/>
            </w:tcMar>
            <w:vAlign w:val="top"/>
          </w:tcPr>
          <w:p>
            <w:r>
              <w:rPr>
                <w:sz w:val="14"/>
                <w:szCs w:val="14"/>
              </w:rPr>
              <w:t xml:space="preserve">0.087</w:t>
            </w:r>
          </w:p>
        </w:tc>
        <w:tc>
          <w:tcPr>
            <w:tcW w:type="dxa" w:w="1500"/>
            <w:tcMar>
              <w:top w:type="dxa" w:w="60"/>
              <w:left w:type="dxa" w:w="100"/>
              <w:bottom w:type="dxa" w:w="60"/>
              <w:right w:type="dxa" w:w="100"/>
            </w:tcMar>
            <w:vAlign w:val="top"/>
          </w:tcPr>
          <w:p>
            <w:r>
              <w:rPr>
                <w:sz w:val="14"/>
                <w:szCs w:val="14"/>
              </w:rPr>
              <w:t xml:space="preserve">0.089 ± 0.013</w:t>
            </w:r>
          </w:p>
        </w:tc>
        <w:tc>
          <w:tcPr>
            <w:tcW w:type="dxa" w:w="1000"/>
            <w:tcMar>
              <w:top w:type="dxa" w:w="60"/>
              <w:left w:type="dxa" w:w="100"/>
              <w:bottom w:type="dxa" w:w="60"/>
              <w:right w:type="dxa" w:w="100"/>
            </w:tcMar>
            <w:vAlign w:val="top"/>
          </w:tcPr>
          <w:p>
            <w:r>
              <w:rPr>
                <w:sz w:val="14"/>
                <w:szCs w:val="14"/>
              </w:rPr>
              <w:t xml:space="preserve">0%</w:t>
            </w:r>
          </w:p>
        </w:tc>
        <w:tc>
          <w:tcPr>
            <w:tcW w:type="dxa" w:w="938"/>
            <w:tcMar>
              <w:top w:type="dxa" w:w="60"/>
              <w:left w:type="dxa" w:w="100"/>
              <w:bottom w:type="dxa" w:w="60"/>
              <w:right w:type="dxa" w:w="100"/>
            </w:tcMar>
            <w:vAlign w:val="top"/>
          </w:tcPr>
          <w:p>
            <w:r>
              <w:rPr>
                <w:sz w:val="14"/>
                <w:szCs w:val="14"/>
              </w:rPr>
              <w:t xml:space="preserve">0.074</w:t>
            </w: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Tilt ball, 8 drivers, radius of the environmental groups</w:t>
            </w:r>
          </w:p>
        </w:tc>
        <w:tc>
          <w:tcPr>
            <w:tcW w:type="dxa" w:w="1000"/>
            <w:shd w:fill="F7F9FC" w:color="auto" w:val="clear"/>
            <w:tcMar>
              <w:top w:type="dxa" w:w="60"/>
              <w:left w:type="dxa" w:w="100"/>
              <w:bottom w:type="dxa" w:w="60"/>
              <w:right w:type="dxa" w:w="100"/>
            </w:tcMar>
            <w:vAlign w:val="top"/>
          </w:tcPr>
          <w:p>
            <w:r>
              <w:rPr>
                <w:sz w:val="14"/>
                <w:szCs w:val="14"/>
              </w:rPr>
              <w:t xml:space="preserve">1,281</w:t>
            </w:r>
          </w:p>
        </w:tc>
        <w:tc>
          <w:tcPr>
            <w:tcW w:type="dxa" w:w="1000"/>
            <w:shd w:fill="F7F9FC" w:color="auto" w:val="clear"/>
            <w:tcMar>
              <w:top w:type="dxa" w:w="60"/>
              <w:left w:type="dxa" w:w="100"/>
              <w:bottom w:type="dxa" w:w="60"/>
              <w:right w:type="dxa" w:w="100"/>
            </w:tcMar>
            <w:vAlign w:val="top"/>
          </w:tcPr>
          <w:p>
            <w:r>
              <w:rPr>
                <w:sz w:val="14"/>
                <w:szCs w:val="14"/>
              </w:rPr>
              <w:t xml:space="preserve">30,000</w:t>
            </w:r>
          </w:p>
        </w:tc>
        <w:tc>
          <w:tcPr>
            <w:tcW w:type="dxa" w:w="850"/>
            <w:shd w:fill="F7F9FC" w:color="auto" w:val="clear"/>
            <w:tcMar>
              <w:top w:type="dxa" w:w="60"/>
              <w:left w:type="dxa" w:w="100"/>
              <w:bottom w:type="dxa" w:w="60"/>
              <w:right w:type="dxa" w:w="100"/>
            </w:tcMar>
            <w:vAlign w:val="top"/>
          </w:tcPr>
          <w:p>
            <w:r>
              <w:rPr>
                <w:sz w:val="14"/>
                <w:szCs w:val="14"/>
              </w:rPr>
              <w:t xml:space="preserve">0.0%</w:t>
            </w:r>
          </w:p>
        </w:tc>
        <w:tc>
          <w:tcPr>
            <w:tcW w:type="dxa" w:w="1050"/>
            <w:shd w:fill="F7F9FC" w:color="auto" w:val="clear"/>
            <w:tcMar>
              <w:top w:type="dxa" w:w="60"/>
              <w:left w:type="dxa" w:w="100"/>
              <w:bottom w:type="dxa" w:w="60"/>
              <w:right w:type="dxa" w:w="100"/>
            </w:tcMar>
            <w:vAlign w:val="top"/>
          </w:tcPr>
          <w:p>
            <w:r>
              <w:rPr>
                <w:sz w:val="14"/>
                <w:szCs w:val="14"/>
              </w:rPr>
              <w:t xml:space="preserve">0.087</w:t>
            </w:r>
          </w:p>
        </w:tc>
        <w:tc>
          <w:tcPr>
            <w:tcW w:type="dxa" w:w="1500"/>
            <w:shd w:fill="F7F9FC" w:color="auto" w:val="clear"/>
            <w:tcMar>
              <w:top w:type="dxa" w:w="60"/>
              <w:left w:type="dxa" w:w="100"/>
              <w:bottom w:type="dxa" w:w="60"/>
              <w:right w:type="dxa" w:w="100"/>
            </w:tcMar>
            <w:vAlign w:val="top"/>
          </w:tcPr>
          <w:p>
            <w:r>
              <w:rPr>
                <w:sz w:val="14"/>
                <w:szCs w:val="14"/>
              </w:rPr>
              <w:t xml:space="preserve">0.089 ± 0.013</w:t>
            </w:r>
          </w:p>
        </w:tc>
        <w:tc>
          <w:tcPr>
            <w:tcW w:type="dxa" w:w="1000"/>
            <w:shd w:fill="F7F9FC" w:color="auto" w:val="clear"/>
            <w:tcMar>
              <w:top w:type="dxa" w:w="60"/>
              <w:left w:type="dxa" w:w="100"/>
              <w:bottom w:type="dxa" w:w="60"/>
              <w:right w:type="dxa" w:w="100"/>
            </w:tcMar>
            <w:vAlign w:val="top"/>
          </w:tcPr>
          <w:p>
            <w:r>
              <w:rPr>
                <w:sz w:val="14"/>
                <w:szCs w:val="14"/>
              </w:rPr>
              <w:t xml:space="preserve">0%</w:t>
            </w:r>
          </w:p>
        </w:tc>
        <w:tc>
          <w:tcPr>
            <w:tcW w:type="dxa" w:w="938"/>
            <w:shd w:fill="F7F9FC" w:color="auto" w:val="clear"/>
            <w:tcMar>
              <w:top w:type="dxa" w:w="60"/>
              <w:left w:type="dxa" w:w="100"/>
              <w:bottom w:type="dxa" w:w="60"/>
              <w:right w:type="dxa" w:w="100"/>
            </w:tcMar>
            <w:vAlign w:val="top"/>
          </w:tcPr>
          <w:p>
            <w:r>
              <w:rPr>
                <w:sz w:val="14"/>
                <w:szCs w:val="14"/>
              </w:rPr>
              <w:t xml:space="preserve">0.074</w:t>
            </w:r>
          </w:p>
        </w:tc>
      </w:tr>
      <w:tr>
        <w:trPr>
          <w:cantSplit/>
        </w:trPr>
        <w:tc>
          <w:tcPr>
            <w:tcW w:type="dxa" w:w="2300"/>
            <w:tcMar>
              <w:top w:type="dxa" w:w="60"/>
              <w:left w:type="dxa" w:w="100"/>
              <w:bottom w:type="dxa" w:w="60"/>
              <w:right w:type="dxa" w:w="100"/>
            </w:tcMar>
            <w:vAlign w:val="top"/>
          </w:tcPr>
          <w:p>
            <w:r>
              <w:rPr>
                <w:sz w:val="14"/>
                <w:szCs w:val="14"/>
              </w:rPr>
              <w:t xml:space="preserve">Tilt ball, 2 drivers, radius of the optimists</w:t>
            </w:r>
          </w:p>
        </w:tc>
        <w:tc>
          <w:tcPr>
            <w:tcW w:type="dxa" w:w="1000"/>
            <w:tcMar>
              <w:top w:type="dxa" w:w="60"/>
              <w:left w:type="dxa" w:w="100"/>
              <w:bottom w:type="dxa" w:w="60"/>
              <w:right w:type="dxa" w:w="100"/>
            </w:tcMar>
            <w:vAlign w:val="top"/>
          </w:tcPr>
          <w:p>
            <w:r>
              <w:rPr>
                <w:sz w:val="14"/>
                <w:szCs w:val="14"/>
              </w:rPr>
              <w:t xml:space="preserve">−528</w:t>
            </w:r>
          </w:p>
        </w:tc>
        <w:tc>
          <w:tcPr>
            <w:tcW w:type="dxa" w:w="1000"/>
            <w:tcMar>
              <w:top w:type="dxa" w:w="60"/>
              <w:left w:type="dxa" w:w="100"/>
              <w:bottom w:type="dxa" w:w="60"/>
              <w:right w:type="dxa" w:w="100"/>
            </w:tcMar>
            <w:vAlign w:val="top"/>
          </w:tcPr>
          <w:p>
            <w:r>
              <w:rPr>
                <w:sz w:val="14"/>
                <w:szCs w:val="14"/>
              </w:rPr>
              <w:t xml:space="preserve">30,000</w:t>
            </w:r>
          </w:p>
        </w:tc>
        <w:tc>
          <w:tcPr>
            <w:tcW w:type="dxa" w:w="850"/>
            <w:tcMar>
              <w:top w:type="dxa" w:w="60"/>
              <w:left w:type="dxa" w:w="100"/>
              <w:bottom w:type="dxa" w:w="60"/>
              <w:right w:type="dxa" w:w="100"/>
            </w:tcMar>
            <w:vAlign w:val="top"/>
          </w:tcPr>
          <w:p>
            <w:r>
              <w:rPr>
                <w:sz w:val="14"/>
                <w:szCs w:val="14"/>
              </w:rPr>
              <w:t xml:space="preserve">0.0%</w:t>
            </w:r>
          </w:p>
        </w:tc>
        <w:tc>
          <w:tcPr>
            <w:tcW w:type="dxa" w:w="1050"/>
            <w:tcMar>
              <w:top w:type="dxa" w:w="60"/>
              <w:left w:type="dxa" w:w="100"/>
              <w:bottom w:type="dxa" w:w="60"/>
              <w:right w:type="dxa" w:w="100"/>
            </w:tcMar>
            <w:vAlign w:val="top"/>
          </w:tcPr>
          <w:p>
            <w:r>
              <w:rPr>
                <w:sz w:val="14"/>
                <w:szCs w:val="14"/>
              </w:rPr>
              <w:t xml:space="preserve">0.045</w:t>
            </w:r>
          </w:p>
        </w:tc>
        <w:tc>
          <w:tcPr>
            <w:tcW w:type="dxa" w:w="1500"/>
            <w:tcMar>
              <w:top w:type="dxa" w:w="60"/>
              <w:left w:type="dxa" w:w="100"/>
              <w:bottom w:type="dxa" w:w="60"/>
              <w:right w:type="dxa" w:w="100"/>
            </w:tcMar>
            <w:vAlign w:val="top"/>
          </w:tcPr>
          <w:p>
            <w:r>
              <w:rPr>
                <w:sz w:val="14"/>
                <w:szCs w:val="14"/>
              </w:rPr>
              <w:t xml:space="preserve">0.053 ± 0.010</w:t>
            </w:r>
          </w:p>
        </w:tc>
        <w:tc>
          <w:tcPr>
            <w:tcW w:type="dxa" w:w="1000"/>
            <w:tcMar>
              <w:top w:type="dxa" w:w="60"/>
              <w:left w:type="dxa" w:w="100"/>
              <w:bottom w:type="dxa" w:w="60"/>
              <w:right w:type="dxa" w:w="100"/>
            </w:tcMar>
            <w:vAlign w:val="top"/>
          </w:tcPr>
          <w:p>
            <w:r>
              <w:rPr>
                <w:sz w:val="14"/>
                <w:szCs w:val="14"/>
              </w:rPr>
              <w:t xml:space="preserve">0%</w:t>
            </w:r>
          </w:p>
        </w:tc>
        <w:tc>
          <w:tcPr>
            <w:tcW w:type="dxa" w:w="938"/>
            <w:tcMar>
              <w:top w:type="dxa" w:w="60"/>
              <w:left w:type="dxa" w:w="100"/>
              <w:bottom w:type="dxa" w:w="60"/>
              <w:right w:type="dxa" w:w="100"/>
            </w:tcMar>
            <w:vAlign w:val="top"/>
          </w:tcPr>
          <w:p>
            <w:r>
              <w:rPr>
                <w:sz w:val="14"/>
                <w:szCs w:val="14"/>
              </w:rPr>
              <w:t xml:space="preserve">0.053</w:t>
            </w: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Tilt ball, 8 drivers, radius of the optimists</w:t>
            </w:r>
          </w:p>
        </w:tc>
        <w:tc>
          <w:tcPr>
            <w:tcW w:type="dxa" w:w="1000"/>
            <w:shd w:fill="F7F9FC" w:color="auto" w:val="clear"/>
            <w:tcMar>
              <w:top w:type="dxa" w:w="60"/>
              <w:left w:type="dxa" w:w="100"/>
              <w:bottom w:type="dxa" w:w="60"/>
              <w:right w:type="dxa" w:w="100"/>
            </w:tcMar>
            <w:vAlign w:val="top"/>
          </w:tcPr>
          <w:p>
            <w:r>
              <w:rPr>
                <w:sz w:val="14"/>
                <w:szCs w:val="14"/>
              </w:rPr>
              <w:t xml:space="preserve">−1,131</w:t>
            </w:r>
          </w:p>
        </w:tc>
        <w:tc>
          <w:tcPr>
            <w:tcW w:type="dxa" w:w="1000"/>
            <w:shd w:fill="F7F9FC" w:color="auto" w:val="clear"/>
            <w:tcMar>
              <w:top w:type="dxa" w:w="60"/>
              <w:left w:type="dxa" w:w="100"/>
              <w:bottom w:type="dxa" w:w="60"/>
              <w:right w:type="dxa" w:w="100"/>
            </w:tcMar>
            <w:vAlign w:val="top"/>
          </w:tcPr>
          <w:p>
            <w:r>
              <w:rPr>
                <w:sz w:val="14"/>
                <w:szCs w:val="14"/>
              </w:rPr>
              <w:t xml:space="preserve">30,000</w:t>
            </w:r>
          </w:p>
        </w:tc>
        <w:tc>
          <w:tcPr>
            <w:tcW w:type="dxa" w:w="850"/>
            <w:shd w:fill="F7F9FC" w:color="auto" w:val="clear"/>
            <w:tcMar>
              <w:top w:type="dxa" w:w="60"/>
              <w:left w:type="dxa" w:w="100"/>
              <w:bottom w:type="dxa" w:w="60"/>
              <w:right w:type="dxa" w:w="100"/>
            </w:tcMar>
            <w:vAlign w:val="top"/>
          </w:tcPr>
          <w:p>
            <w:r>
              <w:rPr>
                <w:sz w:val="14"/>
                <w:szCs w:val="14"/>
              </w:rPr>
              <w:t xml:space="preserve">0.0%</w:t>
            </w:r>
          </w:p>
        </w:tc>
        <w:tc>
          <w:tcPr>
            <w:tcW w:type="dxa" w:w="1050"/>
            <w:shd w:fill="F7F9FC" w:color="auto" w:val="clear"/>
            <w:tcMar>
              <w:top w:type="dxa" w:w="60"/>
              <w:left w:type="dxa" w:w="100"/>
              <w:bottom w:type="dxa" w:w="60"/>
              <w:right w:type="dxa" w:w="100"/>
            </w:tcMar>
            <w:vAlign w:val="top"/>
          </w:tcPr>
          <w:p>
            <w:r>
              <w:rPr>
                <w:sz w:val="14"/>
                <w:szCs w:val="14"/>
              </w:rPr>
              <w:t xml:space="preserve">0.024</w:t>
            </w:r>
          </w:p>
        </w:tc>
        <w:tc>
          <w:tcPr>
            <w:tcW w:type="dxa" w:w="1500"/>
            <w:shd w:fill="F7F9FC" w:color="auto" w:val="clear"/>
            <w:tcMar>
              <w:top w:type="dxa" w:w="60"/>
              <w:left w:type="dxa" w:w="100"/>
              <w:bottom w:type="dxa" w:w="60"/>
              <w:right w:type="dxa" w:w="100"/>
            </w:tcMar>
            <w:vAlign w:val="top"/>
          </w:tcPr>
          <w:p>
            <w:r>
              <w:rPr>
                <w:sz w:val="14"/>
                <w:szCs w:val="14"/>
              </w:rPr>
              <w:t xml:space="preserve">0.041 ± 0.009</w:t>
            </w:r>
          </w:p>
        </w:tc>
        <w:tc>
          <w:tcPr>
            <w:tcW w:type="dxa" w:w="1000"/>
            <w:shd w:fill="F7F9FC" w:color="auto" w:val="clear"/>
            <w:tcMar>
              <w:top w:type="dxa" w:w="60"/>
              <w:left w:type="dxa" w:w="100"/>
              <w:bottom w:type="dxa" w:w="60"/>
              <w:right w:type="dxa" w:w="100"/>
            </w:tcMar>
            <w:vAlign w:val="top"/>
          </w:tcPr>
          <w:p>
            <w:r>
              <w:rPr>
                <w:sz w:val="14"/>
                <w:szCs w:val="14"/>
              </w:rPr>
              <w:t xml:space="preserve">0%</w:t>
            </w:r>
          </w:p>
        </w:tc>
        <w:tc>
          <w:tcPr>
            <w:tcW w:type="dxa" w:w="938"/>
            <w:shd w:fill="F7F9FC" w:color="auto" w:val="clear"/>
            <w:tcMar>
              <w:top w:type="dxa" w:w="60"/>
              <w:left w:type="dxa" w:w="100"/>
              <w:bottom w:type="dxa" w:w="60"/>
              <w:right w:type="dxa" w:w="100"/>
            </w:tcMar>
            <w:vAlign w:val="top"/>
          </w:tcPr>
          <w:p>
            <w:r>
              <w:rPr>
                <w:sz w:val="14"/>
                <w:szCs w:val="14"/>
              </w:rPr>
              <w:t xml:space="preserve">0.041</w:t>
            </w:r>
          </w:p>
        </w:tc>
      </w:tr>
      <w:tr>
        <w:trPr>
          <w:cantSplit/>
        </w:trPr>
        <w:tc>
          <w:tcPr>
            <w:tcW w:type="dxa" w:w="2300"/>
            <w:tcMar>
              <w:top w:type="dxa" w:w="60"/>
              <w:left w:type="dxa" w:w="100"/>
              <w:bottom w:type="dxa" w:w="60"/>
              <w:right w:type="dxa" w:w="100"/>
            </w:tcMar>
            <w:vAlign w:val="top"/>
          </w:tcPr>
          <w:p>
            <w:r>
              <w:rPr>
                <w:sz w:val="14"/>
                <w:szCs w:val="14"/>
              </w:rPr>
              <w:t xml:space="preserve">Full ball, radius of the environmental groups</w:t>
            </w:r>
          </w:p>
        </w:tc>
        <w:tc>
          <w:tcPr>
            <w:tcW w:type="dxa" w:w="1000"/>
            <w:tcMar>
              <w:top w:type="dxa" w:w="60"/>
              <w:left w:type="dxa" w:w="100"/>
              <w:bottom w:type="dxa" w:w="60"/>
              <w:right w:type="dxa" w:w="100"/>
            </w:tcMar>
            <w:vAlign w:val="top"/>
          </w:tcPr>
          <w:p>
            <w:r>
              <w:rPr>
                <w:sz w:val="14"/>
                <w:szCs w:val="14"/>
              </w:rPr>
              <w:t xml:space="preserve">−15,000</w:t>
            </w:r>
          </w:p>
        </w:tc>
        <w:tc>
          <w:tcPr>
            <w:tcW w:type="dxa" w:w="1000"/>
            <w:tcMar>
              <w:top w:type="dxa" w:w="60"/>
              <w:left w:type="dxa" w:w="100"/>
              <w:bottom w:type="dxa" w:w="60"/>
              <w:right w:type="dxa" w:w="100"/>
            </w:tcMar>
            <w:vAlign w:val="top"/>
          </w:tcPr>
          <w:p>
            <w:r>
              <w:rPr>
                <w:sz w:val="14"/>
                <w:szCs w:val="14"/>
              </w:rPr>
              <w:t xml:space="preserve">30,000</w:t>
            </w:r>
          </w:p>
        </w:tc>
        <w:tc>
          <w:tcPr>
            <w:tcW w:type="dxa" w:w="850"/>
            <w:tcMar>
              <w:top w:type="dxa" w:w="60"/>
              <w:left w:type="dxa" w:w="100"/>
              <w:bottom w:type="dxa" w:w="60"/>
              <w:right w:type="dxa" w:w="100"/>
            </w:tcMar>
            <w:vAlign w:val="top"/>
          </w:tcPr>
          <w:p>
            <w:r>
              <w:rPr>
                <w:sz w:val="14"/>
                <w:szCs w:val="14"/>
              </w:rPr>
              <w:t xml:space="preserve">100.0%</w:t>
            </w:r>
          </w:p>
        </w:tc>
        <w:tc>
          <w:tcPr>
            <w:tcW w:type="dxa" w:w="1050"/>
            <w:tcMar>
              <w:top w:type="dxa" w:w="60"/>
              <w:left w:type="dxa" w:w="100"/>
              <w:bottom w:type="dxa" w:w="60"/>
              <w:right w:type="dxa" w:w="100"/>
            </w:tcMar>
            <w:vAlign w:val="top"/>
          </w:tcPr>
          <w:p>
            <w:r>
              <w:rPr>
                <w:sz w:val="14"/>
                <w:szCs w:val="14"/>
              </w:rPr>
              <w:t xml:space="preserve">0.008</w:t>
            </w:r>
          </w:p>
        </w:tc>
        <w:tc>
          <w:tcPr>
            <w:tcW w:type="dxa" w:w="1500"/>
            <w:tcMar>
              <w:top w:type="dxa" w:w="60"/>
              <w:left w:type="dxa" w:w="100"/>
              <w:bottom w:type="dxa" w:w="60"/>
              <w:right w:type="dxa" w:w="100"/>
            </w:tcMar>
            <w:vAlign w:val="top"/>
          </w:tcPr>
          <w:p>
            <w:r>
              <w:rPr>
                <w:sz w:val="14"/>
                <w:szCs w:val="14"/>
              </w:rPr>
              <w:t xml:space="preserve">0.017 ± 0.007</w:t>
            </w:r>
          </w:p>
        </w:tc>
        <w:tc>
          <w:tcPr>
            <w:tcW w:type="dxa" w:w="1000"/>
            <w:tcMar>
              <w:top w:type="dxa" w:w="60"/>
              <w:left w:type="dxa" w:w="100"/>
              <w:bottom w:type="dxa" w:w="60"/>
              <w:right w:type="dxa" w:w="100"/>
            </w:tcMar>
            <w:vAlign w:val="top"/>
          </w:tcPr>
          <w:p>
            <w:r>
              <w:rPr>
                <w:sz w:val="14"/>
                <w:szCs w:val="14"/>
              </w:rPr>
              <w:t xml:space="preserve">0%</w:t>
            </w:r>
          </w:p>
        </w:tc>
        <w:tc>
          <w:tcPr>
            <w:tcW w:type="dxa" w:w="938"/>
            <w:tcMar>
              <w:top w:type="dxa" w:w="60"/>
              <w:left w:type="dxa" w:w="100"/>
              <w:bottom w:type="dxa" w:w="60"/>
              <w:right w:type="dxa" w:w="100"/>
            </w:tcMar>
            <w:vAlign w:val="top"/>
          </w:tcPr>
          <w:p>
            <w:r>
              <w:rPr>
                <w:sz w:val="14"/>
                <w:szCs w:val="14"/>
              </w:rPr>
              <w:t xml:space="preserve">0.017</w:t>
            </w: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Full ball, radius of the optimists</w:t>
            </w:r>
          </w:p>
        </w:tc>
        <w:tc>
          <w:tcPr>
            <w:tcW w:type="dxa" w:w="1000"/>
            <w:shd w:fill="F7F9FC" w:color="auto" w:val="clear"/>
            <w:tcMar>
              <w:top w:type="dxa" w:w="60"/>
              <w:left w:type="dxa" w:w="100"/>
              <w:bottom w:type="dxa" w:w="60"/>
              <w:right w:type="dxa" w:w="100"/>
            </w:tcMar>
            <w:vAlign w:val="top"/>
          </w:tcPr>
          <w:p>
            <w:r>
              <w:rPr>
                <w:sz w:val="14"/>
                <w:szCs w:val="14"/>
              </w:rPr>
              <w:t xml:space="preserve">−15,000</w:t>
            </w:r>
          </w:p>
        </w:tc>
        <w:tc>
          <w:tcPr>
            <w:tcW w:type="dxa" w:w="1000"/>
            <w:shd w:fill="F7F9FC" w:color="auto" w:val="clear"/>
            <w:tcMar>
              <w:top w:type="dxa" w:w="60"/>
              <w:left w:type="dxa" w:w="100"/>
              <w:bottom w:type="dxa" w:w="60"/>
              <w:right w:type="dxa" w:w="100"/>
            </w:tcMar>
            <w:vAlign w:val="top"/>
          </w:tcPr>
          <w:p>
            <w:r>
              <w:rPr>
                <w:sz w:val="14"/>
                <w:szCs w:val="14"/>
              </w:rPr>
              <w:t xml:space="preserve">30,000</w:t>
            </w:r>
          </w:p>
        </w:tc>
        <w:tc>
          <w:tcPr>
            <w:tcW w:type="dxa" w:w="850"/>
            <w:shd w:fill="F7F9FC" w:color="auto" w:val="clear"/>
            <w:tcMar>
              <w:top w:type="dxa" w:w="60"/>
              <w:left w:type="dxa" w:w="100"/>
              <w:bottom w:type="dxa" w:w="60"/>
              <w:right w:type="dxa" w:w="100"/>
            </w:tcMar>
            <w:vAlign w:val="top"/>
          </w:tcPr>
          <w:p>
            <w:r>
              <w:rPr>
                <w:sz w:val="14"/>
                <w:szCs w:val="14"/>
              </w:rPr>
              <w:t xml:space="preserve">100.0%</w:t>
            </w:r>
          </w:p>
        </w:tc>
        <w:tc>
          <w:tcPr>
            <w:tcW w:type="dxa" w:w="1050"/>
            <w:shd w:fill="F7F9FC" w:color="auto" w:val="clear"/>
            <w:tcMar>
              <w:top w:type="dxa" w:w="60"/>
              <w:left w:type="dxa" w:w="100"/>
              <w:bottom w:type="dxa" w:w="60"/>
              <w:right w:type="dxa" w:w="100"/>
            </w:tcMar>
            <w:vAlign w:val="top"/>
          </w:tcPr>
          <w:p>
            <w:r>
              <w:rPr>
                <w:sz w:val="14"/>
                <w:szCs w:val="14"/>
              </w:rPr>
              <w:t xml:space="preserve">0.008</w:t>
            </w:r>
          </w:p>
        </w:tc>
        <w:tc>
          <w:tcPr>
            <w:tcW w:type="dxa" w:w="1500"/>
            <w:shd w:fill="F7F9FC" w:color="auto" w:val="clear"/>
            <w:tcMar>
              <w:top w:type="dxa" w:w="60"/>
              <w:left w:type="dxa" w:w="100"/>
              <w:bottom w:type="dxa" w:w="60"/>
              <w:right w:type="dxa" w:w="100"/>
            </w:tcMar>
            <w:vAlign w:val="top"/>
          </w:tcPr>
          <w:p>
            <w:r>
              <w:rPr>
                <w:sz w:val="14"/>
                <w:szCs w:val="14"/>
              </w:rPr>
              <w:t xml:space="preserve">0.017 ± 0.007</w:t>
            </w:r>
          </w:p>
        </w:tc>
        <w:tc>
          <w:tcPr>
            <w:tcW w:type="dxa" w:w="1000"/>
            <w:shd w:fill="F7F9FC" w:color="auto" w:val="clear"/>
            <w:tcMar>
              <w:top w:type="dxa" w:w="60"/>
              <w:left w:type="dxa" w:w="100"/>
              <w:bottom w:type="dxa" w:w="60"/>
              <w:right w:type="dxa" w:w="100"/>
            </w:tcMar>
            <w:vAlign w:val="top"/>
          </w:tcPr>
          <w:p>
            <w:r>
              <w:rPr>
                <w:sz w:val="14"/>
                <w:szCs w:val="14"/>
              </w:rPr>
              <w:t xml:space="preserve">0%</w:t>
            </w:r>
          </w:p>
        </w:tc>
        <w:tc>
          <w:tcPr>
            <w:tcW w:type="dxa" w:w="938"/>
            <w:shd w:fill="F7F9FC" w:color="auto" w:val="clear"/>
            <w:tcMar>
              <w:top w:type="dxa" w:w="60"/>
              <w:left w:type="dxa" w:w="100"/>
              <w:bottom w:type="dxa" w:w="60"/>
              <w:right w:type="dxa" w:w="100"/>
            </w:tcMar>
            <w:vAlign w:val="top"/>
          </w:tcPr>
          <w:p>
            <w:r>
              <w:rPr>
                <w:sz w:val="14"/>
                <w:szCs w:val="14"/>
              </w:rPr>
              <w:t xml:space="preserve">0.017</w:t>
            </w:r>
          </w:p>
        </w:tc>
      </w:tr>
      <w:tr>
        <w:trPr>
          <w:cantSplit/>
        </w:trPr>
        <w:tc>
          <w:tcPr>
            <w:tcW w:type="dxa" w:w="2300"/>
            <w:tcMar>
              <w:top w:type="dxa" w:w="60"/>
              <w:left w:type="dxa" w:w="100"/>
              <w:bottom w:type="dxa" w:w="60"/>
              <w:right w:type="dxa" w:w="100"/>
            </w:tcMar>
            <w:vAlign w:val="top"/>
          </w:tcPr>
          <w:p>
            <w:r>
              <w:rPr>
                <w:sz w:val="14"/>
                <w:szCs w:val="14"/>
              </w:rPr>
              <w:t xml:space="preserve">One chloride sample (A30)</w:t>
            </w:r>
          </w:p>
        </w:tc>
        <w:tc>
          <w:tcPr>
            <w:tcW w:type="dxa" w:w="1000"/>
            <w:tcMar>
              <w:top w:type="dxa" w:w="60"/>
              <w:left w:type="dxa" w:w="100"/>
              <w:bottom w:type="dxa" w:w="60"/>
              <w:right w:type="dxa" w:w="100"/>
            </w:tcMar>
            <w:vAlign w:val="top"/>
          </w:tcPr>
          <w:p/>
        </w:tc>
        <w:tc>
          <w:tcPr>
            <w:tcW w:type="dxa" w:w="1000"/>
            <w:tcMar>
              <w:top w:type="dxa" w:w="60"/>
              <w:left w:type="dxa" w:w="100"/>
              <w:bottom w:type="dxa" w:w="60"/>
              <w:right w:type="dxa" w:w="100"/>
            </w:tcMar>
            <w:vAlign w:val="top"/>
          </w:tcPr>
          <w:p/>
        </w:tc>
        <w:tc>
          <w:tcPr>
            <w:tcW w:type="dxa" w:w="850"/>
            <w:tcMar>
              <w:top w:type="dxa" w:w="60"/>
              <w:left w:type="dxa" w:w="100"/>
              <w:bottom w:type="dxa" w:w="60"/>
              <w:right w:type="dxa" w:w="100"/>
            </w:tcMar>
            <w:vAlign w:val="top"/>
          </w:tcPr>
          <w:p/>
        </w:tc>
        <w:tc>
          <w:tcPr>
            <w:tcW w:type="dxa" w:w="105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tc>
        <w:tc>
          <w:tcPr>
            <w:tcW w:type="dxa" w:w="1000"/>
            <w:tcMar>
              <w:top w:type="dxa" w:w="60"/>
              <w:left w:type="dxa" w:w="100"/>
              <w:bottom w:type="dxa" w:w="60"/>
              <w:right w:type="dxa" w:w="100"/>
            </w:tcMar>
            <w:vAlign w:val="top"/>
          </w:tcPr>
          <w:p/>
        </w:tc>
        <w:tc>
          <w:tcPr>
            <w:tcW w:type="dxa" w:w="938"/>
            <w:tcMar>
              <w:top w:type="dxa" w:w="60"/>
              <w:left w:type="dxa" w:w="100"/>
              <w:bottom w:type="dxa" w:w="60"/>
              <w:right w:type="dxa" w:w="100"/>
            </w:tcMar>
            <w:vAlign w:val="top"/>
          </w:tcP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Five stated beliefs (VENDIMI-GO)</w:t>
            </w:r>
          </w:p>
        </w:tc>
        <w:tc>
          <w:tcPr>
            <w:tcW w:type="dxa" w:w="1000"/>
            <w:shd w:fill="F7F9FC" w:color="auto" w:val="clear"/>
            <w:tcMar>
              <w:top w:type="dxa" w:w="60"/>
              <w:left w:type="dxa" w:w="100"/>
              <w:bottom w:type="dxa" w:w="60"/>
              <w:right w:type="dxa" w:w="100"/>
            </w:tcMar>
            <w:vAlign w:val="top"/>
          </w:tcPr>
          <w:p>
            <w:r>
              <w:rPr>
                <w:sz w:val="14"/>
                <w:szCs w:val="14"/>
              </w:rPr>
              <w:t xml:space="preserve">5,125</w:t>
            </w:r>
          </w:p>
        </w:tc>
        <w:tc>
          <w:tcPr>
            <w:tcW w:type="dxa" w:w="1000"/>
            <w:shd w:fill="F7F9FC" w:color="auto" w:val="clear"/>
            <w:tcMar>
              <w:top w:type="dxa" w:w="60"/>
              <w:left w:type="dxa" w:w="100"/>
              <w:bottom w:type="dxa" w:w="60"/>
              <w:right w:type="dxa" w:w="100"/>
            </w:tcMar>
            <w:vAlign w:val="top"/>
          </w:tcPr>
          <w:p>
            <w:r>
              <w:rPr>
                <w:sz w:val="14"/>
                <w:szCs w:val="14"/>
              </w:rPr>
              <w:t xml:space="preserve">5,393</w:t>
            </w:r>
          </w:p>
        </w:tc>
        <w:tc>
          <w:tcPr>
            <w:tcW w:type="dxa" w:w="850"/>
            <w:shd w:fill="F7F9FC" w:color="auto" w:val="clear"/>
            <w:tcMar>
              <w:top w:type="dxa" w:w="60"/>
              <w:left w:type="dxa" w:w="100"/>
              <w:bottom w:type="dxa" w:w="60"/>
              <w:right w:type="dxa" w:w="100"/>
            </w:tcMar>
            <w:vAlign w:val="top"/>
          </w:tcPr>
          <w:p>
            <w:r>
              <w:rPr>
                <w:sz w:val="14"/>
                <w:szCs w:val="14"/>
              </w:rPr>
              <w:t xml:space="preserve">4.4%</w:t>
            </w:r>
          </w:p>
        </w:tc>
        <w:tc>
          <w:tcPr>
            <w:tcW w:type="dxa" w:w="1050"/>
            <w:shd w:fill="F7F9FC" w:color="auto" w:val="clear"/>
            <w:tcMar>
              <w:top w:type="dxa" w:w="60"/>
              <w:left w:type="dxa" w:w="100"/>
              <w:bottom w:type="dxa" w:w="60"/>
              <w:right w:type="dxa" w:w="100"/>
            </w:tcMar>
            <w:vAlign w:val="top"/>
          </w:tcPr>
          <w:p>
            <w:r>
              <w:rPr>
                <w:sz w:val="14"/>
                <w:szCs w:val="14"/>
              </w:rPr>
              <w:t xml:space="preserve">0.056</w:t>
            </w:r>
          </w:p>
        </w:tc>
        <w:tc>
          <w:tcPr>
            <w:tcW w:type="dxa" w:w="1500"/>
            <w:shd w:fill="F7F9FC" w:color="auto" w:val="clear"/>
            <w:tcMar>
              <w:top w:type="dxa" w:w="60"/>
              <w:left w:type="dxa" w:w="100"/>
              <w:bottom w:type="dxa" w:w="60"/>
              <w:right w:type="dxa" w:w="100"/>
            </w:tcMar>
            <w:vAlign w:val="top"/>
          </w:tcPr>
          <w:p>
            <w:r>
              <w:rPr>
                <w:sz w:val="14"/>
                <w:szCs w:val="14"/>
              </w:rPr>
              <w:t xml:space="preserve">0.065 ± 0.013</w:t>
            </w:r>
          </w:p>
        </w:tc>
        <w:tc>
          <w:tcPr>
            <w:tcW w:type="dxa" w:w="1000"/>
            <w:shd w:fill="F7F9FC" w:color="auto" w:val="clear"/>
            <w:tcMar>
              <w:top w:type="dxa" w:w="60"/>
              <w:left w:type="dxa" w:w="100"/>
              <w:bottom w:type="dxa" w:w="60"/>
              <w:right w:type="dxa" w:w="100"/>
            </w:tcMar>
            <w:vAlign w:val="top"/>
          </w:tcPr>
          <w:p>
            <w:r>
              <w:rPr>
                <w:sz w:val="14"/>
                <w:szCs w:val="14"/>
              </w:rPr>
              <w:t xml:space="preserve">0%</w:t>
            </w:r>
          </w:p>
        </w:tc>
        <w:tc>
          <w:tcPr>
            <w:tcW w:type="dxa" w:w="938"/>
            <w:shd w:fill="F7F9FC" w:color="auto" w:val="clear"/>
            <w:tcMar>
              <w:top w:type="dxa" w:w="60"/>
              <w:left w:type="dxa" w:w="100"/>
              <w:bottom w:type="dxa" w:w="60"/>
              <w:right w:type="dxa" w:w="100"/>
            </w:tcMar>
            <w:vAlign w:val="top"/>
          </w:tcPr>
          <w:p>
            <w:r>
              <w:rPr>
                <w:sz w:val="14"/>
                <w:szCs w:val="14"/>
              </w:rPr>
              <w:t xml:space="preserve">0.039</w:t>
            </w:r>
          </w:p>
        </w:tc>
      </w:tr>
      <w:tr>
        <w:trPr>
          <w:cantSplit/>
        </w:trPr>
        <w:tc>
          <w:tcPr>
            <w:tcW w:type="dxa" w:w="2300"/>
            <w:tcMar>
              <w:top w:type="dxa" w:w="60"/>
              <w:left w:type="dxa" w:w="100"/>
              <w:bottom w:type="dxa" w:w="60"/>
              <w:right w:type="dxa" w:w="100"/>
            </w:tcMar>
            <w:vAlign w:val="top"/>
          </w:tcPr>
          <w:p>
            <w:r>
              <w:rPr>
                <w:sz w:val="14"/>
                <w:szCs w:val="14"/>
              </w:rPr>
              <w:t xml:space="preserve">Tilt ball, 2 drivers, radius of the environmental groups</w:t>
            </w:r>
          </w:p>
        </w:tc>
        <w:tc>
          <w:tcPr>
            <w:tcW w:type="dxa" w:w="1000"/>
            <w:tcMar>
              <w:top w:type="dxa" w:w="60"/>
              <w:left w:type="dxa" w:w="100"/>
              <w:bottom w:type="dxa" w:w="60"/>
              <w:right w:type="dxa" w:w="100"/>
            </w:tcMar>
            <w:vAlign w:val="top"/>
          </w:tcPr>
          <w:p>
            <w:r>
              <w:rPr>
                <w:sz w:val="14"/>
                <w:szCs w:val="14"/>
              </w:rPr>
              <w:t xml:space="preserve">4,466</w:t>
            </w:r>
          </w:p>
        </w:tc>
        <w:tc>
          <w:tcPr>
            <w:tcW w:type="dxa" w:w="1000"/>
            <w:tcMar>
              <w:top w:type="dxa" w:w="60"/>
              <w:left w:type="dxa" w:w="100"/>
              <w:bottom w:type="dxa" w:w="60"/>
              <w:right w:type="dxa" w:w="100"/>
            </w:tcMar>
            <w:vAlign w:val="top"/>
          </w:tcPr>
          <w:p>
            <w:r>
              <w:rPr>
                <w:sz w:val="14"/>
                <w:szCs w:val="14"/>
              </w:rPr>
              <w:t xml:space="preserve">5,963</w:t>
            </w:r>
          </w:p>
        </w:tc>
        <w:tc>
          <w:tcPr>
            <w:tcW w:type="dxa" w:w="850"/>
            <w:tcMar>
              <w:top w:type="dxa" w:w="60"/>
              <w:left w:type="dxa" w:w="100"/>
              <w:bottom w:type="dxa" w:w="60"/>
              <w:right w:type="dxa" w:w="100"/>
            </w:tcMar>
            <w:vAlign w:val="top"/>
          </w:tcPr>
          <w:p>
            <w:r>
              <w:rPr>
                <w:sz w:val="14"/>
                <w:szCs w:val="14"/>
              </w:rPr>
              <w:t xml:space="preserve">6.9%</w:t>
            </w:r>
          </w:p>
        </w:tc>
        <w:tc>
          <w:tcPr>
            <w:tcW w:type="dxa" w:w="1050"/>
            <w:tcMar>
              <w:top w:type="dxa" w:w="60"/>
              <w:left w:type="dxa" w:w="100"/>
              <w:bottom w:type="dxa" w:w="60"/>
              <w:right w:type="dxa" w:w="100"/>
            </w:tcMar>
            <w:vAlign w:val="top"/>
          </w:tcPr>
          <w:p>
            <w:r>
              <w:rPr>
                <w:sz w:val="14"/>
                <w:szCs w:val="14"/>
              </w:rPr>
              <w:t xml:space="preserve">0.050</w:t>
            </w:r>
          </w:p>
        </w:tc>
        <w:tc>
          <w:tcPr>
            <w:tcW w:type="dxa" w:w="1500"/>
            <w:tcMar>
              <w:top w:type="dxa" w:w="60"/>
              <w:left w:type="dxa" w:w="100"/>
              <w:bottom w:type="dxa" w:w="60"/>
              <w:right w:type="dxa" w:w="100"/>
            </w:tcMar>
            <w:vAlign w:val="top"/>
          </w:tcPr>
          <w:p>
            <w:r>
              <w:rPr>
                <w:sz w:val="14"/>
                <w:szCs w:val="14"/>
              </w:rPr>
              <w:t xml:space="preserve">0.060 ± 0.013</w:t>
            </w:r>
          </w:p>
        </w:tc>
        <w:tc>
          <w:tcPr>
            <w:tcW w:type="dxa" w:w="1000"/>
            <w:tcMar>
              <w:top w:type="dxa" w:w="60"/>
              <w:left w:type="dxa" w:w="100"/>
              <w:bottom w:type="dxa" w:w="60"/>
              <w:right w:type="dxa" w:w="100"/>
            </w:tcMar>
            <w:vAlign w:val="top"/>
          </w:tcPr>
          <w:p>
            <w:r>
              <w:rPr>
                <w:sz w:val="14"/>
                <w:szCs w:val="14"/>
              </w:rPr>
              <w:t xml:space="preserve">0%</w:t>
            </w:r>
          </w:p>
        </w:tc>
        <w:tc>
          <w:tcPr>
            <w:tcW w:type="dxa" w:w="938"/>
            <w:tcMar>
              <w:top w:type="dxa" w:w="60"/>
              <w:left w:type="dxa" w:w="100"/>
              <w:bottom w:type="dxa" w:w="60"/>
              <w:right w:type="dxa" w:w="100"/>
            </w:tcMar>
            <w:vAlign w:val="top"/>
          </w:tcPr>
          <w:p>
            <w:r>
              <w:rPr>
                <w:sz w:val="14"/>
                <w:szCs w:val="14"/>
              </w:rPr>
              <w:t xml:space="preserve">0.026</w:t>
            </w: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Tilt ball, 8 drivers, radius of the environmental groups</w:t>
            </w:r>
          </w:p>
        </w:tc>
        <w:tc>
          <w:tcPr>
            <w:tcW w:type="dxa" w:w="1000"/>
            <w:shd w:fill="F7F9FC" w:color="auto" w:val="clear"/>
            <w:tcMar>
              <w:top w:type="dxa" w:w="60"/>
              <w:left w:type="dxa" w:w="100"/>
              <w:bottom w:type="dxa" w:w="60"/>
              <w:right w:type="dxa" w:w="100"/>
            </w:tcMar>
            <w:vAlign w:val="top"/>
          </w:tcPr>
          <w:p>
            <w:r>
              <w:rPr>
                <w:sz w:val="14"/>
                <w:szCs w:val="14"/>
              </w:rPr>
              <w:t xml:space="preserve">3,981</w:t>
            </w:r>
          </w:p>
        </w:tc>
        <w:tc>
          <w:tcPr>
            <w:tcW w:type="dxa" w:w="1000"/>
            <w:shd w:fill="F7F9FC" w:color="auto" w:val="clear"/>
            <w:tcMar>
              <w:top w:type="dxa" w:w="60"/>
              <w:left w:type="dxa" w:w="100"/>
              <w:bottom w:type="dxa" w:w="60"/>
              <w:right w:type="dxa" w:w="100"/>
            </w:tcMar>
            <w:vAlign w:val="top"/>
          </w:tcPr>
          <w:p>
            <w:r>
              <w:rPr>
                <w:sz w:val="14"/>
                <w:szCs w:val="14"/>
              </w:rPr>
              <w:t xml:space="preserve">6,206</w:t>
            </w:r>
          </w:p>
        </w:tc>
        <w:tc>
          <w:tcPr>
            <w:tcW w:type="dxa" w:w="850"/>
            <w:shd w:fill="F7F9FC" w:color="auto" w:val="clear"/>
            <w:tcMar>
              <w:top w:type="dxa" w:w="60"/>
              <w:left w:type="dxa" w:w="100"/>
              <w:bottom w:type="dxa" w:w="60"/>
              <w:right w:type="dxa" w:w="100"/>
            </w:tcMar>
            <w:vAlign w:val="top"/>
          </w:tcPr>
          <w:p>
            <w:r>
              <w:rPr>
                <w:sz w:val="14"/>
                <w:szCs w:val="14"/>
              </w:rPr>
              <w:t xml:space="preserve">7.7%</w:t>
            </w:r>
          </w:p>
        </w:tc>
        <w:tc>
          <w:tcPr>
            <w:tcW w:type="dxa" w:w="1050"/>
            <w:shd w:fill="F7F9FC" w:color="auto" w:val="clear"/>
            <w:tcMar>
              <w:top w:type="dxa" w:w="60"/>
              <w:left w:type="dxa" w:w="100"/>
              <w:bottom w:type="dxa" w:w="60"/>
              <w:right w:type="dxa" w:w="100"/>
            </w:tcMar>
            <w:vAlign w:val="top"/>
          </w:tcPr>
          <w:p>
            <w:r>
              <w:rPr>
                <w:sz w:val="14"/>
                <w:szCs w:val="14"/>
              </w:rPr>
              <w:t xml:space="preserve">0.038</w:t>
            </w:r>
          </w:p>
        </w:tc>
        <w:tc>
          <w:tcPr>
            <w:tcW w:type="dxa" w:w="1500"/>
            <w:shd w:fill="F7F9FC" w:color="auto" w:val="clear"/>
            <w:tcMar>
              <w:top w:type="dxa" w:w="60"/>
              <w:left w:type="dxa" w:w="100"/>
              <w:bottom w:type="dxa" w:w="60"/>
              <w:right w:type="dxa" w:w="100"/>
            </w:tcMar>
            <w:vAlign w:val="top"/>
          </w:tcPr>
          <w:p>
            <w:r>
              <w:rPr>
                <w:sz w:val="14"/>
                <w:szCs w:val="14"/>
              </w:rPr>
              <w:t xml:space="preserve">0.043 ± 0.012</w:t>
            </w:r>
          </w:p>
        </w:tc>
        <w:tc>
          <w:tcPr>
            <w:tcW w:type="dxa" w:w="1000"/>
            <w:shd w:fill="F7F9FC" w:color="auto" w:val="clear"/>
            <w:tcMar>
              <w:top w:type="dxa" w:w="60"/>
              <w:left w:type="dxa" w:w="100"/>
              <w:bottom w:type="dxa" w:w="60"/>
              <w:right w:type="dxa" w:w="100"/>
            </w:tcMar>
            <w:vAlign w:val="top"/>
          </w:tcPr>
          <w:p>
            <w:r>
              <w:rPr>
                <w:sz w:val="14"/>
                <w:szCs w:val="14"/>
              </w:rPr>
              <w:t xml:space="preserve">0%</w:t>
            </w:r>
          </w:p>
        </w:tc>
        <w:tc>
          <w:tcPr>
            <w:tcW w:type="dxa" w:w="938"/>
            <w:shd w:fill="F7F9FC" w:color="auto" w:val="clear"/>
            <w:tcMar>
              <w:top w:type="dxa" w:w="60"/>
              <w:left w:type="dxa" w:w="100"/>
              <w:bottom w:type="dxa" w:w="60"/>
              <w:right w:type="dxa" w:w="100"/>
            </w:tcMar>
            <w:vAlign w:val="top"/>
          </w:tcPr>
          <w:p>
            <w:r>
              <w:rPr>
                <w:sz w:val="14"/>
                <w:szCs w:val="14"/>
              </w:rPr>
              <w:t xml:space="preserve">0.026</w:t>
            </w:r>
          </w:p>
        </w:tc>
      </w:tr>
      <w:tr>
        <w:trPr>
          <w:cantSplit/>
        </w:trPr>
        <w:tc>
          <w:tcPr>
            <w:tcW w:type="dxa" w:w="2300"/>
            <w:tcMar>
              <w:top w:type="dxa" w:w="60"/>
              <w:left w:type="dxa" w:w="100"/>
              <w:bottom w:type="dxa" w:w="60"/>
              <w:right w:type="dxa" w:w="100"/>
            </w:tcMar>
            <w:vAlign w:val="top"/>
          </w:tcPr>
          <w:p>
            <w:r>
              <w:rPr>
                <w:sz w:val="14"/>
                <w:szCs w:val="14"/>
              </w:rPr>
              <w:t xml:space="preserve">Tilt ball, 2 drivers, radius of the optimists</w:t>
            </w:r>
          </w:p>
        </w:tc>
        <w:tc>
          <w:tcPr>
            <w:tcW w:type="dxa" w:w="1000"/>
            <w:tcMar>
              <w:top w:type="dxa" w:w="60"/>
              <w:left w:type="dxa" w:w="100"/>
              <w:bottom w:type="dxa" w:w="60"/>
              <w:right w:type="dxa" w:w="100"/>
            </w:tcMar>
            <w:vAlign w:val="top"/>
          </w:tcPr>
          <w:p>
            <w:r>
              <w:rPr>
                <w:sz w:val="14"/>
                <w:szCs w:val="14"/>
              </w:rPr>
              <w:t xml:space="preserve">4,026</w:t>
            </w:r>
          </w:p>
        </w:tc>
        <w:tc>
          <w:tcPr>
            <w:tcW w:type="dxa" w:w="1000"/>
            <w:tcMar>
              <w:top w:type="dxa" w:w="60"/>
              <w:left w:type="dxa" w:w="100"/>
              <w:bottom w:type="dxa" w:w="60"/>
              <w:right w:type="dxa" w:w="100"/>
            </w:tcMar>
            <w:vAlign w:val="top"/>
          </w:tcPr>
          <w:p>
            <w:r>
              <w:rPr>
                <w:sz w:val="14"/>
                <w:szCs w:val="14"/>
              </w:rPr>
              <w:t xml:space="preserve">6,161</w:t>
            </w:r>
          </w:p>
        </w:tc>
        <w:tc>
          <w:tcPr>
            <w:tcW w:type="dxa" w:w="850"/>
            <w:tcMar>
              <w:top w:type="dxa" w:w="60"/>
              <w:left w:type="dxa" w:w="100"/>
              <w:bottom w:type="dxa" w:w="60"/>
              <w:right w:type="dxa" w:w="100"/>
            </w:tcMar>
            <w:vAlign w:val="top"/>
          </w:tcPr>
          <w:p>
            <w:r>
              <w:rPr>
                <w:sz w:val="14"/>
                <w:szCs w:val="14"/>
              </w:rPr>
              <w:t xml:space="preserve">7.4%</w:t>
            </w:r>
          </w:p>
        </w:tc>
        <w:tc>
          <w:tcPr>
            <w:tcW w:type="dxa" w:w="1050"/>
            <w:tcMar>
              <w:top w:type="dxa" w:w="60"/>
              <w:left w:type="dxa" w:w="100"/>
              <w:bottom w:type="dxa" w:w="60"/>
              <w:right w:type="dxa" w:w="100"/>
            </w:tcMar>
            <w:vAlign w:val="top"/>
          </w:tcPr>
          <w:p>
            <w:r>
              <w:rPr>
                <w:sz w:val="14"/>
                <w:szCs w:val="14"/>
              </w:rPr>
              <w:t xml:space="preserve">0.035</w:t>
            </w:r>
          </w:p>
        </w:tc>
        <w:tc>
          <w:tcPr>
            <w:tcW w:type="dxa" w:w="1500"/>
            <w:tcMar>
              <w:top w:type="dxa" w:w="60"/>
              <w:left w:type="dxa" w:w="100"/>
              <w:bottom w:type="dxa" w:w="60"/>
              <w:right w:type="dxa" w:w="100"/>
            </w:tcMar>
            <w:vAlign w:val="top"/>
          </w:tcPr>
          <w:p>
            <w:r>
              <w:rPr>
                <w:sz w:val="14"/>
                <w:szCs w:val="14"/>
              </w:rPr>
              <w:t xml:space="preserve">0.041 ± 0.012</w:t>
            </w:r>
          </w:p>
        </w:tc>
        <w:tc>
          <w:tcPr>
            <w:tcW w:type="dxa" w:w="1000"/>
            <w:tcMar>
              <w:top w:type="dxa" w:w="60"/>
              <w:left w:type="dxa" w:w="100"/>
              <w:bottom w:type="dxa" w:w="60"/>
              <w:right w:type="dxa" w:w="100"/>
            </w:tcMar>
            <w:vAlign w:val="top"/>
          </w:tcPr>
          <w:p>
            <w:r>
              <w:rPr>
                <w:sz w:val="14"/>
                <w:szCs w:val="14"/>
              </w:rPr>
              <w:t xml:space="preserve">0%</w:t>
            </w:r>
          </w:p>
        </w:tc>
        <w:tc>
          <w:tcPr>
            <w:tcW w:type="dxa" w:w="938"/>
            <w:tcMar>
              <w:top w:type="dxa" w:w="60"/>
              <w:left w:type="dxa" w:w="100"/>
              <w:bottom w:type="dxa" w:w="60"/>
              <w:right w:type="dxa" w:w="100"/>
            </w:tcMar>
            <w:vAlign w:val="top"/>
          </w:tcPr>
          <w:p>
            <w:r>
              <w:rPr>
                <w:sz w:val="14"/>
                <w:szCs w:val="14"/>
              </w:rPr>
              <w:t xml:space="preserve">0.025</w:t>
            </w: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Tilt ball, 8 drivers, radius of the optimists</w:t>
            </w:r>
          </w:p>
        </w:tc>
        <w:tc>
          <w:tcPr>
            <w:tcW w:type="dxa" w:w="1000"/>
            <w:shd w:fill="F7F9FC" w:color="auto" w:val="clear"/>
            <w:tcMar>
              <w:top w:type="dxa" w:w="60"/>
              <w:left w:type="dxa" w:w="100"/>
              <w:bottom w:type="dxa" w:w="60"/>
              <w:right w:type="dxa" w:w="100"/>
            </w:tcMar>
            <w:vAlign w:val="top"/>
          </w:tcPr>
          <w:p>
            <w:r>
              <w:rPr>
                <w:sz w:val="14"/>
                <w:szCs w:val="14"/>
              </w:rPr>
              <w:t xml:space="preserve">3,493</w:t>
            </w:r>
          </w:p>
        </w:tc>
        <w:tc>
          <w:tcPr>
            <w:tcW w:type="dxa" w:w="1000"/>
            <w:shd w:fill="F7F9FC" w:color="auto" w:val="clear"/>
            <w:tcMar>
              <w:top w:type="dxa" w:w="60"/>
              <w:left w:type="dxa" w:w="100"/>
              <w:bottom w:type="dxa" w:w="60"/>
              <w:right w:type="dxa" w:w="100"/>
            </w:tcMar>
            <w:vAlign w:val="top"/>
          </w:tcPr>
          <w:p>
            <w:r>
              <w:rPr>
                <w:sz w:val="14"/>
                <w:szCs w:val="14"/>
              </w:rPr>
              <w:t xml:space="preserve">6,473</w:t>
            </w:r>
          </w:p>
        </w:tc>
        <w:tc>
          <w:tcPr>
            <w:tcW w:type="dxa" w:w="850"/>
            <w:shd w:fill="F7F9FC" w:color="auto" w:val="clear"/>
            <w:tcMar>
              <w:top w:type="dxa" w:w="60"/>
              <w:left w:type="dxa" w:w="100"/>
              <w:bottom w:type="dxa" w:w="60"/>
              <w:right w:type="dxa" w:w="100"/>
            </w:tcMar>
            <w:vAlign w:val="top"/>
          </w:tcPr>
          <w:p>
            <w:r>
              <w:rPr>
                <w:sz w:val="14"/>
                <w:szCs w:val="14"/>
              </w:rPr>
              <w:t xml:space="preserve">8.5%</w:t>
            </w:r>
          </w:p>
        </w:tc>
        <w:tc>
          <w:tcPr>
            <w:tcW w:type="dxa" w:w="1050"/>
            <w:shd w:fill="F7F9FC" w:color="auto" w:val="clear"/>
            <w:tcMar>
              <w:top w:type="dxa" w:w="60"/>
              <w:left w:type="dxa" w:w="100"/>
              <w:bottom w:type="dxa" w:w="60"/>
              <w:right w:type="dxa" w:w="100"/>
            </w:tcMar>
            <w:vAlign w:val="top"/>
          </w:tcPr>
          <w:p>
            <w:r>
              <w:rPr>
                <w:sz w:val="14"/>
                <w:szCs w:val="14"/>
              </w:rPr>
              <w:t xml:space="preserve">0.033</w:t>
            </w:r>
          </w:p>
        </w:tc>
        <w:tc>
          <w:tcPr>
            <w:tcW w:type="dxa" w:w="1500"/>
            <w:shd w:fill="F7F9FC" w:color="auto" w:val="clear"/>
            <w:tcMar>
              <w:top w:type="dxa" w:w="60"/>
              <w:left w:type="dxa" w:w="100"/>
              <w:bottom w:type="dxa" w:w="60"/>
              <w:right w:type="dxa" w:w="100"/>
            </w:tcMar>
            <w:vAlign w:val="top"/>
          </w:tcPr>
          <w:p>
            <w:r>
              <w:rPr>
                <w:sz w:val="14"/>
                <w:szCs w:val="14"/>
              </w:rPr>
              <w:t xml:space="preserve">0.037 ± 0.011</w:t>
            </w:r>
          </w:p>
        </w:tc>
        <w:tc>
          <w:tcPr>
            <w:tcW w:type="dxa" w:w="1000"/>
            <w:shd w:fill="F7F9FC" w:color="auto" w:val="clear"/>
            <w:tcMar>
              <w:top w:type="dxa" w:w="60"/>
              <w:left w:type="dxa" w:w="100"/>
              <w:bottom w:type="dxa" w:w="60"/>
              <w:right w:type="dxa" w:w="100"/>
            </w:tcMar>
            <w:vAlign w:val="top"/>
          </w:tcPr>
          <w:p>
            <w:r>
              <w:rPr>
                <w:sz w:val="14"/>
                <w:szCs w:val="14"/>
              </w:rPr>
              <w:t xml:space="preserve">0%</w:t>
            </w:r>
          </w:p>
        </w:tc>
        <w:tc>
          <w:tcPr>
            <w:tcW w:type="dxa" w:w="938"/>
            <w:shd w:fill="F7F9FC" w:color="auto" w:val="clear"/>
            <w:tcMar>
              <w:top w:type="dxa" w:w="60"/>
              <w:left w:type="dxa" w:w="100"/>
              <w:bottom w:type="dxa" w:w="60"/>
              <w:right w:type="dxa" w:w="100"/>
            </w:tcMar>
            <w:vAlign w:val="top"/>
          </w:tcPr>
          <w:p>
            <w:r>
              <w:rPr>
                <w:sz w:val="14"/>
                <w:szCs w:val="14"/>
              </w:rPr>
              <w:t xml:space="preserve">0.025</w:t>
            </w:r>
          </w:p>
        </w:tc>
      </w:tr>
      <w:tr>
        <w:trPr>
          <w:cantSplit/>
        </w:trPr>
        <w:tc>
          <w:tcPr>
            <w:tcW w:type="dxa" w:w="2300"/>
            <w:tcMar>
              <w:top w:type="dxa" w:w="60"/>
              <w:left w:type="dxa" w:w="100"/>
              <w:bottom w:type="dxa" w:w="60"/>
              <w:right w:type="dxa" w:w="100"/>
            </w:tcMar>
            <w:vAlign w:val="top"/>
          </w:tcPr>
          <w:p>
            <w:r>
              <w:rPr>
                <w:sz w:val="14"/>
                <w:szCs w:val="14"/>
              </w:rPr>
              <w:t xml:space="preserve">Full ball, radius of the environmental groups</w:t>
            </w:r>
          </w:p>
        </w:tc>
        <w:tc>
          <w:tcPr>
            <w:tcW w:type="dxa" w:w="1000"/>
            <w:tcMar>
              <w:top w:type="dxa" w:w="60"/>
              <w:left w:type="dxa" w:w="100"/>
              <w:bottom w:type="dxa" w:w="60"/>
              <w:right w:type="dxa" w:w="100"/>
            </w:tcMar>
            <w:vAlign w:val="top"/>
          </w:tcPr>
          <w:p>
            <w:r>
              <w:rPr>
                <w:sz w:val="14"/>
                <w:szCs w:val="14"/>
              </w:rPr>
              <w:t xml:space="preserve">1,804</w:t>
            </w:r>
          </w:p>
        </w:tc>
        <w:tc>
          <w:tcPr>
            <w:tcW w:type="dxa" w:w="1000"/>
            <w:tcMar>
              <w:top w:type="dxa" w:w="60"/>
              <w:left w:type="dxa" w:w="100"/>
              <w:bottom w:type="dxa" w:w="60"/>
              <w:right w:type="dxa" w:w="100"/>
            </w:tcMar>
            <w:vAlign w:val="top"/>
          </w:tcPr>
          <w:p>
            <w:r>
              <w:rPr>
                <w:sz w:val="14"/>
                <w:szCs w:val="14"/>
              </w:rPr>
              <w:t xml:space="preserve">7,646</w:t>
            </w:r>
          </w:p>
        </w:tc>
        <w:tc>
          <w:tcPr>
            <w:tcW w:type="dxa" w:w="850"/>
            <w:tcMar>
              <w:top w:type="dxa" w:w="60"/>
              <w:left w:type="dxa" w:w="100"/>
              <w:bottom w:type="dxa" w:w="60"/>
              <w:right w:type="dxa" w:w="100"/>
            </w:tcMar>
            <w:vAlign w:val="top"/>
          </w:tcPr>
          <w:p>
            <w:r>
              <w:rPr>
                <w:sz w:val="14"/>
                <w:szCs w:val="14"/>
              </w:rPr>
              <w:t xml:space="preserve">11.5%</w:t>
            </w:r>
          </w:p>
        </w:tc>
        <w:tc>
          <w:tcPr>
            <w:tcW w:type="dxa" w:w="1050"/>
            <w:tcMar>
              <w:top w:type="dxa" w:w="60"/>
              <w:left w:type="dxa" w:w="100"/>
              <w:bottom w:type="dxa" w:w="60"/>
              <w:right w:type="dxa" w:w="100"/>
            </w:tcMar>
            <w:vAlign w:val="top"/>
          </w:tcPr>
          <w:p>
            <w:r>
              <w:rPr>
                <w:sz w:val="14"/>
                <w:szCs w:val="14"/>
              </w:rPr>
              <w:t xml:space="preserve">0.010</w:t>
            </w:r>
          </w:p>
        </w:tc>
        <w:tc>
          <w:tcPr>
            <w:tcW w:type="dxa" w:w="1500"/>
            <w:tcMar>
              <w:top w:type="dxa" w:w="60"/>
              <w:left w:type="dxa" w:w="100"/>
              <w:bottom w:type="dxa" w:w="60"/>
              <w:right w:type="dxa" w:w="100"/>
            </w:tcMar>
            <w:vAlign w:val="top"/>
          </w:tcPr>
          <w:p>
            <w:r>
              <w:rPr>
                <w:sz w:val="14"/>
                <w:szCs w:val="14"/>
              </w:rPr>
              <w:t xml:space="preserve">0.019 ± 0.008</w:t>
            </w:r>
          </w:p>
        </w:tc>
        <w:tc>
          <w:tcPr>
            <w:tcW w:type="dxa" w:w="1000"/>
            <w:tcMar>
              <w:top w:type="dxa" w:w="60"/>
              <w:left w:type="dxa" w:w="100"/>
              <w:bottom w:type="dxa" w:w="60"/>
              <w:right w:type="dxa" w:w="100"/>
            </w:tcMar>
            <w:vAlign w:val="top"/>
          </w:tcPr>
          <w:p>
            <w:r>
              <w:rPr>
                <w:sz w:val="14"/>
                <w:szCs w:val="14"/>
              </w:rPr>
              <w:t xml:space="preserve">0%</w:t>
            </w:r>
          </w:p>
        </w:tc>
        <w:tc>
          <w:tcPr>
            <w:tcW w:type="dxa" w:w="938"/>
            <w:tcMar>
              <w:top w:type="dxa" w:w="60"/>
              <w:left w:type="dxa" w:w="100"/>
              <w:bottom w:type="dxa" w:w="60"/>
              <w:right w:type="dxa" w:w="100"/>
            </w:tcMar>
            <w:vAlign w:val="top"/>
          </w:tcPr>
          <w:p>
            <w:r>
              <w:rPr>
                <w:sz w:val="14"/>
                <w:szCs w:val="14"/>
              </w:rPr>
              <w:t xml:space="preserve">0.019</w:t>
            </w:r>
          </w:p>
        </w:tc>
      </w:tr>
      <w:tr>
        <w:trPr>
          <w:cantSplit/>
        </w:trPr>
        <w:tc>
          <w:tcPr>
            <w:tcW w:type="dxa" w:w="2300"/>
            <w:shd w:fill="F7F9FC" w:color="auto" w:val="clear"/>
            <w:tcMar>
              <w:top w:type="dxa" w:w="60"/>
              <w:left w:type="dxa" w:w="100"/>
              <w:bottom w:type="dxa" w:w="60"/>
              <w:right w:type="dxa" w:w="100"/>
            </w:tcMar>
            <w:vAlign w:val="top"/>
          </w:tcPr>
          <w:p>
            <w:r>
              <w:rPr>
                <w:sz w:val="14"/>
                <w:szCs w:val="14"/>
              </w:rPr>
              <w:t xml:space="preserve">Full ball, radius of the optimists</w:t>
            </w:r>
          </w:p>
        </w:tc>
        <w:tc>
          <w:tcPr>
            <w:tcW w:type="dxa" w:w="1000"/>
            <w:shd w:fill="F7F9FC" w:color="auto" w:val="clear"/>
            <w:tcMar>
              <w:top w:type="dxa" w:w="60"/>
              <w:left w:type="dxa" w:w="100"/>
              <w:bottom w:type="dxa" w:w="60"/>
              <w:right w:type="dxa" w:w="100"/>
            </w:tcMar>
            <w:vAlign w:val="top"/>
          </w:tcPr>
          <w:p>
            <w:r>
              <w:rPr>
                <w:sz w:val="14"/>
                <w:szCs w:val="14"/>
              </w:rPr>
              <w:t xml:space="preserve">1,009</w:t>
            </w:r>
          </w:p>
        </w:tc>
        <w:tc>
          <w:tcPr>
            <w:tcW w:type="dxa" w:w="1000"/>
            <w:shd w:fill="F7F9FC" w:color="auto" w:val="clear"/>
            <w:tcMar>
              <w:top w:type="dxa" w:w="60"/>
              <w:left w:type="dxa" w:w="100"/>
              <w:bottom w:type="dxa" w:w="60"/>
              <w:right w:type="dxa" w:w="100"/>
            </w:tcMar>
            <w:vAlign w:val="top"/>
          </w:tcPr>
          <w:p>
            <w:r>
              <w:rPr>
                <w:sz w:val="14"/>
                <w:szCs w:val="14"/>
              </w:rPr>
              <w:t xml:space="preserve">8,381</w:t>
            </w:r>
          </w:p>
        </w:tc>
        <w:tc>
          <w:tcPr>
            <w:tcW w:type="dxa" w:w="850"/>
            <w:shd w:fill="F7F9FC" w:color="auto" w:val="clear"/>
            <w:tcMar>
              <w:top w:type="dxa" w:w="60"/>
              <w:left w:type="dxa" w:w="100"/>
              <w:bottom w:type="dxa" w:w="60"/>
              <w:right w:type="dxa" w:w="100"/>
            </w:tcMar>
            <w:vAlign w:val="top"/>
          </w:tcPr>
          <w:p>
            <w:r>
              <w:rPr>
                <w:sz w:val="14"/>
                <w:szCs w:val="14"/>
              </w:rPr>
              <w:t xml:space="preserve">13.7%</w:t>
            </w:r>
          </w:p>
        </w:tc>
        <w:tc>
          <w:tcPr>
            <w:tcW w:type="dxa" w:w="1050"/>
            <w:shd w:fill="F7F9FC" w:color="auto" w:val="clear"/>
            <w:tcMar>
              <w:top w:type="dxa" w:w="60"/>
              <w:left w:type="dxa" w:w="100"/>
              <w:bottom w:type="dxa" w:w="60"/>
              <w:right w:type="dxa" w:w="100"/>
            </w:tcMar>
            <w:vAlign w:val="top"/>
          </w:tcPr>
          <w:p>
            <w:r>
              <w:rPr>
                <w:sz w:val="14"/>
                <w:szCs w:val="14"/>
              </w:rPr>
              <w:t xml:space="preserve">0.008</w:t>
            </w:r>
          </w:p>
        </w:tc>
        <w:tc>
          <w:tcPr>
            <w:tcW w:type="dxa" w:w="1500"/>
            <w:shd w:fill="F7F9FC" w:color="auto" w:val="clear"/>
            <w:tcMar>
              <w:top w:type="dxa" w:w="60"/>
              <w:left w:type="dxa" w:w="100"/>
              <w:bottom w:type="dxa" w:w="60"/>
              <w:right w:type="dxa" w:w="100"/>
            </w:tcMar>
            <w:vAlign w:val="top"/>
          </w:tcPr>
          <w:p>
            <w:r>
              <w:rPr>
                <w:sz w:val="14"/>
                <w:szCs w:val="14"/>
              </w:rPr>
              <w:t xml:space="preserve">0.017 ± 0.007</w:t>
            </w:r>
          </w:p>
        </w:tc>
        <w:tc>
          <w:tcPr>
            <w:tcW w:type="dxa" w:w="1000"/>
            <w:shd w:fill="F7F9FC" w:color="auto" w:val="clear"/>
            <w:tcMar>
              <w:top w:type="dxa" w:w="60"/>
              <w:left w:type="dxa" w:w="100"/>
              <w:bottom w:type="dxa" w:w="60"/>
              <w:right w:type="dxa" w:w="100"/>
            </w:tcMar>
            <w:vAlign w:val="top"/>
          </w:tcPr>
          <w:p>
            <w:r>
              <w:rPr>
                <w:sz w:val="14"/>
                <w:szCs w:val="14"/>
              </w:rPr>
              <w:t xml:space="preserve">0%</w:t>
            </w:r>
          </w:p>
        </w:tc>
        <w:tc>
          <w:tcPr>
            <w:tcW w:type="dxa" w:w="938"/>
            <w:shd w:fill="F7F9FC" w:color="auto" w:val="clear"/>
            <w:tcMar>
              <w:top w:type="dxa" w:w="60"/>
              <w:left w:type="dxa" w:w="100"/>
              <w:bottom w:type="dxa" w:w="60"/>
              <w:right w:type="dxa" w:w="100"/>
            </w:tcMar>
            <w:vAlign w:val="top"/>
          </w:tcPr>
          <w:p>
            <w:r>
              <w:rPr>
                <w:sz w:val="14"/>
                <w:szCs w:val="14"/>
              </w:rPr>
              <w:t xml:space="preserve">0.017</w:t>
            </w:r>
          </w:p>
        </w:tc>
      </w:tr>
    </w:tbl>
    <w:p>
      <w:pPr>
        <w:spacing w:after="160"/>
      </w:pPr>
    </w:p>
    <w:p>
      <w:pPr>
        <w:spacing w:after="120"/>
      </w:pPr>
      <w:r>
        <w:rPr>
          <w:i/>
          <w:iCs/>
          <w:color w:val="5B6573"/>
          <w:sz w:val="18"/>
          <w:szCs w:val="18"/>
        </w:rPr>
        <w:t xml:space="preserve">Table 9.2. Net water (pumped minus half the recharged water), mean over 2,000 truths, and realised risks in the truths judged by the stated and the unstated beliefs; unstated beliefs lie at the radius </w:t>
      </w:r>
      <m:oMath>
        <m:sSub>
          <m:e>
            <m:r>
              <m:t>ρ</m:t>
            </m:r>
          </m:e>
          <m:sub>
            <m:r>
              <m:rPr>
                <m:nor/>
              </m:rPr>
              <m:t>env</m:t>
            </m:r>
          </m:sub>
        </m:sSub>
      </m:oMath>
      <w:r>
        <w:rPr>
          <w:i/>
          <w:iCs/>
          <w:color w:val="5B6573"/>
          <w:sz w:val="18"/>
          <w:szCs w:val="18"/>
        </w:rPr>
        <w:t xml:space="preserve"> (random tilts along eight parameters and the sixteen single-parameter tilts). </w:t>
      </w:r>
      <m:oMath>
        <m:sSub>
          <m:e>
            <m:r>
              <m:t>ρ</m:t>
            </m:r>
          </m:e>
          <m:sub>
            <m:r>
              <m:rPr>
                <m:nor/>
              </m:rPr>
              <m:t>env</m:t>
            </m:r>
          </m:sub>
        </m:sSub>
        <m:r>
          <m:rPr>
            <m:sty m:val="p"/>
          </m:rPr>
          <m:t>=</m:t>
        </m:r>
        <m:r>
          <m:t>0.293</m:t>
        </m:r>
      </m:oMath>
      <w:r>
        <w:rPr>
          <w:i/>
          <w:iCs/>
          <w:color w:val="5B6573"/>
          <w:sz w:val="18"/>
          <w:szCs w:val="18"/>
        </w:rPr>
        <w:t xml:space="preserve">, </w:t>
      </w:r>
      <m:oMath>
        <m:sSub>
          <m:e>
            <m:r>
              <m:t>ρ</m:t>
            </m:r>
          </m:e>
          <m:sub>
            <m:r>
              <m:rPr>
                <m:sty m:val="p"/>
              </m:rPr>
              <m:t>max</m:t>
            </m:r>
          </m:sub>
        </m:sSub>
        <m:r>
          <m:rPr>
            <m:sty m:val="p"/>
          </m:rPr>
          <m:t>=</m:t>
        </m:r>
        <m:r>
          <m:t>0.412</m:t>
        </m:r>
      </m:oMath>
      <w:r>
        <w:rPr>
          <w:i/>
          <w:iCs/>
          <w:color w:val="5B6573"/>
          <w:sz w:val="18"/>
          <w:szCs w:val="18"/>
        </w:rPr>
        <w:t xml:space="preserve"> nats.</w:t>
      </w:r>
    </w:p>
    <w:p>
      <w:pPr>
        <w:pStyle w:val="ListParagraph"/>
        <w:numPr>
          <w:ilvl w:val="0"/>
          <w:numId w:val="2"/>
        </w:numPr>
        <w:spacing w:after="60"/>
        <w:jc w:val="both"/>
      </w:pPr>
      <w:r>
        <w:rPr>
          <w:b/>
          <w:bCs/>
        </w:rPr>
        <w:t xml:space="preserve">After the sample, a list of beliefs is safe on average but not after every sample.</w:t>
      </w:r>
      <w:r>
        <w:t xml:space="preserve"> With the chloride sample the review-57 choice keeps the unstated beliefs within the limit on average over the truths (largest realised risk 0.065), because the sample resolves the event for most aquifers, as in review 57. But the stakeholders decide after seeing </w:t>
      </w:r>
      <w:r>
        <w:rPr>
          <w:i/>
          <w:iCs/>
        </w:rPr>
        <w:t xml:space="preserve">their</w:t>
      </w:r>
      <w:r>
        <w:t xml:space="preserve"> sample, not on average. In 20% of the truths some belief within </w:t>
      </w:r>
      <m:oMath>
        <m:sSub>
          <m:e>
            <m:r>
              <m:t>ρ</m:t>
            </m:r>
          </m:e>
          <m:sub>
            <m:r>
              <m:rPr>
                <m:nor/>
              </m:rPr>
              <m:t>env</m:t>
            </m:r>
          </m:sub>
        </m:sSub>
      </m:oMath>
      <w:r>
        <w:t xml:space="preserve">, updated with the same sample, puts the risk of the review-57 choice above 10% (median worst case 0.066, 90th percentile 0.139); without data, every belief at the width pessimist's position does so (0.110). The radius rule guarantees every belief in the ball after the sample. It costs 1,144 m³/d (3,981 against 5,125), 22% of the net water against 40% without data, and with the two disputed drivers only 659 m³/d.</w:t>
      </w:r>
    </w:p>
    <w:p>
      <w:pPr>
        <w:pStyle w:val="ListParagraph"/>
        <w:numPr>
          <w:ilvl w:val="0"/>
          <w:numId w:val="2"/>
        </w:numPr>
        <w:spacing w:after="60"/>
        <w:jc w:val="both"/>
      </w:pPr>
      <w:r>
        <w:rPr>
          <w:b/>
          <w:bCs/>
        </w:rPr>
        <w:t xml:space="preserve">The sample shrinks the stated radii, but not every direction.</w:t>
      </w:r>
      <w:r>
        <w:t xml:space="preserve"> The radii of the stated beliefs fall after the sample (Table 9.1): the optimists' from 0.412 to a median of 0.157 nats and the environmental groups' from 0.293 to 0.137, as Proposition R3 (i) predicts when the sample narrows the disputed width. It does not narrow every direction: the median largest eigenvalue </w:t>
      </w:r>
      <m:oMath>
        <m:r>
          <m:t>γ</m:t>
        </m:r>
      </m:oMath>
      <w:r>
        <w:t xml:space="preserve"> of </w:t>
      </w:r>
      <m:oMath>
        <m:sSup>
          <m:e>
            <m:r>
              <m:t>S</m:t>
            </m:r>
          </m:e>
          <m:sup>
            <m:r>
              <m:rPr>
                <m:sty m:val="p"/>
              </m:rPr>
              <m:t>−</m:t>
            </m:r>
            <m:r>
              <m:t>1</m:t>
            </m:r>
          </m:sup>
        </m:sSup>
        <m:sSub>
          <m:e>
            <m:r>
              <m:t>S</m:t>
            </m:r>
          </m:e>
          <m:sub>
            <m:r>
              <m:t>y</m:t>
            </m:r>
          </m:sub>
        </m:sSub>
      </m:oMath>
      <w:r>
        <w:t xml:space="preserve"> is 1.18, so some combination of parameters is more spread after the sample than before, and the margin falls mainly because the sample resolves the event, the second route of R3 (ii).</w:t>
      </w:r>
    </w:p>
    <w:p>
      <w:pPr>
        <w:pStyle w:val="ListParagraph"/>
        <w:numPr>
          <w:ilvl w:val="0"/>
          <w:numId w:val="2"/>
        </w:numPr>
        <w:spacing w:after="60"/>
        <w:jc w:val="both"/>
      </w:pPr>
      <w:r>
        <w:rPr>
          <w:b/>
          <w:bCs/>
        </w:rPr>
        <w:t xml:space="preserve">The propositions hold numerically.</w:t>
      </w:r>
      <w:r>
        <w:t xml:space="preserve"> At the review-57 choice without data, the closed form of R1 agrees with a direct search over two-point beliefs to 0.0002 (Table 9.3); the first-order formula of R2 is close to the exact worst case of the tilt ball at small radii (0.0550 against 0.0595 at </w:t>
      </w:r>
      <m:oMath>
        <m:r>
          <m:t>ρ</m:t>
        </m:r>
        <m:r>
          <m:rPr>
            <m:sty m:val="p"/>
          </m:rPr>
          <m:t>=</m:t>
        </m:r>
        <m:r>
          <m:t>0.05</m:t>
        </m:r>
      </m:oMath>
      <w:r>
        <w:t xml:space="preserve">) and understates it at the stakeholders' radii (0.0787 against 0.1095 at </w:t>
      </w:r>
      <m:oMath>
        <m:sSub>
          <m:e>
            <m:r>
              <m:t>ρ</m:t>
            </m:r>
          </m:e>
          <m:sub>
            <m:r>
              <m:rPr>
                <m:nor/>
              </m:rPr>
              <m:t>env</m:t>
            </m:r>
          </m:sub>
        </m:sSub>
      </m:oMath>
      <w:r>
        <w:t xml:space="preserve">), because tilting raises a rare event's probability faster than linearly; the rule therefore uses the exact worst case, and the formula only to read the price roughly.</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00"/>
        <w:gridCol w:w="1050"/>
        <w:gridCol w:w="1250"/>
        <w:gridCol w:w="1250"/>
        <w:gridCol w:w="1250"/>
        <w:gridCol w:w="1300"/>
        <w:gridCol w:w="1150"/>
        <w:gridCol w:w="1288"/>
      </w:tblGrid>
      <w:tr>
        <w:trPr>
          <w:cantSplit/>
          <w:tblHeader/>
        </w:trPr>
        <w:tc>
          <w:tcPr>
            <w:tcW w:type="dxa" w:w="1100"/>
            <w:shd w:fill="1F3864" w:color="auto" w:val="clear"/>
            <w:tcMar>
              <w:top w:type="dxa" w:w="60"/>
              <w:left w:type="dxa" w:w="100"/>
              <w:bottom w:type="dxa" w:w="60"/>
              <w:right w:type="dxa" w:w="100"/>
            </w:tcMar>
            <w:vAlign w:val="top"/>
          </w:tcPr>
          <w:p>
            <w:r>
              <w:rPr>
                <w:b/>
                <w:bCs/>
                <w:color w:val="FFFFFF"/>
                <w:sz w:val="14"/>
                <w:szCs w:val="14"/>
              </w:rPr>
              <w:t xml:space="preserve">Radius ρ (nats)</w:t>
            </w:r>
          </w:p>
        </w:tc>
        <w:tc>
          <w:tcPr>
            <w:tcW w:type="dxa" w:w="1050"/>
            <w:shd w:fill="1F3864" w:color="auto" w:val="clear"/>
            <w:tcMar>
              <w:top w:type="dxa" w:w="60"/>
              <w:left w:type="dxa" w:w="100"/>
              <w:bottom w:type="dxa" w:w="60"/>
              <w:right w:type="dxa" w:w="100"/>
            </w:tcMar>
            <w:vAlign w:val="top"/>
          </w:tcPr>
          <w:p>
            <w:r>
              <w:rPr>
                <w:b/>
                <w:bCs/>
                <w:color w:val="FFFFFF"/>
                <w:sz w:val="14"/>
                <w:szCs w:val="14"/>
              </w:rPr>
              <w:t xml:space="preserve">Calibrated risk</w:t>
            </w:r>
          </w:p>
        </w:tc>
        <w:tc>
          <w:tcPr>
            <w:tcW w:type="dxa" w:w="1250"/>
            <w:shd w:fill="1F3864" w:color="auto" w:val="clear"/>
            <w:tcMar>
              <w:top w:type="dxa" w:w="60"/>
              <w:left w:type="dxa" w:w="100"/>
              <w:bottom w:type="dxa" w:w="60"/>
              <w:right w:type="dxa" w:w="100"/>
            </w:tcMar>
            <w:vAlign w:val="top"/>
          </w:tcPr>
          <w:p>
            <w:r>
              <w:rPr>
                <w:b/>
                <w:bCs/>
                <w:color w:val="FFFFFF"/>
                <w:sz w:val="14"/>
                <w:szCs w:val="14"/>
              </w:rPr>
              <w:t xml:space="preserve">Tilt ball, 2 drivers: exact</w:t>
            </w:r>
          </w:p>
        </w:tc>
        <w:tc>
          <w:tcPr>
            <w:tcW w:type="dxa" w:w="1250"/>
            <w:shd w:fill="1F3864" w:color="auto" w:val="clear"/>
            <w:tcMar>
              <w:top w:type="dxa" w:w="60"/>
              <w:left w:type="dxa" w:w="100"/>
              <w:bottom w:type="dxa" w:w="60"/>
              <w:right w:type="dxa" w:w="100"/>
            </w:tcMar>
            <w:vAlign w:val="top"/>
          </w:tcPr>
          <w:p>
            <w:r>
              <w:rPr>
                <w:b/>
                <w:bCs/>
                <w:color w:val="FFFFFF"/>
                <w:sz w:val="14"/>
                <w:szCs w:val="14"/>
              </w:rPr>
              <w:t xml:space="preserve">Tilt ball, 8 drivers: exact</w:t>
            </w:r>
          </w:p>
        </w:tc>
        <w:tc>
          <w:tcPr>
            <w:tcW w:type="dxa" w:w="1250"/>
            <w:shd w:fill="1F3864" w:color="auto" w:val="clear"/>
            <w:tcMar>
              <w:top w:type="dxa" w:w="60"/>
              <w:left w:type="dxa" w:w="100"/>
              <w:bottom w:type="dxa" w:w="60"/>
              <w:right w:type="dxa" w:w="100"/>
            </w:tcMar>
            <w:vAlign w:val="top"/>
          </w:tcPr>
          <w:p>
            <w:r>
              <w:rPr>
                <w:b/>
                <w:bCs/>
                <w:color w:val="FFFFFF"/>
                <w:sz w:val="14"/>
                <w:szCs w:val="14"/>
              </w:rPr>
              <w:t xml:space="preserve">8 drivers: first-order (R2)</w:t>
            </w:r>
          </w:p>
        </w:tc>
        <w:tc>
          <w:tcPr>
            <w:tcW w:type="dxa" w:w="1300"/>
            <w:shd w:fill="1F3864" w:color="auto" w:val="clear"/>
            <w:tcMar>
              <w:top w:type="dxa" w:w="60"/>
              <w:left w:type="dxa" w:w="100"/>
              <w:bottom w:type="dxa" w:w="60"/>
              <w:right w:type="dxa" w:w="100"/>
            </w:tcMar>
            <w:vAlign w:val="top"/>
          </w:tcPr>
          <w:p>
            <w:r>
              <w:rPr>
                <w:b/>
                <w:bCs/>
                <w:color w:val="FFFFFF"/>
                <w:sz w:val="14"/>
                <w:szCs w:val="14"/>
              </w:rPr>
              <w:t xml:space="preserve">Full ball: closed form (R1)</w:t>
            </w:r>
          </w:p>
        </w:tc>
        <w:tc>
          <w:tcPr>
            <w:tcW w:type="dxa" w:w="1150"/>
            <w:shd w:fill="1F3864" w:color="auto" w:val="clear"/>
            <w:tcMar>
              <w:top w:type="dxa" w:w="60"/>
              <w:left w:type="dxa" w:w="100"/>
              <w:bottom w:type="dxa" w:w="60"/>
              <w:right w:type="dxa" w:w="100"/>
            </w:tcMar>
            <w:vAlign w:val="top"/>
          </w:tcPr>
          <w:p>
            <w:r>
              <w:rPr>
                <w:b/>
                <w:bCs/>
                <w:color w:val="FFFFFF"/>
                <w:sz w:val="14"/>
                <w:szCs w:val="14"/>
              </w:rPr>
              <w:t xml:space="preserve">Full ball: search</w:t>
            </w:r>
          </w:p>
        </w:tc>
        <w:tc>
          <w:tcPr>
            <w:tcW w:type="dxa" w:w="1288"/>
            <w:shd w:fill="1F3864" w:color="auto" w:val="clear"/>
            <w:tcMar>
              <w:top w:type="dxa" w:w="60"/>
              <w:left w:type="dxa" w:w="100"/>
              <w:bottom w:type="dxa" w:w="60"/>
              <w:right w:type="dxa" w:w="100"/>
            </w:tcMar>
            <w:vAlign w:val="top"/>
          </w:tcPr>
          <w:p>
            <w:r>
              <w:rPr>
                <w:b/>
                <w:bCs/>
                <w:color w:val="FFFFFF"/>
                <w:sz w:val="14"/>
                <w:szCs w:val="14"/>
              </w:rPr>
              <w:t xml:space="preserve">Equivalent nominal limit of the full ball</w:t>
            </w:r>
          </w:p>
        </w:tc>
      </w:tr>
      <w:tr>
        <w:trPr>
          <w:cantSplit/>
        </w:trPr>
        <w:tc>
          <w:tcPr>
            <w:tcW w:type="dxa" w:w="1100"/>
            <w:tcMar>
              <w:top w:type="dxa" w:w="60"/>
              <w:left w:type="dxa" w:w="100"/>
              <w:bottom w:type="dxa" w:w="60"/>
              <w:right w:type="dxa" w:w="100"/>
            </w:tcMar>
            <w:vAlign w:val="top"/>
          </w:tcPr>
          <w:p>
            <w:r>
              <w:rPr>
                <w:sz w:val="14"/>
                <w:szCs w:val="14"/>
              </w:rPr>
              <w:t xml:space="preserve">0.050</w:t>
            </w:r>
          </w:p>
        </w:tc>
        <w:tc>
          <w:tcPr>
            <w:tcW w:type="dxa" w:w="1050"/>
            <w:tcMar>
              <w:top w:type="dxa" w:w="60"/>
              <w:left w:type="dxa" w:w="100"/>
              <w:bottom w:type="dxa" w:w="60"/>
              <w:right w:type="dxa" w:w="100"/>
            </w:tcMar>
            <w:vAlign w:val="top"/>
          </w:tcPr>
          <w:p>
            <w:r>
              <w:rPr>
                <w:sz w:val="14"/>
                <w:szCs w:val="14"/>
              </w:rPr>
              <w:t xml:space="preserve">0.0383</w:t>
            </w:r>
          </w:p>
        </w:tc>
        <w:tc>
          <w:tcPr>
            <w:tcW w:type="dxa" w:w="1250"/>
            <w:tcMar>
              <w:top w:type="dxa" w:w="60"/>
              <w:left w:type="dxa" w:w="100"/>
              <w:bottom w:type="dxa" w:w="60"/>
              <w:right w:type="dxa" w:w="100"/>
            </w:tcMar>
            <w:vAlign w:val="top"/>
          </w:tcPr>
          <w:p>
            <w:r>
              <w:rPr>
                <w:sz w:val="14"/>
                <w:szCs w:val="14"/>
              </w:rPr>
              <w:t xml:space="preserve">0.0587</w:t>
            </w:r>
          </w:p>
        </w:tc>
        <w:tc>
          <w:tcPr>
            <w:tcW w:type="dxa" w:w="1250"/>
            <w:tcMar>
              <w:top w:type="dxa" w:w="60"/>
              <w:left w:type="dxa" w:w="100"/>
              <w:bottom w:type="dxa" w:w="60"/>
              <w:right w:type="dxa" w:w="100"/>
            </w:tcMar>
            <w:vAlign w:val="top"/>
          </w:tcPr>
          <w:p>
            <w:r>
              <w:rPr>
                <w:sz w:val="14"/>
                <w:szCs w:val="14"/>
              </w:rPr>
              <w:t xml:space="preserve">0.0595</w:t>
            </w:r>
          </w:p>
        </w:tc>
        <w:tc>
          <w:tcPr>
            <w:tcW w:type="dxa" w:w="1250"/>
            <w:tcMar>
              <w:top w:type="dxa" w:w="60"/>
              <w:left w:type="dxa" w:w="100"/>
              <w:bottom w:type="dxa" w:w="60"/>
              <w:right w:type="dxa" w:w="100"/>
            </w:tcMar>
            <w:vAlign w:val="top"/>
          </w:tcPr>
          <w:p>
            <w:r>
              <w:rPr>
                <w:sz w:val="14"/>
                <w:szCs w:val="14"/>
              </w:rPr>
              <w:t xml:space="preserve">0.0550</w:t>
            </w:r>
          </w:p>
        </w:tc>
        <w:tc>
          <w:tcPr>
            <w:tcW w:type="dxa" w:w="1300"/>
            <w:tcMar>
              <w:top w:type="dxa" w:w="60"/>
              <w:left w:type="dxa" w:w="100"/>
              <w:bottom w:type="dxa" w:w="60"/>
              <w:right w:type="dxa" w:w="100"/>
            </w:tcMar>
            <w:vAlign w:val="top"/>
          </w:tcPr>
          <w:p>
            <w:r>
              <w:rPr>
                <w:sz w:val="14"/>
                <w:szCs w:val="14"/>
              </w:rPr>
              <w:t xml:space="preserve">0.1125</w:t>
            </w:r>
          </w:p>
        </w:tc>
        <w:tc>
          <w:tcPr>
            <w:tcW w:type="dxa" w:w="1150"/>
            <w:tcMar>
              <w:top w:type="dxa" w:w="60"/>
              <w:left w:type="dxa" w:w="100"/>
              <w:bottom w:type="dxa" w:w="60"/>
              <w:right w:type="dxa" w:w="100"/>
            </w:tcMar>
            <w:vAlign w:val="top"/>
          </w:tcPr>
          <w:p>
            <w:r>
              <w:rPr>
                <w:sz w:val="14"/>
                <w:szCs w:val="14"/>
              </w:rPr>
              <w:t xml:space="preserve">0.1125</w:t>
            </w:r>
          </w:p>
        </w:tc>
        <w:tc>
          <w:tcPr>
            <w:tcW w:type="dxa" w:w="1288"/>
            <w:tcMar>
              <w:top w:type="dxa" w:w="60"/>
              <w:left w:type="dxa" w:w="100"/>
              <w:bottom w:type="dxa" w:w="60"/>
              <w:right w:type="dxa" w:w="100"/>
            </w:tcMar>
            <w:vAlign w:val="top"/>
          </w:tcPr>
          <w:p>
            <w:r>
              <w:rPr>
                <w:sz w:val="14"/>
                <w:szCs w:val="14"/>
              </w:rPr>
              <w:t xml:space="preserve">0.0313</w:t>
            </w:r>
          </w:p>
        </w:tc>
      </w:tr>
      <w:tr>
        <w:trPr>
          <w:cantSplit/>
        </w:trPr>
        <w:tc>
          <w:tcPr>
            <w:tcW w:type="dxa" w:w="1100"/>
            <w:shd w:fill="F7F9FC" w:color="auto" w:val="clear"/>
            <w:tcMar>
              <w:top w:type="dxa" w:w="60"/>
              <w:left w:type="dxa" w:w="100"/>
              <w:bottom w:type="dxa" w:w="60"/>
              <w:right w:type="dxa" w:w="100"/>
            </w:tcMar>
            <w:vAlign w:val="top"/>
          </w:tcPr>
          <w:p>
            <w:r>
              <w:rPr>
                <w:sz w:val="14"/>
                <w:szCs w:val="14"/>
              </w:rPr>
              <w:t xml:space="preserve">0.100</w:t>
            </w:r>
          </w:p>
        </w:tc>
        <w:tc>
          <w:tcPr>
            <w:tcW w:type="dxa" w:w="1050"/>
            <w:shd w:fill="F7F9FC" w:color="auto" w:val="clear"/>
            <w:tcMar>
              <w:top w:type="dxa" w:w="60"/>
              <w:left w:type="dxa" w:w="100"/>
              <w:bottom w:type="dxa" w:w="60"/>
              <w:right w:type="dxa" w:w="100"/>
            </w:tcMar>
            <w:vAlign w:val="top"/>
          </w:tcPr>
          <w:p>
            <w:r>
              <w:rPr>
                <w:sz w:val="14"/>
                <w:szCs w:val="14"/>
              </w:rPr>
              <w:t xml:space="preserve">0.0383</w:t>
            </w:r>
          </w:p>
        </w:tc>
        <w:tc>
          <w:tcPr>
            <w:tcW w:type="dxa" w:w="1250"/>
            <w:shd w:fill="F7F9FC" w:color="auto" w:val="clear"/>
            <w:tcMar>
              <w:top w:type="dxa" w:w="60"/>
              <w:left w:type="dxa" w:w="100"/>
              <w:bottom w:type="dxa" w:w="60"/>
              <w:right w:type="dxa" w:w="100"/>
            </w:tcMar>
            <w:vAlign w:val="top"/>
          </w:tcPr>
          <w:p>
            <w:r>
              <w:rPr>
                <w:sz w:val="14"/>
                <w:szCs w:val="14"/>
              </w:rPr>
              <w:t xml:space="preserve">0.0701</w:t>
            </w:r>
          </w:p>
        </w:tc>
        <w:tc>
          <w:tcPr>
            <w:tcW w:type="dxa" w:w="1250"/>
            <w:shd w:fill="F7F9FC" w:color="auto" w:val="clear"/>
            <w:tcMar>
              <w:top w:type="dxa" w:w="60"/>
              <w:left w:type="dxa" w:w="100"/>
              <w:bottom w:type="dxa" w:w="60"/>
              <w:right w:type="dxa" w:w="100"/>
            </w:tcMar>
            <w:vAlign w:val="top"/>
          </w:tcPr>
          <w:p>
            <w:r>
              <w:rPr>
                <w:sz w:val="14"/>
                <w:szCs w:val="14"/>
              </w:rPr>
              <w:t xml:space="preserve">0.0714</w:t>
            </w:r>
          </w:p>
        </w:tc>
        <w:tc>
          <w:tcPr>
            <w:tcW w:type="dxa" w:w="1250"/>
            <w:shd w:fill="F7F9FC" w:color="auto" w:val="clear"/>
            <w:tcMar>
              <w:top w:type="dxa" w:w="60"/>
              <w:left w:type="dxa" w:w="100"/>
              <w:bottom w:type="dxa" w:w="60"/>
              <w:right w:type="dxa" w:w="100"/>
            </w:tcMar>
            <w:vAlign w:val="top"/>
          </w:tcPr>
          <w:p>
            <w:r>
              <w:rPr>
                <w:sz w:val="14"/>
                <w:szCs w:val="14"/>
              </w:rPr>
              <w:t xml:space="preserve">0.0619</w:t>
            </w:r>
          </w:p>
        </w:tc>
        <w:tc>
          <w:tcPr>
            <w:tcW w:type="dxa" w:w="1300"/>
            <w:shd w:fill="F7F9FC" w:color="auto" w:val="clear"/>
            <w:tcMar>
              <w:top w:type="dxa" w:w="60"/>
              <w:left w:type="dxa" w:w="100"/>
              <w:bottom w:type="dxa" w:w="60"/>
              <w:right w:type="dxa" w:w="100"/>
            </w:tcMar>
            <w:vAlign w:val="top"/>
          </w:tcPr>
          <w:p>
            <w:r>
              <w:rPr>
                <w:sz w:val="14"/>
                <w:szCs w:val="14"/>
              </w:rPr>
              <w:t xml:space="preserve">0.1501</w:t>
            </w:r>
          </w:p>
        </w:tc>
        <w:tc>
          <w:tcPr>
            <w:tcW w:type="dxa" w:w="1150"/>
            <w:shd w:fill="F7F9FC" w:color="auto" w:val="clear"/>
            <w:tcMar>
              <w:top w:type="dxa" w:w="60"/>
              <w:left w:type="dxa" w:w="100"/>
              <w:bottom w:type="dxa" w:w="60"/>
              <w:right w:type="dxa" w:w="100"/>
            </w:tcMar>
            <w:vAlign w:val="top"/>
          </w:tcPr>
          <w:p>
            <w:r>
              <w:rPr>
                <w:sz w:val="14"/>
                <w:szCs w:val="14"/>
              </w:rPr>
              <w:t xml:space="preserve">0.1499</w:t>
            </w:r>
          </w:p>
        </w:tc>
        <w:tc>
          <w:tcPr>
            <w:tcW w:type="dxa" w:w="1288"/>
            <w:shd w:fill="F7F9FC" w:color="auto" w:val="clear"/>
            <w:tcMar>
              <w:top w:type="dxa" w:w="60"/>
              <w:left w:type="dxa" w:w="100"/>
              <w:bottom w:type="dxa" w:w="60"/>
              <w:right w:type="dxa" w:w="100"/>
            </w:tcMar>
            <w:vAlign w:val="top"/>
          </w:tcPr>
          <w:p>
            <w:r>
              <w:rPr>
                <w:sz w:val="14"/>
                <w:szCs w:val="14"/>
              </w:rPr>
              <w:t xml:space="preserve">0.0166</w:t>
            </w:r>
          </w:p>
        </w:tc>
      </w:tr>
      <w:tr>
        <w:trPr>
          <w:cantSplit/>
        </w:trPr>
        <w:tc>
          <w:tcPr>
            <w:tcW w:type="dxa" w:w="1100"/>
            <w:tcMar>
              <w:top w:type="dxa" w:w="60"/>
              <w:left w:type="dxa" w:w="100"/>
              <w:bottom w:type="dxa" w:w="60"/>
              <w:right w:type="dxa" w:w="100"/>
            </w:tcMar>
            <w:vAlign w:val="top"/>
          </w:tcPr>
          <w:p>
            <w:r>
              <w:rPr>
                <w:sz w:val="14"/>
                <w:szCs w:val="14"/>
              </w:rPr>
              <w:t xml:space="preserve">0.293</w:t>
            </w:r>
          </w:p>
        </w:tc>
        <w:tc>
          <w:tcPr>
            <w:tcW w:type="dxa" w:w="1050"/>
            <w:tcMar>
              <w:top w:type="dxa" w:w="60"/>
              <w:left w:type="dxa" w:w="100"/>
              <w:bottom w:type="dxa" w:w="60"/>
              <w:right w:type="dxa" w:w="100"/>
            </w:tcMar>
            <w:vAlign w:val="top"/>
          </w:tcPr>
          <w:p>
            <w:r>
              <w:rPr>
                <w:sz w:val="14"/>
                <w:szCs w:val="14"/>
              </w:rPr>
              <w:t xml:space="preserve">0.0383</w:t>
            </w:r>
          </w:p>
        </w:tc>
        <w:tc>
          <w:tcPr>
            <w:tcW w:type="dxa" w:w="1250"/>
            <w:tcMar>
              <w:top w:type="dxa" w:w="60"/>
              <w:left w:type="dxa" w:w="100"/>
              <w:bottom w:type="dxa" w:w="60"/>
              <w:right w:type="dxa" w:w="100"/>
            </w:tcMar>
            <w:vAlign w:val="top"/>
          </w:tcPr>
          <w:p>
            <w:r>
              <w:rPr>
                <w:sz w:val="14"/>
                <w:szCs w:val="14"/>
              </w:rPr>
              <w:t xml:space="preserve">0.1074</w:t>
            </w:r>
          </w:p>
        </w:tc>
        <w:tc>
          <w:tcPr>
            <w:tcW w:type="dxa" w:w="1250"/>
            <w:tcMar>
              <w:top w:type="dxa" w:w="60"/>
              <w:left w:type="dxa" w:w="100"/>
              <w:bottom w:type="dxa" w:w="60"/>
              <w:right w:type="dxa" w:w="100"/>
            </w:tcMar>
            <w:vAlign w:val="top"/>
          </w:tcPr>
          <w:p>
            <w:r>
              <w:rPr>
                <w:sz w:val="14"/>
                <w:szCs w:val="14"/>
              </w:rPr>
              <w:t xml:space="preserve">0.1095</w:t>
            </w:r>
          </w:p>
        </w:tc>
        <w:tc>
          <w:tcPr>
            <w:tcW w:type="dxa" w:w="1250"/>
            <w:tcMar>
              <w:top w:type="dxa" w:w="60"/>
              <w:left w:type="dxa" w:w="100"/>
              <w:bottom w:type="dxa" w:w="60"/>
              <w:right w:type="dxa" w:w="100"/>
            </w:tcMar>
            <w:vAlign w:val="top"/>
          </w:tcPr>
          <w:p>
            <w:r>
              <w:rPr>
                <w:sz w:val="14"/>
                <w:szCs w:val="14"/>
              </w:rPr>
              <w:t xml:space="preserve">0.0787</w:t>
            </w:r>
          </w:p>
        </w:tc>
        <w:tc>
          <w:tcPr>
            <w:tcW w:type="dxa" w:w="1300"/>
            <w:tcMar>
              <w:top w:type="dxa" w:w="60"/>
              <w:left w:type="dxa" w:w="100"/>
              <w:bottom w:type="dxa" w:w="60"/>
              <w:right w:type="dxa" w:w="100"/>
            </w:tcMar>
            <w:vAlign w:val="top"/>
          </w:tcPr>
          <w:p>
            <w:r>
              <w:rPr>
                <w:sz w:val="14"/>
                <w:szCs w:val="14"/>
              </w:rPr>
              <w:t xml:space="preserve">0.2547</w:t>
            </w:r>
          </w:p>
        </w:tc>
        <w:tc>
          <w:tcPr>
            <w:tcW w:type="dxa" w:w="1150"/>
            <w:tcMar>
              <w:top w:type="dxa" w:w="60"/>
              <w:left w:type="dxa" w:w="100"/>
              <w:bottom w:type="dxa" w:w="60"/>
              <w:right w:type="dxa" w:w="100"/>
            </w:tcMar>
            <w:vAlign w:val="top"/>
          </w:tcPr>
          <w:p>
            <w:r>
              <w:rPr>
                <w:sz w:val="14"/>
                <w:szCs w:val="14"/>
              </w:rPr>
              <w:t xml:space="preserve">0.2547</w:t>
            </w:r>
          </w:p>
        </w:tc>
        <w:tc>
          <w:tcPr>
            <w:tcW w:type="dxa" w:w="1288"/>
            <w:tcMar>
              <w:top w:type="dxa" w:w="60"/>
              <w:left w:type="dxa" w:w="100"/>
              <w:bottom w:type="dxa" w:w="60"/>
              <w:right w:type="dxa" w:w="100"/>
            </w:tcMar>
            <w:vAlign w:val="top"/>
          </w:tcPr>
          <w:p>
            <w:r>
              <w:rPr>
                <w:sz w:val="14"/>
                <w:szCs w:val="14"/>
              </w:rPr>
              <w:t xml:space="preserve">0.0021</w:t>
            </w:r>
          </w:p>
        </w:tc>
      </w:tr>
      <w:tr>
        <w:trPr>
          <w:cantSplit/>
        </w:trPr>
        <w:tc>
          <w:tcPr>
            <w:tcW w:type="dxa" w:w="1100"/>
            <w:shd w:fill="F7F9FC" w:color="auto" w:val="clear"/>
            <w:tcMar>
              <w:top w:type="dxa" w:w="60"/>
              <w:left w:type="dxa" w:w="100"/>
              <w:bottom w:type="dxa" w:w="60"/>
              <w:right w:type="dxa" w:w="100"/>
            </w:tcMar>
            <w:vAlign w:val="top"/>
          </w:tcPr>
          <w:p>
            <w:r>
              <w:rPr>
                <w:sz w:val="14"/>
                <w:szCs w:val="14"/>
              </w:rPr>
              <w:t xml:space="preserve">0.412</w:t>
            </w:r>
          </w:p>
        </w:tc>
        <w:tc>
          <w:tcPr>
            <w:tcW w:type="dxa" w:w="1050"/>
            <w:shd w:fill="F7F9FC" w:color="auto" w:val="clear"/>
            <w:tcMar>
              <w:top w:type="dxa" w:w="60"/>
              <w:left w:type="dxa" w:w="100"/>
              <w:bottom w:type="dxa" w:w="60"/>
              <w:right w:type="dxa" w:w="100"/>
            </w:tcMar>
            <w:vAlign w:val="top"/>
          </w:tcPr>
          <w:p>
            <w:r>
              <w:rPr>
                <w:sz w:val="14"/>
                <w:szCs w:val="14"/>
              </w:rPr>
              <w:t xml:space="preserve">0.0383</w:t>
            </w:r>
          </w:p>
        </w:tc>
        <w:tc>
          <w:tcPr>
            <w:tcW w:type="dxa" w:w="1250"/>
            <w:shd w:fill="F7F9FC" w:color="auto" w:val="clear"/>
            <w:tcMar>
              <w:top w:type="dxa" w:w="60"/>
              <w:left w:type="dxa" w:w="100"/>
              <w:bottom w:type="dxa" w:w="60"/>
              <w:right w:type="dxa" w:w="100"/>
            </w:tcMar>
            <w:vAlign w:val="top"/>
          </w:tcPr>
          <w:p>
            <w:r>
              <w:rPr>
                <w:sz w:val="14"/>
                <w:szCs w:val="14"/>
              </w:rPr>
              <w:t xml:space="preserve">0.1292</w:t>
            </w:r>
          </w:p>
        </w:tc>
        <w:tc>
          <w:tcPr>
            <w:tcW w:type="dxa" w:w="1250"/>
            <w:shd w:fill="F7F9FC" w:color="auto" w:val="clear"/>
            <w:tcMar>
              <w:top w:type="dxa" w:w="60"/>
              <w:left w:type="dxa" w:w="100"/>
              <w:bottom w:type="dxa" w:w="60"/>
              <w:right w:type="dxa" w:w="100"/>
            </w:tcMar>
            <w:vAlign w:val="top"/>
          </w:tcPr>
          <w:p>
            <w:r>
              <w:rPr>
                <w:sz w:val="14"/>
                <w:szCs w:val="14"/>
              </w:rPr>
              <w:t xml:space="preserve">0.1310</w:t>
            </w:r>
          </w:p>
        </w:tc>
        <w:tc>
          <w:tcPr>
            <w:tcW w:type="dxa" w:w="1250"/>
            <w:shd w:fill="F7F9FC" w:color="auto" w:val="clear"/>
            <w:tcMar>
              <w:top w:type="dxa" w:w="60"/>
              <w:left w:type="dxa" w:w="100"/>
              <w:bottom w:type="dxa" w:w="60"/>
              <w:right w:type="dxa" w:w="100"/>
            </w:tcMar>
            <w:vAlign w:val="top"/>
          </w:tcPr>
          <w:p>
            <w:r>
              <w:rPr>
                <w:sz w:val="14"/>
                <w:szCs w:val="14"/>
              </w:rPr>
              <w:t xml:space="preserve">0.0863</w:t>
            </w:r>
          </w:p>
        </w:tc>
        <w:tc>
          <w:tcPr>
            <w:tcW w:type="dxa" w:w="1300"/>
            <w:shd w:fill="F7F9FC" w:color="auto" w:val="clear"/>
            <w:tcMar>
              <w:top w:type="dxa" w:w="60"/>
              <w:left w:type="dxa" w:w="100"/>
              <w:bottom w:type="dxa" w:w="60"/>
              <w:right w:type="dxa" w:w="100"/>
            </w:tcMar>
            <w:vAlign w:val="top"/>
          </w:tcPr>
          <w:p>
            <w:r>
              <w:rPr>
                <w:sz w:val="14"/>
                <w:szCs w:val="14"/>
              </w:rPr>
              <w:t xml:space="preserve">0.3068</w:t>
            </w:r>
          </w:p>
        </w:tc>
        <w:tc>
          <w:tcPr>
            <w:tcW w:type="dxa" w:w="1150"/>
            <w:shd w:fill="F7F9FC" w:color="auto" w:val="clear"/>
            <w:tcMar>
              <w:top w:type="dxa" w:w="60"/>
              <w:left w:type="dxa" w:w="100"/>
              <w:bottom w:type="dxa" w:w="60"/>
              <w:right w:type="dxa" w:w="100"/>
            </w:tcMar>
            <w:vAlign w:val="top"/>
          </w:tcPr>
          <w:p>
            <w:r>
              <w:rPr>
                <w:sz w:val="14"/>
                <w:szCs w:val="14"/>
              </w:rPr>
              <w:t xml:space="preserve">0.3067</w:t>
            </w:r>
          </w:p>
        </w:tc>
        <w:tc>
          <w:tcPr>
            <w:tcW w:type="dxa" w:w="1288"/>
            <w:shd w:fill="F7F9FC" w:color="auto" w:val="clear"/>
            <w:tcMar>
              <w:top w:type="dxa" w:w="60"/>
              <w:left w:type="dxa" w:w="100"/>
              <w:bottom w:type="dxa" w:w="60"/>
              <w:right w:type="dxa" w:w="100"/>
            </w:tcMar>
            <w:vAlign w:val="top"/>
          </w:tcPr>
          <w:p>
            <w:r>
              <w:rPr>
                <w:sz w:val="14"/>
                <w:szCs w:val="14"/>
              </w:rPr>
              <w:t xml:space="preserve">0.0006</w:t>
            </w:r>
          </w:p>
        </w:tc>
      </w:tr>
    </w:tbl>
    <w:p>
      <w:pPr>
        <w:spacing w:after="160"/>
      </w:pPr>
    </w:p>
    <w:p>
      <w:pPr>
        <w:spacing w:after="120"/>
      </w:pPr>
      <w:r>
        <w:rPr>
          <w:i/>
          <w:iCs/>
          <w:color w:val="5B6573"/>
          <w:sz w:val="18"/>
          <w:szCs w:val="18"/>
        </w:rPr>
        <w:t xml:space="preserve">Table 9.3. Worst-case probability that A1 or P10 exceeds 250 mg/L at the review-57 choice without data (s = 0.8, 3 × 5,000 m³/d of recharge), over balls of increasing radius.</w:t>
      </w:r>
    </w:p>
    <w:p>
      <w:pPr>
        <w:pStyle w:val="Heading3"/>
      </w:pPr>
      <w:r>
        <w:rPr>
          <w:color w:val="1F3864"/>
        </w:rPr>
        <w:t xml:space="preserve">9.7 What it means for Fushë-Kuqe, and the limits</w:t>
      </w:r>
    </w:p>
    <w:p>
      <w:pPr>
        <w:spacing w:after="120"/>
        <w:jc w:val="both"/>
      </w:pPr>
      <w:r>
        <w:t xml:space="preserve">For the stakeholders the change from review 57 is one step earlier in the procedure. Before stating beliefs, agree on a radius, for example the distance of the most cautious stated belief, and on the drivers it covers; read its price in water from Figure R1b; then buy the chloride sample at A30 and let the rule decide. The radius protects the beliefs that were stated and those that were not, its price is visible before anyone commits, and the sample lowers it. The limits: the beliefs are tilts of one calibrated ensemble, so beliefs about processes outside the model (sea-level rise, other geology) are not covered by any radius; the radius itself is a stated number and can be argued over or exaggerated like any belief, the problem of the theme-3 papers; a ball is symmetric, so an optimistic outlier raises the protection demanded for pessimists; the exact worst case is found by a local ascent, which is reliable here because the objective is close to linear on the ball but is not a certificate; the model is steady and areal; and, as in review 57, the estimates rest on a finite weighted ensemble.</w:t>
      </w:r>
    </w:p>
    <w:p>
      <w:pPr>
        <w:pStyle w:val="Heading1"/>
      </w:pPr>
      <w:r>
        <w:rPr>
          <w:color w:val="1F3864"/>
        </w:rPr>
        <w:t xml:space="preserve">10. References</w:t>
      </w:r>
    </w:p>
    <w:p>
      <w:pPr>
        <w:pStyle w:val="Heading3"/>
      </w:pPr>
      <w:r>
        <w:rPr>
          <w:color w:val="1F3864"/>
        </w:rPr>
        <w:t xml:space="preserve">References of Part I and section 9 (classical literature)</w:t>
      </w:r>
    </w:p>
    <w:p>
      <w:pPr>
        <w:tabs>
          <w:tab w:val="left" w:pos="567"/>
        </w:tabs>
        <w:spacing w:after="50"/>
        <w:ind w:left="567" w:hanging="567"/>
        <w:jc w:val="left"/>
      </w:pPr>
      <w:r>
        <w:rPr>
          <w:b/>
          <w:bCs/>
          <w:color w:val="1F3864"/>
          <w:sz w:val="17"/>
          <w:szCs w:val="17"/>
        </w:rPr>
        <w:t xml:space="preserve">[B1]	</w:t>
      </w:r>
      <w:r>
        <w:rPr>
          <w:sz w:val="17"/>
          <w:szCs w:val="17"/>
        </w:rPr>
        <w:t xml:space="preserve">Ben-Haim, Y. (2006). </w:t>
      </w:r>
      <w:r>
        <w:rPr>
          <w:i/>
          <w:iCs/>
          <w:sz w:val="17"/>
          <w:szCs w:val="17"/>
        </w:rPr>
        <w:t xml:space="preserve">Info-Gap Decision Theory: Decisions under Severe Uncertainty</w:t>
      </w:r>
      <w:r>
        <w:rPr>
          <w:sz w:val="17"/>
          <w:szCs w:val="17"/>
        </w:rPr>
        <w:t xml:space="preserve">, 2nd edition. Academic Press, Oxford (pages not verified).</w:t>
      </w:r>
    </w:p>
    <w:p>
      <w:pPr>
        <w:tabs>
          <w:tab w:val="left" w:pos="567"/>
        </w:tabs>
        <w:spacing w:after="50"/>
        <w:ind w:left="567" w:hanging="567"/>
        <w:jc w:val="left"/>
      </w:pPr>
      <w:r>
        <w:rPr>
          <w:b/>
          <w:bCs/>
          <w:color w:val="1F3864"/>
          <w:sz w:val="17"/>
          <w:szCs w:val="17"/>
        </w:rPr>
        <w:t xml:space="preserve">[B2]	</w:t>
      </w:r>
      <w:r>
        <w:rPr>
          <w:sz w:val="17"/>
          <w:szCs w:val="17"/>
        </w:rPr>
        <w:t xml:space="preserve">Ben-Tal, A., den Hertog, D., De Waegenaere, A., Melenberg, B. &amp; Rennen, G. (2013). Robust solutions of optimization problems affected by uncertain probabilities. </w:t>
      </w:r>
      <w:r>
        <w:rPr>
          <w:i/>
          <w:iCs/>
          <w:sz w:val="17"/>
          <w:szCs w:val="17"/>
        </w:rPr>
        <w:t xml:space="preserve">Management Science</w:t>
      </w:r>
      <w:r>
        <w:rPr>
          <w:sz w:val="17"/>
          <w:szCs w:val="17"/>
        </w:rPr>
        <w:t xml:space="preserve">, 59(2), 341–357.</w:t>
      </w:r>
      <w:r>
        <w:rPr>
          <w:sz w:val="17"/>
          <w:szCs w:val="17"/>
        </w:rPr>
        <w:t xml:space="preserve"> </w:t>
      </w:r>
      <w:hyperlink w:history="1" r:id="rIdo-svgrvesh1oxo7u99upx">
        <w:r>
          <w:rPr>
            <w:color w:val="1D4ED8"/>
            <w:sz w:val="17"/>
            <w:szCs w:val="17"/>
            <w:u w:val="single"/>
          </w:rPr>
          <w:t xml:space="preserve">https://doi.org/10.1287/mnsc.1120.1641</w:t>
        </w:r>
      </w:hyperlink>
    </w:p>
    <w:p>
      <w:pPr>
        <w:tabs>
          <w:tab w:val="left" w:pos="567"/>
        </w:tabs>
        <w:spacing w:after="50"/>
        <w:ind w:left="567" w:hanging="567"/>
        <w:jc w:val="left"/>
      </w:pPr>
      <w:r>
        <w:rPr>
          <w:b/>
          <w:bCs/>
          <w:color w:val="1F3864"/>
          <w:sz w:val="17"/>
          <w:szCs w:val="17"/>
        </w:rPr>
        <w:t xml:space="preserve">[B3]	</w:t>
      </w:r>
      <w:r>
        <w:rPr>
          <w:sz w:val="17"/>
          <w:szCs w:val="17"/>
        </w:rPr>
        <w:t xml:space="preserve">Mohajerin Esfahani, P. &amp; Kuhn, D. (2018). Data-driven distributionally robust optimization using the Wasserstein metric: performance guarantees and tractable reformulations. </w:t>
      </w:r>
      <w:r>
        <w:rPr>
          <w:i/>
          <w:iCs/>
          <w:sz w:val="17"/>
          <w:szCs w:val="17"/>
        </w:rPr>
        <w:t xml:space="preserve">Mathematical Programming</w:t>
      </w:r>
      <w:r>
        <w:rPr>
          <w:sz w:val="17"/>
          <w:szCs w:val="17"/>
        </w:rPr>
        <w:t xml:space="preserve">, 171(1–2), 115–166.</w:t>
      </w:r>
      <w:r>
        <w:rPr>
          <w:sz w:val="17"/>
          <w:szCs w:val="17"/>
        </w:rPr>
        <w:t xml:space="preserve"> </w:t>
      </w:r>
      <w:hyperlink w:history="1" r:id="rIdkr-f9apefxy9kdeyxpeno">
        <w:r>
          <w:rPr>
            <w:color w:val="1D4ED8"/>
            <w:sz w:val="17"/>
            <w:szCs w:val="17"/>
            <w:u w:val="single"/>
          </w:rPr>
          <w:t xml:space="preserve">https://doi.org/10.1007/s10107-017-1172-1</w:t>
        </w:r>
      </w:hyperlink>
    </w:p>
    <w:p>
      <w:pPr>
        <w:tabs>
          <w:tab w:val="left" w:pos="567"/>
        </w:tabs>
        <w:spacing w:after="50"/>
        <w:ind w:left="567" w:hanging="567"/>
        <w:jc w:val="left"/>
      </w:pPr>
      <w:r>
        <w:rPr>
          <w:b/>
          <w:bCs/>
          <w:color w:val="1F3864"/>
          <w:sz w:val="17"/>
          <w:szCs w:val="17"/>
        </w:rPr>
        <w:t xml:space="preserve">[B4]	</w:t>
      </w:r>
      <w:r>
        <w:rPr>
          <w:sz w:val="17"/>
          <w:szCs w:val="17"/>
        </w:rPr>
        <w:t xml:space="preserve">Donsker, M. D. &amp; Varadhan, S. R. S. (1975). Asymptotic evaluation of certain Markov process expectations for large time, I. </w:t>
      </w:r>
      <w:r>
        <w:rPr>
          <w:i/>
          <w:iCs/>
          <w:sz w:val="17"/>
          <w:szCs w:val="17"/>
        </w:rPr>
        <w:t xml:space="preserve">Communications on Pure and Applied Mathematics</w:t>
      </w:r>
      <w:r>
        <w:rPr>
          <w:sz w:val="17"/>
          <w:szCs w:val="17"/>
        </w:rPr>
        <w:t xml:space="preserve">, 28(1), 1–47.</w:t>
      </w:r>
      <w:r>
        <w:rPr>
          <w:sz w:val="17"/>
          <w:szCs w:val="17"/>
        </w:rPr>
        <w:t xml:space="preserve"> </w:t>
      </w:r>
      <w:hyperlink w:history="1" r:id="rIdzyqfq79jisj2jpmpjp3vz">
        <w:r>
          <w:rPr>
            <w:color w:val="1D4ED8"/>
            <w:sz w:val="17"/>
            <w:szCs w:val="17"/>
            <w:u w:val="single"/>
          </w:rPr>
          <w:t xml:space="preserve">https://doi.org/10.1002/cpa.3160280102</w:t>
        </w:r>
      </w:hyperlink>
    </w:p>
    <w:p>
      <w:pPr>
        <w:tabs>
          <w:tab w:val="left" w:pos="567"/>
        </w:tabs>
        <w:spacing w:after="50"/>
        <w:ind w:left="567" w:hanging="567"/>
        <w:jc w:val="left"/>
      </w:pPr>
      <w:r>
        <w:rPr>
          <w:b/>
          <w:bCs/>
          <w:color w:val="1F3864"/>
          <w:sz w:val="17"/>
          <w:szCs w:val="17"/>
        </w:rPr>
        <w:t xml:space="preserve">[B5]	</w:t>
      </w:r>
      <w:r>
        <w:rPr>
          <w:sz w:val="17"/>
          <w:szCs w:val="17"/>
        </w:rPr>
        <w:t xml:space="preserve">Gneiting, T. &amp; Raftery, A. E. (2007). Strictly proper scoring rules, prediction, and estimation. </w:t>
      </w:r>
      <w:r>
        <w:rPr>
          <w:i/>
          <w:iCs/>
          <w:sz w:val="17"/>
          <w:szCs w:val="17"/>
        </w:rPr>
        <w:t xml:space="preserve">Journal of the American Statistical Association</w:t>
      </w:r>
      <w:r>
        <w:rPr>
          <w:sz w:val="17"/>
          <w:szCs w:val="17"/>
        </w:rPr>
        <w:t xml:space="preserve">, 102(477), 359–378.</w:t>
      </w:r>
      <w:r>
        <w:rPr>
          <w:sz w:val="17"/>
          <w:szCs w:val="17"/>
        </w:rPr>
        <w:t xml:space="preserve"> </w:t>
      </w:r>
      <w:hyperlink w:history="1" r:id="rIdnwhgnz-qmsljp4r_dlllb">
        <w:r>
          <w:rPr>
            <w:color w:val="1D4ED8"/>
            <w:sz w:val="17"/>
            <w:szCs w:val="17"/>
            <w:u w:val="single"/>
          </w:rPr>
          <w:t xml:space="preserve">https://doi.org/10.1198/016214506000001437</w:t>
        </w:r>
      </w:hyperlink>
    </w:p>
    <w:p>
      <w:pPr>
        <w:tabs>
          <w:tab w:val="left" w:pos="567"/>
        </w:tabs>
        <w:spacing w:after="50"/>
        <w:ind w:left="567" w:hanging="567"/>
        <w:jc w:val="left"/>
      </w:pPr>
      <w:r>
        <w:rPr>
          <w:b/>
          <w:bCs/>
          <w:color w:val="1F3864"/>
          <w:sz w:val="17"/>
          <w:szCs w:val="17"/>
        </w:rPr>
        <w:t xml:space="preserve">[B6]	</w:t>
      </w:r>
      <w:r>
        <w:rPr>
          <w:sz w:val="17"/>
          <w:szCs w:val="17"/>
        </w:rPr>
        <w:t xml:space="preserve">Gneiting, T. (2011). Making and evaluating point forecasts. </w:t>
      </w:r>
      <w:r>
        <w:rPr>
          <w:i/>
          <w:iCs/>
          <w:sz w:val="17"/>
          <w:szCs w:val="17"/>
        </w:rPr>
        <w:t xml:space="preserve">Journal of the American Statistical Association</w:t>
      </w:r>
      <w:r>
        <w:rPr>
          <w:sz w:val="17"/>
          <w:szCs w:val="17"/>
        </w:rPr>
        <w:t xml:space="preserve">, 106(494), 746–762.</w:t>
      </w:r>
      <w:r>
        <w:rPr>
          <w:sz w:val="17"/>
          <w:szCs w:val="17"/>
        </w:rPr>
        <w:t xml:space="preserve"> </w:t>
      </w:r>
      <w:hyperlink w:history="1" r:id="rIdtpdz1c6bwhkd8h0anxjoy">
        <w:r>
          <w:rPr>
            <w:color w:val="1D4ED8"/>
            <w:sz w:val="17"/>
            <w:szCs w:val="17"/>
            <w:u w:val="single"/>
          </w:rPr>
          <w:t xml:space="preserve">https://doi.org/10.1198/jasa.2011.r10138</w:t>
        </w:r>
      </w:hyperlink>
    </w:p>
    <w:p>
      <w:pPr>
        <w:tabs>
          <w:tab w:val="left" w:pos="567"/>
        </w:tabs>
        <w:spacing w:after="50"/>
        <w:ind w:left="567" w:hanging="567"/>
        <w:jc w:val="left"/>
      </w:pPr>
      <w:r>
        <w:rPr>
          <w:b/>
          <w:bCs/>
          <w:color w:val="1F3864"/>
          <w:sz w:val="17"/>
          <w:szCs w:val="17"/>
        </w:rPr>
        <w:t xml:space="preserve">[B7]	</w:t>
      </w:r>
      <w:r>
        <w:rPr>
          <w:sz w:val="17"/>
          <w:szCs w:val="17"/>
        </w:rPr>
        <w:t xml:space="preserve">Moulin, H. (1980). On strategy-proofness and single peakedness. </w:t>
      </w:r>
      <w:r>
        <w:rPr>
          <w:i/>
          <w:iCs/>
          <w:sz w:val="17"/>
          <w:szCs w:val="17"/>
        </w:rPr>
        <w:t xml:space="preserve">Public Choice</w:t>
      </w:r>
      <w:r>
        <w:rPr>
          <w:sz w:val="17"/>
          <w:szCs w:val="17"/>
        </w:rPr>
        <w:t xml:space="preserve">, 35(4), 437–455.</w:t>
      </w:r>
      <w:r>
        <w:rPr>
          <w:sz w:val="17"/>
          <w:szCs w:val="17"/>
        </w:rPr>
        <w:t xml:space="preserve"> </w:t>
      </w:r>
      <w:hyperlink w:history="1" r:id="rIdroica6hmiofl3qdk_16fc">
        <w:r>
          <w:rPr>
            <w:color w:val="1D4ED8"/>
            <w:sz w:val="17"/>
            <w:szCs w:val="17"/>
            <w:u w:val="single"/>
          </w:rPr>
          <w:t xml:space="preserve">https://doi.org/10.1007/BF00128122</w:t>
        </w:r>
      </w:hyperlink>
    </w:p>
    <w:p>
      <w:pPr>
        <w:tabs>
          <w:tab w:val="left" w:pos="567"/>
        </w:tabs>
        <w:spacing w:after="50"/>
        <w:ind w:left="567" w:hanging="567"/>
        <w:jc w:val="left"/>
      </w:pPr>
      <w:r>
        <w:rPr>
          <w:b/>
          <w:bCs/>
          <w:color w:val="1F3864"/>
          <w:sz w:val="17"/>
          <w:szCs w:val="17"/>
        </w:rPr>
        <w:t xml:space="preserve">[B8]	</w:t>
      </w:r>
      <w:r>
        <w:rPr>
          <w:sz w:val="17"/>
          <w:szCs w:val="17"/>
        </w:rPr>
        <w:t xml:space="preserve">Gibbard, A. (1973). Manipulation of voting schemes: a general result. </w:t>
      </w:r>
      <w:r>
        <w:rPr>
          <w:i/>
          <w:iCs/>
          <w:sz w:val="17"/>
          <w:szCs w:val="17"/>
        </w:rPr>
        <w:t xml:space="preserve">Econometrica</w:t>
      </w:r>
      <w:r>
        <w:rPr>
          <w:sz w:val="17"/>
          <w:szCs w:val="17"/>
        </w:rPr>
        <w:t xml:space="preserve">, 41(4), 587–601 (DOI not verified); Satterthwaite, M. A. (1975). Strategy-proofness and Arrow's conditions. </w:t>
      </w:r>
      <w:r>
        <w:rPr>
          <w:i/>
          <w:iCs/>
          <w:sz w:val="17"/>
          <w:szCs w:val="17"/>
        </w:rPr>
        <w:t xml:space="preserve">Journal of Economic Theory</w:t>
      </w:r>
      <w:r>
        <w:rPr>
          <w:sz w:val="17"/>
          <w:szCs w:val="17"/>
        </w:rPr>
        <w:t xml:space="preserve">, 10(2), 187–217 (DOI not verified).</w:t>
      </w:r>
    </w:p>
    <w:p>
      <w:pPr>
        <w:tabs>
          <w:tab w:val="left" w:pos="567"/>
        </w:tabs>
        <w:spacing w:after="50"/>
        <w:ind w:left="567" w:hanging="567"/>
        <w:jc w:val="left"/>
      </w:pPr>
      <w:r>
        <w:rPr>
          <w:b/>
          <w:bCs/>
          <w:color w:val="1F3864"/>
          <w:sz w:val="17"/>
          <w:szCs w:val="17"/>
        </w:rPr>
        <w:t xml:space="preserve">[B9]	</w:t>
      </w:r>
      <w:r>
        <w:rPr>
          <w:sz w:val="17"/>
          <w:szCs w:val="17"/>
        </w:rPr>
        <w:t xml:space="preserve">Dixit, A. K. &amp; Pindyck, R. S. (1994). </w:t>
      </w:r>
      <w:r>
        <w:rPr>
          <w:i/>
          <w:iCs/>
          <w:sz w:val="17"/>
          <w:szCs w:val="17"/>
        </w:rPr>
        <w:t xml:space="preserve">Investment under Uncertainty</w:t>
      </w:r>
      <w:r>
        <w:rPr>
          <w:sz w:val="17"/>
          <w:szCs w:val="17"/>
        </w:rPr>
        <w:t xml:space="preserve">. Princeton University Press.</w:t>
      </w:r>
    </w:p>
    <w:p>
      <w:pPr>
        <w:tabs>
          <w:tab w:val="left" w:pos="567"/>
        </w:tabs>
        <w:spacing w:after="50"/>
        <w:ind w:left="567" w:hanging="567"/>
        <w:jc w:val="left"/>
      </w:pPr>
      <w:r>
        <w:rPr>
          <w:b/>
          <w:bCs/>
          <w:color w:val="1F3864"/>
          <w:sz w:val="17"/>
          <w:szCs w:val="17"/>
        </w:rPr>
        <w:t xml:space="preserve">[B10]	</w:t>
      </w:r>
      <w:r>
        <w:rPr>
          <w:sz w:val="17"/>
          <w:szCs w:val="17"/>
        </w:rPr>
        <w:t xml:space="preserve">Cover, T. M. &amp; Thomas, J. A. (2006). </w:t>
      </w:r>
      <w:r>
        <w:rPr>
          <w:i/>
          <w:iCs/>
          <w:sz w:val="17"/>
          <w:szCs w:val="17"/>
        </w:rPr>
        <w:t xml:space="preserve">Elements of Information Theory</w:t>
      </w:r>
      <w:r>
        <w:rPr>
          <w:sz w:val="17"/>
          <w:szCs w:val="17"/>
        </w:rPr>
        <w:t xml:space="preserve">, 2nd edition. Wiley.</w:t>
      </w:r>
    </w:p>
    <w:p>
      <w:pPr>
        <w:tabs>
          <w:tab w:val="left" w:pos="567"/>
        </w:tabs>
        <w:spacing w:after="50"/>
        <w:ind w:left="567" w:hanging="567"/>
        <w:jc w:val="left"/>
      </w:pPr>
      <w:r>
        <w:rPr>
          <w:b/>
          <w:bCs/>
          <w:color w:val="1F3864"/>
          <w:sz w:val="17"/>
          <w:szCs w:val="17"/>
        </w:rPr>
        <w:t xml:space="preserve">[B11]	</w:t>
      </w:r>
      <w:r>
        <w:rPr>
          <w:sz w:val="17"/>
          <w:szCs w:val="17"/>
        </w:rPr>
        <w:t xml:space="preserve">Csiszár, I. (1975). I-divergence geometry of probability distributions and minimization problems. </w:t>
      </w:r>
      <w:r>
        <w:rPr>
          <w:i/>
          <w:iCs/>
          <w:sz w:val="17"/>
          <w:szCs w:val="17"/>
        </w:rPr>
        <w:t xml:space="preserve">Annals of Probability</w:t>
      </w:r>
      <w:r>
        <w:rPr>
          <w:sz w:val="17"/>
          <w:szCs w:val="17"/>
        </w:rPr>
        <w:t xml:space="preserve">, 3(1), 146–158.</w:t>
      </w:r>
      <w:r>
        <w:rPr>
          <w:sz w:val="17"/>
          <w:szCs w:val="17"/>
        </w:rPr>
        <w:t xml:space="preserve"> </w:t>
      </w:r>
      <w:hyperlink w:history="1" r:id="rIdjmlgeaclofxbhipq7d_gx">
        <w:r>
          <w:rPr>
            <w:color w:val="1D4ED8"/>
            <w:sz w:val="17"/>
            <w:szCs w:val="17"/>
            <w:u w:val="single"/>
          </w:rPr>
          <w:t xml:space="preserve">https://doi.org/10.1214/aop/1176996454</w:t>
        </w:r>
      </w:hyperlink>
    </w:p>
    <w:p>
      <w:pPr>
        <w:pStyle w:val="Heading3"/>
      </w:pPr>
      <w:r>
        <w:rPr>
          <w:color w:val="1F3864"/>
        </w:rPr>
        <w:t xml:space="preserve">References of Part II (the 20 papers)</w:t>
      </w:r>
    </w:p>
    <w:p>
      <w:pPr>
        <w:tabs>
          <w:tab w:val="left" w:pos="567"/>
        </w:tabs>
        <w:spacing w:after="50"/>
        <w:ind w:left="567" w:hanging="567"/>
        <w:jc w:val="left"/>
      </w:pPr>
      <w:r>
        <w:rPr>
          <w:b/>
          <w:bCs/>
          <w:color w:val="002147"/>
          <w:sz w:val="17"/>
          <w:szCs w:val="17"/>
        </w:rPr>
        <w:t xml:space="preserve">[O1]	</w:t>
      </w:r>
      <w:r>
        <w:rPr>
          <w:sz w:val="17"/>
          <w:szCs w:val="17"/>
        </w:rPr>
        <w:t xml:space="preserve">Freeman, R., Pennock, D. M., Peters, D. &amp; Wortman Vaughan, J. (2021). Truthful aggregation of budget proposals. </w:t>
      </w:r>
      <w:r>
        <w:rPr>
          <w:i/>
          <w:iCs/>
          <w:sz w:val="17"/>
          <w:szCs w:val="17"/>
        </w:rPr>
        <w:t xml:space="preserve">Journal of Economic Theory</w:t>
      </w:r>
      <w:r>
        <w:rPr>
          <w:sz w:val="17"/>
          <w:szCs w:val="17"/>
        </w:rPr>
        <w:t xml:space="preserve">, 193, 105234.</w:t>
      </w:r>
      <w:r>
        <w:rPr>
          <w:sz w:val="17"/>
          <w:szCs w:val="17"/>
        </w:rPr>
        <w:t xml:space="preserve"> </w:t>
      </w:r>
      <w:hyperlink w:history="1" r:id="rIdw2yzpra1psky8hd6elmyn">
        <w:r>
          <w:rPr>
            <w:color w:val="1D4ED8"/>
            <w:sz w:val="17"/>
            <w:szCs w:val="17"/>
            <w:u w:val="single"/>
          </w:rPr>
          <w:t xml:space="preserve">https://doi.org/10.1016/j.jet.2021.105234</w:t>
        </w:r>
      </w:hyperlink>
    </w:p>
    <w:p>
      <w:pPr>
        <w:tabs>
          <w:tab w:val="left" w:pos="567"/>
        </w:tabs>
        <w:spacing w:after="50"/>
        <w:ind w:left="567" w:hanging="567"/>
        <w:jc w:val="left"/>
      </w:pPr>
      <w:r>
        <w:rPr>
          <w:b/>
          <w:bCs/>
          <w:color w:val="002147"/>
          <w:sz w:val="17"/>
          <w:szCs w:val="17"/>
        </w:rPr>
        <w:t xml:space="preserve">[O2]	</w:t>
      </w:r>
      <w:r>
        <w:rPr>
          <w:sz w:val="17"/>
          <w:szCs w:val="17"/>
        </w:rPr>
        <w:t xml:space="preserve">Bai, X., He, G., Jiang, Y. &amp; Obłój, J. (2023). Wasserstein distributional robustness of neural networks. </w:t>
      </w:r>
      <w:r>
        <w:rPr>
          <w:i/>
          <w:iCs/>
          <w:sz w:val="17"/>
          <w:szCs w:val="17"/>
        </w:rPr>
        <w:t xml:space="preserve">Advances in Neural Information Processing Systems (NeurIPS 2023)</w:t>
      </w:r>
      <w:r>
        <w:rPr>
          <w:sz w:val="17"/>
          <w:szCs w:val="17"/>
        </w:rPr>
        <w:t xml:space="preserve"> (volume and pages not verified).</w:t>
      </w:r>
      <w:r>
        <w:rPr>
          <w:sz w:val="17"/>
          <w:szCs w:val="17"/>
        </w:rPr>
        <w:t xml:space="preserve"> </w:t>
      </w:r>
      <w:hyperlink w:history="1" r:id="rIdhkhhmq3dtjlirthwafy4f">
        <w:r>
          <w:rPr>
            <w:color w:val="1D4ED8"/>
            <w:sz w:val="17"/>
            <w:szCs w:val="17"/>
            <w:u w:val="single"/>
          </w:rPr>
          <w:t xml:space="preserve">https://neurips.cc/virtual/2023/poster/71998</w:t>
        </w:r>
      </w:hyperlink>
    </w:p>
    <w:p>
      <w:pPr>
        <w:tabs>
          <w:tab w:val="left" w:pos="567"/>
        </w:tabs>
        <w:spacing w:after="50"/>
        <w:ind w:left="567" w:hanging="567"/>
        <w:jc w:val="left"/>
      </w:pPr>
      <w:r>
        <w:rPr>
          <w:b/>
          <w:bCs/>
          <w:color w:val="002147"/>
          <w:sz w:val="17"/>
          <w:szCs w:val="17"/>
        </w:rPr>
        <w:t xml:space="preserve">[O3]	</w:t>
      </w:r>
      <w:r>
        <w:rPr>
          <w:sz w:val="17"/>
          <w:szCs w:val="17"/>
        </w:rPr>
        <w:t xml:space="preserve">Pacchiardi, L., Adewoyin, R., Dueben, P. &amp; Dutta, R. (2024). Probabilistic forecasting with generative networks via scoring rule minimization. </w:t>
      </w:r>
      <w:r>
        <w:rPr>
          <w:i/>
          <w:iCs/>
          <w:sz w:val="17"/>
          <w:szCs w:val="17"/>
        </w:rPr>
        <w:t xml:space="preserve">Journal of Machine Learning Research</w:t>
      </w:r>
      <w:r>
        <w:rPr>
          <w:sz w:val="17"/>
          <w:szCs w:val="17"/>
        </w:rPr>
        <w:t xml:space="preserve">, 25(45), 1–64.</w:t>
      </w:r>
      <w:r>
        <w:rPr>
          <w:sz w:val="17"/>
          <w:szCs w:val="17"/>
        </w:rPr>
        <w:t xml:space="preserve"> </w:t>
      </w:r>
      <w:hyperlink w:history="1" r:id="rIdocn_knhtn8aexkzgnnhhu">
        <w:r>
          <w:rPr>
            <w:color w:val="1D4ED8"/>
            <w:sz w:val="17"/>
            <w:szCs w:val="17"/>
            <w:u w:val="single"/>
          </w:rPr>
          <w:t xml:space="preserve">https://jmlr.org/papers/v25/23-0038.html</w:t>
        </w:r>
      </w:hyperlink>
    </w:p>
    <w:p>
      <w:pPr>
        <w:tabs>
          <w:tab w:val="left" w:pos="567"/>
        </w:tabs>
        <w:spacing w:after="50"/>
        <w:ind w:left="567" w:hanging="567"/>
        <w:jc w:val="left"/>
      </w:pPr>
      <w:r>
        <w:rPr>
          <w:b/>
          <w:bCs/>
          <w:color w:val="002147"/>
          <w:sz w:val="17"/>
          <w:szCs w:val="17"/>
        </w:rPr>
        <w:t xml:space="preserve">[O4]	</w:t>
      </w:r>
      <w:r>
        <w:rPr>
          <w:sz w:val="17"/>
          <w:szCs w:val="17"/>
        </w:rPr>
        <w:t xml:space="preserve">Taylor, J. W. &amp; Taylor, K. S. (2023). Combining probabilistic forecasts of COVID-19 mortality in the United States. </w:t>
      </w:r>
      <w:r>
        <w:rPr>
          <w:i/>
          <w:iCs/>
          <w:sz w:val="17"/>
          <w:szCs w:val="17"/>
        </w:rPr>
        <w:t xml:space="preserve">European Journal of Operational Research</w:t>
      </w:r>
      <w:r>
        <w:rPr>
          <w:sz w:val="17"/>
          <w:szCs w:val="17"/>
        </w:rPr>
        <w:t xml:space="preserve">, 304(1), 25–41.</w:t>
      </w:r>
      <w:r>
        <w:rPr>
          <w:sz w:val="17"/>
          <w:szCs w:val="17"/>
        </w:rPr>
        <w:t xml:space="preserve"> </w:t>
      </w:r>
      <w:hyperlink w:history="1" r:id="rIdjavjkjy6bfjz-moxc0e3w">
        <w:r>
          <w:rPr>
            <w:color w:val="1D4ED8"/>
            <w:sz w:val="17"/>
            <w:szCs w:val="17"/>
            <w:u w:val="single"/>
          </w:rPr>
          <w:t xml:space="preserve">https://doi.org/10.1016/j.ejor.2021.06.044</w:t>
        </w:r>
      </w:hyperlink>
    </w:p>
    <w:p>
      <w:pPr>
        <w:tabs>
          <w:tab w:val="left" w:pos="567"/>
        </w:tabs>
        <w:spacing w:after="50"/>
        <w:ind w:left="567" w:hanging="567"/>
        <w:jc w:val="left"/>
      </w:pPr>
      <w:r>
        <w:rPr>
          <w:b/>
          <w:bCs/>
          <w:color w:val="002147"/>
          <w:sz w:val="17"/>
          <w:szCs w:val="17"/>
        </w:rPr>
        <w:t xml:space="preserve">[O5]	</w:t>
      </w:r>
      <w:r>
        <w:rPr>
          <w:sz w:val="17"/>
          <w:szCs w:val="17"/>
        </w:rPr>
        <w:t xml:space="preserve">Murgatroyd, A. &amp; Hall, J. W. (2021). Selecting indicators and optimizing decision rules for long-term water resources planning. </w:t>
      </w:r>
      <w:r>
        <w:rPr>
          <w:i/>
          <w:iCs/>
          <w:sz w:val="17"/>
          <w:szCs w:val="17"/>
        </w:rPr>
        <w:t xml:space="preserve">Water Resources Research</w:t>
      </w:r>
      <w:r>
        <w:rPr>
          <w:sz w:val="17"/>
          <w:szCs w:val="17"/>
        </w:rPr>
        <w:t xml:space="preserve">, 57, e2020WR028117.</w:t>
      </w:r>
      <w:r>
        <w:rPr>
          <w:sz w:val="17"/>
          <w:szCs w:val="17"/>
        </w:rPr>
        <w:t xml:space="preserve"> </w:t>
      </w:r>
      <w:hyperlink w:history="1" r:id="rIde1ijwnpuns2xoh9pissm6">
        <w:r>
          <w:rPr>
            <w:color w:val="1D4ED8"/>
            <w:sz w:val="17"/>
            <w:szCs w:val="17"/>
            <w:u w:val="single"/>
          </w:rPr>
          <w:t xml:space="preserve">https://doi.org/10.1029/2020WR028117</w:t>
        </w:r>
      </w:hyperlink>
    </w:p>
    <w:p>
      <w:pPr>
        <w:tabs>
          <w:tab w:val="left" w:pos="567"/>
        </w:tabs>
        <w:spacing w:after="50"/>
        <w:ind w:left="567" w:hanging="567"/>
        <w:jc w:val="left"/>
      </w:pPr>
      <w:r>
        <w:rPr>
          <w:b/>
          <w:bCs/>
          <w:color w:val="B4410C"/>
          <w:sz w:val="17"/>
          <w:szCs w:val="17"/>
        </w:rPr>
        <w:t xml:space="preserve">[C1]	</w:t>
      </w:r>
      <w:r>
        <w:rPr>
          <w:sz w:val="17"/>
          <w:szCs w:val="17"/>
        </w:rPr>
        <w:t xml:space="preserve">Doval, L. &amp; Skreta, V. (2022). Mechanism design with limited commitment. </w:t>
      </w:r>
      <w:r>
        <w:rPr>
          <w:i/>
          <w:iCs/>
          <w:sz w:val="17"/>
          <w:szCs w:val="17"/>
        </w:rPr>
        <w:t xml:space="preserve">Econometrica</w:t>
      </w:r>
      <w:r>
        <w:rPr>
          <w:sz w:val="17"/>
          <w:szCs w:val="17"/>
        </w:rPr>
        <w:t xml:space="preserve">, 90(4), 1463–1500.</w:t>
      </w:r>
      <w:r>
        <w:rPr>
          <w:sz w:val="17"/>
          <w:szCs w:val="17"/>
        </w:rPr>
        <w:t xml:space="preserve"> </w:t>
      </w:r>
      <w:hyperlink w:history="1" r:id="rIdx7ld_l-oq8a4cpubwtag-">
        <w:r>
          <w:rPr>
            <w:color w:val="1D4ED8"/>
            <w:sz w:val="17"/>
            <w:szCs w:val="17"/>
            <w:u w:val="single"/>
          </w:rPr>
          <w:t xml:space="preserve">https://doi.org/10.3982/ECTA16846</w:t>
        </w:r>
      </w:hyperlink>
    </w:p>
    <w:p>
      <w:pPr>
        <w:tabs>
          <w:tab w:val="left" w:pos="567"/>
        </w:tabs>
        <w:spacing w:after="50"/>
        <w:ind w:left="567" w:hanging="567"/>
        <w:jc w:val="left"/>
      </w:pPr>
      <w:r>
        <w:rPr>
          <w:b/>
          <w:bCs/>
          <w:color w:val="B4410C"/>
          <w:sz w:val="17"/>
          <w:szCs w:val="17"/>
        </w:rPr>
        <w:t xml:space="preserve">[C2]	</w:t>
      </w:r>
      <w:r>
        <w:rPr>
          <w:sz w:val="17"/>
          <w:szCs w:val="17"/>
        </w:rPr>
        <w:t xml:space="preserve">Goel, S. &amp; Hann-Caruthers, W. (2023). Optimality of the coordinate-wise median mechanism for strategyproof facility location in two dimensions. </w:t>
      </w:r>
      <w:r>
        <w:rPr>
          <w:i/>
          <w:iCs/>
          <w:sz w:val="17"/>
          <w:szCs w:val="17"/>
        </w:rPr>
        <w:t xml:space="preserve">Social Choice and Welfare</w:t>
      </w:r>
      <w:r>
        <w:rPr>
          <w:sz w:val="17"/>
          <w:szCs w:val="17"/>
        </w:rPr>
        <w:t xml:space="preserve">, 61(1) (pages not verified).</w:t>
      </w:r>
      <w:r>
        <w:rPr>
          <w:sz w:val="17"/>
          <w:szCs w:val="17"/>
        </w:rPr>
        <w:t xml:space="preserve"> </w:t>
      </w:r>
      <w:hyperlink w:history="1" r:id="rIdbp82tvss4i3hbulg2rh0n">
        <w:r>
          <w:rPr>
            <w:color w:val="1D4ED8"/>
            <w:sz w:val="17"/>
            <w:szCs w:val="17"/>
            <w:u w:val="single"/>
          </w:rPr>
          <w:t xml:space="preserve">https://doi.org/10.1007/s00355-022-01435-1</w:t>
        </w:r>
      </w:hyperlink>
    </w:p>
    <w:p>
      <w:pPr>
        <w:tabs>
          <w:tab w:val="left" w:pos="567"/>
        </w:tabs>
        <w:spacing w:after="50"/>
        <w:ind w:left="567" w:hanging="567"/>
        <w:jc w:val="left"/>
      </w:pPr>
      <w:r>
        <w:rPr>
          <w:b/>
          <w:bCs/>
          <w:color w:val="B4410C"/>
          <w:sz w:val="17"/>
          <w:szCs w:val="17"/>
        </w:rPr>
        <w:t xml:space="preserve">[C3]	</w:t>
      </w:r>
      <w:r>
        <w:rPr>
          <w:sz w:val="17"/>
          <w:szCs w:val="17"/>
        </w:rPr>
        <w:t xml:space="preserve">Shi, L., Li, G., Wei, Y., Chen, Y., Geist, M. &amp; Chi, Y. (2023). The curious price of distributional robustness in reinforcement learning with a generative model. </w:t>
      </w:r>
      <w:r>
        <w:rPr>
          <w:i/>
          <w:iCs/>
          <w:sz w:val="17"/>
          <w:szCs w:val="17"/>
        </w:rPr>
        <w:t xml:space="preserve">Advances in Neural Information Processing Systems</w:t>
      </w:r>
      <w:r>
        <w:rPr>
          <w:sz w:val="17"/>
          <w:szCs w:val="17"/>
        </w:rPr>
        <w:t xml:space="preserve">, 36 (NeurIPS 2023) (pages not verified).</w:t>
      </w:r>
      <w:r>
        <w:rPr>
          <w:sz w:val="17"/>
          <w:szCs w:val="17"/>
        </w:rPr>
        <w:t xml:space="preserve"> </w:t>
      </w:r>
      <w:hyperlink w:history="1" r:id="rIdxzdbmoe0d0jt_smdnlaqt">
        <w:r>
          <w:rPr>
            <w:color w:val="1D4ED8"/>
            <w:sz w:val="17"/>
            <w:szCs w:val="17"/>
            <w:u w:val="single"/>
          </w:rPr>
          <w:t xml:space="preserve">https://proceedings.neurips.cc/paper_files/paper/2023/hash/fc8ee7c7ab5b5f6b1615045dfb617ed6-Abstract.html</w:t>
        </w:r>
      </w:hyperlink>
    </w:p>
    <w:p>
      <w:pPr>
        <w:tabs>
          <w:tab w:val="left" w:pos="567"/>
        </w:tabs>
        <w:spacing w:after="50"/>
        <w:ind w:left="567" w:hanging="567"/>
        <w:jc w:val="left"/>
      </w:pPr>
      <w:r>
        <w:rPr>
          <w:b/>
          <w:bCs/>
          <w:color w:val="B4410C"/>
          <w:sz w:val="17"/>
          <w:szCs w:val="17"/>
        </w:rPr>
        <w:t xml:space="preserve">[C4]	</w:t>
      </w:r>
      <w:r>
        <w:rPr>
          <w:sz w:val="17"/>
          <w:szCs w:val="17"/>
        </w:rPr>
        <w:t xml:space="preserve">Ahmadi, M., Rosolia, U., Ingham, M. D., Murray, R. M. &amp; Ames, A. D. (2024). Risk-averse decision making under uncertainty. </w:t>
      </w:r>
      <w:r>
        <w:rPr>
          <w:i/>
          <w:iCs/>
          <w:sz w:val="17"/>
          <w:szCs w:val="17"/>
        </w:rPr>
        <w:t xml:space="preserve">IEEE Transactions on Automatic Control</w:t>
      </w:r>
      <w:r>
        <w:rPr>
          <w:sz w:val="17"/>
          <w:szCs w:val="17"/>
        </w:rPr>
        <w:t xml:space="preserve">, 69(1), 55–68.</w:t>
      </w:r>
      <w:r>
        <w:rPr>
          <w:sz w:val="17"/>
          <w:szCs w:val="17"/>
        </w:rPr>
        <w:t xml:space="preserve"> </w:t>
      </w:r>
      <w:hyperlink w:history="1" r:id="rIdhxbldos8v15zmbiqglzgf">
        <w:r>
          <w:rPr>
            <w:color w:val="1D4ED8"/>
            <w:sz w:val="17"/>
            <w:szCs w:val="17"/>
            <w:u w:val="single"/>
          </w:rPr>
          <w:t xml:space="preserve">https://doi.org/10.1109/TAC.2023.3264178</w:t>
        </w:r>
      </w:hyperlink>
    </w:p>
    <w:p>
      <w:pPr>
        <w:tabs>
          <w:tab w:val="left" w:pos="567"/>
        </w:tabs>
        <w:spacing w:after="50"/>
        <w:ind w:left="567" w:hanging="567"/>
        <w:jc w:val="left"/>
      </w:pPr>
      <w:r>
        <w:rPr>
          <w:b/>
          <w:bCs/>
          <w:color w:val="B4410C"/>
          <w:sz w:val="17"/>
          <w:szCs w:val="17"/>
        </w:rPr>
        <w:t xml:space="preserve">[C5]	</w:t>
      </w:r>
      <w:r>
        <w:rPr>
          <w:sz w:val="17"/>
          <w:szCs w:val="17"/>
        </w:rPr>
        <w:t xml:space="preserve">Echenique, F., Miralles, A. &amp; Zhang, J. (2021). Fairness and efficiency for allocations with participation constraints. </w:t>
      </w:r>
      <w:r>
        <w:rPr>
          <w:i/>
          <w:iCs/>
          <w:sz w:val="17"/>
          <w:szCs w:val="17"/>
        </w:rPr>
        <w:t xml:space="preserve">Journal of Economic Theory</w:t>
      </w:r>
      <w:r>
        <w:rPr>
          <w:sz w:val="17"/>
          <w:szCs w:val="17"/>
        </w:rPr>
        <w:t xml:space="preserve">, 195, 105274.</w:t>
      </w:r>
      <w:r>
        <w:rPr>
          <w:sz w:val="17"/>
          <w:szCs w:val="17"/>
        </w:rPr>
        <w:t xml:space="preserve"> </w:t>
      </w:r>
      <w:hyperlink w:history="1" r:id="rIdytlcbnj_uotag13ikw4k5">
        <w:r>
          <w:rPr>
            <w:color w:val="1D4ED8"/>
            <w:sz w:val="17"/>
            <w:szCs w:val="17"/>
            <w:u w:val="single"/>
          </w:rPr>
          <w:t xml:space="preserve">https://doi.org/10.1016/j.jet.2021.105274</w:t>
        </w:r>
      </w:hyperlink>
    </w:p>
    <w:p>
      <w:pPr>
        <w:tabs>
          <w:tab w:val="left" w:pos="567"/>
        </w:tabs>
        <w:spacing w:after="50"/>
        <w:ind w:left="567" w:hanging="567"/>
        <w:jc w:val="left"/>
      </w:pPr>
      <w:r>
        <w:rPr>
          <w:b/>
          <w:bCs/>
          <w:color w:val="4D4D4F"/>
          <w:sz w:val="17"/>
          <w:szCs w:val="17"/>
        </w:rPr>
        <w:t xml:space="preserve">[M1]	</w:t>
      </w:r>
      <w:r>
        <w:rPr>
          <w:sz w:val="17"/>
          <w:szCs w:val="17"/>
        </w:rPr>
        <w:t xml:space="preserve">Sutter, T., Van Parys, B. P. G. &amp; Kuhn, D. (2024). A Pareto dominance principle for data-driven optimization. </w:t>
      </w:r>
      <w:r>
        <w:rPr>
          <w:i/>
          <w:iCs/>
          <w:sz w:val="17"/>
          <w:szCs w:val="17"/>
        </w:rPr>
        <w:t xml:space="preserve">Operations Research</w:t>
      </w:r>
      <w:r>
        <w:rPr>
          <w:sz w:val="17"/>
          <w:szCs w:val="17"/>
        </w:rPr>
        <w:t xml:space="preserve">, 72(5), 1976–1999.</w:t>
      </w:r>
      <w:r>
        <w:rPr>
          <w:sz w:val="17"/>
          <w:szCs w:val="17"/>
        </w:rPr>
        <w:t xml:space="preserve"> </w:t>
      </w:r>
      <w:hyperlink w:history="1" r:id="rIdy9vs5tyea6v2ev3nynoel">
        <w:r>
          <w:rPr>
            <w:color w:val="1D4ED8"/>
            <w:sz w:val="17"/>
            <w:szCs w:val="17"/>
            <w:u w:val="single"/>
          </w:rPr>
          <w:t xml:space="preserve">https://doi.org/10.1287/opre.2021.0609</w:t>
        </w:r>
      </w:hyperlink>
    </w:p>
    <w:p>
      <w:pPr>
        <w:tabs>
          <w:tab w:val="left" w:pos="567"/>
        </w:tabs>
        <w:spacing w:after="50"/>
        <w:ind w:left="567" w:hanging="567"/>
        <w:jc w:val="left"/>
      </w:pPr>
      <w:r>
        <w:rPr>
          <w:b/>
          <w:bCs/>
          <w:color w:val="4D4D4F"/>
          <w:sz w:val="17"/>
          <w:szCs w:val="17"/>
        </w:rPr>
        <w:t xml:space="preserve">[M2]	</w:t>
      </w:r>
      <w:r>
        <w:rPr>
          <w:sz w:val="17"/>
          <w:szCs w:val="17"/>
        </w:rPr>
        <w:t xml:space="preserve">Bertsimas, D., den Hertog, D. &amp; Pauphilet, J. (2021). Probabilistic guarantees in robust optimization. </w:t>
      </w:r>
      <w:r>
        <w:rPr>
          <w:i/>
          <w:iCs/>
          <w:sz w:val="17"/>
          <w:szCs w:val="17"/>
        </w:rPr>
        <w:t xml:space="preserve">SIAM Journal on Optimization</w:t>
      </w:r>
      <w:r>
        <w:rPr>
          <w:sz w:val="17"/>
          <w:szCs w:val="17"/>
        </w:rPr>
        <w:t xml:space="preserve">, 31(4), 2893–2920.</w:t>
      </w:r>
      <w:r>
        <w:rPr>
          <w:sz w:val="17"/>
          <w:szCs w:val="17"/>
        </w:rPr>
        <w:t xml:space="preserve"> </w:t>
      </w:r>
      <w:hyperlink w:history="1" r:id="rIdby2pah6m8vl0kdz-kveri">
        <w:r>
          <w:rPr>
            <w:color w:val="1D4ED8"/>
            <w:sz w:val="17"/>
            <w:szCs w:val="17"/>
            <w:u w:val="single"/>
          </w:rPr>
          <w:t xml:space="preserve">https://doi.org/10.1137/21M1390967</w:t>
        </w:r>
      </w:hyperlink>
    </w:p>
    <w:p>
      <w:pPr>
        <w:tabs>
          <w:tab w:val="left" w:pos="567"/>
        </w:tabs>
        <w:spacing w:after="50"/>
        <w:ind w:left="567" w:hanging="567"/>
        <w:jc w:val="left"/>
      </w:pPr>
      <w:r>
        <w:rPr>
          <w:b/>
          <w:bCs/>
          <w:color w:val="4D4D4F"/>
          <w:sz w:val="17"/>
          <w:szCs w:val="17"/>
        </w:rPr>
        <w:t xml:space="preserve">[M3]	</w:t>
      </w:r>
      <w:r>
        <w:rPr>
          <w:sz w:val="17"/>
          <w:szCs w:val="17"/>
        </w:rPr>
        <w:t xml:space="preserve">Fudenberg, D., Lanzani, G. &amp; Strack, P. (2023). Pathwise concentration bounds for Bayesian beliefs. </w:t>
      </w:r>
      <w:r>
        <w:rPr>
          <w:i/>
          <w:iCs/>
          <w:sz w:val="17"/>
          <w:szCs w:val="17"/>
        </w:rPr>
        <w:t xml:space="preserve">Theoretical Economics</w:t>
      </w:r>
      <w:r>
        <w:rPr>
          <w:sz w:val="17"/>
          <w:szCs w:val="17"/>
        </w:rPr>
        <w:t xml:space="preserve">, 18(4), 1585–1622.</w:t>
      </w:r>
      <w:r>
        <w:rPr>
          <w:sz w:val="17"/>
          <w:szCs w:val="17"/>
        </w:rPr>
        <w:t xml:space="preserve"> </w:t>
      </w:r>
      <w:hyperlink w:history="1" r:id="rIdpepsbasb-trut0vm03yoj">
        <w:r>
          <w:rPr>
            <w:color w:val="1D4ED8"/>
            <w:sz w:val="17"/>
            <w:szCs w:val="17"/>
            <w:u w:val="single"/>
          </w:rPr>
          <w:t xml:space="preserve">https://doi.org/10.3982/TE5206</w:t>
        </w:r>
      </w:hyperlink>
    </w:p>
    <w:p>
      <w:pPr>
        <w:tabs>
          <w:tab w:val="left" w:pos="567"/>
        </w:tabs>
        <w:spacing w:after="50"/>
        <w:ind w:left="567" w:hanging="567"/>
        <w:jc w:val="left"/>
      </w:pPr>
      <w:r>
        <w:rPr>
          <w:b/>
          <w:bCs/>
          <w:color w:val="4D4D4F"/>
          <w:sz w:val="17"/>
          <w:szCs w:val="17"/>
        </w:rPr>
        <w:t xml:space="preserve">[M4]	</w:t>
      </w:r>
      <w:r>
        <w:rPr>
          <w:sz w:val="17"/>
          <w:szCs w:val="17"/>
        </w:rPr>
        <w:t xml:space="preserve">Jadbabaie, A., Makur, A., Mossel, E. &amp; Salhab, R. (2023). Inference in opinion dynamics under social pressure. </w:t>
      </w:r>
      <w:r>
        <w:rPr>
          <w:i/>
          <w:iCs/>
          <w:sz w:val="17"/>
          <w:szCs w:val="17"/>
        </w:rPr>
        <w:t xml:space="preserve">IEEE Transactions on Automatic Control</w:t>
      </w:r>
      <w:r>
        <w:rPr>
          <w:sz w:val="17"/>
          <w:szCs w:val="17"/>
        </w:rPr>
        <w:t xml:space="preserve">, 3377–3392 (volume not verified).</w:t>
      </w:r>
      <w:r>
        <w:rPr>
          <w:sz w:val="17"/>
          <w:szCs w:val="17"/>
        </w:rPr>
        <w:t xml:space="preserve"> </w:t>
      </w:r>
      <w:hyperlink w:history="1" r:id="rId-6pyxv4w_3p6cfehxoa5c">
        <w:r>
          <w:rPr>
            <w:color w:val="1D4ED8"/>
            <w:sz w:val="17"/>
            <w:szCs w:val="17"/>
            <w:u w:val="single"/>
          </w:rPr>
          <w:t xml:space="preserve">https://doi.org/10.1109/TAC.2022.3191791</w:t>
        </w:r>
      </w:hyperlink>
    </w:p>
    <w:p>
      <w:pPr>
        <w:tabs>
          <w:tab w:val="left" w:pos="567"/>
        </w:tabs>
        <w:spacing w:after="50"/>
        <w:ind w:left="567" w:hanging="567"/>
        <w:jc w:val="left"/>
      </w:pPr>
      <w:r>
        <w:rPr>
          <w:b/>
          <w:bCs/>
          <w:color w:val="4D4D4F"/>
          <w:sz w:val="17"/>
          <w:szCs w:val="17"/>
        </w:rPr>
        <w:t xml:space="preserve">[M5]	</w:t>
      </w:r>
      <w:r>
        <w:rPr>
          <w:sz w:val="17"/>
          <w:szCs w:val="17"/>
        </w:rPr>
        <w:t xml:space="preserve">Bennouna, O., Bennouna, A., Amin, S. &amp; Ozdaglar, A. (2025). What data enables optimal decisions? An exact characterization for linear optimization. In </w:t>
      </w:r>
      <w:r>
        <w:rPr>
          <w:i/>
          <w:iCs/>
          <w:sz w:val="17"/>
          <w:szCs w:val="17"/>
        </w:rPr>
        <w:t xml:space="preserve">Advances in Neural Information Processing Systems 38 (NeurIPS 2025)</w:t>
      </w:r>
      <w:r>
        <w:rPr>
          <w:sz w:val="17"/>
          <w:szCs w:val="17"/>
        </w:rPr>
        <w:t xml:space="preserve">.</w:t>
      </w:r>
      <w:r>
        <w:rPr>
          <w:sz w:val="17"/>
          <w:szCs w:val="17"/>
        </w:rPr>
        <w:t xml:space="preserve"> </w:t>
      </w:r>
      <w:hyperlink w:history="1" r:id="rIdh52jnfyjh-awfvjvtstbe">
        <w:r>
          <w:rPr>
            <w:color w:val="1D4ED8"/>
            <w:sz w:val="17"/>
            <w:szCs w:val="17"/>
            <w:u w:val="single"/>
          </w:rPr>
          <w:t xml:space="preserve">https://papers.nips.cc/paper_files/paper/2025/hash/f2865c76810f9f702f52fd3e4150a296-Abstract-Conference.html</w:t>
        </w:r>
      </w:hyperlink>
    </w:p>
    <w:p>
      <w:pPr>
        <w:tabs>
          <w:tab w:val="left" w:pos="567"/>
        </w:tabs>
        <w:spacing w:after="50"/>
        <w:ind w:left="567" w:hanging="567"/>
        <w:jc w:val="left"/>
      </w:pPr>
      <w:r>
        <w:rPr>
          <w:b/>
          <w:bCs/>
          <w:color w:val="215CAF"/>
          <w:sz w:val="17"/>
          <w:szCs w:val="17"/>
        </w:rPr>
        <w:t xml:space="preserve">[E1]	</w:t>
      </w:r>
      <w:r>
        <w:rPr>
          <w:sz w:val="17"/>
          <w:szCs w:val="17"/>
        </w:rPr>
        <w:t xml:space="preserve">Shafiee, S., Aolaritei, L., Dörfler, F. &amp; Kuhn, D. (2025). Nash equilibria, regularization, and computation in optimal transport-based distributionally robust optimization. </w:t>
      </w:r>
      <w:r>
        <w:rPr>
          <w:i/>
          <w:iCs/>
          <w:sz w:val="17"/>
          <w:szCs w:val="17"/>
        </w:rPr>
        <w:t xml:space="preserve">Operations Research</w:t>
      </w:r>
      <w:r>
        <w:rPr>
          <w:sz w:val="17"/>
          <w:szCs w:val="17"/>
        </w:rPr>
        <w:t xml:space="preserve"> (volume, issue and pages not verified).</w:t>
      </w:r>
      <w:r>
        <w:rPr>
          <w:sz w:val="17"/>
          <w:szCs w:val="17"/>
        </w:rPr>
        <w:t xml:space="preserve"> </w:t>
      </w:r>
      <w:hyperlink w:history="1" r:id="rIdqbbuktuolp95qyqwkhwho">
        <w:r>
          <w:rPr>
            <w:color w:val="1D4ED8"/>
            <w:sz w:val="17"/>
            <w:szCs w:val="17"/>
            <w:u w:val="single"/>
          </w:rPr>
          <w:t xml:space="preserve">https://doi.org/10.1287/opre.2023.0138</w:t>
        </w:r>
      </w:hyperlink>
    </w:p>
    <w:p>
      <w:pPr>
        <w:tabs>
          <w:tab w:val="left" w:pos="567"/>
        </w:tabs>
        <w:spacing w:after="50"/>
        <w:ind w:left="567" w:hanging="567"/>
        <w:jc w:val="left"/>
      </w:pPr>
      <w:r>
        <w:rPr>
          <w:b/>
          <w:bCs/>
          <w:color w:val="215CAF"/>
          <w:sz w:val="17"/>
          <w:szCs w:val="17"/>
        </w:rPr>
        <w:t xml:space="preserve">[E2]	</w:t>
      </w:r>
      <w:r>
        <w:rPr>
          <w:sz w:val="17"/>
          <w:szCs w:val="17"/>
        </w:rPr>
        <w:t xml:space="preserve">Lanzetti, N., Bolognani, S. &amp; Dörfler, F. (2025). First-order conditions for optimization in the Wasserstein space. </w:t>
      </w:r>
      <w:r>
        <w:rPr>
          <w:i/>
          <w:iCs/>
          <w:sz w:val="17"/>
          <w:szCs w:val="17"/>
        </w:rPr>
        <w:t xml:space="preserve">SIAM Journal on Mathematics of Data Science</w:t>
      </w:r>
      <w:r>
        <w:rPr>
          <w:sz w:val="17"/>
          <w:szCs w:val="17"/>
        </w:rPr>
        <w:t xml:space="preserve">, 7(1), 274–300.</w:t>
      </w:r>
      <w:r>
        <w:rPr>
          <w:sz w:val="17"/>
          <w:szCs w:val="17"/>
        </w:rPr>
        <w:t xml:space="preserve"> </w:t>
      </w:r>
      <w:hyperlink w:history="1" r:id="rIddm0bxg6xotjmn4pleml_x">
        <w:r>
          <w:rPr>
            <w:color w:val="1D4ED8"/>
            <w:sz w:val="17"/>
            <w:szCs w:val="17"/>
            <w:u w:val="single"/>
          </w:rPr>
          <w:t xml:space="preserve">https://doi.org/10.1137/23M156687X</w:t>
        </w:r>
      </w:hyperlink>
    </w:p>
    <w:p>
      <w:pPr>
        <w:tabs>
          <w:tab w:val="left" w:pos="567"/>
        </w:tabs>
        <w:spacing w:after="50"/>
        <w:ind w:left="567" w:hanging="567"/>
        <w:jc w:val="left"/>
      </w:pPr>
      <w:r>
        <w:rPr>
          <w:b/>
          <w:bCs/>
          <w:color w:val="215CAF"/>
          <w:sz w:val="17"/>
          <w:szCs w:val="17"/>
        </w:rPr>
        <w:t xml:space="preserve">[E3]	</w:t>
      </w:r>
      <w:r>
        <w:rPr>
          <w:sz w:val="17"/>
          <w:szCs w:val="17"/>
        </w:rPr>
        <w:t xml:space="preserve">Gersbach, H. &amp; Tejada, O. (2024). Semi-flexible majority rules for public good provision. </w:t>
      </w:r>
      <w:r>
        <w:rPr>
          <w:i/>
          <w:iCs/>
          <w:sz w:val="17"/>
          <w:szCs w:val="17"/>
        </w:rPr>
        <w:t xml:space="preserve">Social Choice and Welfare</w:t>
      </w:r>
      <w:r>
        <w:rPr>
          <w:sz w:val="17"/>
          <w:szCs w:val="17"/>
        </w:rPr>
        <w:t xml:space="preserve">, 63(3), 677–715.</w:t>
      </w:r>
      <w:r>
        <w:rPr>
          <w:sz w:val="17"/>
          <w:szCs w:val="17"/>
        </w:rPr>
        <w:t xml:space="preserve"> </w:t>
      </w:r>
      <w:hyperlink w:history="1" r:id="rIdvczmcp45ry8jxg4ygvm7n">
        <w:r>
          <w:rPr>
            <w:color w:val="1D4ED8"/>
            <w:sz w:val="17"/>
            <w:szCs w:val="17"/>
            <w:u w:val="single"/>
          </w:rPr>
          <w:t xml:space="preserve">https://doi.org/10.1007/s00355-024-01508-3</w:t>
        </w:r>
      </w:hyperlink>
    </w:p>
    <w:p>
      <w:pPr>
        <w:tabs>
          <w:tab w:val="left" w:pos="567"/>
        </w:tabs>
        <w:spacing w:after="50"/>
        <w:ind w:left="567" w:hanging="567"/>
        <w:jc w:val="left"/>
      </w:pPr>
      <w:r>
        <w:rPr>
          <w:b/>
          <w:bCs/>
          <w:color w:val="215CAF"/>
          <w:sz w:val="17"/>
          <w:szCs w:val="17"/>
        </w:rPr>
        <w:t xml:space="preserve">[E4]	</w:t>
      </w:r>
      <w:r>
        <w:rPr>
          <w:sz w:val="17"/>
          <w:szCs w:val="17"/>
        </w:rPr>
        <w:t xml:space="preserve">Embrechts, P., Schied, A. &amp; Wang, R. (2022). Robustness in the optimization of risk measures. </w:t>
      </w:r>
      <w:r>
        <w:rPr>
          <w:i/>
          <w:iCs/>
          <w:sz w:val="17"/>
          <w:szCs w:val="17"/>
        </w:rPr>
        <w:t xml:space="preserve">Operations Research</w:t>
      </w:r>
      <w:r>
        <w:rPr>
          <w:sz w:val="17"/>
          <w:szCs w:val="17"/>
        </w:rPr>
        <w:t xml:space="preserve">, 70(1), 95–110.</w:t>
      </w:r>
      <w:r>
        <w:rPr>
          <w:sz w:val="17"/>
          <w:szCs w:val="17"/>
        </w:rPr>
        <w:t xml:space="preserve"> </w:t>
      </w:r>
      <w:hyperlink w:history="1" r:id="rIdqc1xdp2q0aphodvixxzua">
        <w:r>
          <w:rPr>
            <w:color w:val="1D4ED8"/>
            <w:sz w:val="17"/>
            <w:szCs w:val="17"/>
            <w:u w:val="single"/>
          </w:rPr>
          <w:t xml:space="preserve">https://doi.org/10.1287/opre.2021.2147</w:t>
        </w:r>
      </w:hyperlink>
    </w:p>
    <w:p>
      <w:pPr>
        <w:tabs>
          <w:tab w:val="left" w:pos="567"/>
        </w:tabs>
        <w:spacing w:after="50"/>
        <w:ind w:left="567" w:hanging="567"/>
        <w:jc w:val="left"/>
      </w:pPr>
      <w:r>
        <w:rPr>
          <w:b/>
          <w:bCs/>
          <w:color w:val="215CAF"/>
          <w:sz w:val="17"/>
          <w:szCs w:val="17"/>
        </w:rPr>
        <w:t xml:space="preserve">[E5]	</w:t>
      </w:r>
      <w:r>
        <w:rPr>
          <w:sz w:val="17"/>
          <w:szCs w:val="17"/>
        </w:rPr>
        <w:t xml:space="preserve">Embrechts, P., Mao, T., Wang, Q. &amp; Wang, R. (2021). Bayes risk, elicitability, and the Expected Shortfall. </w:t>
      </w:r>
      <w:r>
        <w:rPr>
          <w:i/>
          <w:iCs/>
          <w:sz w:val="17"/>
          <w:szCs w:val="17"/>
        </w:rPr>
        <w:t xml:space="preserve">Mathematical Finance</w:t>
      </w:r>
      <w:r>
        <w:rPr>
          <w:sz w:val="17"/>
          <w:szCs w:val="17"/>
        </w:rPr>
        <w:t xml:space="preserve">, 31(4), 1190–1217.</w:t>
      </w:r>
      <w:r>
        <w:rPr>
          <w:sz w:val="17"/>
          <w:szCs w:val="17"/>
        </w:rPr>
        <w:t xml:space="preserve"> </w:t>
      </w:r>
      <w:hyperlink w:history="1" r:id="rIdnt9kckglgf6rrg5sjcqyj">
        <w:r>
          <w:rPr>
            <w:color w:val="1D4ED8"/>
            <w:sz w:val="17"/>
            <w:szCs w:val="17"/>
            <w:u w:val="single"/>
          </w:rPr>
          <w:t xml:space="preserve">https://doi.org/10.1111/mafi.12313</w:t>
        </w:r>
      </w:hyperlink>
    </w:p>
    <w:p>
      <w:pPr>
        <w:pStyle w:val="Heading3"/>
      </w:pPr>
      <w:r>
        <w:rPr>
          <w:color w:val="1F3864"/>
        </w:rPr>
        <w:t xml:space="preserve">Further reading cited in the text (reserve papers)</w:t>
      </w:r>
    </w:p>
    <w:p>
      <w:pPr>
        <w:tabs>
          <w:tab w:val="left" w:pos="567"/>
        </w:tabs>
        <w:spacing w:after="50"/>
        <w:ind w:left="567" w:hanging="567"/>
        <w:jc w:val="left"/>
      </w:pPr>
      <w:r>
        <w:rPr>
          <w:b/>
          <w:bCs/>
          <w:color w:val="002147"/>
          <w:sz w:val="17"/>
          <w:szCs w:val="17"/>
        </w:rPr>
        <w:t xml:space="preserve">[OR1]	</w:t>
      </w:r>
      <w:r>
        <w:rPr>
          <w:sz w:val="17"/>
          <w:szCs w:val="17"/>
        </w:rPr>
        <w:t xml:space="preserve">Wheeler, K. G., Jeuland, M., Hall, J. W., Zagona, E. &amp; Whittington, D. (2020). Understanding and managing new risks on the Nile with the Grand Ethiopian Renaissance Dam. </w:t>
      </w:r>
      <w:r>
        <w:rPr>
          <w:i/>
          <w:iCs/>
          <w:sz w:val="17"/>
          <w:szCs w:val="17"/>
        </w:rPr>
        <w:t xml:space="preserve">Nature Communications</w:t>
      </w:r>
      <w:r>
        <w:rPr>
          <w:sz w:val="17"/>
          <w:szCs w:val="17"/>
        </w:rPr>
        <w:t xml:space="preserve">, 11, 5222. </w:t>
      </w:r>
      <w:r>
        <w:rPr>
          <w:i/>
          <w:iCs/>
          <w:sz w:val="17"/>
          <w:szCs w:val="17"/>
        </w:rPr>
        <w:t xml:space="preserve">Why it is useful:</w:t>
      </w:r>
      <w:r>
        <w:rPr>
          <w:sz w:val="17"/>
          <w:szCs w:val="17"/>
        </w:rPr>
        <w:t xml:space="preserve"> Oxford (Wheeler, Hall) and co-authors; operating strategies for the Nile reservoirs explored under deep uncertainty with a river model and an evolutionary search, a large-scale analogue of a shared water decision (section 1.4).</w:t>
      </w:r>
      <w:r>
        <w:rPr>
          <w:sz w:val="17"/>
          <w:szCs w:val="17"/>
        </w:rPr>
        <w:t xml:space="preserve"> </w:t>
      </w:r>
      <w:hyperlink w:history="1" r:id="rIdabqnto5msrj8uloql9nlk">
        <w:r>
          <w:rPr>
            <w:color w:val="1D4ED8"/>
            <w:sz w:val="17"/>
            <w:szCs w:val="17"/>
            <w:u w:val="single"/>
          </w:rPr>
          <w:t xml:space="preserve">https://doi.org/10.1038/s41467-020-19089-x</w:t>
        </w:r>
      </w:hyperlink>
    </w:p>
    <w:p>
      <w:pPr>
        <w:tabs>
          <w:tab w:val="left" w:pos="567"/>
        </w:tabs>
        <w:spacing w:after="50"/>
        <w:ind w:left="567" w:hanging="567"/>
        <w:jc w:val="left"/>
      </w:pPr>
      <w:r>
        <w:rPr>
          <w:b/>
          <w:bCs/>
          <w:color w:val="002147"/>
          <w:sz w:val="17"/>
          <w:szCs w:val="17"/>
        </w:rPr>
        <w:t xml:space="preserve">[OR2]	</w:t>
      </w:r>
      <w:r>
        <w:rPr>
          <w:sz w:val="17"/>
          <w:szCs w:val="17"/>
        </w:rPr>
        <w:t xml:space="preserve">Elkind, E., Gan, J., Obraztsova, S., Rabinovich, Z. &amp; Voudouris, A. A. (2021). Protecting elections by recounting ballots. </w:t>
      </w:r>
      <w:r>
        <w:rPr>
          <w:i/>
          <w:iCs/>
          <w:sz w:val="17"/>
          <w:szCs w:val="17"/>
        </w:rPr>
        <w:t xml:space="preserve">Artificial Intelligence</w:t>
      </w:r>
      <w:r>
        <w:rPr>
          <w:sz w:val="17"/>
          <w:szCs w:val="17"/>
        </w:rPr>
        <w:t xml:space="preserve">, 290, 103401. </w:t>
      </w:r>
      <w:r>
        <w:rPr>
          <w:i/>
          <w:iCs/>
          <w:sz w:val="17"/>
          <w:szCs w:val="17"/>
        </w:rPr>
        <w:t xml:space="preserve">Why it is useful:</w:t>
      </w:r>
      <w:r>
        <w:rPr>
          <w:sz w:val="17"/>
          <w:szCs w:val="17"/>
        </w:rPr>
        <w:t xml:space="preserve"> Oxford (Elkind, Voudouris) and co-authors; recounts as a defence against manipulated counts, a model for auditing the data on which a group decision rests (section 1.4).</w:t>
      </w:r>
      <w:r>
        <w:rPr>
          <w:sz w:val="17"/>
          <w:szCs w:val="17"/>
        </w:rPr>
        <w:t xml:space="preserve"> </w:t>
      </w:r>
      <w:hyperlink w:history="1" r:id="rIdyhwzljxrtgoxuhothonch">
        <w:r>
          <w:rPr>
            <w:color w:val="1D4ED8"/>
            <w:sz w:val="17"/>
            <w:szCs w:val="17"/>
            <w:u w:val="single"/>
          </w:rPr>
          <w:t xml:space="preserve">https://doi.org/10.1016/j.artint.2020.103401</w:t>
        </w:r>
      </w:hyperlink>
    </w:p>
    <w:p>
      <w:pPr>
        <w:tabs>
          <w:tab w:val="left" w:pos="567"/>
        </w:tabs>
        <w:spacing w:after="50"/>
        <w:ind w:left="567" w:hanging="567"/>
        <w:jc w:val="left"/>
      </w:pPr>
      <w:r>
        <w:rPr>
          <w:b/>
          <w:bCs/>
          <w:color w:val="B4410C"/>
          <w:sz w:val="17"/>
          <w:szCs w:val="17"/>
        </w:rPr>
        <w:t xml:space="preserve">[CR1]	</w:t>
      </w:r>
      <w:r>
        <w:rPr>
          <w:sz w:val="17"/>
          <w:szCs w:val="17"/>
        </w:rPr>
        <w:t xml:space="preserve">Christianson, N., Shen, J. &amp; Wierman, A. (2023). Optimal robustness-consistency tradeoffs for learning-augmented metrical task systems. </w:t>
      </w:r>
      <w:r>
        <w:rPr>
          <w:i/>
          <w:iCs/>
          <w:sz w:val="17"/>
          <w:szCs w:val="17"/>
        </w:rPr>
        <w:t xml:space="preserve">Proceedings of the 26th International Conference on Artificial Intelligence and Statistics</w:t>
      </w:r>
      <w:r>
        <w:rPr>
          <w:sz w:val="17"/>
          <w:szCs w:val="17"/>
        </w:rPr>
        <w:t xml:space="preserve">, PMLR 206, 9377–9399. </w:t>
      </w:r>
      <w:r>
        <w:rPr>
          <w:i/>
          <w:iCs/>
          <w:sz w:val="17"/>
          <w:szCs w:val="17"/>
        </w:rPr>
        <w:t xml:space="preserve">Why it is useful:</w:t>
      </w:r>
      <w:r>
        <w:rPr>
          <w:sz w:val="17"/>
          <w:szCs w:val="17"/>
        </w:rPr>
        <w:t xml:space="preserve"> Caltech (Wierman); the exact trade-off between following machine-learned advice and staying robust when the advice is wrong, a model for how far to trust a calibrated forecast (sections 1.1, 8.3).</w:t>
      </w:r>
      <w:r>
        <w:rPr>
          <w:sz w:val="17"/>
          <w:szCs w:val="17"/>
        </w:rPr>
        <w:t xml:space="preserve"> </w:t>
      </w:r>
      <w:hyperlink w:history="1" r:id="rId89ib0uw_s55jrxb8hnskf">
        <w:r>
          <w:rPr>
            <w:color w:val="1D4ED8"/>
            <w:sz w:val="17"/>
            <w:szCs w:val="17"/>
            <w:u w:val="single"/>
          </w:rPr>
          <w:t xml:space="preserve">https://proceedings.mlr.press/v206/christianson23a.html</w:t>
        </w:r>
      </w:hyperlink>
    </w:p>
    <w:p>
      <w:pPr>
        <w:tabs>
          <w:tab w:val="left" w:pos="567"/>
        </w:tabs>
        <w:spacing w:after="50"/>
        <w:ind w:left="567" w:hanging="567"/>
        <w:jc w:val="left"/>
      </w:pPr>
      <w:r>
        <w:rPr>
          <w:b/>
          <w:bCs/>
          <w:color w:val="B4410C"/>
          <w:sz w:val="17"/>
          <w:szCs w:val="17"/>
        </w:rPr>
        <w:t xml:space="preserve">[CR2]	</w:t>
      </w:r>
      <w:r>
        <w:rPr>
          <w:sz w:val="17"/>
          <w:szCs w:val="17"/>
        </w:rPr>
        <w:t xml:space="preserve">Agranov, M. &amp; Elliott, M. (2021). Commitment and (in)efficiency: a bargaining experiment. </w:t>
      </w:r>
      <w:r>
        <w:rPr>
          <w:i/>
          <w:iCs/>
          <w:sz w:val="17"/>
          <w:szCs w:val="17"/>
        </w:rPr>
        <w:t xml:space="preserve">Journal of the European Economic Association</w:t>
      </w:r>
      <w:r>
        <w:rPr>
          <w:sz w:val="17"/>
          <w:szCs w:val="17"/>
        </w:rPr>
        <w:t xml:space="preserve">, 790–838 (volume and issue not verified). </w:t>
      </w:r>
      <w:r>
        <w:rPr>
          <w:i/>
          <w:iCs/>
          <w:sz w:val="17"/>
          <w:szCs w:val="17"/>
        </w:rPr>
        <w:t xml:space="preserve">Why it is useful:</w:t>
      </w:r>
      <w:r>
        <w:rPr>
          <w:sz w:val="17"/>
          <w:szCs w:val="17"/>
        </w:rPr>
        <w:t xml:space="preserve"> Caltech (Agranov) and Cambridge; a bargaining experiment showing that inefficient agreements persist when players fear losing their bargaining position (section 1.4).</w:t>
      </w:r>
      <w:r>
        <w:rPr>
          <w:sz w:val="17"/>
          <w:szCs w:val="17"/>
        </w:rPr>
        <w:t xml:space="preserve"> </w:t>
      </w:r>
      <w:hyperlink w:history="1" r:id="rIdzx3ppvedv6csbg4trvubc">
        <w:r>
          <w:rPr>
            <w:color w:val="1D4ED8"/>
            <w:sz w:val="17"/>
            <w:szCs w:val="17"/>
            <w:u w:val="single"/>
          </w:rPr>
          <w:t xml:space="preserve">https://doi.org/10.1093/jeea/jvaa012</w:t>
        </w:r>
      </w:hyperlink>
    </w:p>
    <w:p>
      <w:pPr>
        <w:tabs>
          <w:tab w:val="left" w:pos="567"/>
        </w:tabs>
        <w:spacing w:after="50"/>
        <w:ind w:left="567" w:hanging="567"/>
        <w:jc w:val="left"/>
      </w:pPr>
      <w:r>
        <w:rPr>
          <w:b/>
          <w:bCs/>
          <w:color w:val="4D4D4F"/>
          <w:sz w:val="17"/>
          <w:szCs w:val="17"/>
        </w:rPr>
        <w:t xml:space="preserve">[MR1]	</w:t>
      </w:r>
      <w:r>
        <w:rPr>
          <w:sz w:val="17"/>
          <w:szCs w:val="17"/>
        </w:rPr>
        <w:t xml:space="preserve">Wu, M., Amin, S. &amp; Ozdaglar, A. E. (2021). Value of information in Bayesian routing games. </w:t>
      </w:r>
      <w:r>
        <w:rPr>
          <w:i/>
          <w:iCs/>
          <w:sz w:val="17"/>
          <w:szCs w:val="17"/>
        </w:rPr>
        <w:t xml:space="preserve">Operations Research</w:t>
      </w:r>
      <w:r>
        <w:rPr>
          <w:sz w:val="17"/>
          <w:szCs w:val="17"/>
        </w:rPr>
        <w:t xml:space="preserve">, 69(1), 148–163. </w:t>
      </w:r>
      <w:r>
        <w:rPr>
          <w:i/>
          <w:iCs/>
          <w:sz w:val="17"/>
          <w:szCs w:val="17"/>
        </w:rPr>
        <w:t xml:space="preserve">Why it is useful:</w:t>
      </w:r>
      <w:r>
        <w:rPr>
          <w:sz w:val="17"/>
          <w:szCs w:val="17"/>
        </w:rPr>
        <w:t xml:space="preserve"> MIT (Amin, Ozdaglar); in a Bayesian congestion game, more information helps a population only below a size threshold, a warning for how the chloride result is shared (section 1.3).</w:t>
      </w:r>
      <w:r>
        <w:rPr>
          <w:sz w:val="17"/>
          <w:szCs w:val="17"/>
        </w:rPr>
        <w:t xml:space="preserve"> </w:t>
      </w:r>
      <w:hyperlink w:history="1" r:id="rIdm5gewrfhx5uv6o5woxgit">
        <w:r>
          <w:rPr>
            <w:color w:val="1D4ED8"/>
            <w:sz w:val="17"/>
            <w:szCs w:val="17"/>
            <w:u w:val="single"/>
          </w:rPr>
          <w:t xml:space="preserve">https://doi.org/10.1287/opre.2020.1999</w:t>
        </w:r>
      </w:hyperlink>
    </w:p>
    <w:p>
      <w:pPr>
        <w:tabs>
          <w:tab w:val="left" w:pos="567"/>
        </w:tabs>
        <w:spacing w:after="50"/>
        <w:ind w:left="567" w:hanging="567"/>
        <w:jc w:val="left"/>
      </w:pPr>
      <w:r>
        <w:rPr>
          <w:b/>
          <w:bCs/>
          <w:color w:val="4D4D4F"/>
          <w:sz w:val="17"/>
          <w:szCs w:val="17"/>
        </w:rPr>
        <w:t xml:space="preserve">[MR2]	</w:t>
      </w:r>
      <w:r>
        <w:rPr>
          <w:sz w:val="17"/>
          <w:szCs w:val="17"/>
        </w:rPr>
        <w:t xml:space="preserve">Bennouna, O., Zhang, J., Amin, S. &amp; Ozdaglar, A. E. (2025). Contextual optimization under model misspecification: a tractable and generalizable approach. In </w:t>
      </w:r>
      <w:r>
        <w:rPr>
          <w:i/>
          <w:iCs/>
          <w:sz w:val="17"/>
          <w:szCs w:val="17"/>
        </w:rPr>
        <w:t xml:space="preserve">Proceedings of the 42nd International Conference on Machine Learning</w:t>
      </w:r>
      <w:r>
        <w:rPr>
          <w:sz w:val="17"/>
          <w:szCs w:val="17"/>
        </w:rPr>
        <w:t xml:space="preserve">, PMLR 267, 3749–3775. </w:t>
      </w:r>
      <w:r>
        <w:rPr>
          <w:i/>
          <w:iCs/>
          <w:sz w:val="17"/>
          <w:szCs w:val="17"/>
        </w:rPr>
        <w:t xml:space="preserve">Why it is useful:</w:t>
      </w:r>
      <w:r>
        <w:rPr>
          <w:sz w:val="17"/>
          <w:szCs w:val="17"/>
        </w:rPr>
        <w:t xml:space="preserve"> MIT (Bennouna, Amin, Ozdaglar and co-authors); learning to decide well when the predictive model is misspecified, with a tractable difference-of-convex surrogate (section 1.2).</w:t>
      </w:r>
      <w:r>
        <w:rPr>
          <w:sz w:val="17"/>
          <w:szCs w:val="17"/>
        </w:rPr>
        <w:t xml:space="preserve"> </w:t>
      </w:r>
      <w:hyperlink w:history="1" r:id="rIdawe3jlacosqrov82nqxrc">
        <w:r>
          <w:rPr>
            <w:color w:val="1D4ED8"/>
            <w:sz w:val="17"/>
            <w:szCs w:val="17"/>
            <w:u w:val="single"/>
          </w:rPr>
          <w:t xml:space="preserve">https://proceedings.mlr.press/v267/bennouna25a.html</w:t>
        </w:r>
      </w:hyperlink>
    </w:p>
    <w:p>
      <w:pPr>
        <w:tabs>
          <w:tab w:val="left" w:pos="567"/>
        </w:tabs>
        <w:spacing w:after="50"/>
        <w:ind w:left="567" w:hanging="567"/>
        <w:jc w:val="left"/>
      </w:pPr>
      <w:r>
        <w:rPr>
          <w:b/>
          <w:bCs/>
          <w:color w:val="215CAF"/>
          <w:sz w:val="17"/>
          <w:szCs w:val="17"/>
        </w:rPr>
        <w:t xml:space="preserve">[ER1]	</w:t>
      </w:r>
      <w:r>
        <w:rPr>
          <w:sz w:val="17"/>
          <w:szCs w:val="17"/>
        </w:rPr>
        <w:t xml:space="preserve">Saengkyongam, S., Pfister, N., Klasnja, P., Murphy, S. &amp; Peters, J. (2024). Effect-invariant mechanisms for policy generalization. </w:t>
      </w:r>
      <w:r>
        <w:rPr>
          <w:i/>
          <w:iCs/>
          <w:sz w:val="17"/>
          <w:szCs w:val="17"/>
        </w:rPr>
        <w:t xml:space="preserve">Journal of Machine Learning Research</w:t>
      </w:r>
      <w:r>
        <w:rPr>
          <w:sz w:val="17"/>
          <w:szCs w:val="17"/>
        </w:rPr>
        <w:t xml:space="preserve">, 25(34), 1–36. </w:t>
      </w:r>
      <w:r>
        <w:rPr>
          <w:i/>
          <w:iCs/>
          <w:sz w:val="17"/>
          <w:szCs w:val="17"/>
        </w:rPr>
        <w:t xml:space="preserve">Why it is useful:</w:t>
      </w:r>
      <w:r>
        <w:rPr>
          <w:sz w:val="17"/>
          <w:szCs w:val="17"/>
        </w:rPr>
        <w:t xml:space="preserve"> ETH Zürich (Saengkyongam, Peters) and co-authors; policies that use only effect-invariant covariates maximise the worst case across environments (section 1.2).</w:t>
      </w:r>
      <w:r>
        <w:rPr>
          <w:sz w:val="17"/>
          <w:szCs w:val="17"/>
        </w:rPr>
        <w:t xml:space="preserve"> </w:t>
      </w:r>
      <w:hyperlink w:history="1" r:id="rId4bbawuvyxgxibulb1vpx_">
        <w:r>
          <w:rPr>
            <w:color w:val="1D4ED8"/>
            <w:sz w:val="17"/>
            <w:szCs w:val="17"/>
            <w:u w:val="single"/>
          </w:rPr>
          <w:t xml:space="preserve">https://jmlr.org/papers/v25/23-0802.html</w:t>
        </w:r>
      </w:hyperlink>
    </w:p>
    <w:p>
      <w:pPr>
        <w:tabs>
          <w:tab w:val="left" w:pos="567"/>
        </w:tabs>
        <w:spacing w:after="50"/>
        <w:ind w:left="567" w:hanging="567"/>
        <w:jc w:val="left"/>
      </w:pPr>
      <w:r>
        <w:rPr>
          <w:b/>
          <w:bCs/>
          <w:color w:val="215CAF"/>
          <w:sz w:val="17"/>
          <w:szCs w:val="17"/>
        </w:rPr>
        <w:t xml:space="preserve">[ER2]	</w:t>
      </w:r>
      <w:r>
        <w:rPr>
          <w:sz w:val="17"/>
          <w:szCs w:val="17"/>
        </w:rPr>
        <w:t xml:space="preserve">Embrechts, P., Liu, H., Mao, T. &amp; Wang, R. (2020). Quantile-based risk sharing with heterogeneous beliefs. </w:t>
      </w:r>
      <w:r>
        <w:rPr>
          <w:i/>
          <w:iCs/>
          <w:sz w:val="17"/>
          <w:szCs w:val="17"/>
        </w:rPr>
        <w:t xml:space="preserve">Mathematical Programming</w:t>
      </w:r>
      <w:r>
        <w:rPr>
          <w:sz w:val="17"/>
          <w:szCs w:val="17"/>
        </w:rPr>
        <w:t xml:space="preserve">, 181, 319–347. </w:t>
      </w:r>
      <w:r>
        <w:rPr>
          <w:i/>
          <w:iCs/>
          <w:sz w:val="17"/>
          <w:szCs w:val="17"/>
        </w:rPr>
        <w:t xml:space="preserve">Why it is useful:</w:t>
      </w:r>
      <w:r>
        <w:rPr>
          <w:sz w:val="17"/>
          <w:szCs w:val="17"/>
        </w:rPr>
        <w:t xml:space="preserve"> ETH Zürich (Embrechts) and Waterloo; risk sharing among agents with different beliefs: equilibria exist for Expected Shortfall agents and fail for Value-at-Risk agents (section 1.4).</w:t>
      </w:r>
      <w:r>
        <w:rPr>
          <w:sz w:val="17"/>
          <w:szCs w:val="17"/>
        </w:rPr>
        <w:t xml:space="preserve"> </w:t>
      </w:r>
      <w:hyperlink w:history="1" r:id="rIdgmjotz76-i29rzqba8ifj">
        <w:r>
          <w:rPr>
            <w:color w:val="1D4ED8"/>
            <w:sz w:val="17"/>
            <w:szCs w:val="17"/>
            <w:u w:val="single"/>
          </w:rPr>
          <w:t xml:space="preserve">https://doi.org/10.1007/s10107-018-1313-1</w:t>
        </w:r>
      </w:hyperlink>
    </w:p>
    <w:p>
      <w:pPr>
        <w:spacing w:after="200"/>
      </w:pPr>
    </w:p>
    <w:p>
      <w:pPr>
        <w:spacing w:after="120"/>
      </w:pPr>
      <w:r>
        <w:rPr>
          <w:i/>
          <w:iCs/>
          <w:color w:val="5B6573"/>
          <w:sz w:val="18"/>
          <w:szCs w:val="18"/>
        </w:rPr>
        <w:t xml:space="preserve">Prepared from searches of 26 October 2026. Card codes: O = Oxford, C = Caltech, M = MIT, E = ETH Zürich; [B…] are references of Part I and section 9, and [OR1]–[ER2] are reserve papers cited as further reading. The code of RREZJA-GO is in the repository folder experiments/rrezja_go; it imports VENDIMI-GO (experiments/vendimi_go) and the calibrated chloride ensemble of PUSI-GO (experiments/pusi_go).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Deciding decisively under deep uncertainty II · Oxford, Caltech, MIT, ETH Zürich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0"/>
        <w:szCs w:val="20"/>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rxr42b8scr9pojou7ouil" Type="http://schemas.openxmlformats.org/officeDocument/2006/relationships/hyperlink" Target="https://doi.org/10.1016/j.jet.2021.105234" TargetMode="External"/><Relationship Id="rIdou4yhiqubyeymukvbacj2" Type="http://schemas.openxmlformats.org/officeDocument/2006/relationships/hyperlink" Target="https://neurips.cc/virtual/2023/poster/71998" TargetMode="External"/><Relationship Id="rIdvxahyo07teh4fnosndtd1" Type="http://schemas.openxmlformats.org/officeDocument/2006/relationships/hyperlink" Target="https://jmlr.org/papers/v25/23-0038.html" TargetMode="External"/><Relationship Id="rIdvicezvr8s8oo0sb6by5tv" Type="http://schemas.openxmlformats.org/officeDocument/2006/relationships/hyperlink" Target="https://doi.org/10.1016/j.ejor.2021.06.044" TargetMode="External"/><Relationship Id="rId_0qe51bltty0g-utvjrnx" Type="http://schemas.openxmlformats.org/officeDocument/2006/relationships/hyperlink" Target="https://doi.org/10.1029/2020WR028117" TargetMode="External"/><Relationship Id="rIdmtcfr7q-p-lqavy2dzbsb" Type="http://schemas.openxmlformats.org/officeDocument/2006/relationships/hyperlink" Target="https://doi.org/10.3982/ECTA16846" TargetMode="External"/><Relationship Id="rIdupht4iabizq5yhu5yfnwe" Type="http://schemas.openxmlformats.org/officeDocument/2006/relationships/hyperlink" Target="https://doi.org/10.1007/s00355-022-01435-1" TargetMode="External"/><Relationship Id="rId2xlqznzulvhioysmoz5ym" Type="http://schemas.openxmlformats.org/officeDocument/2006/relationships/hyperlink" Target="https://proceedings.neurips.cc/paper_files/paper/2023/hash/fc8ee7c7ab5b5f6b1615045dfb617ed6-Abstract.html" TargetMode="External"/><Relationship Id="rIdsuopqmawboxcs3k2oi1-x" Type="http://schemas.openxmlformats.org/officeDocument/2006/relationships/hyperlink" Target="https://doi.org/10.1109/TAC.2023.3264178" TargetMode="External"/><Relationship Id="rIdva5a9ehjcl39ppvg2bu4r" Type="http://schemas.openxmlformats.org/officeDocument/2006/relationships/hyperlink" Target="https://doi.org/10.1016/j.jet.2021.105274" TargetMode="External"/><Relationship Id="rIdbqll89y8od1refktse_rx" Type="http://schemas.openxmlformats.org/officeDocument/2006/relationships/hyperlink" Target="https://doi.org/10.1287/opre.2021.0609" TargetMode="External"/><Relationship Id="rId426jqq1k2u4hecq3zxoq9" Type="http://schemas.openxmlformats.org/officeDocument/2006/relationships/hyperlink" Target="https://doi.org/10.1137/21M1390967" TargetMode="External"/><Relationship Id="rIdfq0_aclf1h_uwmdprht08" Type="http://schemas.openxmlformats.org/officeDocument/2006/relationships/hyperlink" Target="https://doi.org/10.3982/TE5206" TargetMode="External"/><Relationship Id="rIdfbe8vcdubxclqgpdcvxeh" Type="http://schemas.openxmlformats.org/officeDocument/2006/relationships/hyperlink" Target="https://doi.org/10.1109/TAC.2022.3191791" TargetMode="External"/><Relationship Id="rIdlieo0xwy2vmx-wmnnsufe" Type="http://schemas.openxmlformats.org/officeDocument/2006/relationships/hyperlink" Target="https://papers.nips.cc/paper_files/paper/2025/hash/f2865c76810f9f702f52fd3e4150a296-Abstract-Conference.html" TargetMode="External"/><Relationship Id="rIdj7bsr4j7nwjzsvm0twva1" Type="http://schemas.openxmlformats.org/officeDocument/2006/relationships/hyperlink" Target="https://doi.org/10.1287/opre.2023.0138" TargetMode="External"/><Relationship Id="rId_kowo_txcrbf6wg2nedcy" Type="http://schemas.openxmlformats.org/officeDocument/2006/relationships/hyperlink" Target="https://doi.org/10.1137/23M156687X" TargetMode="External"/><Relationship Id="rIdhvvwkegz-ycphjnjxuw9j" Type="http://schemas.openxmlformats.org/officeDocument/2006/relationships/hyperlink" Target="https://doi.org/10.1007/s00355-024-01508-3" TargetMode="External"/><Relationship Id="rIdfeptepnn-seq0ch7bvtbs" Type="http://schemas.openxmlformats.org/officeDocument/2006/relationships/hyperlink" Target="https://doi.org/10.1287/opre.2021.2147" TargetMode="External"/><Relationship Id="rIddfonhiq5umme094_vnvw2" Type="http://schemas.openxmlformats.org/officeDocument/2006/relationships/hyperlink" Target="https://doi.org/10.1111/mafi.12313" TargetMode="External"/><Relationship Id="rIdo-svgrvesh1oxo7u99upx" Type="http://schemas.openxmlformats.org/officeDocument/2006/relationships/hyperlink" Target="https://doi.org/10.1287/mnsc.1120.1641" TargetMode="External"/><Relationship Id="rIdkr-f9apefxy9kdeyxpeno" Type="http://schemas.openxmlformats.org/officeDocument/2006/relationships/hyperlink" Target="https://doi.org/10.1007/s10107-017-1172-1" TargetMode="External"/><Relationship Id="rIdzyqfq79jisj2jpmpjp3vz" Type="http://schemas.openxmlformats.org/officeDocument/2006/relationships/hyperlink" Target="https://doi.org/10.1002/cpa.3160280102" TargetMode="External"/><Relationship Id="rIdnwhgnz-qmsljp4r_dlllb" Type="http://schemas.openxmlformats.org/officeDocument/2006/relationships/hyperlink" Target="https://doi.org/10.1198/016214506000001437" TargetMode="External"/><Relationship Id="rIdtpdz1c6bwhkd8h0anxjoy" Type="http://schemas.openxmlformats.org/officeDocument/2006/relationships/hyperlink" Target="https://doi.org/10.1198/jasa.2011.r10138" TargetMode="External"/><Relationship Id="rIdroica6hmiofl3qdk_16fc" Type="http://schemas.openxmlformats.org/officeDocument/2006/relationships/hyperlink" Target="https://doi.org/10.1007/BF00128122" TargetMode="External"/><Relationship Id="rIdjmlgeaclofxbhipq7d_gx" Type="http://schemas.openxmlformats.org/officeDocument/2006/relationships/hyperlink" Target="https://doi.org/10.1214/aop/1176996454" TargetMode="External"/><Relationship Id="rIdw2yzpra1psky8hd6elmyn" Type="http://schemas.openxmlformats.org/officeDocument/2006/relationships/hyperlink" Target="https://doi.org/10.1016/j.jet.2021.105234" TargetMode="External"/><Relationship Id="rIdhkhhmq3dtjlirthwafy4f" Type="http://schemas.openxmlformats.org/officeDocument/2006/relationships/hyperlink" Target="https://neurips.cc/virtual/2023/poster/71998" TargetMode="External"/><Relationship Id="rIdocn_knhtn8aexkzgnnhhu" Type="http://schemas.openxmlformats.org/officeDocument/2006/relationships/hyperlink" Target="https://jmlr.org/papers/v25/23-0038.html" TargetMode="External"/><Relationship Id="rIdjavjkjy6bfjz-moxc0e3w" Type="http://schemas.openxmlformats.org/officeDocument/2006/relationships/hyperlink" Target="https://doi.org/10.1016/j.ejor.2021.06.044" TargetMode="External"/><Relationship Id="rIde1ijwnpuns2xoh9pissm6" Type="http://schemas.openxmlformats.org/officeDocument/2006/relationships/hyperlink" Target="https://doi.org/10.1029/2020WR028117" TargetMode="External"/><Relationship Id="rIdx7ld_l-oq8a4cpubwtag-" Type="http://schemas.openxmlformats.org/officeDocument/2006/relationships/hyperlink" Target="https://doi.org/10.3982/ECTA16846" TargetMode="External"/><Relationship Id="rIdbp82tvss4i3hbulg2rh0n" Type="http://schemas.openxmlformats.org/officeDocument/2006/relationships/hyperlink" Target="https://doi.org/10.1007/s00355-022-01435-1" TargetMode="External"/><Relationship Id="rIdxzdbmoe0d0jt_smdnlaqt" Type="http://schemas.openxmlformats.org/officeDocument/2006/relationships/hyperlink" Target="https://proceedings.neurips.cc/paper_files/paper/2023/hash/fc8ee7c7ab5b5f6b1615045dfb617ed6-Abstract.html" TargetMode="External"/><Relationship Id="rIdhxbldos8v15zmbiqglzgf" Type="http://schemas.openxmlformats.org/officeDocument/2006/relationships/hyperlink" Target="https://doi.org/10.1109/TAC.2023.3264178" TargetMode="External"/><Relationship Id="rIdytlcbnj_uotag13ikw4k5" Type="http://schemas.openxmlformats.org/officeDocument/2006/relationships/hyperlink" Target="https://doi.org/10.1016/j.jet.2021.105274" TargetMode="External"/><Relationship Id="rIdy9vs5tyea6v2ev3nynoel" Type="http://schemas.openxmlformats.org/officeDocument/2006/relationships/hyperlink" Target="https://doi.org/10.1287/opre.2021.0609" TargetMode="External"/><Relationship Id="rIdby2pah6m8vl0kdz-kveri" Type="http://schemas.openxmlformats.org/officeDocument/2006/relationships/hyperlink" Target="https://doi.org/10.1137/21M1390967" TargetMode="External"/><Relationship Id="rIdpepsbasb-trut0vm03yoj" Type="http://schemas.openxmlformats.org/officeDocument/2006/relationships/hyperlink" Target="https://doi.org/10.3982/TE5206" TargetMode="External"/><Relationship Id="rId-6pyxv4w_3p6cfehxoa5c" Type="http://schemas.openxmlformats.org/officeDocument/2006/relationships/hyperlink" Target="https://doi.org/10.1109/TAC.2022.3191791" TargetMode="External"/><Relationship Id="rIdh52jnfyjh-awfvjvtstbe" Type="http://schemas.openxmlformats.org/officeDocument/2006/relationships/hyperlink" Target="https://papers.nips.cc/paper_files/paper/2025/hash/f2865c76810f9f702f52fd3e4150a296-Abstract-Conference.html" TargetMode="External"/><Relationship Id="rIdqbbuktuolp95qyqwkhwho" Type="http://schemas.openxmlformats.org/officeDocument/2006/relationships/hyperlink" Target="https://doi.org/10.1287/opre.2023.0138" TargetMode="External"/><Relationship Id="rIddm0bxg6xotjmn4pleml_x" Type="http://schemas.openxmlformats.org/officeDocument/2006/relationships/hyperlink" Target="https://doi.org/10.1137/23M156687X" TargetMode="External"/><Relationship Id="rIdvczmcp45ry8jxg4ygvm7n" Type="http://schemas.openxmlformats.org/officeDocument/2006/relationships/hyperlink" Target="https://doi.org/10.1007/s00355-024-01508-3" TargetMode="External"/><Relationship Id="rIdqc1xdp2q0aphodvixxzua" Type="http://schemas.openxmlformats.org/officeDocument/2006/relationships/hyperlink" Target="https://doi.org/10.1287/opre.2021.2147" TargetMode="External"/><Relationship Id="rIdnt9kckglgf6rrg5sjcqyj" Type="http://schemas.openxmlformats.org/officeDocument/2006/relationships/hyperlink" Target="https://doi.org/10.1111/mafi.12313" TargetMode="External"/><Relationship Id="rIdabqnto5msrj8uloql9nlk" Type="http://schemas.openxmlformats.org/officeDocument/2006/relationships/hyperlink" Target="https://doi.org/10.1038/s41467-020-19089-x" TargetMode="External"/><Relationship Id="rIdyhwzljxrtgoxuhothonch" Type="http://schemas.openxmlformats.org/officeDocument/2006/relationships/hyperlink" Target="https://doi.org/10.1016/j.artint.2020.103401" TargetMode="External"/><Relationship Id="rId89ib0uw_s55jrxb8hnskf" Type="http://schemas.openxmlformats.org/officeDocument/2006/relationships/hyperlink" Target="https://proceedings.mlr.press/v206/christianson23a.html" TargetMode="External"/><Relationship Id="rIdzx3ppvedv6csbg4trvubc" Type="http://schemas.openxmlformats.org/officeDocument/2006/relationships/hyperlink" Target="https://doi.org/10.1093/jeea/jvaa012" TargetMode="External"/><Relationship Id="rIdm5gewrfhx5uv6o5woxgit" Type="http://schemas.openxmlformats.org/officeDocument/2006/relationships/hyperlink" Target="https://doi.org/10.1287/opre.2020.1999" TargetMode="External"/><Relationship Id="rIdawe3jlacosqrov82nqxrc" Type="http://schemas.openxmlformats.org/officeDocument/2006/relationships/hyperlink" Target="https://proceedings.mlr.press/v267/bennouna25a.html" TargetMode="External"/><Relationship Id="rId4bbawuvyxgxibulb1vpx_" Type="http://schemas.openxmlformats.org/officeDocument/2006/relationships/hyperlink" Target="https://jmlr.org/papers/v25/23-0802.html" TargetMode="External"/><Relationship Id="rIdgmjotz76-i29rzqba8ifj" Type="http://schemas.openxmlformats.org/officeDocument/2006/relationships/hyperlink" Target="https://doi.org/10.1007/s10107-018-1313-1" TargetMode="External"/><Relationship Id="rId11" Type="http://schemas.openxmlformats.org/officeDocument/2006/relationships/image" Target="media/d0b73bbf53bdb6935f321dd7d7a28636ab85a487.pn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Deciding decisively under deep uncertainty II: twenty more papers from Oxford, Caltech, MIT and ETH Zürich</dc:title>
  <dc:subject>Literature review: robust satisficing, ambiguity sets and their calibration, belief elicitation and aggregation, commitment and collective choice under deep uncertainty, 2020–2026</dc:subject>
  <dc:creator>D. Zeqiraj</dc:creator>
  <dc:description>Robust satisficing, calibrated ambiguity sets, truthful beliefs and commitment (2020–2026), none used in review 57. With a theoretical introduction and RREZJA-GO (rrezja: the radius), a tested rule that lets the Fushë-Kuqe stakeholders agree on one radius of belief instead of a list of beliefs, so that the committed pumping and recharge choice also protects beliefs nobody has stated</dc:description>
  <cp:lastModifiedBy>D. Zeqiraj</cp:lastModifiedBy>
  <cp:revision>1</cp:revision>
  <dcterms:created xsi:type="dcterms:W3CDTF">2026-10-26T21:59:34.410Z</dcterms:created>
  <dcterms:modified xsi:type="dcterms:W3CDTF">2026-10-26T21:59:34.410Z</dcterms:modified>
</cp:coreProperties>
</file>

<file path=docProps/custom.xml><?xml version="1.0" encoding="utf-8"?>
<Properties xmlns="http://schemas.openxmlformats.org/officeDocument/2006/custom-properties" xmlns:vt="http://schemas.openxmlformats.org/officeDocument/2006/docPropsVTypes"/>
</file>