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Data Management Plan</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produces and uses satellite, geodetic, hydrogeological, chemical, seismic and model data about critical infrastructure, together with operator records and a small amount of personal data. Its data policy is "as open as possible, as closed as necessary": methods, code, regional products, a synthetic test coast and the verification statistics of the warnings are open and FAIR; operator records and asset-level results are restricted but still findable through their metadata; personal data are protected and deleted when no longer needed. The plan is delivered with the access agreements in Month 3 (T7.2) and updated in Month 18 and Month 36.</w:t>
      </w:r>
    </w:p>
    <w:p>
      <w:pPr>
        <w:spacing w:after="40" w:before="0"/>
        <w:jc w:val="center"/>
      </w:pPr>
      <w:r>
        <w:drawing>
          <wp:inline xmlns:a="http://schemas.openxmlformats.org/drawingml/2006/main" xmlns:pic="http://schemas.openxmlformats.org/drawingml/2006/picture">
            <wp:extent cx="6120000" cy="3745074"/>
            <wp:docPr id="1" name="Picture 1"/>
            <wp:cNvGraphicFramePr>
              <a:graphicFrameLocks noChangeAspect="1"/>
            </wp:cNvGraphicFramePr>
            <a:graphic>
              <a:graphicData uri="http://schemas.openxmlformats.org/drawingml/2006/picture">
                <pic:pic>
                  <pic:nvPicPr>
                    <pic:cNvPr id="0" name="fig_dmp_flow.png"/>
                    <pic:cNvPicPr/>
                  </pic:nvPicPr>
                  <pic:blipFill>
                    <a:blip r:embed="rId9"/>
                    <a:stretch>
                      <a:fillRect/>
                    </a:stretch>
                  </pic:blipFill>
                  <pic:spPr>
                    <a:xfrm>
                      <a:off x="0" y="0"/>
                      <a:ext cx="6120000" cy="3745074"/>
                    </a:xfrm>
                    <a:prstGeom prst="rect"/>
                  </pic:spPr>
                </pic:pic>
              </a:graphicData>
            </a:graphic>
          </wp:inline>
        </w:drawing>
      </w:r>
    </w:p>
    <w:p>
      <w:pPr>
        <w:spacing w:after="120" w:before="0"/>
      </w:pPr>
      <w:r>
        <w:rPr>
          <w:rFonts w:ascii="Arial" w:hAnsi="Arial" w:eastAsia="Arial"/>
          <w:b w:val="0"/>
          <w:i/>
          <w:color w:val="52606D"/>
          <w:sz w:val="20"/>
        </w:rPr>
        <w:t>Figure 1. Data flow: sources, the project data platform, and the open and restricted tiers behind the release gate.</w:t>
      </w:r>
    </w:p>
    <w:p>
      <w:pPr>
        <w:keepNext/>
        <w:spacing w:after="120" w:before="120"/>
      </w:pPr>
      <w:r>
        <w:rPr>
          <w:rFonts w:ascii="Arial" w:hAnsi="Arial" w:eastAsia="Arial"/>
          <w:b/>
          <w:i w:val="0"/>
          <w:color w:val="1F3864"/>
          <w:sz w:val="27"/>
        </w:rPr>
        <w:t>1. Data summary</w:t>
      </w:r>
    </w:p>
    <w:p>
      <w:pPr>
        <w:spacing w:after="80" w:before="0"/>
        <w:jc w:val="both"/>
      </w:pPr>
      <w:r>
        <w:rPr>
          <w:rFonts w:ascii="Arial" w:hAnsi="Arial" w:eastAsia="Arial"/>
          <w:b w:val="0"/>
          <w:i w:val="0"/>
          <w:sz w:val="22"/>
        </w:rPr>
        <w:t>The data serve one purpose: to measure, model and warn of seawater intrusion, liquefaction and extreme sea levels at the three assets, and to verify the warnings. The project re-uses free satellite data and existing operator records, and generates new field, model and bulletin data (Table 1, on the next page). The total volume is of the order of 20 TB, most of it satellite and fibre-optic data.</w:t>
      </w:r>
    </w:p>
    <w:p>
      <w:pPr>
        <w:sectPr>
          <w:pgSz w:w="11906" w:h="16838"/>
          <w:pgMar w:top="1020" w:right="1134" w:bottom="1020" w:left="1134" w:header="720" w:footer="720" w:gutter="0"/>
          <w:cols w:space="720"/>
          <w:docGrid w:linePitch="360"/>
        </w:sectPr>
      </w:pPr>
    </w:p>
    <w:p>
      <w:pPr>
        <w:keepNext/>
        <w:spacing w:after="80" w:before="0"/>
      </w:pPr>
      <w:r>
        <w:rPr>
          <w:rFonts w:ascii="Arial" w:hAnsi="Arial" w:eastAsia="Arial"/>
          <w:b/>
          <w:i w:val="0"/>
          <w:color w:val="1F3864"/>
          <w:sz w:val="24"/>
        </w:rPr>
        <w:t>Table 1. Data inventory.</w:t>
      </w:r>
    </w:p>
    <w:tbl>
      <w:tblPr>
        <w:tblStyle w:val="TableGrid"/>
        <w:tblW w:type="auto" w:w="0"/>
        <w:jc w:val="center"/>
        <w:tblLayout w:type="fixed"/>
        <w:tblLook w:firstColumn="1" w:firstRow="1" w:lastColumn="0" w:lastRow="0" w:noHBand="0" w:noVBand="1" w:val="04A0"/>
        <w:tblLayout w:type="fixed"/>
      </w:tblPr>
      <w:tblGrid>
        <w:gridCol w:w="680"/>
        <w:gridCol w:w="3628"/>
        <w:gridCol w:w="2381"/>
        <w:gridCol w:w="1928"/>
        <w:gridCol w:w="1474"/>
        <w:gridCol w:w="3175"/>
        <w:gridCol w:w="1871"/>
      </w:tblGrid>
      <w:tr>
        <w:trPr>
          <w:cantSplit/>
          <w:tblHeader/>
        </w:trPr>
        <w:tc>
          <w:tcPr>
            <w:tcW w:type="dxa" w:w="680"/>
            <w:shd w:val="clear" w:color="auto" w:fill="1F3864"/>
          </w:tcPr>
          <w:p>
            <w:pPr>
              <w:keepNext/>
            </w:pPr>
            <w:r/>
            <w:r>
              <w:rPr>
                <w:rFonts w:ascii="Arial" w:hAnsi="Arial" w:eastAsia="Arial"/>
                <w:b/>
                <w:i w:val="0"/>
                <w:color w:val="FFFFFF"/>
                <w:sz w:val="18"/>
              </w:rPr>
              <w:t>ID</w:t>
            </w:r>
          </w:p>
        </w:tc>
        <w:tc>
          <w:tcPr>
            <w:tcW w:type="dxa" w:w="3628"/>
            <w:shd w:val="clear" w:color="auto" w:fill="1F3864"/>
          </w:tcPr>
          <w:p>
            <w:pPr>
              <w:keepNext/>
            </w:pPr>
            <w:r/>
            <w:r>
              <w:rPr>
                <w:rFonts w:ascii="Arial" w:hAnsi="Arial" w:eastAsia="Arial"/>
                <w:b/>
                <w:i w:val="0"/>
                <w:color w:val="FFFFFF"/>
                <w:sz w:val="18"/>
              </w:rPr>
              <w:t>Dataset</w:t>
            </w:r>
          </w:p>
        </w:tc>
        <w:tc>
          <w:tcPr>
            <w:tcW w:type="dxa" w:w="2381"/>
            <w:shd w:val="clear" w:color="auto" w:fill="1F3864"/>
          </w:tcPr>
          <w:p>
            <w:pPr>
              <w:keepNext/>
            </w:pPr>
            <w:r/>
            <w:r>
              <w:rPr>
                <w:rFonts w:ascii="Arial" w:hAnsi="Arial" w:eastAsia="Arial"/>
                <w:b/>
                <w:i w:val="0"/>
                <w:color w:val="FFFFFF"/>
                <w:sz w:val="18"/>
              </w:rPr>
              <w:t>Origin and type</w:t>
            </w:r>
          </w:p>
        </w:tc>
        <w:tc>
          <w:tcPr>
            <w:tcW w:type="dxa" w:w="1928"/>
            <w:shd w:val="clear" w:color="auto" w:fill="1F3864"/>
          </w:tcPr>
          <w:p>
            <w:pPr>
              <w:keepNext/>
            </w:pPr>
            <w:r/>
            <w:r>
              <w:rPr>
                <w:rFonts w:ascii="Arial" w:hAnsi="Arial" w:eastAsia="Arial"/>
                <w:b/>
                <w:i w:val="0"/>
                <w:color w:val="FFFFFF"/>
                <w:sz w:val="18"/>
              </w:rPr>
              <w:t>Format</w:t>
            </w:r>
          </w:p>
        </w:tc>
        <w:tc>
          <w:tcPr>
            <w:tcW w:type="dxa" w:w="1474"/>
            <w:shd w:val="clear" w:color="auto" w:fill="1F3864"/>
          </w:tcPr>
          <w:p>
            <w:pPr>
              <w:keepNext/>
            </w:pPr>
            <w:r/>
            <w:r>
              <w:rPr>
                <w:rFonts w:ascii="Arial" w:hAnsi="Arial" w:eastAsia="Arial"/>
                <w:b/>
                <w:i w:val="0"/>
                <w:color w:val="FFFFFF"/>
                <w:sz w:val="18"/>
              </w:rPr>
              <w:t>Volume</w:t>
            </w:r>
          </w:p>
        </w:tc>
        <w:tc>
          <w:tcPr>
            <w:tcW w:type="dxa" w:w="3175"/>
            <w:shd w:val="clear" w:color="auto" w:fill="1F3864"/>
          </w:tcPr>
          <w:p>
            <w:pPr>
              <w:keepNext/>
            </w:pPr>
            <w:r/>
            <w:r>
              <w:rPr>
                <w:rFonts w:ascii="Arial" w:hAnsi="Arial" w:eastAsia="Arial"/>
                <w:b/>
                <w:i w:val="0"/>
                <w:color w:val="FFFFFF"/>
                <w:sz w:val="18"/>
              </w:rPr>
              <w:t>Access tier</w:t>
            </w:r>
          </w:p>
        </w:tc>
        <w:tc>
          <w:tcPr>
            <w:tcW w:type="dxa" w:w="1871"/>
            <w:shd w:val="clear" w:color="auto" w:fill="1F3864"/>
          </w:tcPr>
          <w:p>
            <w:pPr>
              <w:keepNext/>
            </w:pPr>
            <w:r/>
            <w:r>
              <w:rPr>
                <w:rFonts w:ascii="Arial" w:hAnsi="Arial" w:eastAsia="Arial"/>
                <w:b/>
                <w:i w:val="0"/>
                <w:color w:val="FFFFFF"/>
                <w:sz w:val="18"/>
              </w:rPr>
              <w:t>Owner</w:t>
            </w:r>
          </w:p>
        </w:tc>
      </w:tr>
      <w:tr>
        <w:trPr>
          <w:cantSplit/>
        </w:trPr>
        <w:tc>
          <w:tcPr>
            <w:tcW w:type="dxa" w:w="680"/>
          </w:tcPr>
          <w:p>
            <w:pPr>
              <w:keepNext/>
            </w:pPr>
            <w:r/>
            <w:r>
              <w:rPr>
                <w:rFonts w:ascii="Arial" w:hAnsi="Arial" w:eastAsia="Arial"/>
                <w:b w:val="0"/>
                <w:i w:val="0"/>
                <w:sz w:val="18"/>
              </w:rPr>
              <w:t>DS1</w:t>
            </w:r>
          </w:p>
        </w:tc>
        <w:tc>
          <w:tcPr>
            <w:tcW w:type="dxa" w:w="3628"/>
          </w:tcPr>
          <w:p>
            <w:pPr>
              <w:keepNext/>
            </w:pPr>
            <w:r/>
            <w:r>
              <w:rPr>
                <w:rFonts w:ascii="Arial" w:hAnsi="Arial" w:eastAsia="Arial"/>
                <w:b w:val="0"/>
                <w:i w:val="0"/>
                <w:sz w:val="18"/>
              </w:rPr>
              <w:t>Sentinel-1 radar images</w:t>
            </w:r>
          </w:p>
        </w:tc>
        <w:tc>
          <w:tcPr>
            <w:tcW w:type="dxa" w:w="2381"/>
          </w:tcPr>
          <w:p>
            <w:pPr>
              <w:keepNext/>
            </w:pPr>
            <w:r/>
            <w:r>
              <w:rPr>
                <w:rFonts w:ascii="Arial" w:hAnsi="Arial" w:eastAsia="Arial"/>
                <w:b w:val="0"/>
                <w:i w:val="0"/>
                <w:sz w:val="18"/>
              </w:rPr>
              <w:t>External, Copernicus (free)</w:t>
            </w:r>
          </w:p>
        </w:tc>
        <w:tc>
          <w:tcPr>
            <w:tcW w:type="dxa" w:w="1928"/>
          </w:tcPr>
          <w:p>
            <w:pPr>
              <w:keepNext/>
            </w:pPr>
            <w:r/>
            <w:r>
              <w:rPr>
                <w:rFonts w:ascii="Arial" w:hAnsi="Arial" w:eastAsia="Arial"/>
                <w:b w:val="0"/>
                <w:i w:val="0"/>
                <w:sz w:val="18"/>
              </w:rPr>
              <w:t>SAFE / SLC</w:t>
            </w:r>
          </w:p>
        </w:tc>
        <w:tc>
          <w:tcPr>
            <w:tcW w:type="dxa" w:w="1474"/>
          </w:tcPr>
          <w:p>
            <w:pPr>
              <w:keepNext/>
            </w:pPr>
            <w:r/>
            <w:r>
              <w:rPr>
                <w:rFonts w:ascii="Arial" w:hAnsi="Arial" w:eastAsia="Arial"/>
                <w:b w:val="0"/>
                <w:i w:val="0"/>
                <w:sz w:val="18"/>
              </w:rPr>
              <w:t>~5 TB working copy</w:t>
            </w:r>
          </w:p>
        </w:tc>
        <w:tc>
          <w:tcPr>
            <w:tcW w:type="dxa" w:w="3175"/>
            <w:shd w:val="clear" w:color="auto" w:fill="EEF2F8"/>
          </w:tcPr>
          <w:p>
            <w:pPr>
              <w:keepNext/>
            </w:pPr>
            <w:r/>
            <w:r>
              <w:rPr>
                <w:rFonts w:ascii="Arial" w:hAnsi="Arial" w:eastAsia="Arial"/>
                <w:b w:val="0"/>
                <w:i w:val="0"/>
                <w:sz w:val="18"/>
              </w:rPr>
              <w:t>Not redistributed</w:t>
            </w:r>
          </w:p>
        </w:tc>
        <w:tc>
          <w:tcPr>
            <w:tcW w:type="dxa" w:w="1871"/>
          </w:tcPr>
          <w:p>
            <w:pPr>
              <w:keepNext/>
            </w:pPr>
            <w:r/>
            <w:r>
              <w:rPr>
                <w:rFonts w:ascii="Arial" w:hAnsi="Arial" w:eastAsia="Arial"/>
                <w:b w:val="0"/>
                <w:i w:val="0"/>
                <w:sz w:val="18"/>
              </w:rPr>
              <w:t>Copernicus</w:t>
            </w:r>
          </w:p>
        </w:tc>
      </w:tr>
      <w:tr>
        <w:trPr>
          <w:cantSplit/>
        </w:trPr>
        <w:tc>
          <w:tcPr>
            <w:tcW w:type="dxa" w:w="680"/>
          </w:tcPr>
          <w:p>
            <w:r/>
            <w:r>
              <w:rPr>
                <w:rFonts w:ascii="Arial" w:hAnsi="Arial" w:eastAsia="Arial"/>
                <w:b w:val="0"/>
                <w:i w:val="0"/>
                <w:sz w:val="18"/>
              </w:rPr>
              <w:t>DS2</w:t>
            </w:r>
          </w:p>
        </w:tc>
        <w:tc>
          <w:tcPr>
            <w:tcW w:type="dxa" w:w="3628"/>
          </w:tcPr>
          <w:p>
            <w:r/>
            <w:r>
              <w:rPr>
                <w:rFonts w:ascii="Arial" w:hAnsi="Arial" w:eastAsia="Arial"/>
                <w:b w:val="0"/>
                <w:i w:val="0"/>
                <w:sz w:val="18"/>
              </w:rPr>
              <w:t>InSAR products: line-of-sight series, vertical and east velocities</w:t>
            </w:r>
          </w:p>
        </w:tc>
        <w:tc>
          <w:tcPr>
            <w:tcW w:type="dxa" w:w="2381"/>
          </w:tcPr>
          <w:p>
            <w:r/>
            <w:r>
              <w:rPr>
                <w:rFonts w:ascii="Arial" w:hAnsi="Arial" w:eastAsia="Arial"/>
                <w:b w:val="0"/>
                <w:i w:val="0"/>
                <w:sz w:val="18"/>
              </w:rPr>
              <w:t>Processed (WP1)</w:t>
            </w:r>
          </w:p>
        </w:tc>
        <w:tc>
          <w:tcPr>
            <w:tcW w:type="dxa" w:w="1928"/>
          </w:tcPr>
          <w:p>
            <w:r/>
            <w:r>
              <w:rPr>
                <w:rFonts w:ascii="Arial" w:hAnsi="Arial" w:eastAsia="Arial"/>
                <w:b w:val="0"/>
                <w:i w:val="0"/>
                <w:sz w:val="18"/>
              </w:rPr>
              <w:t>GeoTIFF, NetCDF, CSV</w:t>
            </w:r>
          </w:p>
        </w:tc>
        <w:tc>
          <w:tcPr>
            <w:tcW w:type="dxa" w:w="1474"/>
          </w:tcPr>
          <w:p>
            <w:r/>
            <w:r>
              <w:rPr>
                <w:rFonts w:ascii="Arial" w:hAnsi="Arial" w:eastAsia="Arial"/>
                <w:b w:val="0"/>
                <w:i w:val="0"/>
                <w:sz w:val="18"/>
              </w:rPr>
              <w:t>~50 GB</w:t>
            </w:r>
          </w:p>
        </w:tc>
        <w:tc>
          <w:tcPr>
            <w:tcW w:type="dxa" w:w="3175"/>
            <w:shd w:val="clear" w:color="auto" w:fill="E6F4EC"/>
          </w:tcPr>
          <w:p>
            <w:r/>
            <w:r>
              <w:rPr>
                <w:rFonts w:ascii="Arial" w:hAnsi="Arial" w:eastAsia="Arial"/>
                <w:b w:val="0"/>
                <w:i w:val="0"/>
                <w:sz w:val="18"/>
              </w:rPr>
              <w:t>Open (regional); restricted (asset points)</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DS3</w:t>
            </w:r>
          </w:p>
        </w:tc>
        <w:tc>
          <w:tcPr>
            <w:tcW w:type="dxa" w:w="3628"/>
          </w:tcPr>
          <w:p>
            <w:r/>
            <w:r>
              <w:rPr>
                <w:rFonts w:ascii="Arial" w:hAnsi="Arial" w:eastAsia="Arial"/>
                <w:b w:val="0"/>
                <w:i w:val="0"/>
                <w:sz w:val="18"/>
              </w:rPr>
              <w:t>GNSS observations and daily time series</w:t>
            </w:r>
          </w:p>
        </w:tc>
        <w:tc>
          <w:tcPr>
            <w:tcW w:type="dxa" w:w="2381"/>
          </w:tcPr>
          <w:p>
            <w:r/>
            <w:r>
              <w:rPr>
                <w:rFonts w:ascii="Arial" w:hAnsi="Arial" w:eastAsia="Arial"/>
                <w:b w:val="0"/>
                <w:i w:val="0"/>
                <w:sz w:val="18"/>
              </w:rPr>
              <w:t>New, project stations (WP1)</w:t>
            </w:r>
          </w:p>
        </w:tc>
        <w:tc>
          <w:tcPr>
            <w:tcW w:type="dxa" w:w="1928"/>
          </w:tcPr>
          <w:p>
            <w:r/>
            <w:r>
              <w:rPr>
                <w:rFonts w:ascii="Arial" w:hAnsi="Arial" w:eastAsia="Arial"/>
                <w:b w:val="0"/>
                <w:i w:val="0"/>
                <w:sz w:val="18"/>
              </w:rPr>
              <w:t>RINEX, CSV</w:t>
            </w:r>
          </w:p>
        </w:tc>
        <w:tc>
          <w:tcPr>
            <w:tcW w:type="dxa" w:w="1474"/>
          </w:tcPr>
          <w:p>
            <w:r/>
            <w:r>
              <w:rPr>
                <w:rFonts w:ascii="Arial" w:hAnsi="Arial" w:eastAsia="Arial"/>
                <w:b w:val="0"/>
                <w:i w:val="0"/>
                <w:sz w:val="18"/>
              </w:rPr>
              <w:t>~10 GB</w:t>
            </w:r>
          </w:p>
        </w:tc>
        <w:tc>
          <w:tcPr>
            <w:tcW w:type="dxa" w:w="3175"/>
            <w:shd w:val="clear" w:color="auto" w:fill="F6EFE6"/>
          </w:tcPr>
          <w:p>
            <w:r/>
            <w:r>
              <w:rPr>
                <w:rFonts w:ascii="Arial" w:hAnsi="Arial" w:eastAsia="Arial"/>
                <w:b w:val="0"/>
                <w:i w:val="0"/>
                <w:sz w:val="18"/>
              </w:rPr>
              <w:t>Restricted inside sites; open outside</w:t>
            </w:r>
          </w:p>
        </w:tc>
        <w:tc>
          <w:tcPr>
            <w:tcW w:type="dxa" w:w="1871"/>
          </w:tcPr>
          <w:p>
            <w:r/>
            <w:r>
              <w:rPr>
                <w:rFonts w:ascii="Arial" w:hAnsi="Arial" w:eastAsia="Arial"/>
                <w:b w:val="0"/>
                <w:i w:val="0"/>
                <w:sz w:val="18"/>
              </w:rPr>
              <w:t>Project, operators</w:t>
            </w:r>
          </w:p>
        </w:tc>
      </w:tr>
      <w:tr>
        <w:trPr>
          <w:cantSplit/>
        </w:trPr>
        <w:tc>
          <w:tcPr>
            <w:tcW w:type="dxa" w:w="680"/>
          </w:tcPr>
          <w:p>
            <w:r/>
            <w:r>
              <w:rPr>
                <w:rFonts w:ascii="Arial" w:hAnsi="Arial" w:eastAsia="Arial"/>
                <w:b w:val="0"/>
                <w:i w:val="0"/>
                <w:sz w:val="18"/>
              </w:rPr>
              <w:t>DS4</w:t>
            </w:r>
          </w:p>
        </w:tc>
        <w:tc>
          <w:tcPr>
            <w:tcW w:type="dxa" w:w="3628"/>
          </w:tcPr>
          <w:p>
            <w:r/>
            <w:r>
              <w:rPr>
                <w:rFonts w:ascii="Arial" w:hAnsi="Arial" w:eastAsia="Arial"/>
                <w:b w:val="0"/>
                <w:i w:val="0"/>
                <w:sz w:val="18"/>
              </w:rPr>
              <w:t>Tide-gauge sea level</w:t>
            </w:r>
          </w:p>
        </w:tc>
        <w:tc>
          <w:tcPr>
            <w:tcW w:type="dxa" w:w="2381"/>
          </w:tcPr>
          <w:p>
            <w:r/>
            <w:r>
              <w:rPr>
                <w:rFonts w:ascii="Arial" w:hAnsi="Arial" w:eastAsia="Arial"/>
                <w:b w:val="0"/>
                <w:i w:val="0"/>
                <w:sz w:val="18"/>
              </w:rPr>
              <w:t>External, existing gauge</w:t>
            </w:r>
          </w:p>
        </w:tc>
        <w:tc>
          <w:tcPr>
            <w:tcW w:type="dxa" w:w="1928"/>
          </w:tcPr>
          <w:p>
            <w:r/>
            <w:r>
              <w:rPr>
                <w:rFonts w:ascii="Arial" w:hAnsi="Arial" w:eastAsia="Arial"/>
                <w:b w:val="0"/>
                <w:i w:val="0"/>
                <w:sz w:val="18"/>
              </w:rPr>
              <w:t>CSV</w:t>
            </w:r>
          </w:p>
        </w:tc>
        <w:tc>
          <w:tcPr>
            <w:tcW w:type="dxa" w:w="1474"/>
          </w:tcPr>
          <w:p>
            <w:r/>
            <w:r>
              <w:rPr>
                <w:rFonts w:ascii="Arial" w:hAnsi="Arial" w:eastAsia="Arial"/>
                <w:b w:val="0"/>
                <w:i w:val="0"/>
                <w:sz w:val="18"/>
              </w:rPr>
              <w:t>&lt;1 GB</w:t>
            </w:r>
          </w:p>
        </w:tc>
        <w:tc>
          <w:tcPr>
            <w:tcW w:type="dxa" w:w="3175"/>
            <w:shd w:val="clear" w:color="auto" w:fill="EEF2F8"/>
          </w:tcPr>
          <w:p>
            <w:r/>
            <w:r>
              <w:rPr>
                <w:rFonts w:ascii="Arial" w:hAnsi="Arial" w:eastAsia="Arial"/>
                <w:b w:val="0"/>
                <w:i w:val="0"/>
                <w:sz w:val="18"/>
              </w:rPr>
              <w:t>Provider's terms</w:t>
            </w:r>
          </w:p>
        </w:tc>
        <w:tc>
          <w:tcPr>
            <w:tcW w:type="dxa" w:w="1871"/>
          </w:tcPr>
          <w:p>
            <w:r/>
            <w:r>
              <w:rPr>
                <w:rFonts w:ascii="Arial" w:hAnsi="Arial" w:eastAsia="Arial"/>
                <w:b w:val="0"/>
                <w:i w:val="0"/>
                <w:sz w:val="18"/>
              </w:rPr>
              <w:t>Provider</w:t>
            </w:r>
          </w:p>
        </w:tc>
      </w:tr>
      <w:tr>
        <w:trPr>
          <w:cantSplit/>
        </w:trPr>
        <w:tc>
          <w:tcPr>
            <w:tcW w:type="dxa" w:w="680"/>
          </w:tcPr>
          <w:p>
            <w:r/>
            <w:r>
              <w:rPr>
                <w:rFonts w:ascii="Arial" w:hAnsi="Arial" w:eastAsia="Arial"/>
                <w:b w:val="0"/>
                <w:i w:val="0"/>
                <w:sz w:val="18"/>
              </w:rPr>
              <w:t>DS5</w:t>
            </w:r>
          </w:p>
        </w:tc>
        <w:tc>
          <w:tcPr>
            <w:tcW w:type="dxa" w:w="3628"/>
          </w:tcPr>
          <w:p>
            <w:r/>
            <w:r>
              <w:rPr>
                <w:rFonts w:ascii="Arial" w:hAnsi="Arial" w:eastAsia="Arial"/>
                <w:b w:val="0"/>
                <w:i w:val="0"/>
                <w:sz w:val="18"/>
              </w:rPr>
              <w:t>Heads, conductivity and temperature from loggers</w:t>
            </w:r>
          </w:p>
        </w:tc>
        <w:tc>
          <w:tcPr>
            <w:tcW w:type="dxa" w:w="2381"/>
          </w:tcPr>
          <w:p>
            <w:r/>
            <w:r>
              <w:rPr>
                <w:rFonts w:ascii="Arial" w:hAnsi="Arial" w:eastAsia="Arial"/>
                <w:b w:val="0"/>
                <w:i w:val="0"/>
                <w:sz w:val="18"/>
              </w:rPr>
              <w:t>New (WP4)</w:t>
            </w:r>
          </w:p>
        </w:tc>
        <w:tc>
          <w:tcPr>
            <w:tcW w:type="dxa" w:w="1928"/>
          </w:tcPr>
          <w:p>
            <w:r/>
            <w:r>
              <w:rPr>
                <w:rFonts w:ascii="Arial" w:hAnsi="Arial" w:eastAsia="Arial"/>
                <w:b w:val="0"/>
                <w:i w:val="0"/>
                <w:sz w:val="18"/>
              </w:rPr>
              <w:t>CSV</w:t>
            </w:r>
          </w:p>
        </w:tc>
        <w:tc>
          <w:tcPr>
            <w:tcW w:type="dxa" w:w="1474"/>
          </w:tcPr>
          <w:p>
            <w:r/>
            <w:r>
              <w:rPr>
                <w:rFonts w:ascii="Arial" w:hAnsi="Arial" w:eastAsia="Arial"/>
                <w:b w:val="0"/>
                <w:i w:val="0"/>
                <w:sz w:val="18"/>
              </w:rPr>
              <w:t>~2 GB</w:t>
            </w:r>
          </w:p>
        </w:tc>
        <w:tc>
          <w:tcPr>
            <w:tcW w:type="dxa" w:w="3175"/>
            <w:shd w:val="clear" w:color="auto" w:fill="F6EFE6"/>
          </w:tcPr>
          <w:p>
            <w:r/>
            <w:r>
              <w:rPr>
                <w:rFonts w:ascii="Arial" w:hAnsi="Arial" w:eastAsia="Arial"/>
                <w:b w:val="0"/>
                <w:i w:val="0"/>
                <w:sz w:val="18"/>
              </w:rPr>
              <w:t>Restricted; open after consent with generalised locations</w:t>
            </w:r>
          </w:p>
        </w:tc>
        <w:tc>
          <w:tcPr>
            <w:tcW w:type="dxa" w:w="1871"/>
          </w:tcPr>
          <w:p>
            <w:r/>
            <w:r>
              <w:rPr>
                <w:rFonts w:ascii="Arial" w:hAnsi="Arial" w:eastAsia="Arial"/>
                <w:b w:val="0"/>
                <w:i w:val="0"/>
                <w:sz w:val="18"/>
              </w:rPr>
              <w:t>Operators</w:t>
            </w:r>
          </w:p>
        </w:tc>
      </w:tr>
      <w:tr>
        <w:trPr>
          <w:cantSplit/>
        </w:trPr>
        <w:tc>
          <w:tcPr>
            <w:tcW w:type="dxa" w:w="680"/>
          </w:tcPr>
          <w:p>
            <w:r/>
            <w:r>
              <w:rPr>
                <w:rFonts w:ascii="Arial" w:hAnsi="Arial" w:eastAsia="Arial"/>
                <w:b w:val="0"/>
                <w:i w:val="0"/>
                <w:sz w:val="18"/>
              </w:rPr>
              <w:t>DS6</w:t>
            </w:r>
          </w:p>
        </w:tc>
        <w:tc>
          <w:tcPr>
            <w:tcW w:type="dxa" w:w="3628"/>
          </w:tcPr>
          <w:p>
            <w:r/>
            <w:r>
              <w:rPr>
                <w:rFonts w:ascii="Arial" w:hAnsi="Arial" w:eastAsia="Arial"/>
                <w:b w:val="0"/>
                <w:i w:val="0"/>
                <w:sz w:val="18"/>
              </w:rPr>
              <w:t>Chloride and major-ion analyses</w:t>
            </w:r>
          </w:p>
        </w:tc>
        <w:tc>
          <w:tcPr>
            <w:tcW w:type="dxa" w:w="2381"/>
          </w:tcPr>
          <w:p>
            <w:r/>
            <w:r>
              <w:rPr>
                <w:rFonts w:ascii="Arial" w:hAnsi="Arial" w:eastAsia="Arial"/>
                <w:b w:val="0"/>
                <w:i w:val="0"/>
                <w:sz w:val="18"/>
              </w:rPr>
              <w:t>New (WP4)</w:t>
            </w:r>
          </w:p>
        </w:tc>
        <w:tc>
          <w:tcPr>
            <w:tcW w:type="dxa" w:w="1928"/>
          </w:tcPr>
          <w:p>
            <w:r/>
            <w:r>
              <w:rPr>
                <w:rFonts w:ascii="Arial" w:hAnsi="Arial" w:eastAsia="Arial"/>
                <w:b w:val="0"/>
                <w:i w:val="0"/>
                <w:sz w:val="18"/>
              </w:rPr>
              <w:t>CSV</w:t>
            </w:r>
          </w:p>
        </w:tc>
        <w:tc>
          <w:tcPr>
            <w:tcW w:type="dxa" w:w="1474"/>
          </w:tcPr>
          <w:p>
            <w:r/>
            <w:r>
              <w:rPr>
                <w:rFonts w:ascii="Arial" w:hAnsi="Arial" w:eastAsia="Arial"/>
                <w:b w:val="0"/>
                <w:i w:val="0"/>
                <w:sz w:val="18"/>
              </w:rPr>
              <w:t>&lt;1 GB</w:t>
            </w:r>
          </w:p>
        </w:tc>
        <w:tc>
          <w:tcPr>
            <w:tcW w:type="dxa" w:w="3175"/>
            <w:shd w:val="clear" w:color="auto" w:fill="F6EFE6"/>
          </w:tcPr>
          <w:p>
            <w:r/>
            <w:r>
              <w:rPr>
                <w:rFonts w:ascii="Arial" w:hAnsi="Arial" w:eastAsia="Arial"/>
                <w:b w:val="0"/>
                <w:i w:val="0"/>
                <w:sz w:val="18"/>
              </w:rPr>
              <w:t>Restricted; open after consent</w:t>
            </w:r>
          </w:p>
        </w:tc>
        <w:tc>
          <w:tcPr>
            <w:tcW w:type="dxa" w:w="1871"/>
          </w:tcPr>
          <w:p>
            <w:r/>
            <w:r>
              <w:rPr>
                <w:rFonts w:ascii="Arial" w:hAnsi="Arial" w:eastAsia="Arial"/>
                <w:b w:val="0"/>
                <w:i w:val="0"/>
                <w:sz w:val="18"/>
              </w:rPr>
              <w:t>Operators</w:t>
            </w:r>
          </w:p>
        </w:tc>
      </w:tr>
      <w:tr>
        <w:trPr>
          <w:cantSplit/>
        </w:trPr>
        <w:tc>
          <w:tcPr>
            <w:tcW w:type="dxa" w:w="680"/>
          </w:tcPr>
          <w:p>
            <w:r/>
            <w:r>
              <w:rPr>
                <w:rFonts w:ascii="Arial" w:hAnsi="Arial" w:eastAsia="Arial"/>
                <w:b w:val="0"/>
                <w:i w:val="0"/>
                <w:sz w:val="18"/>
              </w:rPr>
              <w:t>DS7</w:t>
            </w:r>
          </w:p>
        </w:tc>
        <w:tc>
          <w:tcPr>
            <w:tcW w:type="dxa" w:w="3628"/>
          </w:tcPr>
          <w:p>
            <w:r/>
            <w:r>
              <w:rPr>
                <w:rFonts w:ascii="Arial" w:hAnsi="Arial" w:eastAsia="Arial"/>
                <w:b w:val="0"/>
                <w:i w:val="0"/>
                <w:sz w:val="18"/>
              </w:rPr>
              <w:t>Historical heads, chloride and pumping records</w:t>
            </w:r>
          </w:p>
        </w:tc>
        <w:tc>
          <w:tcPr>
            <w:tcW w:type="dxa" w:w="2381"/>
          </w:tcPr>
          <w:p>
            <w:r/>
            <w:r>
              <w:rPr>
                <w:rFonts w:ascii="Arial" w:hAnsi="Arial" w:eastAsia="Arial"/>
                <w:b w:val="0"/>
                <w:i w:val="0"/>
                <w:sz w:val="18"/>
              </w:rPr>
              <w:t>Existing, operators</w:t>
            </w:r>
          </w:p>
        </w:tc>
        <w:tc>
          <w:tcPr>
            <w:tcW w:type="dxa" w:w="1928"/>
          </w:tcPr>
          <w:p>
            <w:r/>
            <w:r>
              <w:rPr>
                <w:rFonts w:ascii="Arial" w:hAnsi="Arial" w:eastAsia="Arial"/>
                <w:b w:val="0"/>
                <w:i w:val="0"/>
                <w:sz w:val="18"/>
              </w:rPr>
              <w:t>CSV, scanned records</w:t>
            </w:r>
          </w:p>
        </w:tc>
        <w:tc>
          <w:tcPr>
            <w:tcW w:type="dxa" w:w="1474"/>
          </w:tcPr>
          <w:p>
            <w:r/>
            <w:r>
              <w:rPr>
                <w:rFonts w:ascii="Arial" w:hAnsi="Arial" w:eastAsia="Arial"/>
                <w:b w:val="0"/>
                <w:i w:val="0"/>
                <w:sz w:val="18"/>
              </w:rPr>
              <w:t>~5 GB</w:t>
            </w:r>
          </w:p>
        </w:tc>
        <w:tc>
          <w:tcPr>
            <w:tcW w:type="dxa" w:w="3175"/>
            <w:shd w:val="clear" w:color="auto" w:fill="F6EFE6"/>
          </w:tcPr>
          <w:p>
            <w:r/>
            <w:r>
              <w:rPr>
                <w:rFonts w:ascii="Arial" w:hAnsi="Arial" w:eastAsia="Arial"/>
                <w:b w:val="0"/>
                <w:i w:val="0"/>
                <w:sz w:val="18"/>
              </w:rPr>
              <w:t>Restricted</w:t>
            </w:r>
          </w:p>
        </w:tc>
        <w:tc>
          <w:tcPr>
            <w:tcW w:type="dxa" w:w="1871"/>
          </w:tcPr>
          <w:p>
            <w:r/>
            <w:r>
              <w:rPr>
                <w:rFonts w:ascii="Arial" w:hAnsi="Arial" w:eastAsia="Arial"/>
                <w:b w:val="0"/>
                <w:i w:val="0"/>
                <w:sz w:val="18"/>
              </w:rPr>
              <w:t>Operators</w:t>
            </w:r>
          </w:p>
        </w:tc>
      </w:tr>
      <w:tr>
        <w:trPr>
          <w:cantSplit/>
        </w:trPr>
        <w:tc>
          <w:tcPr>
            <w:tcW w:type="dxa" w:w="680"/>
          </w:tcPr>
          <w:p>
            <w:r/>
            <w:r>
              <w:rPr>
                <w:rFonts w:ascii="Arial" w:hAnsi="Arial" w:eastAsia="Arial"/>
                <w:b w:val="0"/>
                <w:i w:val="0"/>
                <w:sz w:val="18"/>
              </w:rPr>
              <w:t>DS8</w:t>
            </w:r>
          </w:p>
        </w:tc>
        <w:tc>
          <w:tcPr>
            <w:tcW w:type="dxa" w:w="3628"/>
          </w:tcPr>
          <w:p>
            <w:r/>
            <w:r>
              <w:rPr>
                <w:rFonts w:ascii="Arial" w:hAnsi="Arial" w:eastAsia="Arial"/>
                <w:b w:val="0"/>
                <w:i w:val="0"/>
                <w:sz w:val="18"/>
              </w:rPr>
              <w:t>Geotechnical data (CPT, boreholes) at port and landfall</w:t>
            </w:r>
          </w:p>
        </w:tc>
        <w:tc>
          <w:tcPr>
            <w:tcW w:type="dxa" w:w="2381"/>
          </w:tcPr>
          <w:p>
            <w:r/>
            <w:r>
              <w:rPr>
                <w:rFonts w:ascii="Arial" w:hAnsi="Arial" w:eastAsia="Arial"/>
                <w:b w:val="0"/>
                <w:i w:val="0"/>
                <w:sz w:val="18"/>
              </w:rPr>
              <w:t>Existing, operators</w:t>
            </w:r>
          </w:p>
        </w:tc>
        <w:tc>
          <w:tcPr>
            <w:tcW w:type="dxa" w:w="1928"/>
          </w:tcPr>
          <w:p>
            <w:r/>
            <w:r>
              <w:rPr>
                <w:rFonts w:ascii="Arial" w:hAnsi="Arial" w:eastAsia="Arial"/>
                <w:b w:val="0"/>
                <w:i w:val="0"/>
                <w:sz w:val="18"/>
              </w:rPr>
              <w:t>PDF, AGS, CSV</w:t>
            </w:r>
          </w:p>
        </w:tc>
        <w:tc>
          <w:tcPr>
            <w:tcW w:type="dxa" w:w="1474"/>
          </w:tcPr>
          <w:p>
            <w:r/>
            <w:r>
              <w:rPr>
                <w:rFonts w:ascii="Arial" w:hAnsi="Arial" w:eastAsia="Arial"/>
                <w:b w:val="0"/>
                <w:i w:val="0"/>
                <w:sz w:val="18"/>
              </w:rPr>
              <w:t>~2 GB</w:t>
            </w:r>
          </w:p>
        </w:tc>
        <w:tc>
          <w:tcPr>
            <w:tcW w:type="dxa" w:w="3175"/>
            <w:shd w:val="clear" w:color="auto" w:fill="F6EFE6"/>
          </w:tcPr>
          <w:p>
            <w:r/>
            <w:r>
              <w:rPr>
                <w:rFonts w:ascii="Arial" w:hAnsi="Arial" w:eastAsia="Arial"/>
                <w:b w:val="0"/>
                <w:i w:val="0"/>
                <w:sz w:val="18"/>
              </w:rPr>
              <w:t>Restricted</w:t>
            </w:r>
          </w:p>
        </w:tc>
        <w:tc>
          <w:tcPr>
            <w:tcW w:type="dxa" w:w="1871"/>
          </w:tcPr>
          <w:p>
            <w:r/>
            <w:r>
              <w:rPr>
                <w:rFonts w:ascii="Arial" w:hAnsi="Arial" w:eastAsia="Arial"/>
                <w:b w:val="0"/>
                <w:i w:val="0"/>
                <w:sz w:val="18"/>
              </w:rPr>
              <w:t>Operators</w:t>
            </w:r>
          </w:p>
        </w:tc>
      </w:tr>
      <w:tr>
        <w:trPr>
          <w:cantSplit/>
        </w:trPr>
        <w:tc>
          <w:tcPr>
            <w:tcW w:type="dxa" w:w="680"/>
          </w:tcPr>
          <w:p>
            <w:r/>
            <w:r>
              <w:rPr>
                <w:rFonts w:ascii="Arial" w:hAnsi="Arial" w:eastAsia="Arial"/>
                <w:b w:val="0"/>
                <w:i w:val="0"/>
                <w:sz w:val="18"/>
              </w:rPr>
              <w:t>DS9</w:t>
            </w:r>
          </w:p>
        </w:tc>
        <w:tc>
          <w:tcPr>
            <w:tcW w:type="dxa" w:w="3628"/>
          </w:tcPr>
          <w:p>
            <w:r/>
            <w:r>
              <w:rPr>
                <w:rFonts w:ascii="Arial" w:hAnsi="Arial" w:eastAsia="Arial"/>
                <w:b w:val="0"/>
                <w:i w:val="0"/>
                <w:sz w:val="18"/>
              </w:rPr>
              <w:t>Continuous seismic waveforms and station metadata</w:t>
            </w:r>
          </w:p>
        </w:tc>
        <w:tc>
          <w:tcPr>
            <w:tcW w:type="dxa" w:w="2381"/>
          </w:tcPr>
          <w:p>
            <w:r/>
            <w:r>
              <w:rPr>
                <w:rFonts w:ascii="Arial" w:hAnsi="Arial" w:eastAsia="Arial"/>
                <w:b w:val="0"/>
                <w:i w:val="0"/>
                <w:sz w:val="18"/>
              </w:rPr>
              <w:t>New (WP4)</w:t>
            </w:r>
          </w:p>
        </w:tc>
        <w:tc>
          <w:tcPr>
            <w:tcW w:type="dxa" w:w="1928"/>
          </w:tcPr>
          <w:p>
            <w:r/>
            <w:r>
              <w:rPr>
                <w:rFonts w:ascii="Arial" w:hAnsi="Arial" w:eastAsia="Arial"/>
                <w:b w:val="0"/>
                <w:i w:val="0"/>
                <w:sz w:val="18"/>
              </w:rPr>
              <w:t>miniSEED, StationXML</w:t>
            </w:r>
          </w:p>
        </w:tc>
        <w:tc>
          <w:tcPr>
            <w:tcW w:type="dxa" w:w="1474"/>
          </w:tcPr>
          <w:p>
            <w:r/>
            <w:r>
              <w:rPr>
                <w:rFonts w:ascii="Arial" w:hAnsi="Arial" w:eastAsia="Arial"/>
                <w:b w:val="0"/>
                <w:i w:val="0"/>
                <w:sz w:val="18"/>
              </w:rPr>
              <w:t>~0.2 TB</w:t>
            </w:r>
          </w:p>
        </w:tc>
        <w:tc>
          <w:tcPr>
            <w:tcW w:type="dxa" w:w="3175"/>
            <w:shd w:val="clear" w:color="auto" w:fill="F6EFE6"/>
          </w:tcPr>
          <w:p>
            <w:r/>
            <w:r>
              <w:rPr>
                <w:rFonts w:ascii="Arial" w:hAnsi="Arial" w:eastAsia="Arial"/>
                <w:b w:val="0"/>
                <w:i w:val="0"/>
                <w:sz w:val="18"/>
              </w:rPr>
              <w:t>Restricted inside sites; open outside</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DS10</w:t>
            </w:r>
          </w:p>
        </w:tc>
        <w:tc>
          <w:tcPr>
            <w:tcW w:type="dxa" w:w="3628"/>
          </w:tcPr>
          <w:p>
            <w:r/>
            <w:r>
              <w:rPr>
                <w:rFonts w:ascii="Arial" w:hAnsi="Arial" w:eastAsia="Arial"/>
                <w:b w:val="0"/>
                <w:i w:val="0"/>
                <w:sz w:val="18"/>
              </w:rPr>
              <w:t>Seismic node and fibre-optic campaigns</w:t>
            </w:r>
          </w:p>
        </w:tc>
        <w:tc>
          <w:tcPr>
            <w:tcW w:type="dxa" w:w="2381"/>
          </w:tcPr>
          <w:p>
            <w:r/>
            <w:r>
              <w:rPr>
                <w:rFonts w:ascii="Arial" w:hAnsi="Arial" w:eastAsia="Arial"/>
                <w:b w:val="0"/>
                <w:i w:val="0"/>
                <w:sz w:val="18"/>
              </w:rPr>
              <w:t>New (WP4)</w:t>
            </w:r>
          </w:p>
        </w:tc>
        <w:tc>
          <w:tcPr>
            <w:tcW w:type="dxa" w:w="1928"/>
          </w:tcPr>
          <w:p>
            <w:r/>
            <w:r>
              <w:rPr>
                <w:rFonts w:ascii="Arial" w:hAnsi="Arial" w:eastAsia="Arial"/>
                <w:b w:val="0"/>
                <w:i w:val="0"/>
                <w:sz w:val="18"/>
              </w:rPr>
              <w:t>miniSEED, HDF5</w:t>
            </w:r>
          </w:p>
        </w:tc>
        <w:tc>
          <w:tcPr>
            <w:tcW w:type="dxa" w:w="1474"/>
          </w:tcPr>
          <w:p>
            <w:r/>
            <w:r>
              <w:rPr>
                <w:rFonts w:ascii="Arial" w:hAnsi="Arial" w:eastAsia="Arial"/>
                <w:b w:val="0"/>
                <w:i w:val="0"/>
                <w:sz w:val="18"/>
              </w:rPr>
              <w:t>1–10 TB</w:t>
            </w:r>
          </w:p>
        </w:tc>
        <w:tc>
          <w:tcPr>
            <w:tcW w:type="dxa" w:w="3175"/>
            <w:shd w:val="clear" w:color="auto" w:fill="F6EFE6"/>
          </w:tcPr>
          <w:p>
            <w:r/>
            <w:r>
              <w:rPr>
                <w:rFonts w:ascii="Arial" w:hAnsi="Arial" w:eastAsia="Arial"/>
                <w:b w:val="0"/>
                <w:i w:val="0"/>
                <w:sz w:val="18"/>
              </w:rPr>
              <w:t>Restricted raw; derived open</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DS11</w:t>
            </w:r>
          </w:p>
        </w:tc>
        <w:tc>
          <w:tcPr>
            <w:tcW w:type="dxa" w:w="3628"/>
          </w:tcPr>
          <w:p>
            <w:r/>
            <w:r>
              <w:rPr>
                <w:rFonts w:ascii="Arial" w:hAnsi="Arial" w:eastAsia="Arial"/>
                <w:b w:val="0"/>
                <w:i w:val="0"/>
                <w:sz w:val="18"/>
              </w:rPr>
              <w:t>Seismic velocity change (dv/v) series</w:t>
            </w:r>
          </w:p>
        </w:tc>
        <w:tc>
          <w:tcPr>
            <w:tcW w:type="dxa" w:w="2381"/>
          </w:tcPr>
          <w:p>
            <w:r/>
            <w:r>
              <w:rPr>
                <w:rFonts w:ascii="Arial" w:hAnsi="Arial" w:eastAsia="Arial"/>
                <w:b w:val="0"/>
                <w:i w:val="0"/>
                <w:sz w:val="18"/>
              </w:rPr>
              <w:t>Processed (T4.4)</w:t>
            </w:r>
          </w:p>
        </w:tc>
        <w:tc>
          <w:tcPr>
            <w:tcW w:type="dxa" w:w="1928"/>
          </w:tcPr>
          <w:p>
            <w:r/>
            <w:r>
              <w:rPr>
                <w:rFonts w:ascii="Arial" w:hAnsi="Arial" w:eastAsia="Arial"/>
                <w:b w:val="0"/>
                <w:i w:val="0"/>
                <w:sz w:val="18"/>
              </w:rPr>
              <w:t>CSV, NetCDF</w:t>
            </w:r>
          </w:p>
        </w:tc>
        <w:tc>
          <w:tcPr>
            <w:tcW w:type="dxa" w:w="1474"/>
          </w:tcPr>
          <w:p>
            <w:r/>
            <w:r>
              <w:rPr>
                <w:rFonts w:ascii="Arial" w:hAnsi="Arial" w:eastAsia="Arial"/>
                <w:b w:val="0"/>
                <w:i w:val="0"/>
                <w:sz w:val="18"/>
              </w:rPr>
              <w:t>&lt;1 GB</w:t>
            </w:r>
          </w:p>
        </w:tc>
        <w:tc>
          <w:tcPr>
            <w:tcW w:type="dxa" w:w="3175"/>
            <w:shd w:val="clear" w:color="auto" w:fill="E6F4EC"/>
          </w:tcPr>
          <w:p>
            <w:r/>
            <w:r>
              <w:rPr>
                <w:rFonts w:ascii="Arial" w:hAnsi="Arial" w:eastAsia="Arial"/>
                <w:b w:val="0"/>
                <w:i w:val="0"/>
                <w:sz w:val="18"/>
              </w:rPr>
              <w:t>Open (aggregated)</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DS12</w:t>
            </w:r>
          </w:p>
        </w:tc>
        <w:tc>
          <w:tcPr>
            <w:tcW w:type="dxa" w:w="3628"/>
          </w:tcPr>
          <w:p>
            <w:r/>
            <w:r>
              <w:rPr>
                <w:rFonts w:ascii="Arial" w:hAnsi="Arial" w:eastAsia="Arial"/>
                <w:b w:val="0"/>
                <w:i w:val="0"/>
                <w:sz w:val="18"/>
              </w:rPr>
              <w:t>Coupled-model set-up, calibrated parameters and runs</w:t>
            </w:r>
          </w:p>
        </w:tc>
        <w:tc>
          <w:tcPr>
            <w:tcW w:type="dxa" w:w="2381"/>
          </w:tcPr>
          <w:p>
            <w:r/>
            <w:r>
              <w:rPr>
                <w:rFonts w:ascii="Arial" w:hAnsi="Arial" w:eastAsia="Arial"/>
                <w:b w:val="0"/>
                <w:i w:val="0"/>
                <w:sz w:val="18"/>
              </w:rPr>
              <w:t>Generated (WP2)</w:t>
            </w:r>
          </w:p>
        </w:tc>
        <w:tc>
          <w:tcPr>
            <w:tcW w:type="dxa" w:w="1928"/>
          </w:tcPr>
          <w:p>
            <w:r/>
            <w:r>
              <w:rPr>
                <w:rFonts w:ascii="Arial" w:hAnsi="Arial" w:eastAsia="Arial"/>
                <w:b w:val="0"/>
                <w:i w:val="0"/>
                <w:sz w:val="18"/>
              </w:rPr>
              <w:t>Model files, NetCDF</w:t>
            </w:r>
          </w:p>
        </w:tc>
        <w:tc>
          <w:tcPr>
            <w:tcW w:type="dxa" w:w="1474"/>
          </w:tcPr>
          <w:p>
            <w:r/>
            <w:r>
              <w:rPr>
                <w:rFonts w:ascii="Arial" w:hAnsi="Arial" w:eastAsia="Arial"/>
                <w:b w:val="0"/>
                <w:i w:val="0"/>
                <w:sz w:val="18"/>
              </w:rPr>
              <w:t>~3 TB</w:t>
            </w:r>
          </w:p>
        </w:tc>
        <w:tc>
          <w:tcPr>
            <w:tcW w:type="dxa" w:w="3175"/>
            <w:shd w:val="clear" w:color="auto" w:fill="F6EFE6"/>
          </w:tcPr>
          <w:p>
            <w:r/>
            <w:r>
              <w:rPr>
                <w:rFonts w:ascii="Arial" w:hAnsi="Arial" w:eastAsia="Arial"/>
                <w:b w:val="0"/>
                <w:i w:val="0"/>
                <w:sz w:val="18"/>
              </w:rPr>
              <w:t>Restricted (site); open (synthetic coast)</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DS13</w:t>
            </w:r>
          </w:p>
        </w:tc>
        <w:tc>
          <w:tcPr>
            <w:tcW w:type="dxa" w:w="3628"/>
          </w:tcPr>
          <w:p>
            <w:r/>
            <w:r>
              <w:rPr>
                <w:rFonts w:ascii="Arial" w:hAnsi="Arial" w:eastAsia="Arial"/>
                <w:b w:val="0"/>
                <w:i w:val="0"/>
                <w:sz w:val="18"/>
              </w:rPr>
              <w:t>Surrogate training sets and trained surrogates</w:t>
            </w:r>
          </w:p>
        </w:tc>
        <w:tc>
          <w:tcPr>
            <w:tcW w:type="dxa" w:w="2381"/>
          </w:tcPr>
          <w:p>
            <w:r/>
            <w:r>
              <w:rPr>
                <w:rFonts w:ascii="Arial" w:hAnsi="Arial" w:eastAsia="Arial"/>
                <w:b w:val="0"/>
                <w:i w:val="0"/>
                <w:sz w:val="18"/>
              </w:rPr>
              <w:t>Generated (WP2)</w:t>
            </w:r>
          </w:p>
        </w:tc>
        <w:tc>
          <w:tcPr>
            <w:tcW w:type="dxa" w:w="1928"/>
          </w:tcPr>
          <w:p>
            <w:r/>
            <w:r>
              <w:rPr>
                <w:rFonts w:ascii="Arial" w:hAnsi="Arial" w:eastAsia="Arial"/>
                <w:b w:val="0"/>
                <w:i w:val="0"/>
                <w:sz w:val="18"/>
              </w:rPr>
              <w:t>HDF5, ONNX</w:t>
            </w:r>
          </w:p>
        </w:tc>
        <w:tc>
          <w:tcPr>
            <w:tcW w:type="dxa" w:w="1474"/>
          </w:tcPr>
          <w:p>
            <w:r/>
            <w:r>
              <w:rPr>
                <w:rFonts w:ascii="Arial" w:hAnsi="Arial" w:eastAsia="Arial"/>
                <w:b w:val="0"/>
                <w:i w:val="0"/>
                <w:sz w:val="18"/>
              </w:rPr>
              <w:t>~1 TB</w:t>
            </w:r>
          </w:p>
        </w:tc>
        <w:tc>
          <w:tcPr>
            <w:tcW w:type="dxa" w:w="3175"/>
            <w:shd w:val="clear" w:color="auto" w:fill="F6EFE6"/>
          </w:tcPr>
          <w:p>
            <w:r/>
            <w:r>
              <w:rPr>
                <w:rFonts w:ascii="Arial" w:hAnsi="Arial" w:eastAsia="Arial"/>
                <w:b w:val="0"/>
                <w:i w:val="0"/>
                <w:sz w:val="18"/>
              </w:rPr>
              <w:t>Restricted (site); open (synthetic coast)</w:t>
            </w:r>
          </w:p>
        </w:tc>
        <w:tc>
          <w:tcPr>
            <w:tcW w:type="dxa" w:w="1871"/>
          </w:tcPr>
          <w:p>
            <w:r/>
            <w:r>
              <w:rPr>
                <w:rFonts w:ascii="Arial" w:hAnsi="Arial" w:eastAsia="Arial"/>
                <w:b w:val="0"/>
                <w:i w:val="0"/>
                <w:sz w:val="18"/>
              </w:rPr>
              <w:t>Project</w:t>
            </w:r>
          </w:p>
        </w:tc>
      </w:tr>
      <w:tr>
        <w:trPr>
          <w:cantSplit/>
        </w:trPr>
        <w:tc>
          <w:tcPr>
            <w:tcW w:type="dxa" w:w="680"/>
          </w:tcPr>
          <w:p>
            <w:r/>
            <w:r>
              <w:rPr>
                <w:rFonts w:ascii="Arial" w:hAnsi="Arial" w:eastAsia="Arial"/>
                <w:b w:val="0"/>
                <w:i w:val="0"/>
                <w:sz w:val="18"/>
              </w:rPr>
              <w:t>DS14</w:t>
            </w:r>
          </w:p>
        </w:tc>
        <w:tc>
          <w:tcPr>
            <w:tcW w:type="dxa" w:w="3628"/>
          </w:tcPr>
          <w:p>
            <w:r/>
            <w:r>
              <w:rPr>
                <w:rFonts w:ascii="Arial" w:hAnsi="Arial" w:eastAsia="Arial"/>
                <w:b w:val="0"/>
                <w:i w:val="0"/>
                <w:sz w:val="18"/>
              </w:rPr>
              <w:t>Bulletins and outcome log</w:t>
            </w:r>
          </w:p>
        </w:tc>
        <w:tc>
          <w:tcPr>
            <w:tcW w:type="dxa" w:w="2381"/>
          </w:tcPr>
          <w:p>
            <w:r/>
            <w:r>
              <w:rPr>
                <w:rFonts w:ascii="Arial" w:hAnsi="Arial" w:eastAsia="Arial"/>
                <w:b w:val="0"/>
                <w:i w:val="0"/>
                <w:sz w:val="18"/>
              </w:rPr>
              <w:t>Generated (WP5)</w:t>
            </w:r>
          </w:p>
        </w:tc>
        <w:tc>
          <w:tcPr>
            <w:tcW w:type="dxa" w:w="1928"/>
          </w:tcPr>
          <w:p>
            <w:r/>
            <w:r>
              <w:rPr>
                <w:rFonts w:ascii="Arial" w:hAnsi="Arial" w:eastAsia="Arial"/>
                <w:b w:val="0"/>
                <w:i w:val="0"/>
                <w:sz w:val="18"/>
              </w:rPr>
              <w:t>JSON, CSV</w:t>
            </w:r>
          </w:p>
        </w:tc>
        <w:tc>
          <w:tcPr>
            <w:tcW w:type="dxa" w:w="1474"/>
          </w:tcPr>
          <w:p>
            <w:r/>
            <w:r>
              <w:rPr>
                <w:rFonts w:ascii="Arial" w:hAnsi="Arial" w:eastAsia="Arial"/>
                <w:b w:val="0"/>
                <w:i w:val="0"/>
                <w:sz w:val="18"/>
              </w:rPr>
              <w:t>&lt;1 GB</w:t>
            </w:r>
          </w:p>
        </w:tc>
        <w:tc>
          <w:tcPr>
            <w:tcW w:type="dxa" w:w="3175"/>
            <w:shd w:val="clear" w:color="auto" w:fill="F6EFE6"/>
          </w:tcPr>
          <w:p>
            <w:r/>
            <w:r>
              <w:rPr>
                <w:rFonts w:ascii="Arial" w:hAnsi="Arial" w:eastAsia="Arial"/>
                <w:b w:val="0"/>
                <w:i w:val="0"/>
                <w:sz w:val="18"/>
              </w:rPr>
              <w:t>Restricted; verification statistics open</w:t>
            </w:r>
          </w:p>
        </w:tc>
        <w:tc>
          <w:tcPr>
            <w:tcW w:type="dxa" w:w="1871"/>
          </w:tcPr>
          <w:p>
            <w:r/>
            <w:r>
              <w:rPr>
                <w:rFonts w:ascii="Arial" w:hAnsi="Arial" w:eastAsia="Arial"/>
                <w:b w:val="0"/>
                <w:i w:val="0"/>
                <w:sz w:val="18"/>
              </w:rPr>
              <w:t>Operators, project</w:t>
            </w:r>
          </w:p>
        </w:tc>
      </w:tr>
      <w:tr>
        <w:trPr>
          <w:cantSplit/>
        </w:trPr>
        <w:tc>
          <w:tcPr>
            <w:tcW w:type="dxa" w:w="680"/>
          </w:tcPr>
          <w:p>
            <w:r/>
            <w:r>
              <w:rPr>
                <w:rFonts w:ascii="Arial" w:hAnsi="Arial" w:eastAsia="Arial"/>
                <w:b w:val="0"/>
                <w:i w:val="0"/>
                <w:sz w:val="18"/>
              </w:rPr>
              <w:t>DS15</w:t>
            </w:r>
          </w:p>
        </w:tc>
        <w:tc>
          <w:tcPr>
            <w:tcW w:type="dxa" w:w="3628"/>
          </w:tcPr>
          <w:p>
            <w:r/>
            <w:r>
              <w:rPr>
                <w:rFonts w:ascii="Arial" w:hAnsi="Arial" w:eastAsia="Arial"/>
                <w:b w:val="0"/>
                <w:i w:val="0"/>
                <w:sz w:val="18"/>
              </w:rPr>
              <w:t>Back-testing protocol and results</w:t>
            </w:r>
          </w:p>
        </w:tc>
        <w:tc>
          <w:tcPr>
            <w:tcW w:type="dxa" w:w="2381"/>
          </w:tcPr>
          <w:p>
            <w:r/>
            <w:r>
              <w:rPr>
                <w:rFonts w:ascii="Arial" w:hAnsi="Arial" w:eastAsia="Arial"/>
                <w:b w:val="0"/>
                <w:i w:val="0"/>
                <w:sz w:val="18"/>
              </w:rPr>
              <w:t>Generated (WP3)</w:t>
            </w:r>
          </w:p>
        </w:tc>
        <w:tc>
          <w:tcPr>
            <w:tcW w:type="dxa" w:w="1928"/>
          </w:tcPr>
          <w:p>
            <w:r/>
            <w:r>
              <w:rPr>
                <w:rFonts w:ascii="Arial" w:hAnsi="Arial" w:eastAsia="Arial"/>
                <w:b w:val="0"/>
                <w:i w:val="0"/>
                <w:sz w:val="18"/>
              </w:rPr>
              <w:t>PDF, CSV</w:t>
            </w:r>
          </w:p>
        </w:tc>
        <w:tc>
          <w:tcPr>
            <w:tcW w:type="dxa" w:w="1474"/>
          </w:tcPr>
          <w:p>
            <w:r/>
            <w:r>
              <w:rPr>
                <w:rFonts w:ascii="Arial" w:hAnsi="Arial" w:eastAsia="Arial"/>
                <w:b w:val="0"/>
                <w:i w:val="0"/>
                <w:sz w:val="18"/>
              </w:rPr>
              <w:t>&lt;1 GB</w:t>
            </w:r>
          </w:p>
        </w:tc>
        <w:tc>
          <w:tcPr>
            <w:tcW w:type="dxa" w:w="3175"/>
            <w:shd w:val="clear" w:color="auto" w:fill="E6F4EC"/>
          </w:tcPr>
          <w:p>
            <w:r/>
            <w:r>
              <w:rPr>
                <w:rFonts w:ascii="Arial" w:hAnsi="Arial" w:eastAsia="Arial"/>
                <w:b w:val="0"/>
                <w:i w:val="0"/>
                <w:sz w:val="18"/>
              </w:rPr>
              <w:t>Open (protocol frozen before results)</w:t>
            </w:r>
          </w:p>
        </w:tc>
        <w:tc>
          <w:tcPr>
            <w:tcW w:type="dxa" w:w="1871"/>
          </w:tcPr>
          <w:p>
            <w:r/>
            <w:r>
              <w:rPr>
                <w:rFonts w:ascii="Arial" w:hAnsi="Arial" w:eastAsia="Arial"/>
                <w:b w:val="0"/>
                <w:i w:val="0"/>
                <w:sz w:val="18"/>
              </w:rPr>
              <w:t>Project</w:t>
            </w:r>
          </w:p>
        </w:tc>
      </w:tr>
      <w:tr>
        <w:trPr>
          <w:cantSplit/>
        </w:trPr>
        <w:tc>
          <w:tcPr>
            <w:tcW w:type="dxa" w:w="680"/>
          </w:tcPr>
          <w:p>
            <w:pPr>
              <w:keepNext/>
            </w:pPr>
            <w:r/>
            <w:r>
              <w:rPr>
                <w:rFonts w:ascii="Arial" w:hAnsi="Arial" w:eastAsia="Arial"/>
                <w:b w:val="0"/>
                <w:i w:val="0"/>
                <w:sz w:val="18"/>
              </w:rPr>
              <w:t>DS16</w:t>
            </w:r>
          </w:p>
        </w:tc>
        <w:tc>
          <w:tcPr>
            <w:tcW w:type="dxa" w:w="3628"/>
          </w:tcPr>
          <w:p>
            <w:pPr>
              <w:keepNext/>
            </w:pPr>
            <w:r/>
            <w:r>
              <w:rPr>
                <w:rFonts w:ascii="Arial" w:hAnsi="Arial" w:eastAsia="Arial"/>
                <w:b w:val="0"/>
                <w:i w:val="0"/>
                <w:sz w:val="18"/>
              </w:rPr>
              <w:t>Participant data (workshops, training, interviews)</w:t>
            </w:r>
          </w:p>
        </w:tc>
        <w:tc>
          <w:tcPr>
            <w:tcW w:type="dxa" w:w="2381"/>
          </w:tcPr>
          <w:p>
            <w:pPr>
              <w:keepNext/>
            </w:pPr>
            <w:r/>
            <w:r>
              <w:rPr>
                <w:rFonts w:ascii="Arial" w:hAnsi="Arial" w:eastAsia="Arial"/>
                <w:b w:val="0"/>
                <w:i w:val="0"/>
                <w:sz w:val="18"/>
              </w:rPr>
              <w:t>New, personal data</w:t>
            </w:r>
          </w:p>
        </w:tc>
        <w:tc>
          <w:tcPr>
            <w:tcW w:type="dxa" w:w="1928"/>
          </w:tcPr>
          <w:p>
            <w:pPr>
              <w:keepNext/>
            </w:pPr>
            <w:r/>
            <w:r>
              <w:rPr>
                <w:rFonts w:ascii="Arial" w:hAnsi="Arial" w:eastAsia="Arial"/>
                <w:b w:val="0"/>
                <w:i w:val="0"/>
                <w:sz w:val="18"/>
              </w:rPr>
              <w:t>Encrypted spreadsheets, notes</w:t>
            </w:r>
          </w:p>
        </w:tc>
        <w:tc>
          <w:tcPr>
            <w:tcW w:type="dxa" w:w="1474"/>
          </w:tcPr>
          <w:p>
            <w:pPr>
              <w:keepNext/>
            </w:pPr>
            <w:r/>
            <w:r>
              <w:rPr>
                <w:rFonts w:ascii="Arial" w:hAnsi="Arial" w:eastAsia="Arial"/>
                <w:b w:val="0"/>
                <w:i w:val="0"/>
                <w:sz w:val="18"/>
              </w:rPr>
              <w:t>&lt;1 GB</w:t>
            </w:r>
          </w:p>
        </w:tc>
        <w:tc>
          <w:tcPr>
            <w:tcW w:type="dxa" w:w="3175"/>
            <w:shd w:val="clear" w:color="auto" w:fill="FDECEA"/>
          </w:tcPr>
          <w:p>
            <w:pPr>
              <w:keepNext/>
            </w:pPr>
            <w:r/>
            <w:r>
              <w:rPr>
                <w:rFonts w:ascii="Arial" w:hAnsi="Arial" w:eastAsia="Arial"/>
                <w:b w:val="0"/>
                <w:i w:val="0"/>
                <w:sz w:val="18"/>
              </w:rPr>
              <w:t>Personal: not shared</w:t>
            </w:r>
          </w:p>
        </w:tc>
        <w:tc>
          <w:tcPr>
            <w:tcW w:type="dxa" w:w="1871"/>
          </w:tcPr>
          <w:p>
            <w:pPr>
              <w:keepNext/>
            </w:pPr>
            <w:r/>
            <w:r>
              <w:rPr>
                <w:rFonts w:ascii="Arial" w:hAnsi="Arial" w:eastAsia="Arial"/>
                <w:b w:val="0"/>
                <w:i w:val="0"/>
                <w:sz w:val="18"/>
              </w:rPr>
              <w:t>Partners</w:t>
            </w:r>
          </w:p>
        </w:tc>
      </w:tr>
      <w:tr>
        <w:trPr>
          <w:cantSplit/>
        </w:trPr>
        <w:tc>
          <w:tcPr>
            <w:tcW w:type="dxa" w:w="680"/>
          </w:tcPr>
          <w:p>
            <w:r/>
            <w:r>
              <w:rPr>
                <w:rFonts w:ascii="Arial" w:hAnsi="Arial" w:eastAsia="Arial"/>
                <w:b w:val="0"/>
                <w:i w:val="0"/>
                <w:sz w:val="18"/>
              </w:rPr>
              <w:t>DS17</w:t>
            </w:r>
          </w:p>
        </w:tc>
        <w:tc>
          <w:tcPr>
            <w:tcW w:type="dxa" w:w="3628"/>
          </w:tcPr>
          <w:p>
            <w:r/>
            <w:r>
              <w:rPr>
                <w:rFonts w:ascii="Arial" w:hAnsi="Arial" w:eastAsia="Arial"/>
                <w:b w:val="0"/>
                <w:i w:val="0"/>
                <w:sz w:val="18"/>
              </w:rPr>
              <w:t>Software: model, surrogate, alarms, network design</w:t>
            </w:r>
          </w:p>
        </w:tc>
        <w:tc>
          <w:tcPr>
            <w:tcW w:type="dxa" w:w="2381"/>
          </w:tcPr>
          <w:p>
            <w:r/>
            <w:r>
              <w:rPr>
                <w:rFonts w:ascii="Arial" w:hAnsi="Arial" w:eastAsia="Arial"/>
                <w:b w:val="0"/>
                <w:i w:val="0"/>
                <w:sz w:val="18"/>
              </w:rPr>
              <w:t>Generated (all WPs)</w:t>
            </w:r>
          </w:p>
        </w:tc>
        <w:tc>
          <w:tcPr>
            <w:tcW w:type="dxa" w:w="1928"/>
          </w:tcPr>
          <w:p>
            <w:r/>
            <w:r>
              <w:rPr>
                <w:rFonts w:ascii="Arial" w:hAnsi="Arial" w:eastAsia="Arial"/>
                <w:b w:val="0"/>
                <w:i w:val="0"/>
                <w:sz w:val="18"/>
              </w:rPr>
              <w:t>Source code, containers</w:t>
            </w:r>
          </w:p>
        </w:tc>
        <w:tc>
          <w:tcPr>
            <w:tcW w:type="dxa" w:w="1474"/>
          </w:tcPr>
          <w:p>
            <w:r/>
            <w:r>
              <w:rPr>
                <w:rFonts w:ascii="Arial" w:hAnsi="Arial" w:eastAsia="Arial"/>
                <w:b w:val="0"/>
                <w:i w:val="0"/>
                <w:sz w:val="18"/>
              </w:rPr>
              <w:t>&lt;10 GB</w:t>
            </w:r>
          </w:p>
        </w:tc>
        <w:tc>
          <w:tcPr>
            <w:tcW w:type="dxa" w:w="3175"/>
            <w:shd w:val="clear" w:color="auto" w:fill="E6F4EC"/>
          </w:tcPr>
          <w:p>
            <w:r/>
            <w:r>
              <w:rPr>
                <w:rFonts w:ascii="Arial" w:hAnsi="Arial" w:eastAsia="Arial"/>
                <w:b w:val="0"/>
                <w:i w:val="0"/>
                <w:sz w:val="18"/>
              </w:rPr>
              <w:t>Open (D6.1)</w:t>
            </w:r>
          </w:p>
        </w:tc>
        <w:tc>
          <w:tcPr>
            <w:tcW w:type="dxa" w:w="1871"/>
          </w:tcPr>
          <w:p>
            <w:r/>
            <w:r>
              <w:rPr>
                <w:rFonts w:ascii="Arial" w:hAnsi="Arial" w:eastAsia="Arial"/>
                <w:b w:val="0"/>
                <w:i w:val="0"/>
                <w:sz w:val="18"/>
              </w:rPr>
              <w:t>Project</w:t>
            </w:r>
          </w:p>
        </w:tc>
      </w:tr>
    </w:tbl>
    <w:p>
      <w:pPr>
        <w:sectPr>
          <w:pgSz w:w="16838" w:h="11906" w:orient="landscape"/>
          <w:pgMar w:top="850" w:right="850" w:bottom="850" w:left="850" w:header="720" w:footer="720" w:gutter="0"/>
          <w:cols w:space="720"/>
          <w:docGrid w:linePitch="360"/>
        </w:sectPr>
      </w:pPr>
    </w:p>
    <w:p>
      <w:pPr>
        <w:keepNext/>
        <w:spacing w:after="120" w:before="0"/>
      </w:pPr>
      <w:r>
        <w:rPr>
          <w:rFonts w:ascii="Arial" w:hAnsi="Arial" w:eastAsia="Arial"/>
          <w:b/>
          <w:i w:val="0"/>
          <w:color w:val="1F3864"/>
          <w:sz w:val="27"/>
        </w:rPr>
        <w:t>2. FAIR data</w:t>
      </w:r>
    </w:p>
    <w:p>
      <w:pPr>
        <w:keepNext/>
        <w:spacing w:after="40" w:before="80"/>
      </w:pPr>
      <w:r>
        <w:rPr>
          <w:rFonts w:ascii="Arial" w:hAnsi="Arial" w:eastAsia="Arial"/>
          <w:b/>
          <w:i w:val="0"/>
          <w:color w:val="2E6DB4"/>
          <w:sz w:val="23"/>
        </w:rPr>
        <w:t>2.1 Findable</w:t>
      </w:r>
    </w:p>
    <w:p>
      <w:pPr>
        <w:spacing w:after="60" w:before="0"/>
        <w:ind w:left="283"/>
      </w:pPr>
      <w:r>
        <w:rPr>
          <w:rFonts w:ascii="Arial" w:hAnsi="Arial" w:eastAsia="Arial"/>
          <w:b/>
          <w:i w:val="0"/>
          <w:sz w:val="22"/>
        </w:rPr>
        <w:t xml:space="preserve">• </w:t>
      </w:r>
      <w:r>
        <w:rPr>
          <w:rFonts w:ascii="Arial" w:hAnsi="Arial" w:eastAsia="Arial"/>
          <w:b/>
          <w:i w:val="0"/>
          <w:sz w:val="22"/>
        </w:rPr>
        <w:t>Persistent identifiers.</w:t>
      </w:r>
      <w:r>
        <w:rPr>
          <w:rFonts w:ascii="Arial" w:hAnsi="Arial" w:eastAsia="Arial"/>
          <w:b w:val="0"/>
          <w:i w:val="0"/>
          <w:sz w:val="22"/>
        </w:rPr>
        <w:t xml:space="preserve"> Every open dataset and every software release receives a DOI through Zenodo; restricted datasets receive a DOI for their metadata record, so they are findable even when the data are not open.</w:t>
      </w:r>
    </w:p>
    <w:p>
      <w:pPr>
        <w:spacing w:after="60" w:before="0"/>
        <w:ind w:left="283"/>
      </w:pPr>
      <w:r>
        <w:rPr>
          <w:rFonts w:ascii="Arial" w:hAnsi="Arial" w:eastAsia="Arial"/>
          <w:b/>
          <w:i w:val="0"/>
          <w:sz w:val="22"/>
        </w:rPr>
        <w:t xml:space="preserve">• </w:t>
      </w:r>
      <w:r>
        <w:rPr>
          <w:rFonts w:ascii="Arial" w:hAnsi="Arial" w:eastAsia="Arial"/>
          <w:b/>
          <w:i w:val="0"/>
          <w:sz w:val="22"/>
        </w:rPr>
        <w:t>Rich metadata.</w:t>
      </w:r>
      <w:r>
        <w:rPr>
          <w:rFonts w:ascii="Arial" w:hAnsi="Arial" w:eastAsia="Arial"/>
          <w:b w:val="0"/>
          <w:i w:val="0"/>
          <w:sz w:val="22"/>
        </w:rPr>
        <w:t xml:space="preserve"> DataCite metadata for all records; ISO 19115-style metadata for spatial data; StationXML for seismic stations; each record names the project, the work package, the method and the software version.</w:t>
      </w:r>
    </w:p>
    <w:p>
      <w:pPr>
        <w:spacing w:after="60" w:before="0"/>
        <w:ind w:left="283"/>
      </w:pPr>
      <w:r>
        <w:rPr>
          <w:rFonts w:ascii="Arial" w:hAnsi="Arial" w:eastAsia="Arial"/>
          <w:b/>
          <w:i w:val="0"/>
          <w:sz w:val="22"/>
        </w:rPr>
        <w:t xml:space="preserve">• </w:t>
      </w:r>
      <w:r>
        <w:rPr>
          <w:rFonts w:ascii="Arial" w:hAnsi="Arial" w:eastAsia="Arial"/>
          <w:b/>
          <w:i w:val="0"/>
          <w:sz w:val="22"/>
        </w:rPr>
        <w:t>Naming and versions.</w:t>
      </w:r>
      <w:r>
        <w:rPr>
          <w:rFonts w:ascii="Arial" w:hAnsi="Arial" w:eastAsia="Arial"/>
          <w:b w:val="0"/>
          <w:i w:val="0"/>
          <w:sz w:val="22"/>
        </w:rPr>
        <w:t xml:space="preserve"> Files follow the pattern CC_&lt;WP&gt;_&lt;dataset&gt;_&lt;version&gt;_&lt;date&gt;; versions are numbered and the change log is kept with the data.</w:t>
      </w:r>
    </w:p>
    <w:p>
      <w:pPr>
        <w:spacing w:after="60" w:before="0"/>
        <w:ind w:left="283"/>
      </w:pPr>
      <w:r>
        <w:rPr>
          <w:rFonts w:ascii="Arial" w:hAnsi="Arial" w:eastAsia="Arial"/>
          <w:b/>
          <w:i w:val="0"/>
          <w:sz w:val="22"/>
        </w:rPr>
        <w:t xml:space="preserve">• </w:t>
      </w:r>
      <w:r>
        <w:rPr>
          <w:rFonts w:ascii="Arial" w:hAnsi="Arial" w:eastAsia="Arial"/>
          <w:b/>
          <w:i w:val="0"/>
          <w:sz w:val="22"/>
        </w:rPr>
        <w:t>Keywords</w:t>
      </w:r>
      <w:r>
        <w:rPr>
          <w:rFonts w:ascii="Arial" w:hAnsi="Arial" w:eastAsia="Arial"/>
          <w:b w:val="0"/>
          <w:i w:val="0"/>
          <w:sz w:val="22"/>
        </w:rPr>
        <w:t xml:space="preserve"> from the project vocabulary (seawater intrusion, liquefaction, relative sea level, InSAR, early warning, conformal risk control) to support search.</w:t>
      </w:r>
    </w:p>
    <w:p>
      <w:pPr>
        <w:keepNext/>
        <w:spacing w:after="40" w:before="80"/>
      </w:pPr>
      <w:r>
        <w:rPr>
          <w:rFonts w:ascii="Arial" w:hAnsi="Arial" w:eastAsia="Arial"/>
          <w:b/>
          <w:i w:val="0"/>
          <w:color w:val="2E6DB4"/>
          <w:sz w:val="23"/>
        </w:rPr>
        <w:t>2.2 Accessible</w:t>
      </w:r>
    </w:p>
    <w:p>
      <w:pPr>
        <w:spacing w:after="60" w:before="0"/>
        <w:ind w:left="283"/>
      </w:pPr>
      <w:r>
        <w:rPr>
          <w:rFonts w:ascii="Arial" w:hAnsi="Arial" w:eastAsia="Arial"/>
          <w:b/>
          <w:i w:val="0"/>
          <w:sz w:val="22"/>
        </w:rPr>
        <w:t xml:space="preserve">• </w:t>
      </w:r>
      <w:r>
        <w:rPr>
          <w:rFonts w:ascii="Arial" w:hAnsi="Arial" w:eastAsia="Arial"/>
          <w:b/>
          <w:i w:val="0"/>
          <w:sz w:val="22"/>
        </w:rPr>
        <w:t>Open data</w:t>
      </w:r>
      <w:r>
        <w:rPr>
          <w:rFonts w:ascii="Arial" w:hAnsi="Arial" w:eastAsia="Arial"/>
          <w:b w:val="0"/>
          <w:i w:val="0"/>
          <w:sz w:val="22"/>
        </w:rPr>
        <w:t xml:space="preserve"> in Zenodo, free of charge and without registration; seismic data from stations outside the sites through an FDSN-compliant data centre, subject to agreement with that centre.</w:t>
      </w:r>
    </w:p>
    <w:p>
      <w:pPr>
        <w:spacing w:after="60" w:before="0"/>
        <w:ind w:left="283"/>
      </w:pPr>
      <w:r>
        <w:rPr>
          <w:rFonts w:ascii="Arial" w:hAnsi="Arial" w:eastAsia="Arial"/>
          <w:b/>
          <w:i w:val="0"/>
          <w:sz w:val="22"/>
        </w:rPr>
        <w:t xml:space="preserve">• </w:t>
      </w:r>
      <w:r>
        <w:rPr>
          <w:rFonts w:ascii="Arial" w:hAnsi="Arial" w:eastAsia="Arial"/>
          <w:b/>
          <w:i w:val="0"/>
          <w:sz w:val="22"/>
        </w:rPr>
        <w:t>Restricted data</w:t>
      </w:r>
      <w:r>
        <w:rPr>
          <w:rFonts w:ascii="Arial" w:hAnsi="Arial" w:eastAsia="Arial"/>
          <w:b w:val="0"/>
          <w:i w:val="0"/>
          <w:sz w:val="22"/>
        </w:rPr>
        <w:t xml:space="preserve"> on the project servers; access on request through the steering committee with the owner's consent, under a data access agreement; metadata always public.</w:t>
      </w:r>
    </w:p>
    <w:p>
      <w:pPr>
        <w:spacing w:after="60" w:before="0"/>
        <w:ind w:left="283"/>
      </w:pPr>
      <w:r>
        <w:rPr>
          <w:rFonts w:ascii="Arial" w:hAnsi="Arial" w:eastAsia="Arial"/>
          <w:b/>
          <w:i w:val="0"/>
          <w:sz w:val="22"/>
        </w:rPr>
        <w:t xml:space="preserve">• </w:t>
      </w:r>
      <w:r>
        <w:rPr>
          <w:rFonts w:ascii="Arial" w:hAnsi="Arial" w:eastAsia="Arial"/>
          <w:b/>
          <w:i w:val="0"/>
          <w:sz w:val="22"/>
        </w:rPr>
        <w:t>Embargo.</w:t>
      </w:r>
      <w:r>
        <w:rPr>
          <w:rFonts w:ascii="Arial" w:hAnsi="Arial" w:eastAsia="Arial"/>
          <w:b w:val="0"/>
          <w:i w:val="0"/>
          <w:sz w:val="22"/>
        </w:rPr>
        <w:t xml:space="preserve"> Open data are released at the latest when the related paper is published, or by Month 33 (D6.1), whichever comes first.</w:t>
      </w:r>
    </w:p>
    <w:p>
      <w:pPr>
        <w:spacing w:after="60" w:before="0"/>
        <w:ind w:left="283"/>
      </w:pPr>
      <w:r>
        <w:rPr>
          <w:rFonts w:ascii="Arial" w:hAnsi="Arial" w:eastAsia="Arial"/>
          <w:b/>
          <w:i w:val="0"/>
          <w:sz w:val="22"/>
        </w:rPr>
        <w:t xml:space="preserve">• </w:t>
      </w:r>
      <w:r>
        <w:rPr>
          <w:rFonts w:ascii="Arial" w:hAnsi="Arial" w:eastAsia="Arial"/>
          <w:b/>
          <w:i w:val="0"/>
          <w:sz w:val="22"/>
        </w:rPr>
        <w:t>Release gate.</w:t>
      </w:r>
      <w:r>
        <w:rPr>
          <w:rFonts w:ascii="Arial" w:hAnsi="Arial" w:eastAsia="Arial"/>
          <w:b w:val="0"/>
          <w:i w:val="0"/>
          <w:sz w:val="22"/>
        </w:rPr>
        <w:t xml:space="preserve"> Every release is classified and checked before publication (Dissemination Plan): sensor locations inside sites are generalised and asset-level results are aggregated or anonymised.</w:t>
      </w:r>
    </w:p>
    <w:p>
      <w:pPr>
        <w:keepNext/>
        <w:spacing w:after="40" w:before="80"/>
      </w:pPr>
      <w:r>
        <w:rPr>
          <w:rFonts w:ascii="Arial" w:hAnsi="Arial" w:eastAsia="Arial"/>
          <w:b/>
          <w:i w:val="0"/>
          <w:color w:val="2E6DB4"/>
          <w:sz w:val="23"/>
        </w:rPr>
        <w:t>2.3 Interoperable</w:t>
      </w:r>
    </w:p>
    <w:p>
      <w:pPr>
        <w:spacing w:after="60" w:before="0"/>
        <w:ind w:left="283"/>
      </w:pPr>
      <w:r>
        <w:rPr>
          <w:rFonts w:ascii="Arial" w:hAnsi="Arial" w:eastAsia="Arial"/>
          <w:b/>
          <w:i w:val="0"/>
          <w:sz w:val="22"/>
        </w:rPr>
        <w:t xml:space="preserve">• </w:t>
      </w:r>
      <w:r>
        <w:rPr>
          <w:rFonts w:ascii="Arial" w:hAnsi="Arial" w:eastAsia="Arial"/>
          <w:b/>
          <w:i w:val="0"/>
          <w:sz w:val="22"/>
        </w:rPr>
        <w:t>Standard formats:</w:t>
      </w:r>
      <w:r>
        <w:rPr>
          <w:rFonts w:ascii="Arial" w:hAnsi="Arial" w:eastAsia="Arial"/>
          <w:b w:val="0"/>
          <w:i w:val="0"/>
          <w:sz w:val="22"/>
        </w:rPr>
        <w:t xml:space="preserve"> RINEX for GNSS, miniSEED and StationXML for seismic data, GeoTIFF and NetCDF following the CF conventions for gridded data, CSV with a data dictionary for tables, HDF5 for large arrays.</w:t>
      </w:r>
    </w:p>
    <w:p>
      <w:pPr>
        <w:spacing w:after="60" w:before="0"/>
        <w:ind w:left="283"/>
      </w:pPr>
      <w:r>
        <w:rPr>
          <w:rFonts w:ascii="Arial" w:hAnsi="Arial" w:eastAsia="Arial"/>
          <w:b/>
          <w:i w:val="0"/>
          <w:sz w:val="22"/>
        </w:rPr>
        <w:t xml:space="preserve">• </w:t>
      </w:r>
      <w:r>
        <w:rPr>
          <w:rFonts w:ascii="Arial" w:hAnsi="Arial" w:eastAsia="Arial"/>
          <w:b/>
          <w:i w:val="0"/>
          <w:sz w:val="22"/>
        </w:rPr>
        <w:t>Reference systems stated for every dataset:</w:t>
      </w:r>
      <w:r>
        <w:rPr>
          <w:rFonts w:ascii="Arial" w:hAnsi="Arial" w:eastAsia="Arial"/>
          <w:b w:val="0"/>
          <w:i w:val="0"/>
          <w:sz w:val="22"/>
        </w:rPr>
        <w:t xml:space="preserve"> ETRS89 / UTM zone 34N (EPSG:25834) for coordinates; ellipsoidal heights from GNSS with the transformation to the local tide-gauge datum documented.</w:t>
      </w:r>
    </w:p>
    <w:p>
      <w:pPr>
        <w:spacing w:after="60" w:before="0"/>
        <w:ind w:left="283"/>
      </w:pPr>
      <w:r>
        <w:rPr>
          <w:rFonts w:ascii="Arial" w:hAnsi="Arial" w:eastAsia="Arial"/>
          <w:b/>
          <w:i w:val="0"/>
          <w:sz w:val="22"/>
        </w:rPr>
        <w:t xml:space="preserve">• </w:t>
      </w:r>
      <w:r>
        <w:rPr>
          <w:rFonts w:ascii="Arial" w:hAnsi="Arial" w:eastAsia="Arial"/>
          <w:b/>
          <w:i w:val="0"/>
          <w:sz w:val="22"/>
        </w:rPr>
        <w:t>Units and variables</w:t>
      </w:r>
      <w:r>
        <w:rPr>
          <w:rFonts w:ascii="Arial" w:hAnsi="Arial" w:eastAsia="Arial"/>
          <w:b w:val="0"/>
          <w:i w:val="0"/>
          <w:sz w:val="22"/>
        </w:rPr>
        <w:t xml:space="preserve"> follow SI units and CF standard names where they exist; a project glossary defines the rest.</w:t>
      </w:r>
    </w:p>
    <w:p>
      <w:pPr>
        <w:keepNext/>
        <w:spacing w:after="40" w:before="80"/>
      </w:pPr>
      <w:r>
        <w:rPr>
          <w:rFonts w:ascii="Arial" w:hAnsi="Arial" w:eastAsia="Arial"/>
          <w:b/>
          <w:i w:val="0"/>
          <w:color w:val="2E6DB4"/>
          <w:sz w:val="23"/>
        </w:rPr>
        <w:t>2.4 Re-usable</w:t>
      </w:r>
    </w:p>
    <w:p>
      <w:pPr>
        <w:spacing w:after="60" w:before="0"/>
        <w:ind w:left="283"/>
      </w:pPr>
      <w:r>
        <w:rPr>
          <w:rFonts w:ascii="Arial" w:hAnsi="Arial" w:eastAsia="Arial"/>
          <w:b/>
          <w:i w:val="0"/>
          <w:sz w:val="22"/>
        </w:rPr>
        <w:t xml:space="preserve">• </w:t>
      </w:r>
      <w:r>
        <w:rPr>
          <w:rFonts w:ascii="Arial" w:hAnsi="Arial" w:eastAsia="Arial"/>
          <w:b/>
          <w:i w:val="0"/>
          <w:sz w:val="22"/>
        </w:rPr>
        <w:t>Licences:</w:t>
      </w:r>
      <w:r>
        <w:rPr>
          <w:rFonts w:ascii="Arial" w:hAnsi="Arial" w:eastAsia="Arial"/>
          <w:b w:val="0"/>
          <w:i w:val="0"/>
          <w:sz w:val="22"/>
        </w:rPr>
        <w:t xml:space="preserve"> CC BY 4.0 for open data, Apache-2.0 for software, CC0 for metadata; third-party data keep their own terms.</w:t>
      </w:r>
    </w:p>
    <w:p>
      <w:pPr>
        <w:spacing w:after="60" w:before="0"/>
        <w:ind w:left="283"/>
      </w:pPr>
      <w:r>
        <w:rPr>
          <w:rFonts w:ascii="Arial" w:hAnsi="Arial" w:eastAsia="Arial"/>
          <w:b/>
          <w:i w:val="0"/>
          <w:sz w:val="22"/>
        </w:rPr>
        <w:t xml:space="preserve">• </w:t>
      </w:r>
      <w:r>
        <w:rPr>
          <w:rFonts w:ascii="Arial" w:hAnsi="Arial" w:eastAsia="Arial"/>
          <w:b/>
          <w:i w:val="0"/>
          <w:sz w:val="22"/>
        </w:rPr>
        <w:t>Documentation:</w:t>
      </w:r>
      <w:r>
        <w:rPr>
          <w:rFonts w:ascii="Arial" w:hAnsi="Arial" w:eastAsia="Arial"/>
          <w:b w:val="0"/>
          <w:i w:val="0"/>
          <w:sz w:val="22"/>
        </w:rPr>
        <w:t xml:space="preserve"> a README and a data dictionary with every dataset; the processing chain and software version recorded as provenance.</w:t>
      </w:r>
    </w:p>
    <w:p>
      <w:pPr>
        <w:spacing w:after="60" w:before="0"/>
        <w:ind w:left="283"/>
      </w:pPr>
      <w:r>
        <w:rPr>
          <w:rFonts w:ascii="Arial" w:hAnsi="Arial" w:eastAsia="Arial"/>
          <w:b/>
          <w:i w:val="0"/>
          <w:sz w:val="22"/>
        </w:rPr>
        <w:t xml:space="preserve">• </w:t>
      </w:r>
      <w:r>
        <w:rPr>
          <w:rFonts w:ascii="Arial" w:hAnsi="Arial" w:eastAsia="Arial"/>
          <w:b/>
          <w:i w:val="0"/>
          <w:sz w:val="22"/>
        </w:rPr>
        <w:t>Quality:</w:t>
      </w:r>
      <w:r>
        <w:rPr>
          <w:rFonts w:ascii="Arial" w:hAnsi="Arial" w:eastAsia="Arial"/>
          <w:b w:val="0"/>
          <w:i w:val="0"/>
          <w:sz w:val="22"/>
        </w:rPr>
        <w:t xml:space="preserve"> quality flags on every time series; calibration and maintenance logs for every sensor.</w:t>
      </w:r>
    </w:p>
    <w:p>
      <w:pPr>
        <w:spacing w:after="60" w:before="0"/>
        <w:ind w:left="283"/>
      </w:pPr>
      <w:r>
        <w:rPr>
          <w:rFonts w:ascii="Arial" w:hAnsi="Arial" w:eastAsia="Arial"/>
          <w:b/>
          <w:i w:val="0"/>
          <w:sz w:val="22"/>
        </w:rPr>
        <w:t xml:space="preserve">• </w:t>
      </w:r>
      <w:r>
        <w:rPr>
          <w:rFonts w:ascii="Arial" w:hAnsi="Arial" w:eastAsia="Arial"/>
          <w:b/>
          <w:i w:val="0"/>
          <w:sz w:val="22"/>
        </w:rPr>
        <w:t>A synthetic test coast:</w:t>
      </w:r>
      <w:r>
        <w:rPr>
          <w:rFonts w:ascii="Arial" w:hAnsi="Arial" w:eastAsia="Arial"/>
          <w:b w:val="0"/>
          <w:i w:val="0"/>
          <w:sz w:val="22"/>
        </w:rPr>
        <w:t xml:space="preserve"> an open, synthetic coast with the same structure as the real one, so that every method can be reproduced without access to sensitive data.</w:t>
      </w:r>
    </w:p>
    <w:p>
      <w:pPr>
        <w:spacing w:after="60" w:before="0"/>
        <w:ind w:left="283"/>
      </w:pPr>
      <w:r>
        <w:rPr>
          <w:rFonts w:ascii="Arial" w:hAnsi="Arial" w:eastAsia="Arial"/>
          <w:b/>
          <w:i w:val="0"/>
          <w:sz w:val="22"/>
        </w:rPr>
        <w:t xml:space="preserve">• </w:t>
      </w:r>
      <w:r>
        <w:rPr>
          <w:rFonts w:ascii="Arial" w:hAnsi="Arial" w:eastAsia="Arial"/>
          <w:b/>
          <w:i w:val="0"/>
          <w:sz w:val="22"/>
        </w:rPr>
        <w:t>Preservation:</w:t>
      </w:r>
      <w:r>
        <w:rPr>
          <w:rFonts w:ascii="Arial" w:hAnsi="Arial" w:eastAsia="Arial"/>
          <w:b w:val="0"/>
          <w:i w:val="0"/>
          <w:sz w:val="22"/>
        </w:rPr>
        <w:t xml:space="preserve"> open records in Zenodo for long-term preservation; restricted data kept by the owners and the partners for at least ten years after the project.</w:t>
      </w:r>
    </w:p>
    <w:p>
      <w:pPr>
        <w:keepNext/>
        <w:spacing w:after="120" w:before="160"/>
      </w:pPr>
      <w:r>
        <w:rPr>
          <w:rFonts w:ascii="Arial" w:hAnsi="Arial" w:eastAsia="Arial"/>
          <w:b/>
          <w:i w:val="0"/>
          <w:color w:val="1F3864"/>
          <w:sz w:val="27"/>
        </w:rPr>
        <w:t>3. Other research outputs</w:t>
      </w:r>
    </w:p>
    <w:p>
      <w:pPr>
        <w:spacing w:after="60" w:before="0"/>
        <w:ind w:left="283"/>
      </w:pPr>
      <w:r>
        <w:rPr>
          <w:rFonts w:ascii="Arial" w:hAnsi="Arial" w:eastAsia="Arial"/>
          <w:b/>
          <w:i w:val="0"/>
          <w:sz w:val="22"/>
        </w:rPr>
        <w:t xml:space="preserve">• </w:t>
      </w:r>
      <w:r>
        <w:rPr>
          <w:rFonts w:ascii="Arial" w:hAnsi="Arial" w:eastAsia="Arial"/>
          <w:b/>
          <w:i w:val="0"/>
          <w:sz w:val="22"/>
        </w:rPr>
        <w:t>Software</w:t>
      </w:r>
      <w:r>
        <w:rPr>
          <w:rFonts w:ascii="Arial" w:hAnsi="Arial" w:eastAsia="Arial"/>
          <w:b w:val="0"/>
          <w:i w:val="0"/>
          <w:sz w:val="22"/>
        </w:rPr>
        <w:t xml:space="preserve"> in a public Git repository with tests, documentation and containers; each release archived with a DOI through the Zenodo integration (D6.1).</w:t>
      </w:r>
    </w:p>
    <w:p>
      <w:pPr>
        <w:spacing w:after="60" w:before="0"/>
        <w:ind w:left="283"/>
      </w:pPr>
      <w:r>
        <w:rPr>
          <w:rFonts w:ascii="Arial" w:hAnsi="Arial" w:eastAsia="Arial"/>
          <w:b/>
          <w:i w:val="0"/>
          <w:sz w:val="22"/>
        </w:rPr>
        <w:t xml:space="preserve">• </w:t>
      </w:r>
      <w:r>
        <w:rPr>
          <w:rFonts w:ascii="Arial" w:hAnsi="Arial" w:eastAsia="Arial"/>
          <w:b/>
          <w:i w:val="0"/>
          <w:sz w:val="22"/>
        </w:rPr>
        <w:t>Models and workflows:</w:t>
      </w:r>
      <w:r>
        <w:rPr>
          <w:rFonts w:ascii="Arial" w:hAnsi="Arial" w:eastAsia="Arial"/>
          <w:b w:val="0"/>
          <w:i w:val="0"/>
          <w:sz w:val="22"/>
        </w:rPr>
        <w:t xml:space="preserve"> model configurations, calibration scripts and notebooks published with the synthetic coast; site-specific versions restricted.</w:t>
      </w:r>
    </w:p>
    <w:p>
      <w:pPr>
        <w:spacing w:after="60" w:before="0"/>
        <w:ind w:left="283"/>
      </w:pPr>
      <w:r>
        <w:rPr>
          <w:rFonts w:ascii="Arial" w:hAnsi="Arial" w:eastAsia="Arial"/>
          <w:b/>
          <w:i w:val="0"/>
          <w:sz w:val="22"/>
        </w:rPr>
        <w:t xml:space="preserve">• </w:t>
      </w:r>
      <w:r>
        <w:rPr>
          <w:rFonts w:ascii="Arial" w:hAnsi="Arial" w:eastAsia="Arial"/>
          <w:b/>
          <w:i w:val="0"/>
          <w:sz w:val="22"/>
        </w:rPr>
        <w:t>Trained surrogates</w:t>
      </w:r>
      <w:r>
        <w:rPr>
          <w:rFonts w:ascii="Arial" w:hAnsi="Arial" w:eastAsia="Arial"/>
          <w:b w:val="0"/>
          <w:i w:val="0"/>
          <w:sz w:val="22"/>
        </w:rPr>
        <w:t xml:space="preserve"> exported in an open format (ONNX) for the synthetic coast.</w:t>
      </w:r>
    </w:p>
    <w:p>
      <w:pPr>
        <w:spacing w:after="60" w:before="0"/>
        <w:ind w:left="283"/>
      </w:pPr>
      <w:r>
        <w:rPr>
          <w:rFonts w:ascii="Arial" w:hAnsi="Arial" w:eastAsia="Arial"/>
          <w:b/>
          <w:i w:val="0"/>
          <w:sz w:val="22"/>
        </w:rPr>
        <w:t xml:space="preserve">• </w:t>
      </w:r>
      <w:r>
        <w:rPr>
          <w:rFonts w:ascii="Arial" w:hAnsi="Arial" w:eastAsia="Arial"/>
          <w:b/>
          <w:i w:val="0"/>
          <w:sz w:val="22"/>
        </w:rPr>
        <w:t>Bulletin templates and procedures:</w:t>
      </w:r>
      <w:r>
        <w:rPr>
          <w:rFonts w:ascii="Arial" w:hAnsi="Arial" w:eastAsia="Arial"/>
          <w:b w:val="0"/>
          <w:i w:val="0"/>
          <w:sz w:val="22"/>
        </w:rPr>
        <w:t xml:space="preserve"> generic templates open; operator-specific procedures restricted (D6.2).</w:t>
      </w:r>
    </w:p>
    <w:p>
      <w:pPr>
        <w:keepNext/>
        <w:spacing w:after="120" w:before="160"/>
      </w:pPr>
      <w:r>
        <w:rPr>
          <w:rFonts w:ascii="Arial" w:hAnsi="Arial" w:eastAsia="Arial"/>
          <w:b/>
          <w:i w:val="0"/>
          <w:color w:val="1F3864"/>
          <w:sz w:val="27"/>
        </w:rPr>
        <w:t>4. Allocation of resources</w:t>
      </w:r>
    </w:p>
    <w:tbl>
      <w:tblPr>
        <w:tblStyle w:val="TableGrid"/>
        <w:tblW w:type="auto" w:w="0"/>
        <w:jc w:val="center"/>
        <w:tblLayout w:type="fixed"/>
        <w:tblLook w:firstColumn="1" w:firstRow="1" w:lastColumn="0" w:lastRow="0" w:noHBand="0" w:noVBand="1" w:val="04A0"/>
        <w:tblLayout w:type="fixed"/>
      </w:tblPr>
      <w:tblGrid>
        <w:gridCol w:w="2381"/>
        <w:gridCol w:w="5443"/>
        <w:gridCol w:w="1814"/>
      </w:tblGrid>
      <w:tr>
        <w:trPr>
          <w:cantSplit/>
          <w:tblHeader/>
        </w:trPr>
        <w:tc>
          <w:tcPr>
            <w:tcW w:type="dxa" w:w="2381"/>
            <w:shd w:val="clear" w:color="auto" w:fill="1F3864"/>
          </w:tcPr>
          <w:p>
            <w:pPr>
              <w:keepNext/>
            </w:pPr>
            <w:r/>
            <w:r>
              <w:rPr>
                <w:rFonts w:ascii="Arial" w:hAnsi="Arial" w:eastAsia="Arial"/>
                <w:b/>
                <w:i w:val="0"/>
                <w:color w:val="FFFFFF"/>
                <w:sz w:val="20"/>
              </w:rPr>
              <w:t>Need</w:t>
            </w:r>
          </w:p>
        </w:tc>
        <w:tc>
          <w:tcPr>
            <w:tcW w:type="dxa" w:w="5443"/>
            <w:shd w:val="clear" w:color="auto" w:fill="1F3864"/>
          </w:tcPr>
          <w:p>
            <w:pPr>
              <w:keepNext/>
            </w:pPr>
            <w:r/>
            <w:r>
              <w:rPr>
                <w:rFonts w:ascii="Arial" w:hAnsi="Arial" w:eastAsia="Arial"/>
                <w:b/>
                <w:i w:val="0"/>
                <w:color w:val="FFFFFF"/>
                <w:sz w:val="20"/>
              </w:rPr>
              <w:t>Resource</w:t>
            </w:r>
          </w:p>
        </w:tc>
        <w:tc>
          <w:tcPr>
            <w:tcW w:type="dxa" w:w="1814"/>
            <w:shd w:val="clear" w:color="auto" w:fill="1F3864"/>
          </w:tcPr>
          <w:p>
            <w:pPr>
              <w:keepNext/>
            </w:pPr>
            <w:r/>
            <w:r>
              <w:rPr>
                <w:rFonts w:ascii="Arial" w:hAnsi="Arial" w:eastAsia="Arial"/>
                <w:b/>
                <w:i w:val="0"/>
                <w:color w:val="FFFFFF"/>
                <w:sz w:val="20"/>
              </w:rPr>
              <w:t>Where</w:t>
            </w:r>
          </w:p>
        </w:tc>
      </w:tr>
      <w:tr>
        <w:trPr>
          <w:cantSplit/>
        </w:trPr>
        <w:tc>
          <w:tcPr>
            <w:tcW w:type="dxa" w:w="2381"/>
          </w:tcPr>
          <w:p>
            <w:pPr>
              <w:keepNext/>
            </w:pPr>
            <w:r/>
            <w:r>
              <w:rPr>
                <w:rFonts w:ascii="Arial" w:hAnsi="Arial" w:eastAsia="Arial"/>
                <w:b w:val="0"/>
                <w:i w:val="0"/>
                <w:sz w:val="20"/>
              </w:rPr>
              <w:t>Data storage and backup</w:t>
            </w:r>
          </w:p>
        </w:tc>
        <w:tc>
          <w:tcPr>
            <w:tcW w:type="dxa" w:w="5443"/>
          </w:tcPr>
          <w:p>
            <w:pPr>
              <w:keepNext/>
            </w:pPr>
            <w:r/>
            <w:r>
              <w:rPr>
                <w:rFonts w:ascii="Arial" w:hAnsi="Arial" w:eastAsia="Arial"/>
                <w:b w:val="0"/>
                <w:i w:val="0"/>
                <w:sz w:val="20"/>
              </w:rPr>
              <w:t>Computing server and redundant data server (Budget: €12,000 and €5,000)</w:t>
            </w:r>
          </w:p>
        </w:tc>
        <w:tc>
          <w:tcPr>
            <w:tcW w:type="dxa" w:w="1814"/>
          </w:tcPr>
          <w:p>
            <w:pPr>
              <w:keepNext/>
            </w:pPr>
            <w:r/>
            <w:r>
              <w:rPr>
                <w:rFonts w:ascii="Arial" w:hAnsi="Arial" w:eastAsia="Arial"/>
                <w:b w:val="0"/>
                <w:i w:val="0"/>
                <w:sz w:val="20"/>
              </w:rPr>
              <w:t>WP2, WP5</w:t>
            </w:r>
          </w:p>
        </w:tc>
      </w:tr>
      <w:tr>
        <w:trPr>
          <w:cantSplit/>
        </w:trPr>
        <w:tc>
          <w:tcPr>
            <w:tcW w:type="dxa" w:w="2381"/>
          </w:tcPr>
          <w:p>
            <w:pPr>
              <w:keepNext/>
            </w:pPr>
            <w:r/>
            <w:r>
              <w:rPr>
                <w:rFonts w:ascii="Arial" w:hAnsi="Arial" w:eastAsia="Arial"/>
                <w:b w:val="0"/>
                <w:i w:val="0"/>
                <w:sz w:val="20"/>
              </w:rPr>
              <w:t>Open repository</w:t>
            </w:r>
          </w:p>
        </w:tc>
        <w:tc>
          <w:tcPr>
            <w:tcW w:type="dxa" w:w="5443"/>
          </w:tcPr>
          <w:p>
            <w:pPr>
              <w:keepNext/>
            </w:pPr>
            <w:r/>
            <w:r>
              <w:rPr>
                <w:rFonts w:ascii="Arial" w:hAnsi="Arial" w:eastAsia="Arial"/>
                <w:b w:val="0"/>
                <w:i w:val="0"/>
                <w:sz w:val="20"/>
              </w:rPr>
              <w:t>Zenodo, free of charge</w:t>
            </w:r>
          </w:p>
        </w:tc>
        <w:tc>
          <w:tcPr>
            <w:tcW w:type="dxa" w:w="1814"/>
          </w:tcPr>
          <w:p>
            <w:pPr>
              <w:keepNext/>
            </w:pPr>
            <w:r/>
            <w:r>
              <w:rPr>
                <w:rFonts w:ascii="Arial" w:hAnsi="Arial" w:eastAsia="Arial"/>
                <w:b w:val="0"/>
                <w:i w:val="0"/>
                <w:sz w:val="20"/>
              </w:rPr>
              <w:t>—</w:t>
            </w:r>
          </w:p>
        </w:tc>
      </w:tr>
      <w:tr>
        <w:trPr>
          <w:cantSplit/>
        </w:trPr>
        <w:tc>
          <w:tcPr>
            <w:tcW w:type="dxa" w:w="2381"/>
          </w:tcPr>
          <w:p>
            <w:pPr>
              <w:keepNext/>
            </w:pPr>
            <w:r/>
            <w:r>
              <w:rPr>
                <w:rFonts w:ascii="Arial" w:hAnsi="Arial" w:eastAsia="Arial"/>
                <w:b w:val="0"/>
                <w:i w:val="0"/>
                <w:sz w:val="20"/>
              </w:rPr>
              <w:t>Data manager</w:t>
            </w:r>
          </w:p>
        </w:tc>
        <w:tc>
          <w:tcPr>
            <w:tcW w:type="dxa" w:w="5443"/>
          </w:tcPr>
          <w:p>
            <w:pPr>
              <w:keepNext/>
            </w:pPr>
            <w:r/>
            <w:r>
              <w:rPr>
                <w:rFonts w:ascii="Arial" w:hAnsi="Arial" w:eastAsia="Arial"/>
                <w:b w:val="0"/>
                <w:i w:val="0"/>
                <w:sz w:val="20"/>
              </w:rPr>
              <w:t>Named at the NATO-country institution (in kind)</w:t>
            </w:r>
          </w:p>
        </w:tc>
        <w:tc>
          <w:tcPr>
            <w:tcW w:type="dxa" w:w="1814"/>
          </w:tcPr>
          <w:p>
            <w:pPr>
              <w:keepNext/>
            </w:pPr>
            <w:r/>
            <w:r>
              <w:rPr>
                <w:rFonts w:ascii="Arial" w:hAnsi="Arial" w:eastAsia="Arial"/>
                <w:b w:val="0"/>
                <w:i w:val="0"/>
                <w:sz w:val="20"/>
              </w:rPr>
              <w:t>WP7, T7.2</w:t>
            </w:r>
          </w:p>
        </w:tc>
      </w:tr>
      <w:tr>
        <w:trPr>
          <w:cantSplit/>
        </w:trPr>
        <w:tc>
          <w:tcPr>
            <w:tcW w:type="dxa" w:w="2381"/>
          </w:tcPr>
          <w:p>
            <w:pPr>
              <w:keepNext/>
            </w:pPr>
            <w:r/>
            <w:r>
              <w:rPr>
                <w:rFonts w:ascii="Arial" w:hAnsi="Arial" w:eastAsia="Arial"/>
                <w:b w:val="0"/>
                <w:i w:val="0"/>
                <w:sz w:val="20"/>
              </w:rPr>
              <w:t>Dataset owners</w:t>
            </w:r>
          </w:p>
        </w:tc>
        <w:tc>
          <w:tcPr>
            <w:tcW w:type="dxa" w:w="5443"/>
          </w:tcPr>
          <w:p>
            <w:pPr>
              <w:keepNext/>
            </w:pPr>
            <w:r/>
            <w:r>
              <w:rPr>
                <w:rFonts w:ascii="Arial" w:hAnsi="Arial" w:eastAsia="Arial"/>
                <w:b w:val="0"/>
                <w:i w:val="0"/>
                <w:sz w:val="20"/>
              </w:rPr>
              <w:t>Each work-package leader for the data of the work package</w:t>
            </w:r>
          </w:p>
        </w:tc>
        <w:tc>
          <w:tcPr>
            <w:tcW w:type="dxa" w:w="1814"/>
          </w:tcPr>
          <w:p>
            <w:pPr>
              <w:keepNext/>
            </w:pPr>
            <w:r/>
            <w:r>
              <w:rPr>
                <w:rFonts w:ascii="Arial" w:hAnsi="Arial" w:eastAsia="Arial"/>
                <w:b w:val="0"/>
                <w:i w:val="0"/>
                <w:sz w:val="20"/>
              </w:rPr>
              <w:t>WP1–WP6</w:t>
            </w:r>
          </w:p>
        </w:tc>
      </w:tr>
      <w:tr>
        <w:trPr>
          <w:cantSplit/>
        </w:trPr>
        <w:tc>
          <w:tcPr>
            <w:tcW w:type="dxa" w:w="2381"/>
          </w:tcPr>
          <w:p>
            <w:r/>
            <w:r>
              <w:rPr>
                <w:rFonts w:ascii="Arial" w:hAnsi="Arial" w:eastAsia="Arial"/>
                <w:b w:val="0"/>
                <w:i w:val="0"/>
                <w:sz w:val="20"/>
              </w:rPr>
              <w:t>Long-term preservation</w:t>
            </w:r>
          </w:p>
        </w:tc>
        <w:tc>
          <w:tcPr>
            <w:tcW w:type="dxa" w:w="5443"/>
          </w:tcPr>
          <w:p>
            <w:r/>
            <w:r>
              <w:rPr>
                <w:rFonts w:ascii="Arial" w:hAnsi="Arial" w:eastAsia="Arial"/>
                <w:b w:val="0"/>
                <w:i w:val="0"/>
                <w:sz w:val="20"/>
              </w:rPr>
              <w:t>Zenodo for open data; partner institutions for restricted data</w:t>
            </w:r>
          </w:p>
        </w:tc>
        <w:tc>
          <w:tcPr>
            <w:tcW w:type="dxa" w:w="1814"/>
          </w:tcPr>
          <w:p>
            <w:r/>
            <w:r>
              <w:rPr>
                <w:rFonts w:ascii="Arial" w:hAnsi="Arial" w:eastAsia="Arial"/>
                <w:b w:val="0"/>
                <w:i w:val="0"/>
                <w:sz w:val="20"/>
              </w:rPr>
              <w:t>After Month 36</w:t>
            </w:r>
          </w:p>
        </w:tc>
      </w:tr>
    </w:tbl>
    <w:p>
      <w:pPr>
        <w:spacing w:after="80" w:before="0"/>
      </w:pPr>
    </w:p>
    <w:p>
      <w:pPr>
        <w:keepNext/>
        <w:spacing w:after="120" w:before="160"/>
      </w:pPr>
      <w:r>
        <w:rPr>
          <w:rFonts w:ascii="Arial" w:hAnsi="Arial" w:eastAsia="Arial"/>
          <w:b/>
          <w:i w:val="0"/>
          <w:color w:val="1F3864"/>
          <w:sz w:val="27"/>
        </w:rPr>
        <w:t>5. Data security</w:t>
      </w:r>
    </w:p>
    <w:p>
      <w:pPr>
        <w:spacing w:after="60" w:before="0"/>
        <w:ind w:left="283"/>
      </w:pPr>
      <w:r>
        <w:rPr>
          <w:rFonts w:ascii="Arial" w:hAnsi="Arial" w:eastAsia="Arial"/>
          <w:b/>
          <w:i w:val="0"/>
          <w:sz w:val="22"/>
        </w:rPr>
        <w:t xml:space="preserve">• </w:t>
      </w:r>
      <w:r>
        <w:rPr>
          <w:rFonts w:ascii="Arial" w:hAnsi="Arial" w:eastAsia="Arial"/>
          <w:b/>
          <w:i w:val="0"/>
          <w:sz w:val="22"/>
        </w:rPr>
        <w:t>No classified information.</w:t>
      </w:r>
      <w:r>
        <w:rPr>
          <w:rFonts w:ascii="Arial" w:hAnsi="Arial" w:eastAsia="Arial"/>
          <w:b w:val="0"/>
          <w:i w:val="0"/>
          <w:sz w:val="22"/>
        </w:rPr>
        <w:t xml:space="preserve"> The project uses and produces no NATO-classified or nationally classified information; restricted data are sensitive but unclassified.</w:t>
      </w:r>
    </w:p>
    <w:p>
      <w:pPr>
        <w:spacing w:after="60" w:before="0"/>
        <w:ind w:left="283"/>
      </w:pPr>
      <w:r>
        <w:rPr>
          <w:rFonts w:ascii="Arial" w:hAnsi="Arial" w:eastAsia="Arial"/>
          <w:b/>
          <w:i w:val="0"/>
          <w:sz w:val="22"/>
        </w:rPr>
        <w:t xml:space="preserve">• </w:t>
      </w:r>
      <w:r>
        <w:rPr>
          <w:rFonts w:ascii="Arial" w:hAnsi="Arial" w:eastAsia="Arial"/>
          <w:b/>
          <w:i w:val="0"/>
          <w:sz w:val="22"/>
        </w:rPr>
        <w:t>Two servers in different locations</w:t>
      </w:r>
      <w:r>
        <w:rPr>
          <w:rFonts w:ascii="Arial" w:hAnsi="Arial" w:eastAsia="Arial"/>
          <w:b w:val="0"/>
          <w:i w:val="0"/>
          <w:sz w:val="22"/>
        </w:rPr>
        <w:t xml:space="preserve"> with daily backup, following the 3-2-1 rule (three copies, two media, one off site) (Risk Assessment, R17).</w:t>
      </w:r>
    </w:p>
    <w:p>
      <w:pPr>
        <w:spacing w:after="60" w:before="0"/>
        <w:ind w:left="283"/>
      </w:pPr>
      <w:r>
        <w:rPr>
          <w:rFonts w:ascii="Arial" w:hAnsi="Arial" w:eastAsia="Arial"/>
          <w:b/>
          <w:i w:val="0"/>
          <w:sz w:val="22"/>
        </w:rPr>
        <w:t xml:space="preserve">• </w:t>
      </w:r>
      <w:r>
        <w:rPr>
          <w:rFonts w:ascii="Arial" w:hAnsi="Arial" w:eastAsia="Arial"/>
          <w:b/>
          <w:i w:val="0"/>
          <w:sz w:val="22"/>
        </w:rPr>
        <w:t>Encryption</w:t>
      </w:r>
      <w:r>
        <w:rPr>
          <w:rFonts w:ascii="Arial" w:hAnsi="Arial" w:eastAsia="Arial"/>
          <w:b w:val="0"/>
          <w:i w:val="0"/>
          <w:sz w:val="22"/>
        </w:rPr>
        <w:t xml:space="preserve"> at rest and in transit (VPN for telemetry; SFTP and HTTPS for transfers); restricted data never stored on personal cloud accounts.</w:t>
      </w:r>
    </w:p>
    <w:p>
      <w:pPr>
        <w:spacing w:after="60" w:before="0"/>
        <w:ind w:left="283"/>
      </w:pPr>
      <w:r>
        <w:rPr>
          <w:rFonts w:ascii="Arial" w:hAnsi="Arial" w:eastAsia="Arial"/>
          <w:b/>
          <w:i w:val="0"/>
          <w:sz w:val="22"/>
        </w:rPr>
        <w:t xml:space="preserve">• </w:t>
      </w:r>
      <w:r>
        <w:rPr>
          <w:rFonts w:ascii="Arial" w:hAnsi="Arial" w:eastAsia="Arial"/>
          <w:b/>
          <w:i w:val="0"/>
          <w:sz w:val="22"/>
        </w:rPr>
        <w:t>Access control</w:t>
      </w:r>
      <w:r>
        <w:rPr>
          <w:rFonts w:ascii="Arial" w:hAnsi="Arial" w:eastAsia="Arial"/>
          <w:b w:val="0"/>
          <w:i w:val="0"/>
          <w:sz w:val="22"/>
        </w:rPr>
        <w:t xml:space="preserve"> by role, with personal accounts, two-factor authentication and access logs.</w:t>
      </w:r>
    </w:p>
    <w:p>
      <w:pPr>
        <w:spacing w:after="60" w:before="0"/>
        <w:ind w:left="283"/>
      </w:pPr>
      <w:r>
        <w:rPr>
          <w:rFonts w:ascii="Arial" w:hAnsi="Arial" w:eastAsia="Arial"/>
          <w:b/>
          <w:i w:val="0"/>
          <w:sz w:val="22"/>
        </w:rPr>
        <w:t xml:space="preserve">• </w:t>
      </w:r>
      <w:r>
        <w:rPr>
          <w:rFonts w:ascii="Arial" w:hAnsi="Arial" w:eastAsia="Arial"/>
          <w:b/>
          <w:i w:val="0"/>
          <w:sz w:val="22"/>
        </w:rPr>
        <w:t>Integrity:</w:t>
      </w:r>
      <w:r>
        <w:rPr>
          <w:rFonts w:ascii="Arial" w:hAnsi="Arial" w:eastAsia="Arial"/>
          <w:b w:val="0"/>
          <w:i w:val="0"/>
          <w:sz w:val="22"/>
        </w:rPr>
        <w:t xml:space="preserve"> checksums (SHA-256) for every file; the bulletin log is append-only, so a warning cannot be changed after it is issued.</w:t>
      </w:r>
    </w:p>
    <w:p>
      <w:pPr>
        <w:spacing w:after="60" w:before="0"/>
        <w:ind w:left="283"/>
      </w:pPr>
      <w:r>
        <w:rPr>
          <w:rFonts w:ascii="Arial" w:hAnsi="Arial" w:eastAsia="Arial"/>
          <w:b/>
          <w:i w:val="0"/>
          <w:sz w:val="22"/>
        </w:rPr>
        <w:t xml:space="preserve">• </w:t>
      </w:r>
      <w:r>
        <w:rPr>
          <w:rFonts w:ascii="Arial" w:hAnsi="Arial" w:eastAsia="Arial"/>
          <w:b/>
          <w:i w:val="0"/>
          <w:sz w:val="22"/>
        </w:rPr>
        <w:t>Incidents</w:t>
      </w:r>
      <w:r>
        <w:rPr>
          <w:rFonts w:ascii="Arial" w:hAnsi="Arial" w:eastAsia="Arial"/>
          <w:b w:val="0"/>
          <w:i w:val="0"/>
          <w:sz w:val="22"/>
        </w:rPr>
        <w:t xml:space="preserve"> reported to the data manager at once, and to the owners and, for personal data, to the competent authority as the law requires.</w:t>
      </w:r>
    </w:p>
    <w:p>
      <w:pPr>
        <w:keepNext/>
        <w:spacing w:after="120" w:before="160"/>
      </w:pPr>
      <w:r>
        <w:rPr>
          <w:rFonts w:ascii="Arial" w:hAnsi="Arial" w:eastAsia="Arial"/>
          <w:b/>
          <w:i w:val="0"/>
          <w:color w:val="1F3864"/>
          <w:sz w:val="27"/>
        </w:rPr>
        <w:t>6. Ethics</w:t>
      </w:r>
    </w:p>
    <w:p>
      <w:pPr>
        <w:spacing w:after="60" w:before="0"/>
        <w:ind w:left="283"/>
      </w:pPr>
      <w:r>
        <w:rPr>
          <w:rFonts w:ascii="Arial" w:hAnsi="Arial" w:eastAsia="Arial"/>
          <w:b/>
          <w:i w:val="0"/>
          <w:sz w:val="22"/>
        </w:rPr>
        <w:t xml:space="preserve">• </w:t>
      </w:r>
      <w:r>
        <w:rPr>
          <w:rFonts w:ascii="Arial" w:hAnsi="Arial" w:eastAsia="Arial"/>
          <w:b/>
          <w:i w:val="0"/>
          <w:sz w:val="22"/>
        </w:rPr>
        <w:t>Personal data (DS16)</w:t>
      </w:r>
      <w:r>
        <w:rPr>
          <w:rFonts w:ascii="Arial" w:hAnsi="Arial" w:eastAsia="Arial"/>
          <w:b w:val="0"/>
          <w:i w:val="0"/>
          <w:sz w:val="22"/>
        </w:rPr>
        <w:t xml:space="preserve"> are handled under Albania's Law No. 124/2024, the GDPR for any EU partner and the partner country's law, with consent, minimisation, pseudonymisation and deletion at the end of the retention period (Ethics, Section 4).</w:t>
      </w:r>
    </w:p>
    <w:p>
      <w:pPr>
        <w:spacing w:after="60" w:before="0"/>
        <w:ind w:left="283"/>
      </w:pPr>
      <w:r>
        <w:rPr>
          <w:rFonts w:ascii="Arial" w:hAnsi="Arial" w:eastAsia="Arial"/>
          <w:b/>
          <w:i w:val="0"/>
          <w:sz w:val="22"/>
        </w:rPr>
        <w:t xml:space="preserve">• </w:t>
      </w:r>
      <w:r>
        <w:rPr>
          <w:rFonts w:ascii="Arial" w:hAnsi="Arial" w:eastAsia="Arial"/>
          <w:b/>
          <w:i w:val="0"/>
          <w:sz w:val="22"/>
        </w:rPr>
        <w:t>Operator data</w:t>
      </w:r>
      <w:r>
        <w:rPr>
          <w:rFonts w:ascii="Arial" w:hAnsi="Arial" w:eastAsia="Arial"/>
          <w:b w:val="0"/>
          <w:i w:val="0"/>
          <w:sz w:val="22"/>
        </w:rPr>
        <w:t xml:space="preserve"> are used only under the access agreements of T7.2 and for the purposes stated in them.</w:t>
      </w:r>
    </w:p>
    <w:p>
      <w:pPr>
        <w:spacing w:after="60" w:before="0"/>
        <w:ind w:left="283"/>
      </w:pPr>
      <w:r>
        <w:rPr>
          <w:rFonts w:ascii="Arial" w:hAnsi="Arial" w:eastAsia="Arial"/>
          <w:b/>
          <w:i w:val="0"/>
          <w:sz w:val="22"/>
        </w:rPr>
        <w:t xml:space="preserve">• </w:t>
      </w:r>
      <w:r>
        <w:rPr>
          <w:rFonts w:ascii="Arial" w:hAnsi="Arial" w:eastAsia="Arial"/>
          <w:b/>
          <w:i w:val="0"/>
          <w:sz w:val="22"/>
        </w:rPr>
        <w:t>Security-sensitive results</w:t>
      </w:r>
      <w:r>
        <w:rPr>
          <w:rFonts w:ascii="Arial" w:hAnsi="Arial" w:eastAsia="Arial"/>
          <w:b w:val="0"/>
          <w:i w:val="0"/>
          <w:sz w:val="22"/>
        </w:rPr>
        <w:t xml:space="preserve"> follow the two-tier dissemination and the release gate.</w:t>
      </w:r>
    </w:p>
    <w:p>
      <w:pPr>
        <w:keepNext/>
        <w:spacing w:after="120" w:before="160"/>
      </w:pPr>
      <w:r>
        <w:rPr>
          <w:rFonts w:ascii="Arial" w:hAnsi="Arial" w:eastAsia="Arial"/>
          <w:b/>
          <w:i w:val="0"/>
          <w:color w:val="1F3864"/>
          <w:sz w:val="27"/>
        </w:rPr>
        <w:t>7. Other issues</w:t>
      </w:r>
    </w:p>
    <w:p>
      <w:pPr>
        <w:spacing w:after="60" w:before="0"/>
        <w:ind w:left="283"/>
      </w:pPr>
      <w:r>
        <w:rPr>
          <w:rFonts w:ascii="Arial" w:hAnsi="Arial" w:eastAsia="Arial"/>
          <w:b/>
          <w:i w:val="0"/>
          <w:sz w:val="22"/>
        </w:rPr>
        <w:t xml:space="preserve">• </w:t>
      </w:r>
      <w:r>
        <w:rPr>
          <w:rFonts w:ascii="Arial" w:hAnsi="Arial" w:eastAsia="Arial"/>
          <w:b/>
          <w:i w:val="0"/>
          <w:sz w:val="22"/>
        </w:rPr>
        <w:t>Copernicus attribution</w:t>
      </w:r>
      <w:r>
        <w:rPr>
          <w:rFonts w:ascii="Arial" w:hAnsi="Arial" w:eastAsia="Arial"/>
          <w:b w:val="0"/>
          <w:i w:val="0"/>
          <w:sz w:val="22"/>
        </w:rPr>
        <w:t xml:space="preserve"> ("contains modified Copernicus Sentinel data") on every product derived from Sentinel-1.</w:t>
      </w:r>
    </w:p>
    <w:p>
      <w:pPr>
        <w:spacing w:after="60" w:before="0"/>
        <w:ind w:left="283"/>
      </w:pPr>
      <w:r>
        <w:rPr>
          <w:rFonts w:ascii="Arial" w:hAnsi="Arial" w:eastAsia="Arial"/>
          <w:b/>
          <w:i w:val="0"/>
          <w:sz w:val="22"/>
        </w:rPr>
        <w:t xml:space="preserve">• </w:t>
      </w:r>
      <w:r>
        <w:rPr>
          <w:rFonts w:ascii="Arial" w:hAnsi="Arial" w:eastAsia="Arial"/>
          <w:b/>
          <w:i w:val="0"/>
          <w:sz w:val="22"/>
        </w:rPr>
        <w:t>Third-party data</w:t>
      </w:r>
      <w:r>
        <w:rPr>
          <w:rFonts w:ascii="Arial" w:hAnsi="Arial" w:eastAsia="Arial"/>
          <w:b w:val="0"/>
          <w:i w:val="0"/>
          <w:sz w:val="22"/>
        </w:rPr>
        <w:t xml:space="preserve"> (tide gauge, national networks) used under their providers' terms.</w:t>
      </w:r>
    </w:p>
    <w:p>
      <w:pPr>
        <w:spacing w:after="60" w:before="0"/>
        <w:ind w:left="283"/>
      </w:pPr>
      <w:r>
        <w:rPr>
          <w:rFonts w:ascii="Arial" w:hAnsi="Arial" w:eastAsia="Arial"/>
          <w:b/>
          <w:i w:val="0"/>
          <w:sz w:val="22"/>
        </w:rPr>
        <w:t xml:space="preserve">• </w:t>
      </w:r>
      <w:r>
        <w:rPr>
          <w:rFonts w:ascii="Arial" w:hAnsi="Arial" w:eastAsia="Arial"/>
          <w:b/>
          <w:i w:val="0"/>
          <w:sz w:val="22"/>
        </w:rPr>
        <w:t>National rules on geospatial data</w:t>
      </w:r>
      <w:r>
        <w:rPr>
          <w:rFonts w:ascii="Arial" w:hAnsi="Arial" w:eastAsia="Arial"/>
          <w:b w:val="0"/>
          <w:i w:val="0"/>
          <w:sz w:val="22"/>
        </w:rPr>
        <w:t xml:space="preserve"> checked with the competent Albanian authority before publishing maps.</w:t>
      </w:r>
    </w:p>
    <w:p>
      <w:pPr>
        <w:spacing w:after="60" w:before="0"/>
        <w:ind w:left="283"/>
      </w:pPr>
      <w:r>
        <w:rPr>
          <w:rFonts w:ascii="Arial" w:hAnsi="Arial" w:eastAsia="Arial"/>
          <w:b/>
          <w:i w:val="0"/>
          <w:sz w:val="22"/>
        </w:rPr>
        <w:t xml:space="preserve">• </w:t>
      </w:r>
      <w:r>
        <w:rPr>
          <w:rFonts w:ascii="Arial" w:hAnsi="Arial" w:eastAsia="Arial"/>
          <w:b/>
          <w:i w:val="0"/>
          <w:sz w:val="22"/>
        </w:rPr>
        <w:t>Ownership and access</w:t>
      </w:r>
      <w:r>
        <w:rPr>
          <w:rFonts w:ascii="Arial" w:hAnsi="Arial" w:eastAsia="Arial"/>
          <w:b w:val="0"/>
          <w:i w:val="0"/>
          <w:sz w:val="22"/>
        </w:rPr>
        <w:t xml:space="preserve"> of all results set out in the consortium agreement.</w:t>
      </w:r>
    </w:p>
    <w:p>
      <w:pPr>
        <w:keepNext/>
        <w:spacing w:after="120" w:before="160"/>
      </w:pPr>
      <w:r>
        <w:rPr>
          <w:rFonts w:ascii="Arial" w:hAnsi="Arial" w:eastAsia="Arial"/>
          <w:b/>
          <w:i w:val="0"/>
          <w:color w:val="1F3864"/>
          <w:sz w:val="27"/>
        </w:rPr>
        <w:t>8. Versions of this plan</w:t>
      </w:r>
    </w:p>
    <w:tbl>
      <w:tblPr>
        <w:tblStyle w:val="TableGrid"/>
        <w:tblW w:type="auto" w:w="0"/>
        <w:jc w:val="center"/>
        <w:tblLayout w:type="fixed"/>
        <w:tblLook w:firstColumn="1" w:firstRow="1" w:lastColumn="0" w:lastRow="0" w:noHBand="0" w:noVBand="1" w:val="04A0"/>
        <w:tblLayout w:type="fixed"/>
      </w:tblPr>
      <w:tblGrid>
        <w:gridCol w:w="1134"/>
        <w:gridCol w:w="1474"/>
        <w:gridCol w:w="7030"/>
      </w:tblGrid>
      <w:tr>
        <w:trPr>
          <w:cantSplit/>
          <w:tblHeader/>
        </w:trPr>
        <w:tc>
          <w:tcPr>
            <w:tcW w:type="dxa" w:w="1134"/>
            <w:shd w:val="clear" w:color="auto" w:fill="1F3864"/>
          </w:tcPr>
          <w:p>
            <w:pPr>
              <w:keepNext/>
            </w:pPr>
            <w:r/>
            <w:r>
              <w:rPr>
                <w:rFonts w:ascii="Arial" w:hAnsi="Arial" w:eastAsia="Arial"/>
                <w:b/>
                <w:i w:val="0"/>
                <w:color w:val="FFFFFF"/>
                <w:sz w:val="20"/>
              </w:rPr>
              <w:t>Version</w:t>
            </w:r>
          </w:p>
        </w:tc>
        <w:tc>
          <w:tcPr>
            <w:tcW w:type="dxa" w:w="1474"/>
            <w:shd w:val="clear" w:color="auto" w:fill="1F3864"/>
          </w:tcPr>
          <w:p>
            <w:pPr>
              <w:keepNext/>
            </w:pPr>
            <w:r/>
            <w:r>
              <w:rPr>
                <w:rFonts w:ascii="Arial" w:hAnsi="Arial" w:eastAsia="Arial"/>
                <w:b/>
                <w:i w:val="0"/>
                <w:color w:val="FFFFFF"/>
                <w:sz w:val="20"/>
              </w:rPr>
              <w:t>When</w:t>
            </w:r>
          </w:p>
        </w:tc>
        <w:tc>
          <w:tcPr>
            <w:tcW w:type="dxa" w:w="7030"/>
            <w:shd w:val="clear" w:color="auto" w:fill="1F3864"/>
          </w:tcPr>
          <w:p>
            <w:pPr>
              <w:keepNext/>
            </w:pPr>
            <w:r/>
            <w:r>
              <w:rPr>
                <w:rFonts w:ascii="Arial" w:hAnsi="Arial" w:eastAsia="Arial"/>
                <w:b/>
                <w:i w:val="0"/>
                <w:color w:val="FFFFFF"/>
                <w:sz w:val="20"/>
              </w:rPr>
              <w:t>Content</w:t>
            </w:r>
          </w:p>
        </w:tc>
      </w:tr>
      <w:tr>
        <w:trPr>
          <w:cantSplit/>
        </w:trPr>
        <w:tc>
          <w:tcPr>
            <w:tcW w:type="dxa" w:w="1134"/>
          </w:tcPr>
          <w:p>
            <w:pPr>
              <w:keepNext/>
            </w:pPr>
            <w:r/>
            <w:r>
              <w:rPr>
                <w:rFonts w:ascii="Arial" w:hAnsi="Arial" w:eastAsia="Arial"/>
                <w:b w:val="0"/>
                <w:i w:val="0"/>
                <w:sz w:val="20"/>
              </w:rPr>
              <w:t>1.0</w:t>
            </w:r>
          </w:p>
        </w:tc>
        <w:tc>
          <w:tcPr>
            <w:tcW w:type="dxa" w:w="1474"/>
          </w:tcPr>
          <w:p>
            <w:pPr>
              <w:keepNext/>
            </w:pPr>
            <w:r/>
            <w:r>
              <w:rPr>
                <w:rFonts w:ascii="Arial" w:hAnsi="Arial" w:eastAsia="Arial"/>
                <w:b w:val="0"/>
                <w:i w:val="0"/>
                <w:sz w:val="20"/>
              </w:rPr>
              <w:t>Month 3</w:t>
            </w:r>
          </w:p>
        </w:tc>
        <w:tc>
          <w:tcPr>
            <w:tcW w:type="dxa" w:w="7030"/>
          </w:tcPr>
          <w:p>
            <w:pPr>
              <w:keepNext/>
            </w:pPr>
            <w:r/>
            <w:r>
              <w:rPr>
                <w:rFonts w:ascii="Arial" w:hAnsi="Arial" w:eastAsia="Arial"/>
                <w:b w:val="0"/>
                <w:i w:val="0"/>
                <w:sz w:val="20"/>
              </w:rPr>
              <w:t>With the access agreements (T7.2); data inventory, rules and responsibilities</w:t>
            </w:r>
          </w:p>
        </w:tc>
      </w:tr>
      <w:tr>
        <w:trPr>
          <w:cantSplit/>
        </w:trPr>
        <w:tc>
          <w:tcPr>
            <w:tcW w:type="dxa" w:w="1134"/>
          </w:tcPr>
          <w:p>
            <w:pPr>
              <w:keepNext/>
            </w:pPr>
            <w:r/>
            <w:r>
              <w:rPr>
                <w:rFonts w:ascii="Arial" w:hAnsi="Arial" w:eastAsia="Arial"/>
                <w:b w:val="0"/>
                <w:i w:val="0"/>
                <w:sz w:val="20"/>
              </w:rPr>
              <w:t>2.0</w:t>
            </w:r>
          </w:p>
        </w:tc>
        <w:tc>
          <w:tcPr>
            <w:tcW w:type="dxa" w:w="1474"/>
          </w:tcPr>
          <w:p>
            <w:pPr>
              <w:keepNext/>
            </w:pPr>
            <w:r/>
            <w:r>
              <w:rPr>
                <w:rFonts w:ascii="Arial" w:hAnsi="Arial" w:eastAsia="Arial"/>
                <w:b w:val="0"/>
                <w:i w:val="0"/>
                <w:sz w:val="20"/>
              </w:rPr>
              <w:t>Month 18</w:t>
            </w:r>
          </w:p>
        </w:tc>
        <w:tc>
          <w:tcPr>
            <w:tcW w:type="dxa" w:w="7030"/>
          </w:tcPr>
          <w:p>
            <w:pPr>
              <w:keepNext/>
            </w:pPr>
            <w:r/>
            <w:r>
              <w:rPr>
                <w:rFonts w:ascii="Arial" w:hAnsi="Arial" w:eastAsia="Arial"/>
                <w:b w:val="0"/>
                <w:i w:val="0"/>
                <w:sz w:val="20"/>
              </w:rPr>
              <w:t>Update after the network is installed and the model calibrated; repositories confirmed</w:t>
            </w:r>
          </w:p>
        </w:tc>
      </w:tr>
      <w:tr>
        <w:trPr>
          <w:cantSplit/>
        </w:trPr>
        <w:tc>
          <w:tcPr>
            <w:tcW w:type="dxa" w:w="1134"/>
          </w:tcPr>
          <w:p>
            <w:r/>
            <w:r>
              <w:rPr>
                <w:rFonts w:ascii="Arial" w:hAnsi="Arial" w:eastAsia="Arial"/>
                <w:b w:val="0"/>
                <w:i w:val="0"/>
                <w:sz w:val="20"/>
              </w:rPr>
              <w:t>3.0</w:t>
            </w:r>
          </w:p>
        </w:tc>
        <w:tc>
          <w:tcPr>
            <w:tcW w:type="dxa" w:w="1474"/>
          </w:tcPr>
          <w:p>
            <w:r/>
            <w:r>
              <w:rPr>
                <w:rFonts w:ascii="Arial" w:hAnsi="Arial" w:eastAsia="Arial"/>
                <w:b w:val="0"/>
                <w:i w:val="0"/>
                <w:sz w:val="20"/>
              </w:rPr>
              <w:t>Month 36</w:t>
            </w:r>
          </w:p>
        </w:tc>
        <w:tc>
          <w:tcPr>
            <w:tcW w:type="dxa" w:w="7030"/>
          </w:tcPr>
          <w:p>
            <w:r/>
            <w:r>
              <w:rPr>
                <w:rFonts w:ascii="Arial" w:hAnsi="Arial" w:eastAsia="Arial"/>
                <w:b w:val="0"/>
                <w:i w:val="0"/>
                <w:sz w:val="20"/>
              </w:rPr>
              <w:t>Final version with what was released, where, and how it is preserved</w:t>
            </w:r>
          </w:p>
        </w:tc>
      </w:tr>
    </w:tbl>
    <w:p>
      <w:pPr>
        <w:spacing w:after="80" w:before="0"/>
      </w:pPr>
    </w:p>
    <w:p>
      <w:pPr>
        <w:keepNext/>
        <w:spacing w:after="120" w:before="160"/>
      </w:pPr>
      <w:r>
        <w:rPr>
          <w:rFonts w:ascii="Arial" w:hAnsi="Arial" w:eastAsia="Arial"/>
          <w:b/>
          <w:i w:val="0"/>
          <w:color w:val="1F3864"/>
          <w:sz w:val="27"/>
        </w:rPr>
        <w:t>9. What is new in this data plan</w:t>
      </w:r>
    </w:p>
    <w:p>
      <w:pPr>
        <w:spacing w:after="60" w:before="0"/>
        <w:ind w:left="283"/>
      </w:pPr>
      <w:r>
        <w:rPr>
          <w:rFonts w:ascii="Arial" w:hAnsi="Arial" w:eastAsia="Arial"/>
          <w:b/>
          <w:i w:val="0"/>
          <w:sz w:val="22"/>
        </w:rPr>
        <w:t xml:space="preserve">• </w:t>
      </w:r>
      <w:r>
        <w:rPr>
          <w:rFonts w:ascii="Arial" w:hAnsi="Arial" w:eastAsia="Arial"/>
          <w:b/>
          <w:i w:val="0"/>
          <w:sz w:val="22"/>
        </w:rPr>
        <w:t>Replayable warnings.</w:t>
      </w:r>
      <w:r>
        <w:rPr>
          <w:rFonts w:ascii="Arial" w:hAnsi="Arial" w:eastAsia="Arial"/>
          <w:b w:val="0"/>
          <w:i w:val="0"/>
          <w:sz w:val="22"/>
        </w:rPr>
        <w:t xml:space="preserve"> Every bulletin is stored with its inputs, model and code version in an append-only log, so any warning can be reproduced exactly, years later.</w:t>
      </w:r>
    </w:p>
    <w:p>
      <w:pPr>
        <w:spacing w:after="60" w:before="0"/>
        <w:ind w:left="283"/>
      </w:pPr>
      <w:r>
        <w:rPr>
          <w:rFonts w:ascii="Arial" w:hAnsi="Arial" w:eastAsia="Arial"/>
          <w:b/>
          <w:i w:val="0"/>
          <w:sz w:val="22"/>
        </w:rPr>
        <w:t xml:space="preserve">• </w:t>
      </w:r>
      <w:r>
        <w:rPr>
          <w:rFonts w:ascii="Arial" w:hAnsi="Arial" w:eastAsia="Arial"/>
          <w:b/>
          <w:i w:val="0"/>
          <w:sz w:val="22"/>
        </w:rPr>
        <w:t>A test registered before the results.</w:t>
      </w:r>
      <w:r>
        <w:rPr>
          <w:rFonts w:ascii="Arial" w:hAnsi="Arial" w:eastAsia="Arial"/>
          <w:b w:val="0"/>
          <w:i w:val="0"/>
          <w:sz w:val="22"/>
        </w:rPr>
        <w:t xml:space="preserve"> The back-testing protocol is published with a timestamp and a DOI before the results are computed, so the central claim of the project can be checked by anyone.</w:t>
      </w:r>
    </w:p>
    <w:p>
      <w:pPr>
        <w:spacing w:after="60" w:before="0"/>
        <w:ind w:left="283"/>
      </w:pPr>
      <w:r>
        <w:rPr>
          <w:rFonts w:ascii="Arial" w:hAnsi="Arial" w:eastAsia="Arial"/>
          <w:b/>
          <w:i w:val="0"/>
          <w:sz w:val="22"/>
        </w:rPr>
        <w:t xml:space="preserve">• </w:t>
      </w:r>
      <w:r>
        <w:rPr>
          <w:rFonts w:ascii="Arial" w:hAnsi="Arial" w:eastAsia="Arial"/>
          <w:b/>
          <w:i w:val="0"/>
          <w:sz w:val="22"/>
        </w:rPr>
        <w:t>Findable even when closed.</w:t>
      </w:r>
      <w:r>
        <w:rPr>
          <w:rFonts w:ascii="Arial" w:hAnsi="Arial" w:eastAsia="Arial"/>
          <w:b w:val="0"/>
          <w:i w:val="0"/>
          <w:sz w:val="22"/>
        </w:rPr>
        <w:t xml:space="preserve"> Restricted datasets have public metadata and a DOI, so others know they exist and how to request access.</w:t>
      </w:r>
    </w:p>
    <w:p>
      <w:pPr>
        <w:spacing w:after="60" w:before="0"/>
        <w:ind w:left="283"/>
      </w:pPr>
      <w:r>
        <w:rPr>
          <w:rFonts w:ascii="Arial" w:hAnsi="Arial" w:eastAsia="Arial"/>
          <w:b/>
          <w:i w:val="0"/>
          <w:sz w:val="22"/>
        </w:rPr>
        <w:t xml:space="preserve">• </w:t>
      </w:r>
      <w:r>
        <w:rPr>
          <w:rFonts w:ascii="Arial" w:hAnsi="Arial" w:eastAsia="Arial"/>
          <w:b/>
          <w:i w:val="0"/>
          <w:sz w:val="22"/>
        </w:rPr>
        <w:t>FAIR with a security gate.</w:t>
      </w:r>
      <w:r>
        <w:rPr>
          <w:rFonts w:ascii="Arial" w:hAnsi="Arial" w:eastAsia="Arial"/>
          <w:b w:val="0"/>
          <w:i w:val="0"/>
          <w:sz w:val="22"/>
        </w:rPr>
        <w:t xml:space="preserve"> The release gate generalises sensor locations and aggregates asset-level results, so the project can be open without exposing critical infrastructure.</w:t>
      </w:r>
    </w:p>
    <w:p>
      <w:pPr>
        <w:spacing w:after="60" w:before="0"/>
        <w:ind w:left="283"/>
      </w:pPr>
      <w:r>
        <w:rPr>
          <w:rFonts w:ascii="Arial" w:hAnsi="Arial" w:eastAsia="Arial"/>
          <w:b/>
          <w:i w:val="0"/>
          <w:sz w:val="22"/>
        </w:rPr>
        <w:t xml:space="preserve">• </w:t>
      </w:r>
      <w:r>
        <w:rPr>
          <w:rFonts w:ascii="Arial" w:hAnsi="Arial" w:eastAsia="Arial"/>
          <w:b/>
          <w:i w:val="0"/>
          <w:sz w:val="22"/>
        </w:rPr>
        <w:t>A synthetic twin of the coast.</w:t>
      </w:r>
      <w:r>
        <w:rPr>
          <w:rFonts w:ascii="Arial" w:hAnsi="Arial" w:eastAsia="Arial"/>
          <w:b w:val="0"/>
          <w:i w:val="0"/>
          <w:sz w:val="22"/>
        </w:rPr>
        <w:t xml:space="preserve"> An open synthetic coast with the same structure lets anyone reproduce the methods without sensitive data.</w:t>
      </w:r>
    </w:p>
    <w:p>
      <w:pPr>
        <w:keepNext/>
        <w:spacing w:after="120" w:before="160"/>
      </w:pPr>
      <w:r>
        <w:rPr>
          <w:rFonts w:ascii="Arial" w:hAnsi="Arial" w:eastAsia="Arial"/>
          <w:b/>
          <w:i w:val="0"/>
          <w:color w:val="1F3864"/>
          <w:sz w:val="27"/>
        </w:rPr>
        <w:t>10. Short summary for the application form (146 words)</w:t>
      </w:r>
    </w:p>
    <w:p>
      <w:pPr>
        <w:spacing w:after="120" w:before="0"/>
        <w:jc w:val="both"/>
      </w:pPr>
      <w:r>
        <w:rPr>
          <w:rFonts w:ascii="Arial" w:hAnsi="Arial" w:eastAsia="Arial"/>
          <w:b w:val="0"/>
          <w:i w:val="0"/>
          <w:sz w:val="22"/>
        </w:rPr>
        <w:t>CERTAIN-COAST follows the principle "as open as possible, as closed as necessary". Its 17 datasets (satellite, GNSS, groundwater, chemistry, seismic, model, bulletin and participant data, and software) are listed with format, volume, owner and access tier. Open data, a synthetic test coast, verification statistics and software are published in Zenodo with DOIs, standard formats (RINEX, miniSEED, NetCDF-CF, GeoTIFF), stated reference systems and open licences (CC BY 4.0, Apache-2.0). Operator records and asset-level results are restricted but findable through public metadata, and every release passes a security gate. No classified information is used. Data are kept on two servers with encryption, access control, checksums and an append-only bulletin log that makes every warning reproducible. Personal data follow Albania's Law No. 124/2024 and the GDPR. A data manager and the work-package leaders are responsible; the plan is delivered in Month 3 and updated in Months 18 and 36.</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