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Sustainability</w:t>
      </w:r>
    </w:p>
    <w:p>
      <w:pPr>
        <w:spacing w:after="20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spacing w:after="160" w:before="0"/>
        <w:jc w:val="both"/>
      </w:pPr>
      <w:r>
        <w:rPr>
          <w:rFonts w:ascii="Arial" w:hAnsi="Arial" w:eastAsia="Arial"/>
          <w:b w:val="0"/>
          <w:i w:val="0"/>
          <w:sz w:val="23"/>
        </w:rPr>
        <w:t>CERTAIN-COAST is designed to end with a working service, not a report. At Month 36 the operators of the wellfields, the port and the energy landfall run the warning system themselves, on a network they own, with open software, trained staff and procedures they have adopted, and civil protection uses its bulletins after events. The running cost is small and known in advance, because the system uses free satellite data, existing stations and open software. The guarantees keep holding after the project team leaves, because the alarms recalibrate themselves from every logged outcome.</w:t>
      </w:r>
    </w:p>
    <w:p>
      <w:pPr>
        <w:keepNext/>
        <w:spacing w:after="120" w:before="80"/>
      </w:pPr>
      <w:r>
        <w:rPr>
          <w:rFonts w:ascii="Arial" w:hAnsi="Arial" w:eastAsia="Arial"/>
          <w:b/>
          <w:i w:val="0"/>
          <w:color w:val="1F3864"/>
          <w:sz w:val="27"/>
        </w:rPr>
        <w:t>1. The end state at Month 36</w:t>
      </w:r>
    </w:p>
    <w:p>
      <w:pPr>
        <w:spacing w:after="60" w:before="0"/>
        <w:ind w:left="283"/>
      </w:pPr>
      <w:r>
        <w:rPr>
          <w:rFonts w:ascii="Arial" w:hAnsi="Arial" w:eastAsia="Arial"/>
          <w:b/>
          <w:i w:val="0"/>
          <w:sz w:val="22"/>
        </w:rPr>
        <w:t xml:space="preserve">• </w:t>
      </w:r>
      <w:r>
        <w:rPr>
          <w:rFonts w:ascii="Arial" w:hAnsi="Arial" w:eastAsia="Arial"/>
          <w:b/>
          <w:i w:val="0"/>
          <w:sz w:val="22"/>
        </w:rPr>
        <w:t>A service in operation.</w:t>
      </w:r>
      <w:r>
        <w:rPr>
          <w:rFonts w:ascii="Arial" w:hAnsi="Arial" w:eastAsia="Arial"/>
          <w:b w:val="0"/>
          <w:i w:val="0"/>
          <w:sz w:val="22"/>
        </w:rPr>
        <w:t xml:space="preserve"> In the last three months (Months 34–36) every bulletin is issued by operator staff, with the project team only observing (MS7).</w:t>
      </w:r>
    </w:p>
    <w:p>
      <w:pPr>
        <w:spacing w:after="60" w:before="0"/>
        <w:ind w:left="283"/>
      </w:pPr>
      <w:r>
        <w:rPr>
          <w:rFonts w:ascii="Arial" w:hAnsi="Arial" w:eastAsia="Arial"/>
          <w:b/>
          <w:i w:val="0"/>
          <w:sz w:val="22"/>
        </w:rPr>
        <w:t xml:space="preserve">• </w:t>
      </w:r>
      <w:r>
        <w:rPr>
          <w:rFonts w:ascii="Arial" w:hAnsi="Arial" w:eastAsia="Arial"/>
          <w:b/>
          <w:i w:val="0"/>
          <w:sz w:val="22"/>
        </w:rPr>
        <w:t>Owned infrastructure.</w:t>
      </w:r>
      <w:r>
        <w:rPr>
          <w:rFonts w:ascii="Arial" w:hAnsi="Arial" w:eastAsia="Arial"/>
          <w:b w:val="0"/>
          <w:i w:val="0"/>
          <w:sz w:val="22"/>
        </w:rPr>
        <w:t xml:space="preserve"> The monitoring network, the servers and the software are handed over to the operators under a written agreement.</w:t>
      </w:r>
    </w:p>
    <w:p>
      <w:pPr>
        <w:spacing w:after="60" w:before="0"/>
        <w:ind w:left="283"/>
      </w:pPr>
      <w:r>
        <w:rPr>
          <w:rFonts w:ascii="Arial" w:hAnsi="Arial" w:eastAsia="Arial"/>
          <w:b/>
          <w:i w:val="0"/>
          <w:sz w:val="22"/>
        </w:rPr>
        <w:t xml:space="preserve">• </w:t>
      </w:r>
      <w:r>
        <w:rPr>
          <w:rFonts w:ascii="Arial" w:hAnsi="Arial" w:eastAsia="Arial"/>
          <w:b/>
          <w:i w:val="0"/>
          <w:sz w:val="22"/>
        </w:rPr>
        <w:t>Adopted procedures.</w:t>
      </w:r>
      <w:r>
        <w:rPr>
          <w:rFonts w:ascii="Arial" w:hAnsi="Arial" w:eastAsia="Arial"/>
          <w:b w:val="0"/>
          <w:i w:val="0"/>
          <w:sz w:val="22"/>
        </w:rPr>
        <w:t xml:space="preserve"> At least one operating procedure per asset is adopted, and civil protection has a post-event protocol (D6.2).</w:t>
      </w:r>
    </w:p>
    <w:p>
      <w:pPr>
        <w:spacing w:after="60" w:before="0"/>
        <w:ind w:left="283"/>
      </w:pPr>
      <w:r>
        <w:rPr>
          <w:rFonts w:ascii="Arial" w:hAnsi="Arial" w:eastAsia="Arial"/>
          <w:b/>
          <w:i w:val="0"/>
          <w:sz w:val="22"/>
        </w:rPr>
        <w:t xml:space="preserve">• </w:t>
      </w:r>
      <w:r>
        <w:rPr>
          <w:rFonts w:ascii="Arial" w:hAnsi="Arial" w:eastAsia="Arial"/>
          <w:b/>
          <w:i w:val="0"/>
          <w:sz w:val="22"/>
        </w:rPr>
        <w:t>Trained people.</w:t>
      </w:r>
      <w:r>
        <w:rPr>
          <w:rFonts w:ascii="Arial" w:hAnsi="Arial" w:eastAsia="Arial"/>
          <w:b w:val="0"/>
          <w:i w:val="0"/>
          <w:sz w:val="22"/>
        </w:rPr>
        <w:t xml:space="preserve"> At least 20 operator and civil-protection staff and at least 6 early-career researchers can run and develop the system.</w:t>
      </w:r>
    </w:p>
    <w:p>
      <w:pPr>
        <w:spacing w:after="60" w:before="0"/>
        <w:ind w:left="283"/>
      </w:pPr>
      <w:r>
        <w:rPr>
          <w:rFonts w:ascii="Arial" w:hAnsi="Arial" w:eastAsia="Arial"/>
          <w:b/>
          <w:i w:val="0"/>
          <w:sz w:val="22"/>
        </w:rPr>
        <w:t xml:space="preserve">• </w:t>
      </w:r>
      <w:r>
        <w:rPr>
          <w:rFonts w:ascii="Arial" w:hAnsi="Arial" w:eastAsia="Arial"/>
          <w:b/>
          <w:i w:val="0"/>
          <w:sz w:val="22"/>
        </w:rPr>
        <w:t>Agreed running cost.</w:t>
      </w:r>
      <w:r>
        <w:rPr>
          <w:rFonts w:ascii="Arial" w:hAnsi="Arial" w:eastAsia="Arial"/>
          <w:b w:val="0"/>
          <w:i w:val="0"/>
          <w:sz w:val="22"/>
        </w:rPr>
        <w:t xml:space="preserve"> The three operators have signed an agreement on maintenance and running costs (by Month 33).</w:t>
      </w:r>
    </w:p>
    <w:p>
      <w:pPr>
        <w:spacing w:after="60" w:before="0"/>
        <w:ind w:left="283"/>
      </w:pPr>
      <w:r>
        <w:rPr>
          <w:rFonts w:ascii="Arial" w:hAnsi="Arial" w:eastAsia="Arial"/>
          <w:b/>
          <w:i w:val="0"/>
          <w:sz w:val="22"/>
        </w:rPr>
        <w:t xml:space="preserve">• </w:t>
      </w:r>
      <w:r>
        <w:rPr>
          <w:rFonts w:ascii="Arial" w:hAnsi="Arial" w:eastAsia="Arial"/>
          <w:b/>
          <w:i w:val="0"/>
          <w:sz w:val="22"/>
        </w:rPr>
        <w:t>A method others use.</w:t>
      </w:r>
      <w:r>
        <w:rPr>
          <w:rFonts w:ascii="Arial" w:hAnsi="Arial" w:eastAsia="Arial"/>
          <w:b w:val="0"/>
          <w:i w:val="0"/>
          <w:sz w:val="22"/>
        </w:rPr>
        <w:t xml:space="preserve"> The open software, the coast kit and the twin-coast transfer test let other coasts repeat the analysis.</w:t>
      </w:r>
    </w:p>
    <w:p>
      <w:pPr>
        <w:keepNext/>
        <w:spacing w:after="120" w:before="160"/>
      </w:pPr>
      <w:r>
        <w:rPr>
          <w:rFonts w:ascii="Arial" w:hAnsi="Arial" w:eastAsia="Arial"/>
          <w:b/>
          <w:i w:val="0"/>
          <w:color w:val="1F3864"/>
          <w:sz w:val="27"/>
        </w:rPr>
        <w:t>2. What remains, who owns it and how it is kept</w:t>
      </w:r>
    </w:p>
    <w:tbl>
      <w:tblPr>
        <w:tblStyle w:val="TableGrid"/>
        <w:tblW w:type="auto" w:w="0"/>
        <w:jc w:val="center"/>
        <w:tblLayout w:type="fixed"/>
        <w:tblLook w:firstColumn="1" w:firstRow="1" w:lastColumn="0" w:lastRow="0" w:noHBand="0" w:noVBand="1" w:val="04A0"/>
        <w:tblLayout w:type="fixed"/>
      </w:tblPr>
      <w:tblGrid>
        <w:gridCol w:w="2608"/>
        <w:gridCol w:w="2041"/>
        <w:gridCol w:w="2608"/>
        <w:gridCol w:w="2381"/>
      </w:tblGrid>
      <w:tr>
        <w:trPr>
          <w:cantSplit/>
          <w:tblHeader/>
        </w:trPr>
        <w:tc>
          <w:tcPr>
            <w:tcW w:type="dxa" w:w="2608"/>
            <w:shd w:val="clear" w:color="auto" w:fill="1F3864"/>
          </w:tcPr>
          <w:p>
            <w:pPr>
              <w:keepNext/>
            </w:pPr>
            <w:r/>
            <w:r>
              <w:rPr>
                <w:rFonts w:ascii="Arial" w:hAnsi="Arial" w:eastAsia="Arial"/>
                <w:b/>
                <w:i w:val="0"/>
                <w:color w:val="FFFFFF"/>
                <w:sz w:val="19"/>
              </w:rPr>
              <w:t>What remains</w:t>
            </w:r>
          </w:p>
        </w:tc>
        <w:tc>
          <w:tcPr>
            <w:tcW w:type="dxa" w:w="2041"/>
            <w:shd w:val="clear" w:color="auto" w:fill="1F3864"/>
          </w:tcPr>
          <w:p>
            <w:pPr>
              <w:keepNext/>
            </w:pPr>
            <w:r/>
            <w:r>
              <w:rPr>
                <w:rFonts w:ascii="Arial" w:hAnsi="Arial" w:eastAsia="Arial"/>
                <w:b/>
                <w:i w:val="0"/>
                <w:color w:val="FFFFFF"/>
                <w:sz w:val="19"/>
              </w:rPr>
              <w:t>Owner</w:t>
            </w:r>
          </w:p>
        </w:tc>
        <w:tc>
          <w:tcPr>
            <w:tcW w:type="dxa" w:w="2608"/>
            <w:shd w:val="clear" w:color="auto" w:fill="1F3864"/>
          </w:tcPr>
          <w:p>
            <w:pPr>
              <w:keepNext/>
            </w:pPr>
            <w:r/>
            <w:r>
              <w:rPr>
                <w:rFonts w:ascii="Arial" w:hAnsi="Arial" w:eastAsia="Arial"/>
                <w:b/>
                <w:i w:val="0"/>
                <w:color w:val="FFFFFF"/>
                <w:sz w:val="19"/>
              </w:rPr>
              <w:t>Kept up by</w:t>
            </w:r>
          </w:p>
        </w:tc>
        <w:tc>
          <w:tcPr>
            <w:tcW w:type="dxa" w:w="2381"/>
            <w:shd w:val="clear" w:color="auto" w:fill="1F3864"/>
          </w:tcPr>
          <w:p>
            <w:pPr>
              <w:keepNext/>
            </w:pPr>
            <w:r/>
            <w:r>
              <w:rPr>
                <w:rFonts w:ascii="Arial" w:hAnsi="Arial" w:eastAsia="Arial"/>
                <w:b/>
                <w:i w:val="0"/>
                <w:color w:val="FFFFFF"/>
                <w:sz w:val="19"/>
              </w:rPr>
              <w:t>Secured by</w:t>
            </w:r>
          </w:p>
        </w:tc>
      </w:tr>
      <w:tr>
        <w:trPr>
          <w:cantSplit/>
        </w:trPr>
        <w:tc>
          <w:tcPr>
            <w:tcW w:type="dxa" w:w="2608"/>
          </w:tcPr>
          <w:p>
            <w:pPr>
              <w:keepNext/>
            </w:pPr>
            <w:r/>
            <w:r>
              <w:rPr>
                <w:rFonts w:ascii="Arial" w:hAnsi="Arial" w:eastAsia="Arial"/>
                <w:b w:val="0"/>
                <w:i w:val="0"/>
                <w:sz w:val="19"/>
              </w:rPr>
              <w:t>Monitoring network (wells, loggers, GNSS, seismic stations, reflectors)</w:t>
            </w:r>
          </w:p>
        </w:tc>
        <w:tc>
          <w:tcPr>
            <w:tcW w:type="dxa" w:w="2041"/>
          </w:tcPr>
          <w:p>
            <w:pPr>
              <w:keepNext/>
            </w:pPr>
            <w:r/>
            <w:r>
              <w:rPr>
                <w:rFonts w:ascii="Arial" w:hAnsi="Arial" w:eastAsia="Arial"/>
                <w:b w:val="0"/>
                <w:i w:val="0"/>
                <w:sz w:val="19"/>
              </w:rPr>
              <w:t>Operators, by asset</w:t>
            </w:r>
          </w:p>
        </w:tc>
        <w:tc>
          <w:tcPr>
            <w:tcW w:type="dxa" w:w="2608"/>
          </w:tcPr>
          <w:p>
            <w:pPr>
              <w:keepNext/>
            </w:pPr>
            <w:r/>
            <w:r>
              <w:rPr>
                <w:rFonts w:ascii="Arial" w:hAnsi="Arial" w:eastAsia="Arial"/>
                <w:b w:val="0"/>
                <w:i w:val="0"/>
                <w:sz w:val="19"/>
              </w:rPr>
              <w:t>Operators' technicians; university support for GNSS and seismic stations</w:t>
            </w:r>
          </w:p>
        </w:tc>
        <w:tc>
          <w:tcPr>
            <w:tcW w:type="dxa" w:w="2381"/>
          </w:tcPr>
          <w:p>
            <w:pPr>
              <w:keepNext/>
            </w:pPr>
            <w:r/>
            <w:r>
              <w:rPr>
                <w:rFonts w:ascii="Arial" w:hAnsi="Arial" w:eastAsia="Arial"/>
                <w:b w:val="0"/>
                <w:i w:val="0"/>
                <w:sz w:val="19"/>
              </w:rPr>
              <w:t>Hand-over agreement (Month 36); maintenance agreement (Month 33)</w:t>
            </w:r>
          </w:p>
        </w:tc>
      </w:tr>
      <w:tr>
        <w:trPr>
          <w:cantSplit/>
        </w:trPr>
        <w:tc>
          <w:tcPr>
            <w:tcW w:type="dxa" w:w="2608"/>
          </w:tcPr>
          <w:p>
            <w:pPr>
              <w:keepNext/>
            </w:pPr>
            <w:r/>
            <w:r>
              <w:rPr>
                <w:rFonts w:ascii="Arial" w:hAnsi="Arial" w:eastAsia="Arial"/>
                <w:b w:val="0"/>
                <w:i w:val="0"/>
                <w:sz w:val="19"/>
              </w:rPr>
              <w:t>Warning software, surrogate and alarms</w:t>
            </w:r>
          </w:p>
        </w:tc>
        <w:tc>
          <w:tcPr>
            <w:tcW w:type="dxa" w:w="2041"/>
          </w:tcPr>
          <w:p>
            <w:pPr>
              <w:keepNext/>
            </w:pPr>
            <w:r/>
            <w:r>
              <w:rPr>
                <w:rFonts w:ascii="Arial" w:hAnsi="Arial" w:eastAsia="Arial"/>
                <w:b w:val="0"/>
                <w:i w:val="0"/>
                <w:sz w:val="19"/>
              </w:rPr>
              <w:t>Open source; operators run their instance</w:t>
            </w:r>
          </w:p>
        </w:tc>
        <w:tc>
          <w:tcPr>
            <w:tcW w:type="dxa" w:w="2608"/>
          </w:tcPr>
          <w:p>
            <w:pPr>
              <w:keepNext/>
            </w:pPr>
            <w:r/>
            <w:r>
              <w:rPr>
                <w:rFonts w:ascii="Arial" w:hAnsi="Arial" w:eastAsia="Arial"/>
                <w:b w:val="0"/>
                <w:i w:val="0"/>
                <w:sz w:val="19"/>
              </w:rPr>
              <w:t>University maintains the repository; users report issues</w:t>
            </w:r>
          </w:p>
        </w:tc>
        <w:tc>
          <w:tcPr>
            <w:tcW w:type="dxa" w:w="2381"/>
          </w:tcPr>
          <w:p>
            <w:pPr>
              <w:keepNext/>
            </w:pPr>
            <w:r/>
            <w:r>
              <w:rPr>
                <w:rFonts w:ascii="Arial" w:hAnsi="Arial" w:eastAsia="Arial"/>
                <w:b w:val="0"/>
                <w:i w:val="0"/>
                <w:sz w:val="19"/>
              </w:rPr>
              <w:t>Open licence, tests and containers (D6.1)</w:t>
            </w:r>
          </w:p>
        </w:tc>
      </w:tr>
      <w:tr>
        <w:trPr>
          <w:cantSplit/>
        </w:trPr>
        <w:tc>
          <w:tcPr>
            <w:tcW w:type="dxa" w:w="2608"/>
          </w:tcPr>
          <w:p>
            <w:pPr>
              <w:keepNext/>
            </w:pPr>
            <w:r/>
            <w:r>
              <w:rPr>
                <w:rFonts w:ascii="Arial" w:hAnsi="Arial" w:eastAsia="Arial"/>
                <w:b w:val="0"/>
                <w:i w:val="0"/>
                <w:sz w:val="19"/>
              </w:rPr>
              <w:t>Calibrated coupled model</w:t>
            </w:r>
          </w:p>
        </w:tc>
        <w:tc>
          <w:tcPr>
            <w:tcW w:type="dxa" w:w="2041"/>
          </w:tcPr>
          <w:p>
            <w:pPr>
              <w:keepNext/>
            </w:pPr>
            <w:r/>
            <w:r>
              <w:rPr>
                <w:rFonts w:ascii="Arial" w:hAnsi="Arial" w:eastAsia="Arial"/>
                <w:b w:val="0"/>
                <w:i w:val="0"/>
                <w:sz w:val="19"/>
              </w:rPr>
              <w:t>University and operators</w:t>
            </w:r>
          </w:p>
        </w:tc>
        <w:tc>
          <w:tcPr>
            <w:tcW w:type="dxa" w:w="2608"/>
          </w:tcPr>
          <w:p>
            <w:pPr>
              <w:keepNext/>
            </w:pPr>
            <w:r/>
            <w:r>
              <w:rPr>
                <w:rFonts w:ascii="Arial" w:hAnsi="Arial" w:eastAsia="Arial"/>
                <w:b w:val="0"/>
                <w:i w:val="0"/>
                <w:sz w:val="19"/>
              </w:rPr>
              <w:t>University updates it every year with new data</w:t>
            </w:r>
          </w:p>
        </w:tc>
        <w:tc>
          <w:tcPr>
            <w:tcW w:type="dxa" w:w="2381"/>
          </w:tcPr>
          <w:p>
            <w:pPr>
              <w:keepNext/>
            </w:pPr>
            <w:r/>
            <w:r>
              <w:rPr>
                <w:rFonts w:ascii="Arial" w:hAnsi="Arial" w:eastAsia="Arial"/>
                <w:b w:val="0"/>
                <w:i w:val="0"/>
                <w:sz w:val="19"/>
              </w:rPr>
              <w:t>Model and data release (D6.1)</w:t>
            </w:r>
          </w:p>
        </w:tc>
      </w:tr>
      <w:tr>
        <w:trPr>
          <w:cantSplit/>
        </w:trPr>
        <w:tc>
          <w:tcPr>
            <w:tcW w:type="dxa" w:w="2608"/>
          </w:tcPr>
          <w:p>
            <w:pPr>
              <w:keepNext/>
            </w:pPr>
            <w:r/>
            <w:r>
              <w:rPr>
                <w:rFonts w:ascii="Arial" w:hAnsi="Arial" w:eastAsia="Arial"/>
                <w:b w:val="0"/>
                <w:i w:val="0"/>
                <w:sz w:val="19"/>
              </w:rPr>
              <w:t>Data and bulletin log</w:t>
            </w:r>
          </w:p>
        </w:tc>
        <w:tc>
          <w:tcPr>
            <w:tcW w:type="dxa" w:w="2041"/>
          </w:tcPr>
          <w:p>
            <w:pPr>
              <w:keepNext/>
            </w:pPr>
            <w:r/>
            <w:r>
              <w:rPr>
                <w:rFonts w:ascii="Arial" w:hAnsi="Arial" w:eastAsia="Arial"/>
                <w:b w:val="0"/>
                <w:i w:val="0"/>
                <w:sz w:val="19"/>
              </w:rPr>
              <w:t>Operators (restricted); open aggregated statistics</w:t>
            </w:r>
          </w:p>
        </w:tc>
        <w:tc>
          <w:tcPr>
            <w:tcW w:type="dxa" w:w="2608"/>
          </w:tcPr>
          <w:p>
            <w:pPr>
              <w:keepNext/>
            </w:pPr>
            <w:r/>
            <w:r>
              <w:rPr>
                <w:rFonts w:ascii="Arial" w:hAnsi="Arial" w:eastAsia="Arial"/>
                <w:b w:val="0"/>
                <w:i w:val="0"/>
                <w:sz w:val="19"/>
              </w:rPr>
              <w:t>Operators; university for analysis</w:t>
            </w:r>
          </w:p>
        </w:tc>
        <w:tc>
          <w:tcPr>
            <w:tcW w:type="dxa" w:w="2381"/>
          </w:tcPr>
          <w:p>
            <w:pPr>
              <w:keepNext/>
            </w:pPr>
            <w:r/>
            <w:r>
              <w:rPr>
                <w:rFonts w:ascii="Arial" w:hAnsi="Arial" w:eastAsia="Arial"/>
                <w:b w:val="0"/>
                <w:i w:val="0"/>
                <w:sz w:val="19"/>
              </w:rPr>
              <w:t>Data plan (T7.2); two-tier dissemination</w:t>
            </w:r>
          </w:p>
        </w:tc>
      </w:tr>
      <w:tr>
        <w:trPr>
          <w:cantSplit/>
        </w:trPr>
        <w:tc>
          <w:tcPr>
            <w:tcW w:type="dxa" w:w="2608"/>
          </w:tcPr>
          <w:p>
            <w:pPr>
              <w:keepNext/>
            </w:pPr>
            <w:r/>
            <w:r>
              <w:rPr>
                <w:rFonts w:ascii="Arial" w:hAnsi="Arial" w:eastAsia="Arial"/>
                <w:b w:val="0"/>
                <w:i w:val="0"/>
                <w:sz w:val="19"/>
              </w:rPr>
              <w:t>Procedures and post-event protocol</w:t>
            </w:r>
          </w:p>
        </w:tc>
        <w:tc>
          <w:tcPr>
            <w:tcW w:type="dxa" w:w="2041"/>
          </w:tcPr>
          <w:p>
            <w:pPr>
              <w:keepNext/>
            </w:pPr>
            <w:r/>
            <w:r>
              <w:rPr>
                <w:rFonts w:ascii="Arial" w:hAnsi="Arial" w:eastAsia="Arial"/>
                <w:b w:val="0"/>
                <w:i w:val="0"/>
                <w:sz w:val="19"/>
              </w:rPr>
              <w:t>Operators; civil protection</w:t>
            </w:r>
          </w:p>
        </w:tc>
        <w:tc>
          <w:tcPr>
            <w:tcW w:type="dxa" w:w="2608"/>
          </w:tcPr>
          <w:p>
            <w:pPr>
              <w:keepNext/>
            </w:pPr>
            <w:r/>
            <w:r>
              <w:rPr>
                <w:rFonts w:ascii="Arial" w:hAnsi="Arial" w:eastAsia="Arial"/>
                <w:b w:val="0"/>
                <w:i w:val="0"/>
                <w:sz w:val="19"/>
              </w:rPr>
              <w:t>Reviewed every year by operators and civil protection</w:t>
            </w:r>
          </w:p>
        </w:tc>
        <w:tc>
          <w:tcPr>
            <w:tcW w:type="dxa" w:w="2381"/>
          </w:tcPr>
          <w:p>
            <w:pPr>
              <w:keepNext/>
            </w:pPr>
            <w:r/>
            <w:r>
              <w:rPr>
                <w:rFonts w:ascii="Arial" w:hAnsi="Arial" w:eastAsia="Arial"/>
                <w:b w:val="0"/>
                <w:i w:val="0"/>
                <w:sz w:val="19"/>
              </w:rPr>
              <w:t>D6.2 adopted by each operator</w:t>
            </w:r>
          </w:p>
        </w:tc>
      </w:tr>
      <w:tr>
        <w:trPr>
          <w:cantSplit/>
        </w:trPr>
        <w:tc>
          <w:tcPr>
            <w:tcW w:type="dxa" w:w="2608"/>
          </w:tcPr>
          <w:p>
            <w:r/>
            <w:r>
              <w:rPr>
                <w:rFonts w:ascii="Arial" w:hAnsi="Arial" w:eastAsia="Arial"/>
                <w:b w:val="0"/>
                <w:i w:val="0"/>
                <w:sz w:val="19"/>
              </w:rPr>
              <w:t>Trained people and training material</w:t>
            </w:r>
          </w:p>
        </w:tc>
        <w:tc>
          <w:tcPr>
            <w:tcW w:type="dxa" w:w="2041"/>
          </w:tcPr>
          <w:p>
            <w:r/>
            <w:r>
              <w:rPr>
                <w:rFonts w:ascii="Arial" w:hAnsi="Arial" w:eastAsia="Arial"/>
                <w:b w:val="0"/>
                <w:i w:val="0"/>
                <w:sz w:val="19"/>
              </w:rPr>
              <w:t>Operators; university</w:t>
            </w:r>
          </w:p>
        </w:tc>
        <w:tc>
          <w:tcPr>
            <w:tcW w:type="dxa" w:w="2608"/>
          </w:tcPr>
          <w:p>
            <w:r/>
            <w:r>
              <w:rPr>
                <w:rFonts w:ascii="Arial" w:hAnsi="Arial" w:eastAsia="Arial"/>
                <w:b w:val="0"/>
                <w:i w:val="0"/>
                <w:sz w:val="19"/>
              </w:rPr>
              <w:t>Refresher course every year; manuals in Albanian and English</w:t>
            </w:r>
          </w:p>
        </w:tc>
        <w:tc>
          <w:tcPr>
            <w:tcW w:type="dxa" w:w="2381"/>
          </w:tcPr>
          <w:p>
            <w:r/>
            <w:r>
              <w:rPr>
                <w:rFonts w:ascii="Arial" w:hAnsi="Arial" w:eastAsia="Arial"/>
                <w:b w:val="0"/>
                <w:i w:val="0"/>
                <w:sz w:val="19"/>
              </w:rPr>
              <w:t>T6.1, T6.2; coast kit</w:t>
            </w:r>
          </w:p>
        </w:tc>
      </w:tr>
    </w:tbl>
    <w:p>
      <w:pPr>
        <w:spacing w:after="80" w:before="0"/>
      </w:pPr>
    </w:p>
    <w:p>
      <w:pPr>
        <w:keepNext/>
        <w:spacing w:after="120" w:before="160"/>
      </w:pPr>
      <w:r>
        <w:rPr>
          <w:rFonts w:ascii="Arial" w:hAnsi="Arial" w:eastAsia="Arial"/>
          <w:b/>
          <w:i w:val="0"/>
          <w:color w:val="1F3864"/>
          <w:sz w:val="27"/>
        </w:rPr>
        <w:t>3. A staged hand-over</w:t>
      </w:r>
    </w:p>
    <w:p>
      <w:pPr>
        <w:spacing w:after="80" w:before="0"/>
        <w:jc w:val="both"/>
      </w:pPr>
      <w:r>
        <w:rPr>
          <w:rFonts w:ascii="Arial" w:hAnsi="Arial" w:eastAsia="Arial"/>
          <w:b w:val="0"/>
          <w:i w:val="0"/>
          <w:sz w:val="22"/>
        </w:rPr>
        <w:t>Responsibility moves from the project team to the operators in five stages, so that the operators are already running the service before the project ends (Figure 1).</w:t>
      </w:r>
    </w:p>
    <w:p>
      <w:pPr>
        <w:spacing w:after="40" w:before="0"/>
        <w:jc w:val="center"/>
      </w:pPr>
      <w:r>
        <w:drawing>
          <wp:inline xmlns:a="http://schemas.openxmlformats.org/drawingml/2006/main" xmlns:pic="http://schemas.openxmlformats.org/drawingml/2006/picture">
            <wp:extent cx="6120000" cy="3425373"/>
            <wp:docPr id="1" name="Picture 1"/>
            <wp:cNvGraphicFramePr>
              <a:graphicFrameLocks noChangeAspect="1"/>
            </wp:cNvGraphicFramePr>
            <a:graphic>
              <a:graphicData uri="http://schemas.openxmlformats.org/drawingml/2006/picture">
                <pic:pic>
                  <pic:nvPicPr>
                    <pic:cNvPr id="0" name="fig_handover.png"/>
                    <pic:cNvPicPr/>
                  </pic:nvPicPr>
                  <pic:blipFill>
                    <a:blip r:embed="rId9"/>
                    <a:stretch>
                      <a:fillRect/>
                    </a:stretch>
                  </pic:blipFill>
                  <pic:spPr>
                    <a:xfrm>
                      <a:off x="0" y="0"/>
                      <a:ext cx="6120000" cy="3425373"/>
                    </a:xfrm>
                    <a:prstGeom prst="rect"/>
                  </pic:spPr>
                </pic:pic>
              </a:graphicData>
            </a:graphic>
          </wp:inline>
        </w:drawing>
      </w:r>
    </w:p>
    <w:p>
      <w:pPr>
        <w:spacing w:after="120" w:before="0"/>
      </w:pPr>
      <w:r>
        <w:rPr>
          <w:rFonts w:ascii="Arial" w:hAnsi="Arial" w:eastAsia="Arial"/>
          <w:b w:val="0"/>
          <w:i/>
          <w:color w:val="52606D"/>
          <w:sz w:val="20"/>
        </w:rPr>
        <w:t>Figure 1. Staged hand-over from the project team to the operators. The colour shifts as ownership moves.</w:t>
      </w:r>
    </w:p>
    <w:p>
      <w:pPr>
        <w:keepNext/>
        <w:spacing w:after="120" w:before="160"/>
      </w:pPr>
      <w:r>
        <w:rPr>
          <w:rFonts w:ascii="Arial" w:hAnsi="Arial" w:eastAsia="Arial"/>
          <w:b/>
          <w:i w:val="0"/>
          <w:color w:val="1F3864"/>
          <w:sz w:val="27"/>
        </w:rPr>
        <w:t>4. Running cost after the project</w:t>
      </w:r>
    </w:p>
    <w:p>
      <w:pPr>
        <w:spacing w:after="80" w:before="0"/>
        <w:jc w:val="both"/>
      </w:pPr>
      <w:r>
        <w:rPr>
          <w:rFonts w:ascii="Arial" w:hAnsi="Arial" w:eastAsia="Arial"/>
          <w:b w:val="0"/>
          <w:i w:val="0"/>
          <w:sz w:val="22"/>
        </w:rPr>
        <w:t xml:space="preserve">The cash cost of keeping the service running is indicatively </w:t>
      </w:r>
      <w:r>
        <w:rPr>
          <w:rFonts w:ascii="Arial" w:hAnsi="Arial" w:eastAsia="Arial"/>
          <w:b/>
          <w:i w:val="0"/>
          <w:sz w:val="22"/>
        </w:rPr>
        <w:t>€10 900 per year</w:t>
      </w:r>
      <w:r>
        <w:rPr>
          <w:rFonts w:ascii="Arial" w:hAnsi="Arial" w:eastAsia="Arial"/>
          <w:b w:val="0"/>
          <w:i w:val="0"/>
          <w:sz w:val="22"/>
        </w:rPr>
        <w:t>, excluding staff time, which the operators and the university provide in kind (about one third of a technician at the operators and analyst support at the university).</w:t>
      </w:r>
    </w:p>
    <w:tbl>
      <w:tblPr>
        <w:tblStyle w:val="TableGrid"/>
        <w:tblW w:type="auto" w:w="0"/>
        <w:jc w:val="center"/>
        <w:tblLayout w:type="fixed"/>
        <w:tblLook w:firstColumn="1" w:firstRow="1" w:lastColumn="0" w:lastRow="0" w:noHBand="0" w:noVBand="1" w:val="04A0"/>
        <w:tblLayout w:type="fixed"/>
      </w:tblPr>
      <w:tblGrid>
        <w:gridCol w:w="5216"/>
        <w:gridCol w:w="1474"/>
        <w:gridCol w:w="2948"/>
      </w:tblGrid>
      <w:tr>
        <w:trPr>
          <w:cantSplit/>
          <w:tblHeader/>
        </w:trPr>
        <w:tc>
          <w:tcPr>
            <w:tcW w:type="dxa" w:w="5216"/>
            <w:shd w:val="clear" w:color="auto" w:fill="1F3864"/>
          </w:tcPr>
          <w:p>
            <w:pPr>
              <w:keepNext/>
            </w:pPr>
            <w:r/>
            <w:r>
              <w:rPr>
                <w:rFonts w:ascii="Arial" w:hAnsi="Arial" w:eastAsia="Arial"/>
                <w:b/>
                <w:i w:val="0"/>
                <w:color w:val="FFFFFF"/>
                <w:sz w:val="20"/>
              </w:rPr>
              <w:t>Item</w:t>
            </w:r>
          </w:p>
        </w:tc>
        <w:tc>
          <w:tcPr>
            <w:tcW w:type="dxa" w:w="1474"/>
            <w:shd w:val="clear" w:color="auto" w:fill="1F3864"/>
          </w:tcPr>
          <w:p>
            <w:pPr>
              <w:keepNext/>
            </w:pPr>
            <w:r/>
            <w:r>
              <w:rPr>
                <w:rFonts w:ascii="Arial" w:hAnsi="Arial" w:eastAsia="Arial"/>
                <w:b/>
                <w:i w:val="0"/>
                <w:color w:val="FFFFFF"/>
                <w:sz w:val="20"/>
              </w:rPr>
              <w:t>€ per year</w:t>
            </w:r>
          </w:p>
        </w:tc>
        <w:tc>
          <w:tcPr>
            <w:tcW w:type="dxa" w:w="2948"/>
            <w:shd w:val="clear" w:color="auto" w:fill="1F3864"/>
          </w:tcPr>
          <w:p>
            <w:pPr>
              <w:keepNext/>
            </w:pPr>
            <w:r/>
            <w:r>
              <w:rPr>
                <w:rFonts w:ascii="Arial" w:hAnsi="Arial" w:eastAsia="Arial"/>
                <w:b/>
                <w:i w:val="0"/>
                <w:color w:val="FFFFFF"/>
                <w:sz w:val="20"/>
              </w:rPr>
              <w:t>Paid by</w:t>
            </w:r>
          </w:p>
        </w:tc>
      </w:tr>
      <w:tr>
        <w:trPr>
          <w:cantSplit/>
        </w:trPr>
        <w:tc>
          <w:tcPr>
            <w:tcW w:type="dxa" w:w="5216"/>
          </w:tcPr>
          <w:p>
            <w:pPr>
              <w:keepNext/>
            </w:pPr>
            <w:r/>
            <w:r>
              <w:rPr>
                <w:rFonts w:ascii="Arial" w:hAnsi="Arial" w:eastAsia="Arial"/>
                <w:b w:val="0"/>
                <w:i w:val="0"/>
                <w:sz w:val="20"/>
              </w:rPr>
              <w:t>Mobile data for telemetry (15 units)</w:t>
            </w:r>
          </w:p>
        </w:tc>
        <w:tc>
          <w:tcPr>
            <w:tcW w:type="dxa" w:w="1474"/>
          </w:tcPr>
          <w:p>
            <w:pPr>
              <w:keepNext/>
            </w:pPr>
            <w:r/>
            <w:r>
              <w:rPr>
                <w:rFonts w:ascii="Arial" w:hAnsi="Arial" w:eastAsia="Arial"/>
                <w:b w:val="0"/>
                <w:i w:val="0"/>
                <w:sz w:val="20"/>
              </w:rPr>
              <w:t>900</w:t>
            </w:r>
          </w:p>
        </w:tc>
        <w:tc>
          <w:tcPr>
            <w:tcW w:type="dxa" w:w="2948"/>
          </w:tcPr>
          <w:p>
            <w:pPr>
              <w:keepNext/>
            </w:pPr>
            <w:r/>
            <w:r>
              <w:rPr>
                <w:rFonts w:ascii="Arial" w:hAnsi="Arial" w:eastAsia="Arial"/>
                <w:b w:val="0"/>
                <w:i w:val="0"/>
                <w:sz w:val="20"/>
              </w:rPr>
              <w:t>Operators, shared</w:t>
            </w:r>
          </w:p>
        </w:tc>
      </w:tr>
      <w:tr>
        <w:trPr>
          <w:cantSplit/>
        </w:trPr>
        <w:tc>
          <w:tcPr>
            <w:tcW w:type="dxa" w:w="5216"/>
          </w:tcPr>
          <w:p>
            <w:pPr>
              <w:keepNext/>
            </w:pPr>
            <w:r/>
            <w:r>
              <w:rPr>
                <w:rFonts w:ascii="Arial" w:hAnsi="Arial" w:eastAsia="Arial"/>
                <w:b w:val="0"/>
                <w:i w:val="0"/>
                <w:sz w:val="20"/>
              </w:rPr>
              <w:t>Laboratory analyses (about 60 samples per year)</w:t>
            </w:r>
          </w:p>
        </w:tc>
        <w:tc>
          <w:tcPr>
            <w:tcW w:type="dxa" w:w="1474"/>
          </w:tcPr>
          <w:p>
            <w:pPr>
              <w:keepNext/>
            </w:pPr>
            <w:r/>
            <w:r>
              <w:rPr>
                <w:rFonts w:ascii="Arial" w:hAnsi="Arial" w:eastAsia="Arial"/>
                <w:b w:val="0"/>
                <w:i w:val="0"/>
                <w:sz w:val="20"/>
              </w:rPr>
              <w:t>2 400</w:t>
            </w:r>
          </w:p>
        </w:tc>
        <w:tc>
          <w:tcPr>
            <w:tcW w:type="dxa" w:w="2948"/>
          </w:tcPr>
          <w:p>
            <w:pPr>
              <w:keepNext/>
            </w:pPr>
            <w:r/>
            <w:r>
              <w:rPr>
                <w:rFonts w:ascii="Arial" w:hAnsi="Arial" w:eastAsia="Arial"/>
                <w:b w:val="0"/>
                <w:i w:val="0"/>
                <w:sz w:val="20"/>
              </w:rPr>
              <w:t>Water utility</w:t>
            </w:r>
          </w:p>
        </w:tc>
      </w:tr>
      <w:tr>
        <w:trPr>
          <w:cantSplit/>
        </w:trPr>
        <w:tc>
          <w:tcPr>
            <w:tcW w:type="dxa" w:w="5216"/>
          </w:tcPr>
          <w:p>
            <w:pPr>
              <w:keepNext/>
            </w:pPr>
            <w:r/>
            <w:r>
              <w:rPr>
                <w:rFonts w:ascii="Arial" w:hAnsi="Arial" w:eastAsia="Arial"/>
                <w:b w:val="0"/>
                <w:i w:val="0"/>
                <w:sz w:val="20"/>
              </w:rPr>
              <w:t>Batteries, consumables, minor repairs</w:t>
            </w:r>
          </w:p>
        </w:tc>
        <w:tc>
          <w:tcPr>
            <w:tcW w:type="dxa" w:w="1474"/>
          </w:tcPr>
          <w:p>
            <w:pPr>
              <w:keepNext/>
            </w:pPr>
            <w:r/>
            <w:r>
              <w:rPr>
                <w:rFonts w:ascii="Arial" w:hAnsi="Arial" w:eastAsia="Arial"/>
                <w:b w:val="0"/>
                <w:i w:val="0"/>
                <w:sz w:val="20"/>
              </w:rPr>
              <w:t>1 500</w:t>
            </w:r>
          </w:p>
        </w:tc>
        <w:tc>
          <w:tcPr>
            <w:tcW w:type="dxa" w:w="2948"/>
          </w:tcPr>
          <w:p>
            <w:pPr>
              <w:keepNext/>
            </w:pPr>
            <w:r/>
            <w:r>
              <w:rPr>
                <w:rFonts w:ascii="Arial" w:hAnsi="Arial" w:eastAsia="Arial"/>
                <w:b w:val="0"/>
                <w:i w:val="0"/>
                <w:sz w:val="20"/>
              </w:rPr>
              <w:t>Operators, shared</w:t>
            </w:r>
          </w:p>
        </w:tc>
      </w:tr>
      <w:tr>
        <w:trPr>
          <w:cantSplit/>
        </w:trPr>
        <w:tc>
          <w:tcPr>
            <w:tcW w:type="dxa" w:w="5216"/>
          </w:tcPr>
          <w:p>
            <w:pPr>
              <w:keepNext/>
            </w:pPr>
            <w:r/>
            <w:r>
              <w:rPr>
                <w:rFonts w:ascii="Arial" w:hAnsi="Arial" w:eastAsia="Arial"/>
                <w:b w:val="0"/>
                <w:i w:val="0"/>
                <w:sz w:val="20"/>
              </w:rPr>
              <w:t>Sensor replacement fund (loggers renewed about every 6 years)</w:t>
            </w:r>
          </w:p>
        </w:tc>
        <w:tc>
          <w:tcPr>
            <w:tcW w:type="dxa" w:w="1474"/>
          </w:tcPr>
          <w:p>
            <w:pPr>
              <w:keepNext/>
            </w:pPr>
            <w:r/>
            <w:r>
              <w:rPr>
                <w:rFonts w:ascii="Arial" w:hAnsi="Arial" w:eastAsia="Arial"/>
                <w:b w:val="0"/>
                <w:i w:val="0"/>
                <w:sz w:val="20"/>
              </w:rPr>
              <w:t>2 400</w:t>
            </w:r>
          </w:p>
        </w:tc>
        <w:tc>
          <w:tcPr>
            <w:tcW w:type="dxa" w:w="2948"/>
          </w:tcPr>
          <w:p>
            <w:pPr>
              <w:keepNext/>
            </w:pPr>
            <w:r/>
            <w:r>
              <w:rPr>
                <w:rFonts w:ascii="Arial" w:hAnsi="Arial" w:eastAsia="Arial"/>
                <w:b w:val="0"/>
                <w:i w:val="0"/>
                <w:sz w:val="20"/>
              </w:rPr>
              <w:t>Operators, shared</w:t>
            </w:r>
          </w:p>
        </w:tc>
      </w:tr>
      <w:tr>
        <w:trPr>
          <w:cantSplit/>
        </w:trPr>
        <w:tc>
          <w:tcPr>
            <w:tcW w:type="dxa" w:w="5216"/>
          </w:tcPr>
          <w:p>
            <w:pPr>
              <w:keepNext/>
            </w:pPr>
            <w:r/>
            <w:r>
              <w:rPr>
                <w:rFonts w:ascii="Arial" w:hAnsi="Arial" w:eastAsia="Arial"/>
                <w:b w:val="0"/>
                <w:i w:val="0"/>
                <w:sz w:val="20"/>
              </w:rPr>
              <w:t>Upkeep of GNSS and seismic stations</w:t>
            </w:r>
          </w:p>
        </w:tc>
        <w:tc>
          <w:tcPr>
            <w:tcW w:type="dxa" w:w="1474"/>
          </w:tcPr>
          <w:p>
            <w:pPr>
              <w:keepNext/>
            </w:pPr>
            <w:r/>
            <w:r>
              <w:rPr>
                <w:rFonts w:ascii="Arial" w:hAnsi="Arial" w:eastAsia="Arial"/>
                <w:b w:val="0"/>
                <w:i w:val="0"/>
                <w:sz w:val="20"/>
              </w:rPr>
              <w:t>1 500</w:t>
            </w:r>
          </w:p>
        </w:tc>
        <w:tc>
          <w:tcPr>
            <w:tcW w:type="dxa" w:w="2948"/>
          </w:tcPr>
          <w:p>
            <w:pPr>
              <w:keepNext/>
            </w:pPr>
            <w:r/>
            <w:r>
              <w:rPr>
                <w:rFonts w:ascii="Arial" w:hAnsi="Arial" w:eastAsia="Arial"/>
                <w:b w:val="0"/>
                <w:i w:val="0"/>
                <w:sz w:val="20"/>
              </w:rPr>
              <w:t>University or research partner</w:t>
            </w:r>
          </w:p>
        </w:tc>
      </w:tr>
      <w:tr>
        <w:trPr>
          <w:cantSplit/>
        </w:trPr>
        <w:tc>
          <w:tcPr>
            <w:tcW w:type="dxa" w:w="5216"/>
          </w:tcPr>
          <w:p>
            <w:pPr>
              <w:keepNext/>
            </w:pPr>
            <w:r/>
            <w:r>
              <w:rPr>
                <w:rFonts w:ascii="Arial" w:hAnsi="Arial" w:eastAsia="Arial"/>
                <w:b w:val="0"/>
                <w:i w:val="0"/>
                <w:sz w:val="20"/>
              </w:rPr>
              <w:t>Server hosting, backup and security updates</w:t>
            </w:r>
          </w:p>
        </w:tc>
        <w:tc>
          <w:tcPr>
            <w:tcW w:type="dxa" w:w="1474"/>
          </w:tcPr>
          <w:p>
            <w:pPr>
              <w:keepNext/>
            </w:pPr>
            <w:r/>
            <w:r>
              <w:rPr>
                <w:rFonts w:ascii="Arial" w:hAnsi="Arial" w:eastAsia="Arial"/>
                <w:b w:val="0"/>
                <w:i w:val="0"/>
                <w:sz w:val="20"/>
              </w:rPr>
              <w:t>1 200</w:t>
            </w:r>
          </w:p>
        </w:tc>
        <w:tc>
          <w:tcPr>
            <w:tcW w:type="dxa" w:w="2948"/>
          </w:tcPr>
          <w:p>
            <w:pPr>
              <w:keepNext/>
            </w:pPr>
            <w:r/>
            <w:r>
              <w:rPr>
                <w:rFonts w:ascii="Arial" w:hAnsi="Arial" w:eastAsia="Arial"/>
                <w:b w:val="0"/>
                <w:i w:val="0"/>
                <w:sz w:val="20"/>
              </w:rPr>
              <w:t>University (in kind) or operators</w:t>
            </w:r>
          </w:p>
        </w:tc>
      </w:tr>
      <w:tr>
        <w:trPr>
          <w:cantSplit/>
        </w:trPr>
        <w:tc>
          <w:tcPr>
            <w:tcW w:type="dxa" w:w="5216"/>
          </w:tcPr>
          <w:p>
            <w:pPr>
              <w:keepNext/>
            </w:pPr>
            <w:r/>
            <w:r>
              <w:rPr>
                <w:rFonts w:ascii="Arial" w:hAnsi="Arial" w:eastAsia="Arial"/>
                <w:b w:val="0"/>
                <w:i w:val="0"/>
                <w:sz w:val="20"/>
              </w:rPr>
              <w:t>Insurance of field equipment</w:t>
            </w:r>
          </w:p>
        </w:tc>
        <w:tc>
          <w:tcPr>
            <w:tcW w:type="dxa" w:w="1474"/>
          </w:tcPr>
          <w:p>
            <w:pPr>
              <w:keepNext/>
            </w:pPr>
            <w:r/>
            <w:r>
              <w:rPr>
                <w:rFonts w:ascii="Arial" w:hAnsi="Arial" w:eastAsia="Arial"/>
                <w:b w:val="0"/>
                <w:i w:val="0"/>
                <w:sz w:val="20"/>
              </w:rPr>
              <w:t>1 000</w:t>
            </w:r>
          </w:p>
        </w:tc>
        <w:tc>
          <w:tcPr>
            <w:tcW w:type="dxa" w:w="2948"/>
          </w:tcPr>
          <w:p>
            <w:pPr>
              <w:keepNext/>
            </w:pPr>
            <w:r/>
            <w:r>
              <w:rPr>
                <w:rFonts w:ascii="Arial" w:hAnsi="Arial" w:eastAsia="Arial"/>
                <w:b w:val="0"/>
                <w:i w:val="0"/>
                <w:sz w:val="20"/>
              </w:rPr>
              <w:t>Operators</w:t>
            </w:r>
          </w:p>
        </w:tc>
      </w:tr>
      <w:tr>
        <w:trPr>
          <w:cantSplit/>
        </w:trPr>
        <w:tc>
          <w:tcPr>
            <w:tcW w:type="dxa" w:w="5216"/>
            <w:shd w:val="clear" w:color="auto" w:fill="E8EDF5"/>
          </w:tcPr>
          <w:p>
            <w:r>
              <w:rPr>
                <w:b/>
              </w:rPr>
            </w:r>
            <w:r>
              <w:rPr>
                <w:rFonts w:ascii="Arial" w:hAnsi="Arial" w:eastAsia="Arial"/>
                <w:b/>
                <w:i w:val="0"/>
                <w:sz w:val="20"/>
              </w:rPr>
              <w:t>Total per year</w:t>
            </w:r>
          </w:p>
        </w:tc>
        <w:tc>
          <w:tcPr>
            <w:tcW w:type="dxa" w:w="1474"/>
            <w:shd w:val="clear" w:color="auto" w:fill="E8EDF5"/>
          </w:tcPr>
          <w:p>
            <w:r>
              <w:rPr>
                <w:b/>
              </w:rPr>
            </w:r>
            <w:r>
              <w:rPr>
                <w:rFonts w:ascii="Arial" w:hAnsi="Arial" w:eastAsia="Arial"/>
                <w:b/>
                <w:i w:val="0"/>
                <w:sz w:val="20"/>
              </w:rPr>
              <w:t>10 900</w:t>
            </w:r>
          </w:p>
        </w:tc>
        <w:tc>
          <w:tcPr>
            <w:tcW w:type="dxa" w:w="2948"/>
            <w:shd w:val="clear" w:color="auto" w:fill="E8EDF5"/>
          </w:tcPr>
          <w:p>
            <w:r>
              <w:rPr>
                <w:b/>
              </w:rPr>
            </w:r>
          </w:p>
        </w:tc>
      </w:tr>
    </w:tbl>
    <w:p>
      <w:pPr>
        <w:spacing w:after="80" w:before="120"/>
      </w:pPr>
      <w:r>
        <w:rPr>
          <w:rFonts w:ascii="Arial" w:hAnsi="Arial" w:eastAsia="Arial"/>
          <w:b/>
          <w:i w:val="0"/>
          <w:color w:val="1F3864"/>
          <w:sz w:val="22"/>
        </w:rPr>
        <w:t>How it is paid</w:t>
      </w:r>
    </w:p>
    <w:p>
      <w:pPr>
        <w:spacing w:after="60" w:before="0"/>
        <w:ind w:left="283"/>
      </w:pPr>
      <w:r>
        <w:rPr>
          <w:rFonts w:ascii="Arial" w:hAnsi="Arial" w:eastAsia="Arial"/>
          <w:b/>
          <w:i w:val="0"/>
          <w:sz w:val="22"/>
        </w:rPr>
        <w:t xml:space="preserve">• </w:t>
      </w:r>
      <w:r>
        <w:rPr>
          <w:rFonts w:ascii="Arial" w:hAnsi="Arial" w:eastAsia="Arial"/>
          <w:b/>
          <w:i w:val="0"/>
          <w:sz w:val="22"/>
        </w:rPr>
        <w:t>Operators' own budgets.</w:t>
      </w:r>
      <w:r>
        <w:rPr>
          <w:rFonts w:ascii="Arial" w:hAnsi="Arial" w:eastAsia="Arial"/>
          <w:b w:val="0"/>
          <w:i w:val="0"/>
          <w:sz w:val="22"/>
        </w:rPr>
        <w:t xml:space="preserve"> The running cost is shared by three operators, of the order of €3,000–4,000 each per year, and is written into the maintenance agreement.</w:t>
      </w:r>
    </w:p>
    <w:p>
      <w:pPr>
        <w:spacing w:after="60" w:before="0"/>
        <w:ind w:left="283"/>
      </w:pPr>
      <w:r>
        <w:rPr>
          <w:rFonts w:ascii="Arial" w:hAnsi="Arial" w:eastAsia="Arial"/>
          <w:b/>
          <w:i w:val="0"/>
          <w:sz w:val="22"/>
        </w:rPr>
        <w:t xml:space="preserve">• </w:t>
      </w:r>
      <w:r>
        <w:rPr>
          <w:rFonts w:ascii="Arial" w:hAnsi="Arial" w:eastAsia="Arial"/>
          <w:b/>
          <w:i w:val="0"/>
          <w:sz w:val="22"/>
        </w:rPr>
        <w:t>National sources.</w:t>
      </w:r>
      <w:r>
        <w:rPr>
          <w:rFonts w:ascii="Arial" w:hAnsi="Arial" w:eastAsia="Arial"/>
          <w:b w:val="0"/>
          <w:i w:val="0"/>
          <w:sz w:val="22"/>
        </w:rPr>
        <w:t xml:space="preserve"> The policy brief (D6.2) asks the national authorities to include coastal monitoring at critical infrastructure in their programmes.</w:t>
      </w:r>
    </w:p>
    <w:p>
      <w:pPr>
        <w:spacing w:after="60" w:before="0"/>
        <w:ind w:left="283"/>
      </w:pPr>
      <w:r>
        <w:rPr>
          <w:rFonts w:ascii="Arial" w:hAnsi="Arial" w:eastAsia="Arial"/>
          <w:b/>
          <w:i w:val="0"/>
          <w:sz w:val="22"/>
        </w:rPr>
        <w:t xml:space="preserve">• </w:t>
      </w:r>
      <w:r>
        <w:rPr>
          <w:rFonts w:ascii="Arial" w:hAnsi="Arial" w:eastAsia="Arial"/>
          <w:b/>
          <w:i w:val="0"/>
          <w:sz w:val="22"/>
        </w:rPr>
        <w:t>Follow-up research funding.</w:t>
      </w:r>
      <w:r>
        <w:rPr>
          <w:rFonts w:ascii="Arial" w:hAnsi="Arial" w:eastAsia="Arial"/>
          <w:b w:val="0"/>
          <w:i w:val="0"/>
          <w:sz w:val="22"/>
        </w:rPr>
        <w:t xml:space="preserve"> At least one follow-up proposal (for example to Horizon Europe or the Interreg IPA ADRION programme for the Adriatic-Ionian region) is submitted by Month 36 to extend the method to other coasts.</w:t>
      </w:r>
    </w:p>
    <w:p>
      <w:pPr>
        <w:spacing w:after="60" w:before="0"/>
        <w:ind w:left="283"/>
      </w:pPr>
      <w:r>
        <w:rPr>
          <w:rFonts w:ascii="Arial" w:hAnsi="Arial" w:eastAsia="Arial"/>
          <w:b/>
          <w:i w:val="0"/>
          <w:sz w:val="22"/>
        </w:rPr>
        <w:t xml:space="preserve">• </w:t>
      </w:r>
      <w:r>
        <w:rPr>
          <w:rFonts w:ascii="Arial" w:hAnsi="Arial" w:eastAsia="Arial"/>
          <w:b/>
          <w:i w:val="0"/>
          <w:sz w:val="22"/>
        </w:rPr>
        <w:t>Free data.</w:t>
      </w:r>
      <w:r>
        <w:rPr>
          <w:rFonts w:ascii="Arial" w:hAnsi="Arial" w:eastAsia="Arial"/>
          <w:b w:val="0"/>
          <w:i w:val="0"/>
          <w:sz w:val="22"/>
        </w:rPr>
        <w:t xml:space="preserve"> Copernicus Sentinel-1 radar images remain free, so the most expensive observation of land motion costs nothing to continue.</w:t>
      </w:r>
    </w:p>
    <w:p>
      <w:pPr>
        <w:keepNext/>
        <w:spacing w:after="120" w:before="160"/>
      </w:pPr>
      <w:r>
        <w:rPr>
          <w:rFonts w:ascii="Arial" w:hAnsi="Arial" w:eastAsia="Arial"/>
          <w:b/>
          <w:i w:val="0"/>
          <w:color w:val="1F3864"/>
          <w:sz w:val="27"/>
        </w:rPr>
        <w:t>5. People and institutions</w:t>
      </w:r>
    </w:p>
    <w:p>
      <w:pPr>
        <w:spacing w:after="60" w:before="0"/>
        <w:ind w:left="283"/>
      </w:pPr>
      <w:r>
        <w:rPr>
          <w:rFonts w:ascii="Arial" w:hAnsi="Arial" w:eastAsia="Arial"/>
          <w:b/>
          <w:i w:val="0"/>
          <w:sz w:val="22"/>
        </w:rPr>
        <w:t xml:space="preserve">• </w:t>
      </w:r>
      <w:r>
        <w:rPr>
          <w:rFonts w:ascii="Arial" w:hAnsi="Arial" w:eastAsia="Arial"/>
          <w:b/>
          <w:i w:val="0"/>
          <w:sz w:val="22"/>
        </w:rPr>
        <w:t>Several people per role.</w:t>
      </w:r>
      <w:r>
        <w:rPr>
          <w:rFonts w:ascii="Arial" w:hAnsi="Arial" w:eastAsia="Arial"/>
          <w:b w:val="0"/>
          <w:i w:val="0"/>
          <w:sz w:val="22"/>
        </w:rPr>
        <w:t xml:space="preserve"> At least two trained people per operator, so the service survives staff turnover (R18).</w:t>
      </w:r>
    </w:p>
    <w:p>
      <w:pPr>
        <w:spacing w:after="60" w:before="0"/>
        <w:ind w:left="283"/>
      </w:pPr>
      <w:r>
        <w:rPr>
          <w:rFonts w:ascii="Arial" w:hAnsi="Arial" w:eastAsia="Arial"/>
          <w:b/>
          <w:i w:val="0"/>
          <w:sz w:val="22"/>
        </w:rPr>
        <w:t xml:space="preserve">• </w:t>
      </w:r>
      <w:r>
        <w:rPr>
          <w:rFonts w:ascii="Arial" w:hAnsi="Arial" w:eastAsia="Arial"/>
          <w:b/>
          <w:i w:val="0"/>
          <w:sz w:val="22"/>
        </w:rPr>
        <w:t>Train the trainer.</w:t>
      </w:r>
      <w:r>
        <w:rPr>
          <w:rFonts w:ascii="Arial" w:hAnsi="Arial" w:eastAsia="Arial"/>
          <w:b w:val="0"/>
          <w:i w:val="0"/>
          <w:sz w:val="22"/>
        </w:rPr>
        <w:t xml:space="preserve"> Senior operator staff are trained to train new staff; the university gives a refresher course every year.</w:t>
      </w:r>
    </w:p>
    <w:p>
      <w:pPr>
        <w:spacing w:after="60" w:before="0"/>
        <w:ind w:left="283"/>
      </w:pPr>
      <w:r>
        <w:rPr>
          <w:rFonts w:ascii="Arial" w:hAnsi="Arial" w:eastAsia="Arial"/>
          <w:b/>
          <w:i w:val="0"/>
          <w:sz w:val="22"/>
        </w:rPr>
        <w:t xml:space="preserve">• </w:t>
      </w:r>
      <w:r>
        <w:rPr>
          <w:rFonts w:ascii="Arial" w:hAnsi="Arial" w:eastAsia="Arial"/>
          <w:b/>
          <w:i w:val="0"/>
          <w:sz w:val="22"/>
        </w:rPr>
        <w:t>Manuals in Albanian and English.</w:t>
      </w:r>
      <w:r>
        <w:rPr>
          <w:rFonts w:ascii="Arial" w:hAnsi="Arial" w:eastAsia="Arial"/>
          <w:b w:val="0"/>
          <w:i w:val="0"/>
          <w:sz w:val="22"/>
        </w:rPr>
        <w:t xml:space="preserve"> Every procedure, the software and the training material are documented in both languages.</w:t>
      </w:r>
    </w:p>
    <w:p>
      <w:pPr>
        <w:spacing w:after="60" w:before="0"/>
        <w:ind w:left="283"/>
      </w:pPr>
      <w:r>
        <w:rPr>
          <w:rFonts w:ascii="Arial" w:hAnsi="Arial" w:eastAsia="Arial"/>
          <w:b/>
          <w:i w:val="0"/>
          <w:sz w:val="22"/>
        </w:rPr>
        <w:t xml:space="preserve">• </w:t>
      </w:r>
      <w:r>
        <w:rPr>
          <w:rFonts w:ascii="Arial" w:hAnsi="Arial" w:eastAsia="Arial"/>
          <w:b/>
          <w:i w:val="0"/>
          <w:sz w:val="22"/>
        </w:rPr>
        <w:t>Embedded in institutions.</w:t>
      </w:r>
      <w:r>
        <w:rPr>
          <w:rFonts w:ascii="Arial" w:hAnsi="Arial" w:eastAsia="Arial"/>
          <w:b w:val="0"/>
          <w:i w:val="0"/>
          <w:sz w:val="22"/>
        </w:rPr>
        <w:t xml:space="preserve"> Procedures are part of each operator's own operating rules and of the civil-protection protocol, not of the project.</w:t>
      </w:r>
    </w:p>
    <w:p>
      <w:pPr>
        <w:spacing w:after="60" w:before="0"/>
        <w:ind w:left="283"/>
      </w:pPr>
      <w:r>
        <w:rPr>
          <w:rFonts w:ascii="Arial" w:hAnsi="Arial" w:eastAsia="Arial"/>
          <w:b/>
          <w:i w:val="0"/>
          <w:sz w:val="22"/>
        </w:rPr>
        <w:t xml:space="preserve">• </w:t>
      </w:r>
      <w:r>
        <w:rPr>
          <w:rFonts w:ascii="Arial" w:hAnsi="Arial" w:eastAsia="Arial"/>
          <w:b/>
          <w:i w:val="0"/>
          <w:sz w:val="22"/>
        </w:rPr>
        <w:t>A research line that continues.</w:t>
      </w:r>
      <w:r>
        <w:rPr>
          <w:rFonts w:ascii="Arial" w:hAnsi="Arial" w:eastAsia="Arial"/>
          <w:b w:val="0"/>
          <w:i w:val="0"/>
          <w:sz w:val="22"/>
        </w:rPr>
        <w:t xml:space="preserve"> The early-career researchers continue the work in theses and follow-up projects, keeping the scientific team in place.</w:t>
      </w:r>
    </w:p>
    <w:p>
      <w:pPr>
        <w:keepNext/>
        <w:spacing w:after="120" w:before="160"/>
      </w:pPr>
      <w:r>
        <w:rPr>
          <w:rFonts w:ascii="Arial" w:hAnsi="Arial" w:eastAsia="Arial"/>
          <w:b/>
          <w:i w:val="0"/>
          <w:color w:val="1F3864"/>
          <w:sz w:val="27"/>
        </w:rPr>
        <w:t>6. Environmental sustainability and policy alignment</w:t>
      </w:r>
    </w:p>
    <w:p>
      <w:pPr>
        <w:spacing w:after="60" w:before="0"/>
        <w:ind w:left="283"/>
      </w:pPr>
      <w:r>
        <w:rPr>
          <w:rFonts w:ascii="Arial" w:hAnsi="Arial" w:eastAsia="Arial"/>
          <w:b/>
          <w:i w:val="0"/>
          <w:sz w:val="22"/>
        </w:rPr>
        <w:t xml:space="preserve">• </w:t>
      </w:r>
      <w:r>
        <w:rPr>
          <w:rFonts w:ascii="Arial" w:hAnsi="Arial" w:eastAsia="Arial"/>
          <w:b/>
          <w:i w:val="0"/>
          <w:sz w:val="22"/>
        </w:rPr>
        <w:t>Groundwater used within reversible limits.</w:t>
      </w:r>
      <w:r>
        <w:rPr>
          <w:rFonts w:ascii="Arial" w:hAnsi="Arial" w:eastAsia="Arial"/>
          <w:b w:val="0"/>
          <w:i w:val="0"/>
          <w:sz w:val="22"/>
        </w:rPr>
        <w:t xml:space="preserve"> The joint pumping rule keeps heads above the preconsolidation head, so pumping causes no new permanent subsidence and the aquifer is used within the range in which it recovers (Methodology, Eq. 25).</w:t>
      </w:r>
    </w:p>
    <w:p>
      <w:pPr>
        <w:spacing w:after="60" w:before="0"/>
        <w:ind w:left="283"/>
      </w:pPr>
      <w:r>
        <w:rPr>
          <w:rFonts w:ascii="Arial" w:hAnsi="Arial" w:eastAsia="Arial"/>
          <w:b/>
          <w:i w:val="0"/>
          <w:sz w:val="22"/>
        </w:rPr>
        <w:t xml:space="preserve">• </w:t>
      </w:r>
      <w:r>
        <w:rPr>
          <w:rFonts w:ascii="Arial" w:hAnsi="Arial" w:eastAsia="Arial"/>
          <w:b/>
          <w:i w:val="0"/>
          <w:sz w:val="22"/>
        </w:rPr>
        <w:t>Freshwater protected before it is lost.</w:t>
      </w:r>
      <w:r>
        <w:rPr>
          <w:rFonts w:ascii="Arial" w:hAnsi="Arial" w:eastAsia="Arial"/>
          <w:b w:val="0"/>
          <w:i w:val="0"/>
          <w:sz w:val="22"/>
        </w:rPr>
        <w:t xml:space="preserve"> The certified intrusion alarm acts before wells turn saline, which takes years to reverse.</w:t>
      </w:r>
    </w:p>
    <w:p>
      <w:pPr>
        <w:spacing w:after="60" w:before="0"/>
        <w:ind w:left="283"/>
      </w:pPr>
      <w:r>
        <w:rPr>
          <w:rFonts w:ascii="Arial" w:hAnsi="Arial" w:eastAsia="Arial"/>
          <w:b/>
          <w:i w:val="0"/>
          <w:sz w:val="22"/>
        </w:rPr>
        <w:t xml:space="preserve">• </w:t>
      </w:r>
      <w:r>
        <w:rPr>
          <w:rFonts w:ascii="Arial" w:hAnsi="Arial" w:eastAsia="Arial"/>
          <w:b/>
          <w:i w:val="0"/>
          <w:sz w:val="22"/>
        </w:rPr>
        <w:t>Low-footprint equipment.</w:t>
      </w:r>
      <w:r>
        <w:rPr>
          <w:rFonts w:ascii="Arial" w:hAnsi="Arial" w:eastAsia="Arial"/>
          <w:b w:val="0"/>
          <w:i w:val="0"/>
          <w:sz w:val="22"/>
        </w:rPr>
        <w:t xml:space="preserve"> Field stations run on solar power; satellite data replace much field surveying.</w:t>
      </w:r>
    </w:p>
    <w:p>
      <w:pPr>
        <w:spacing w:after="60" w:before="0"/>
      </w:pPr>
    </w:p>
    <w:tbl>
      <w:tblPr>
        <w:tblStyle w:val="TableGrid"/>
        <w:tblW w:type="auto" w:w="0"/>
        <w:jc w:val="center"/>
        <w:tblLayout w:type="fixed"/>
        <w:tblLook w:firstColumn="1" w:firstRow="1" w:lastColumn="0" w:lastRow="0" w:noHBand="0" w:noVBand="1" w:val="04A0"/>
        <w:tblLayout w:type="fixed"/>
      </w:tblPr>
      <w:tblGrid>
        <w:gridCol w:w="3061"/>
        <w:gridCol w:w="6576"/>
      </w:tblGrid>
      <w:tr>
        <w:trPr>
          <w:cantSplit/>
          <w:tblHeader/>
        </w:trPr>
        <w:tc>
          <w:tcPr>
            <w:tcW w:type="dxa" w:w="3061"/>
            <w:shd w:val="clear" w:color="auto" w:fill="1F3864"/>
          </w:tcPr>
          <w:p>
            <w:pPr>
              <w:keepNext/>
            </w:pPr>
            <w:r/>
            <w:r>
              <w:rPr>
                <w:rFonts w:ascii="Arial" w:hAnsi="Arial" w:eastAsia="Arial"/>
                <w:b/>
                <w:i w:val="0"/>
                <w:color w:val="FFFFFF"/>
                <w:sz w:val="20"/>
              </w:rPr>
              <w:t>Framework</w:t>
            </w:r>
          </w:p>
        </w:tc>
        <w:tc>
          <w:tcPr>
            <w:tcW w:type="dxa" w:w="6576"/>
            <w:shd w:val="clear" w:color="auto" w:fill="1F3864"/>
          </w:tcPr>
          <w:p>
            <w:pPr>
              <w:keepNext/>
            </w:pPr>
            <w:r/>
            <w:r>
              <w:rPr>
                <w:rFonts w:ascii="Arial" w:hAnsi="Arial" w:eastAsia="Arial"/>
                <w:b/>
                <w:i w:val="0"/>
                <w:color w:val="FFFFFF"/>
                <w:sz w:val="20"/>
              </w:rPr>
              <w:t>Contribution of CERTAIN-COAST</w:t>
            </w:r>
          </w:p>
        </w:tc>
      </w:tr>
      <w:tr>
        <w:trPr>
          <w:cantSplit/>
        </w:trPr>
        <w:tc>
          <w:tcPr>
            <w:tcW w:type="dxa" w:w="3061"/>
          </w:tcPr>
          <w:p>
            <w:pPr>
              <w:keepNext/>
            </w:pPr>
            <w:r/>
            <w:r>
              <w:rPr>
                <w:rFonts w:ascii="Arial" w:hAnsi="Arial" w:eastAsia="Arial"/>
                <w:b w:val="0"/>
                <w:i w:val="0"/>
                <w:sz w:val="20"/>
              </w:rPr>
              <w:t>UN Sustainable Development Goals</w:t>
            </w:r>
          </w:p>
        </w:tc>
        <w:tc>
          <w:tcPr>
            <w:tcW w:type="dxa" w:w="6576"/>
          </w:tcPr>
          <w:p>
            <w:pPr>
              <w:keepNext/>
            </w:pPr>
            <w:r/>
            <w:r>
              <w:rPr>
                <w:rFonts w:ascii="Arial" w:hAnsi="Arial" w:eastAsia="Arial"/>
                <w:b w:val="0"/>
                <w:i w:val="0"/>
                <w:sz w:val="20"/>
              </w:rPr>
              <w:t>Target 6.4 (sustainable withdrawals of freshwater); 9.1 (resilient infrastructure); 11.5 (fewer losses from disasters); 13.1 (resilience to climate-related hazards)</w:t>
            </w:r>
          </w:p>
        </w:tc>
      </w:tr>
      <w:tr>
        <w:trPr>
          <w:cantSplit/>
        </w:trPr>
        <w:tc>
          <w:tcPr>
            <w:tcW w:type="dxa" w:w="3061"/>
          </w:tcPr>
          <w:p>
            <w:pPr>
              <w:keepNext/>
            </w:pPr>
            <w:r/>
            <w:r>
              <w:rPr>
                <w:rFonts w:ascii="Arial" w:hAnsi="Arial" w:eastAsia="Arial"/>
                <w:b w:val="0"/>
                <w:i w:val="0"/>
                <w:sz w:val="20"/>
              </w:rPr>
              <w:t>Sendai Framework for Disaster Risk Reduction 2015–2030</w:t>
            </w:r>
          </w:p>
        </w:tc>
        <w:tc>
          <w:tcPr>
            <w:tcW w:type="dxa" w:w="6576"/>
          </w:tcPr>
          <w:p>
            <w:pPr>
              <w:keepNext/>
            </w:pPr>
            <w:r/>
            <w:r>
              <w:rPr>
                <w:rFonts w:ascii="Arial" w:hAnsi="Arial" w:eastAsia="Arial"/>
                <w:b w:val="0"/>
                <w:i w:val="0"/>
                <w:sz w:val="20"/>
              </w:rPr>
              <w:t>Target G: more multi-hazard early warning systems and risk information available to people</w:t>
            </w:r>
          </w:p>
        </w:tc>
      </w:tr>
      <w:tr>
        <w:trPr>
          <w:cantSplit/>
        </w:trPr>
        <w:tc>
          <w:tcPr>
            <w:tcW w:type="dxa" w:w="3061"/>
          </w:tcPr>
          <w:p>
            <w:pPr>
              <w:keepNext/>
            </w:pPr>
            <w:r/>
            <w:r>
              <w:rPr>
                <w:rFonts w:ascii="Arial" w:hAnsi="Arial" w:eastAsia="Arial"/>
                <w:b w:val="0"/>
                <w:i w:val="0"/>
                <w:sz w:val="20"/>
              </w:rPr>
              <w:t>UN Early Warnings for All</w:t>
            </w:r>
          </w:p>
        </w:tc>
        <w:tc>
          <w:tcPr>
            <w:tcW w:type="dxa" w:w="6576"/>
          </w:tcPr>
          <w:p>
            <w:pPr>
              <w:keepNext/>
            </w:pPr>
            <w:r/>
            <w:r>
              <w:rPr>
                <w:rFonts w:ascii="Arial" w:hAnsi="Arial" w:eastAsia="Arial"/>
                <w:b w:val="0"/>
                <w:i w:val="0"/>
                <w:sz w:val="20"/>
              </w:rPr>
              <w:t>Everyone protected by early warning systems by 2027</w:t>
            </w:r>
          </w:p>
        </w:tc>
      </w:tr>
      <w:tr>
        <w:trPr>
          <w:cantSplit/>
        </w:trPr>
        <w:tc>
          <w:tcPr>
            <w:tcW w:type="dxa" w:w="3061"/>
          </w:tcPr>
          <w:p>
            <w:r/>
            <w:r>
              <w:rPr>
                <w:rFonts w:ascii="Arial" w:hAnsi="Arial" w:eastAsia="Arial"/>
                <w:b w:val="0"/>
                <w:i w:val="0"/>
                <w:sz w:val="20"/>
              </w:rPr>
              <w:t>NATO resilience</w:t>
            </w:r>
          </w:p>
        </w:tc>
        <w:tc>
          <w:tcPr>
            <w:tcW w:type="dxa" w:w="6576"/>
          </w:tcPr>
          <w:p>
            <w:r/>
            <w:r>
              <w:rPr>
                <w:rFonts w:ascii="Arial" w:hAnsi="Arial" w:eastAsia="Arial"/>
                <w:b w:val="0"/>
                <w:i w:val="0"/>
                <w:sz w:val="20"/>
              </w:rPr>
              <w:t>Water, energy and transport among the baseline requirements for national resilience (Security Relevance)</w:t>
            </w:r>
          </w:p>
        </w:tc>
      </w:tr>
    </w:tbl>
    <w:p>
      <w:pPr>
        <w:spacing w:after="80" w:before="0"/>
      </w:pPr>
    </w:p>
    <w:p>
      <w:pPr>
        <w:keepNext/>
        <w:spacing w:after="120" w:before="160"/>
      </w:pPr>
      <w:r>
        <w:rPr>
          <w:rFonts w:ascii="Arial" w:hAnsi="Arial" w:eastAsia="Arial"/>
          <w:b/>
          <w:i w:val="0"/>
          <w:color w:val="1F3864"/>
          <w:sz w:val="27"/>
        </w:rPr>
        <w:t>7. Threats to sustainability and safeguards</w:t>
      </w:r>
    </w:p>
    <w:tbl>
      <w:tblPr>
        <w:tblStyle w:val="TableGrid"/>
        <w:tblW w:type="auto" w:w="0"/>
        <w:jc w:val="center"/>
        <w:tblLayout w:type="fixed"/>
        <w:tblLook w:firstColumn="1" w:firstRow="1" w:lastColumn="0" w:lastRow="0" w:noHBand="0" w:noVBand="1" w:val="04A0"/>
        <w:tblLayout w:type="fixed"/>
      </w:tblPr>
      <w:tblGrid>
        <w:gridCol w:w="3061"/>
        <w:gridCol w:w="6576"/>
      </w:tblGrid>
      <w:tr>
        <w:trPr>
          <w:cantSplit/>
          <w:tblHeader/>
        </w:trPr>
        <w:tc>
          <w:tcPr>
            <w:tcW w:type="dxa" w:w="3061"/>
            <w:shd w:val="clear" w:color="auto" w:fill="1F3864"/>
          </w:tcPr>
          <w:p>
            <w:pPr>
              <w:keepNext/>
            </w:pPr>
            <w:r/>
            <w:r>
              <w:rPr>
                <w:rFonts w:ascii="Arial" w:hAnsi="Arial" w:eastAsia="Arial"/>
                <w:b/>
                <w:i w:val="0"/>
                <w:color w:val="FFFFFF"/>
                <w:sz w:val="20"/>
              </w:rPr>
              <w:t>Threat</w:t>
            </w:r>
          </w:p>
        </w:tc>
        <w:tc>
          <w:tcPr>
            <w:tcW w:type="dxa" w:w="6576"/>
            <w:shd w:val="clear" w:color="auto" w:fill="1F3864"/>
          </w:tcPr>
          <w:p>
            <w:pPr>
              <w:keepNext/>
            </w:pPr>
            <w:r/>
            <w:r>
              <w:rPr>
                <w:rFonts w:ascii="Arial" w:hAnsi="Arial" w:eastAsia="Arial"/>
                <w:b/>
                <w:i w:val="0"/>
                <w:color w:val="FFFFFF"/>
                <w:sz w:val="20"/>
              </w:rPr>
              <w:t>Safeguard</w:t>
            </w:r>
          </w:p>
        </w:tc>
      </w:tr>
      <w:tr>
        <w:trPr>
          <w:cantSplit/>
        </w:trPr>
        <w:tc>
          <w:tcPr>
            <w:tcW w:type="dxa" w:w="3061"/>
          </w:tcPr>
          <w:p>
            <w:pPr>
              <w:keepNext/>
            </w:pPr>
            <w:r/>
            <w:r>
              <w:rPr>
                <w:rFonts w:ascii="Arial" w:hAnsi="Arial" w:eastAsia="Arial"/>
                <w:b w:val="0"/>
                <w:i w:val="0"/>
                <w:sz w:val="20"/>
              </w:rPr>
              <w:t>Trained staff leave (R18)</w:t>
            </w:r>
          </w:p>
        </w:tc>
        <w:tc>
          <w:tcPr>
            <w:tcW w:type="dxa" w:w="6576"/>
          </w:tcPr>
          <w:p>
            <w:pPr>
              <w:keepNext/>
            </w:pPr>
            <w:r/>
            <w:r>
              <w:rPr>
                <w:rFonts w:ascii="Arial" w:hAnsi="Arial" w:eastAsia="Arial"/>
                <w:b w:val="0"/>
                <w:i w:val="0"/>
                <w:sz w:val="20"/>
              </w:rPr>
              <w:t>Two or more trained people per operator; train-the-trainer; yearly refresher; manuals</w:t>
            </w:r>
          </w:p>
        </w:tc>
      </w:tr>
      <w:tr>
        <w:trPr>
          <w:cantSplit/>
        </w:trPr>
        <w:tc>
          <w:tcPr>
            <w:tcW w:type="dxa" w:w="3061"/>
          </w:tcPr>
          <w:p>
            <w:pPr>
              <w:keepNext/>
            </w:pPr>
            <w:r/>
            <w:r>
              <w:rPr>
                <w:rFonts w:ascii="Arial" w:hAnsi="Arial" w:eastAsia="Arial"/>
                <w:b w:val="0"/>
                <w:i w:val="0"/>
                <w:sz w:val="20"/>
              </w:rPr>
              <w:t>No money for running costs</w:t>
            </w:r>
          </w:p>
        </w:tc>
        <w:tc>
          <w:tcPr>
            <w:tcW w:type="dxa" w:w="6576"/>
          </w:tcPr>
          <w:p>
            <w:pPr>
              <w:keepNext/>
            </w:pPr>
            <w:r/>
            <w:r>
              <w:rPr>
                <w:rFonts w:ascii="Arial" w:hAnsi="Arial" w:eastAsia="Arial"/>
                <w:b w:val="0"/>
                <w:i w:val="0"/>
                <w:sz w:val="20"/>
              </w:rPr>
              <w:t>Small, known cost shared by three operators; agreement signed by Month 33; follow-up funding</w:t>
            </w:r>
          </w:p>
        </w:tc>
      </w:tr>
      <w:tr>
        <w:trPr>
          <w:cantSplit/>
        </w:trPr>
        <w:tc>
          <w:tcPr>
            <w:tcW w:type="dxa" w:w="3061"/>
          </w:tcPr>
          <w:p>
            <w:pPr>
              <w:keepNext/>
            </w:pPr>
            <w:r/>
            <w:r>
              <w:rPr>
                <w:rFonts w:ascii="Arial" w:hAnsi="Arial" w:eastAsia="Arial"/>
                <w:b w:val="0"/>
                <w:i w:val="0"/>
                <w:sz w:val="20"/>
              </w:rPr>
              <w:t>Software no longer maintained</w:t>
            </w:r>
          </w:p>
        </w:tc>
        <w:tc>
          <w:tcPr>
            <w:tcW w:type="dxa" w:w="6576"/>
          </w:tcPr>
          <w:p>
            <w:pPr>
              <w:keepNext/>
            </w:pPr>
            <w:r/>
            <w:r>
              <w:rPr>
                <w:rFonts w:ascii="Arial" w:hAnsi="Arial" w:eastAsia="Arial"/>
                <w:b w:val="0"/>
                <w:i w:val="0"/>
                <w:sz w:val="20"/>
              </w:rPr>
              <w:t>Open repository with tests and containers; university as maintainer; users on the twin coast</w:t>
            </w:r>
          </w:p>
        </w:tc>
      </w:tr>
      <w:tr>
        <w:trPr>
          <w:cantSplit/>
        </w:trPr>
        <w:tc>
          <w:tcPr>
            <w:tcW w:type="dxa" w:w="3061"/>
          </w:tcPr>
          <w:p>
            <w:pPr>
              <w:keepNext/>
            </w:pPr>
            <w:r/>
            <w:r>
              <w:rPr>
                <w:rFonts w:ascii="Arial" w:hAnsi="Arial" w:eastAsia="Arial"/>
                <w:b w:val="0"/>
                <w:i w:val="0"/>
                <w:sz w:val="20"/>
              </w:rPr>
              <w:t>Equipment fails or is damaged (R11, R21)</w:t>
            </w:r>
          </w:p>
        </w:tc>
        <w:tc>
          <w:tcPr>
            <w:tcW w:type="dxa" w:w="6576"/>
          </w:tcPr>
          <w:p>
            <w:pPr>
              <w:keepNext/>
            </w:pPr>
            <w:r/>
            <w:r>
              <w:rPr>
                <w:rFonts w:ascii="Arial" w:hAnsi="Arial" w:eastAsia="Arial"/>
                <w:b w:val="0"/>
                <w:i w:val="0"/>
                <w:sz w:val="20"/>
              </w:rPr>
              <w:t>Spares; replacement fund; the D4.1 ranking shows which sensors to replace first</w:t>
            </w:r>
          </w:p>
        </w:tc>
      </w:tr>
      <w:tr>
        <w:trPr>
          <w:cantSplit/>
        </w:trPr>
        <w:tc>
          <w:tcPr>
            <w:tcW w:type="dxa" w:w="3061"/>
          </w:tcPr>
          <w:p>
            <w:pPr>
              <w:keepNext/>
            </w:pPr>
            <w:r/>
            <w:r>
              <w:rPr>
                <w:rFonts w:ascii="Arial" w:hAnsi="Arial" w:eastAsia="Arial"/>
                <w:b w:val="0"/>
                <w:i w:val="0"/>
                <w:sz w:val="20"/>
              </w:rPr>
              <w:t>Guarantees drift as conditions change (R8)</w:t>
            </w:r>
          </w:p>
        </w:tc>
        <w:tc>
          <w:tcPr>
            <w:tcW w:type="dxa" w:w="6576"/>
          </w:tcPr>
          <w:p>
            <w:pPr>
              <w:keepNext/>
            </w:pPr>
            <w:r/>
            <w:r>
              <w:rPr>
                <w:rFonts w:ascii="Arial" w:hAnsi="Arial" w:eastAsia="Arial"/>
                <w:b w:val="0"/>
                <w:i w:val="0"/>
                <w:sz w:val="20"/>
              </w:rPr>
              <w:t>Margins keep updating from logged outcomes; the bulletin log shows any drift; yearly review</w:t>
            </w:r>
          </w:p>
        </w:tc>
      </w:tr>
      <w:tr>
        <w:trPr>
          <w:cantSplit/>
        </w:trPr>
        <w:tc>
          <w:tcPr>
            <w:tcW w:type="dxa" w:w="3061"/>
          </w:tcPr>
          <w:p>
            <w:pPr>
              <w:keepNext/>
            </w:pPr>
            <w:r/>
            <w:r>
              <w:rPr>
                <w:rFonts w:ascii="Arial" w:hAnsi="Arial" w:eastAsia="Arial"/>
                <w:b w:val="0"/>
                <w:i w:val="0"/>
                <w:sz w:val="20"/>
              </w:rPr>
              <w:t>Over-reliance on the bulletins (R16)</w:t>
            </w:r>
          </w:p>
        </w:tc>
        <w:tc>
          <w:tcPr>
            <w:tcW w:type="dxa" w:w="6576"/>
          </w:tcPr>
          <w:p>
            <w:pPr>
              <w:keepNext/>
            </w:pPr>
            <w:r/>
            <w:r>
              <w:rPr>
                <w:rFonts w:ascii="Arial" w:hAnsi="Arial" w:eastAsia="Arial"/>
                <w:b w:val="0"/>
                <w:i w:val="0"/>
                <w:sz w:val="20"/>
              </w:rPr>
              <w:t>Procedures keep the operators' own checks; training on what a miss rate means</w:t>
            </w:r>
          </w:p>
        </w:tc>
      </w:tr>
      <w:tr>
        <w:trPr>
          <w:cantSplit/>
        </w:trPr>
        <w:tc>
          <w:tcPr>
            <w:tcW w:type="dxa" w:w="3061"/>
          </w:tcPr>
          <w:p>
            <w:r/>
            <w:r>
              <w:rPr>
                <w:rFonts w:ascii="Arial" w:hAnsi="Arial" w:eastAsia="Arial"/>
                <w:b w:val="0"/>
                <w:i w:val="0"/>
                <w:sz w:val="20"/>
              </w:rPr>
              <w:t>Institutional change at an operator</w:t>
            </w:r>
          </w:p>
        </w:tc>
        <w:tc>
          <w:tcPr>
            <w:tcW w:type="dxa" w:w="6576"/>
          </w:tcPr>
          <w:p>
            <w:r/>
            <w:r>
              <w:rPr>
                <w:rFonts w:ascii="Arial" w:hAnsi="Arial" w:eastAsia="Arial"/>
                <w:b w:val="0"/>
                <w:i w:val="0"/>
                <w:sz w:val="20"/>
              </w:rPr>
              <w:t>Agreements signed at institution level; policy brief to national authorities; civil-protection protocol</w:t>
            </w:r>
          </w:p>
        </w:tc>
      </w:tr>
    </w:tbl>
    <w:p>
      <w:pPr>
        <w:spacing w:after="80" w:before="0"/>
      </w:pPr>
    </w:p>
    <w:p>
      <w:pPr>
        <w:keepNext/>
        <w:spacing w:after="120" w:before="160"/>
      </w:pPr>
      <w:r>
        <w:rPr>
          <w:rFonts w:ascii="Arial" w:hAnsi="Arial" w:eastAsia="Arial"/>
          <w:b/>
          <w:i w:val="0"/>
          <w:color w:val="1F3864"/>
          <w:sz w:val="27"/>
        </w:rPr>
        <w:t>8. Sustainability indicators</w:t>
      </w:r>
    </w:p>
    <w:tbl>
      <w:tblPr>
        <w:tblStyle w:val="TableGrid"/>
        <w:tblW w:type="auto" w:w="0"/>
        <w:jc w:val="center"/>
        <w:tblLayout w:type="fixed"/>
        <w:tblLook w:firstColumn="1" w:firstRow="1" w:lastColumn="0" w:lastRow="0" w:noHBand="0" w:noVBand="1" w:val="04A0"/>
        <w:tblLayout w:type="fixed"/>
      </w:tblPr>
      <w:tblGrid>
        <w:gridCol w:w="3969"/>
        <w:gridCol w:w="3515"/>
        <w:gridCol w:w="2154"/>
      </w:tblGrid>
      <w:tr>
        <w:trPr>
          <w:cantSplit/>
          <w:tblHeader/>
        </w:trPr>
        <w:tc>
          <w:tcPr>
            <w:tcW w:type="dxa" w:w="3969"/>
            <w:shd w:val="clear" w:color="auto" w:fill="1F3864"/>
          </w:tcPr>
          <w:p>
            <w:pPr>
              <w:keepNext/>
            </w:pPr>
            <w:r/>
            <w:r>
              <w:rPr>
                <w:rFonts w:ascii="Arial" w:hAnsi="Arial" w:eastAsia="Arial"/>
                <w:b/>
                <w:i w:val="0"/>
                <w:color w:val="FFFFFF"/>
                <w:sz w:val="20"/>
              </w:rPr>
              <w:t>Indicator</w:t>
            </w:r>
          </w:p>
        </w:tc>
        <w:tc>
          <w:tcPr>
            <w:tcW w:type="dxa" w:w="3515"/>
            <w:shd w:val="clear" w:color="auto" w:fill="1F3864"/>
          </w:tcPr>
          <w:p>
            <w:pPr>
              <w:keepNext/>
            </w:pPr>
            <w:r/>
            <w:r>
              <w:rPr>
                <w:rFonts w:ascii="Arial" w:hAnsi="Arial" w:eastAsia="Arial"/>
                <w:b/>
                <w:i w:val="0"/>
                <w:color w:val="FFFFFF"/>
                <w:sz w:val="20"/>
              </w:rPr>
              <w:t>Target</w:t>
            </w:r>
          </w:p>
        </w:tc>
        <w:tc>
          <w:tcPr>
            <w:tcW w:type="dxa" w:w="2154"/>
            <w:shd w:val="clear" w:color="auto" w:fill="1F3864"/>
          </w:tcPr>
          <w:p>
            <w:pPr>
              <w:keepNext/>
            </w:pPr>
            <w:r/>
            <w:r>
              <w:rPr>
                <w:rFonts w:ascii="Arial" w:hAnsi="Arial" w:eastAsia="Arial"/>
                <w:b/>
                <w:i w:val="0"/>
                <w:color w:val="FFFFFF"/>
                <w:sz w:val="20"/>
              </w:rPr>
              <w:t>When</w:t>
            </w:r>
          </w:p>
        </w:tc>
      </w:tr>
      <w:tr>
        <w:trPr>
          <w:cantSplit/>
        </w:trPr>
        <w:tc>
          <w:tcPr>
            <w:tcW w:type="dxa" w:w="3969"/>
          </w:tcPr>
          <w:p>
            <w:pPr>
              <w:keepNext/>
            </w:pPr>
            <w:r/>
            <w:r>
              <w:rPr>
                <w:rFonts w:ascii="Arial" w:hAnsi="Arial" w:eastAsia="Arial"/>
                <w:b w:val="0"/>
                <w:i w:val="0"/>
                <w:sz w:val="20"/>
              </w:rPr>
              <w:t>Bulletins issued by operator staff in Months 34–36</w:t>
            </w:r>
          </w:p>
        </w:tc>
        <w:tc>
          <w:tcPr>
            <w:tcW w:type="dxa" w:w="3515"/>
          </w:tcPr>
          <w:p>
            <w:pPr>
              <w:keepNext/>
            </w:pPr>
            <w:r/>
            <w:r>
              <w:rPr>
                <w:rFonts w:ascii="Arial" w:hAnsi="Arial" w:eastAsia="Arial"/>
                <w:b w:val="0"/>
                <w:i w:val="0"/>
                <w:sz w:val="20"/>
              </w:rPr>
              <w:t>100%, project team only observing</w:t>
            </w:r>
          </w:p>
        </w:tc>
        <w:tc>
          <w:tcPr>
            <w:tcW w:type="dxa" w:w="2154"/>
          </w:tcPr>
          <w:p>
            <w:pPr>
              <w:keepNext/>
            </w:pPr>
            <w:r/>
            <w:r>
              <w:rPr>
                <w:rFonts w:ascii="Arial" w:hAnsi="Arial" w:eastAsia="Arial"/>
                <w:b w:val="0"/>
                <w:i w:val="0"/>
                <w:sz w:val="20"/>
              </w:rPr>
              <w:t>Month 36</w:t>
            </w:r>
          </w:p>
        </w:tc>
      </w:tr>
      <w:tr>
        <w:trPr>
          <w:cantSplit/>
        </w:trPr>
        <w:tc>
          <w:tcPr>
            <w:tcW w:type="dxa" w:w="3969"/>
          </w:tcPr>
          <w:p>
            <w:pPr>
              <w:keepNext/>
            </w:pPr>
            <w:r/>
            <w:r>
              <w:rPr>
                <w:rFonts w:ascii="Arial" w:hAnsi="Arial" w:eastAsia="Arial"/>
                <w:b w:val="0"/>
                <w:i w:val="0"/>
                <w:sz w:val="20"/>
              </w:rPr>
              <w:t>Maintenance and running-cost agreement</w:t>
            </w:r>
          </w:p>
        </w:tc>
        <w:tc>
          <w:tcPr>
            <w:tcW w:type="dxa" w:w="3515"/>
          </w:tcPr>
          <w:p>
            <w:pPr>
              <w:keepNext/>
            </w:pPr>
            <w:r/>
            <w:r>
              <w:rPr>
                <w:rFonts w:ascii="Arial" w:hAnsi="Arial" w:eastAsia="Arial"/>
                <w:b w:val="0"/>
                <w:i w:val="0"/>
                <w:sz w:val="20"/>
              </w:rPr>
              <w:t>Signed by the three operators</w:t>
            </w:r>
          </w:p>
        </w:tc>
        <w:tc>
          <w:tcPr>
            <w:tcW w:type="dxa" w:w="2154"/>
          </w:tcPr>
          <w:p>
            <w:pPr>
              <w:keepNext/>
            </w:pPr>
            <w:r/>
            <w:r>
              <w:rPr>
                <w:rFonts w:ascii="Arial" w:hAnsi="Arial" w:eastAsia="Arial"/>
                <w:b w:val="0"/>
                <w:i w:val="0"/>
                <w:sz w:val="20"/>
              </w:rPr>
              <w:t>Month 33</w:t>
            </w:r>
          </w:p>
        </w:tc>
      </w:tr>
      <w:tr>
        <w:trPr>
          <w:cantSplit/>
        </w:trPr>
        <w:tc>
          <w:tcPr>
            <w:tcW w:type="dxa" w:w="3969"/>
          </w:tcPr>
          <w:p>
            <w:pPr>
              <w:keepNext/>
            </w:pPr>
            <w:r/>
            <w:r>
              <w:rPr>
                <w:rFonts w:ascii="Arial" w:hAnsi="Arial" w:eastAsia="Arial"/>
                <w:b w:val="0"/>
                <w:i w:val="0"/>
                <w:sz w:val="20"/>
              </w:rPr>
              <w:t>Hand-over agreement for network, servers and software</w:t>
            </w:r>
          </w:p>
        </w:tc>
        <w:tc>
          <w:tcPr>
            <w:tcW w:type="dxa" w:w="3515"/>
          </w:tcPr>
          <w:p>
            <w:pPr>
              <w:keepNext/>
            </w:pPr>
            <w:r/>
            <w:r>
              <w:rPr>
                <w:rFonts w:ascii="Arial" w:hAnsi="Arial" w:eastAsia="Arial"/>
                <w:b w:val="0"/>
                <w:i w:val="0"/>
                <w:sz w:val="20"/>
              </w:rPr>
              <w:t>Signed</w:t>
            </w:r>
          </w:p>
        </w:tc>
        <w:tc>
          <w:tcPr>
            <w:tcW w:type="dxa" w:w="2154"/>
          </w:tcPr>
          <w:p>
            <w:pPr>
              <w:keepNext/>
            </w:pPr>
            <w:r/>
            <w:r>
              <w:rPr>
                <w:rFonts w:ascii="Arial" w:hAnsi="Arial" w:eastAsia="Arial"/>
                <w:b w:val="0"/>
                <w:i w:val="0"/>
                <w:sz w:val="20"/>
              </w:rPr>
              <w:t>Month 36</w:t>
            </w:r>
          </w:p>
        </w:tc>
      </w:tr>
      <w:tr>
        <w:trPr>
          <w:cantSplit/>
        </w:trPr>
        <w:tc>
          <w:tcPr>
            <w:tcW w:type="dxa" w:w="3969"/>
          </w:tcPr>
          <w:p>
            <w:pPr>
              <w:keepNext/>
            </w:pPr>
            <w:r/>
            <w:r>
              <w:rPr>
                <w:rFonts w:ascii="Arial" w:hAnsi="Arial" w:eastAsia="Arial"/>
                <w:b w:val="0"/>
                <w:i w:val="0"/>
                <w:sz w:val="20"/>
              </w:rPr>
              <w:t>Operating procedures adopted</w:t>
            </w:r>
          </w:p>
        </w:tc>
        <w:tc>
          <w:tcPr>
            <w:tcW w:type="dxa" w:w="3515"/>
          </w:tcPr>
          <w:p>
            <w:pPr>
              <w:keepNext/>
            </w:pPr>
            <w:r/>
            <w:r>
              <w:rPr>
                <w:rFonts w:ascii="Arial" w:hAnsi="Arial" w:eastAsia="Arial"/>
                <w:b w:val="0"/>
                <w:i w:val="0"/>
                <w:sz w:val="20"/>
              </w:rPr>
              <w:t>At least 1 per asset</w:t>
            </w:r>
          </w:p>
        </w:tc>
        <w:tc>
          <w:tcPr>
            <w:tcW w:type="dxa" w:w="2154"/>
          </w:tcPr>
          <w:p>
            <w:pPr>
              <w:keepNext/>
            </w:pPr>
            <w:r/>
            <w:r>
              <w:rPr>
                <w:rFonts w:ascii="Arial" w:hAnsi="Arial" w:eastAsia="Arial"/>
                <w:b w:val="0"/>
                <w:i w:val="0"/>
                <w:sz w:val="20"/>
              </w:rPr>
              <w:t>Month 36</w:t>
            </w:r>
          </w:p>
        </w:tc>
      </w:tr>
      <w:tr>
        <w:trPr>
          <w:cantSplit/>
        </w:trPr>
        <w:tc>
          <w:tcPr>
            <w:tcW w:type="dxa" w:w="3969"/>
          </w:tcPr>
          <w:p>
            <w:pPr>
              <w:keepNext/>
            </w:pPr>
            <w:r/>
            <w:r>
              <w:rPr>
                <w:rFonts w:ascii="Arial" w:hAnsi="Arial" w:eastAsia="Arial"/>
                <w:b w:val="0"/>
                <w:i w:val="0"/>
                <w:sz w:val="20"/>
              </w:rPr>
              <w:t>Trained people</w:t>
            </w:r>
          </w:p>
        </w:tc>
        <w:tc>
          <w:tcPr>
            <w:tcW w:type="dxa" w:w="3515"/>
          </w:tcPr>
          <w:p>
            <w:pPr>
              <w:keepNext/>
            </w:pPr>
            <w:r/>
            <w:r>
              <w:rPr>
                <w:rFonts w:ascii="Arial" w:hAnsi="Arial" w:eastAsia="Arial"/>
                <w:b w:val="0"/>
                <w:i w:val="0"/>
                <w:sz w:val="20"/>
              </w:rPr>
              <w:t>At least 20 operator staff; at least 6 early-career researchers</w:t>
            </w:r>
          </w:p>
        </w:tc>
        <w:tc>
          <w:tcPr>
            <w:tcW w:type="dxa" w:w="2154"/>
          </w:tcPr>
          <w:p>
            <w:pPr>
              <w:keepNext/>
            </w:pPr>
            <w:r/>
            <w:r>
              <w:rPr>
                <w:rFonts w:ascii="Arial" w:hAnsi="Arial" w:eastAsia="Arial"/>
                <w:b w:val="0"/>
                <w:i w:val="0"/>
                <w:sz w:val="20"/>
              </w:rPr>
              <w:t>Month 36</w:t>
            </w:r>
          </w:p>
        </w:tc>
      </w:tr>
      <w:tr>
        <w:trPr>
          <w:cantSplit/>
        </w:trPr>
        <w:tc>
          <w:tcPr>
            <w:tcW w:type="dxa" w:w="3969"/>
          </w:tcPr>
          <w:p>
            <w:pPr>
              <w:keepNext/>
            </w:pPr>
            <w:r/>
            <w:r>
              <w:rPr>
                <w:rFonts w:ascii="Arial" w:hAnsi="Arial" w:eastAsia="Arial"/>
                <w:b w:val="0"/>
                <w:i w:val="0"/>
                <w:sz w:val="20"/>
              </w:rPr>
              <w:t>Follow-up funding application</w:t>
            </w:r>
          </w:p>
        </w:tc>
        <w:tc>
          <w:tcPr>
            <w:tcW w:type="dxa" w:w="3515"/>
          </w:tcPr>
          <w:p>
            <w:pPr>
              <w:keepNext/>
            </w:pPr>
            <w:r/>
            <w:r>
              <w:rPr>
                <w:rFonts w:ascii="Arial" w:hAnsi="Arial" w:eastAsia="Arial"/>
                <w:b w:val="0"/>
                <w:i w:val="0"/>
                <w:sz w:val="20"/>
              </w:rPr>
              <w:t>At least 1 submitted</w:t>
            </w:r>
          </w:p>
        </w:tc>
        <w:tc>
          <w:tcPr>
            <w:tcW w:type="dxa" w:w="2154"/>
          </w:tcPr>
          <w:p>
            <w:pPr>
              <w:keepNext/>
            </w:pPr>
            <w:r/>
            <w:r>
              <w:rPr>
                <w:rFonts w:ascii="Arial" w:hAnsi="Arial" w:eastAsia="Arial"/>
                <w:b w:val="0"/>
                <w:i w:val="0"/>
                <w:sz w:val="20"/>
              </w:rPr>
              <w:t>Month 36</w:t>
            </w:r>
          </w:p>
        </w:tc>
      </w:tr>
      <w:tr>
        <w:trPr>
          <w:cantSplit/>
        </w:trPr>
        <w:tc>
          <w:tcPr>
            <w:tcW w:type="dxa" w:w="3969"/>
          </w:tcPr>
          <w:p>
            <w:pPr>
              <w:keepNext/>
            </w:pPr>
            <w:r/>
            <w:r>
              <w:rPr>
                <w:rFonts w:ascii="Arial" w:hAnsi="Arial" w:eastAsia="Arial"/>
                <w:b w:val="0"/>
                <w:i w:val="0"/>
                <w:sz w:val="20"/>
              </w:rPr>
              <w:t>Network data availability after hand-over</w:t>
            </w:r>
          </w:p>
        </w:tc>
        <w:tc>
          <w:tcPr>
            <w:tcW w:type="dxa" w:w="3515"/>
          </w:tcPr>
          <w:p>
            <w:pPr>
              <w:keepNext/>
            </w:pPr>
            <w:r/>
            <w:r>
              <w:rPr>
                <w:rFonts w:ascii="Arial" w:hAnsi="Arial" w:eastAsia="Arial"/>
                <w:b w:val="0"/>
                <w:i w:val="0"/>
                <w:sz w:val="20"/>
              </w:rPr>
              <w:t>At least 90%</w:t>
            </w:r>
          </w:p>
        </w:tc>
        <w:tc>
          <w:tcPr>
            <w:tcW w:type="dxa" w:w="2154"/>
          </w:tcPr>
          <w:p>
            <w:pPr>
              <w:keepNext/>
            </w:pPr>
            <w:r/>
            <w:r>
              <w:rPr>
                <w:rFonts w:ascii="Arial" w:hAnsi="Arial" w:eastAsia="Arial"/>
                <w:b w:val="0"/>
                <w:i w:val="0"/>
                <w:sz w:val="20"/>
              </w:rPr>
              <w:t>One year after the project</w:t>
            </w:r>
          </w:p>
        </w:tc>
      </w:tr>
      <w:tr>
        <w:trPr>
          <w:cantSplit/>
        </w:trPr>
        <w:tc>
          <w:tcPr>
            <w:tcW w:type="dxa" w:w="3969"/>
          </w:tcPr>
          <w:p>
            <w:r/>
            <w:r>
              <w:rPr>
                <w:rFonts w:ascii="Arial" w:hAnsi="Arial" w:eastAsia="Arial"/>
                <w:b w:val="0"/>
                <w:i w:val="0"/>
                <w:sz w:val="20"/>
              </w:rPr>
              <w:t>Observed miss rates after hand-over</w:t>
            </w:r>
          </w:p>
        </w:tc>
        <w:tc>
          <w:tcPr>
            <w:tcW w:type="dxa" w:w="3515"/>
          </w:tcPr>
          <w:p>
            <w:r/>
            <w:r>
              <w:rPr>
                <w:rFonts w:ascii="Arial" w:hAnsi="Arial" w:eastAsia="Arial"/>
                <w:b w:val="0"/>
                <w:i w:val="0"/>
                <w:sz w:val="20"/>
              </w:rPr>
              <w:t>Within targets, from the operators' bulletin log</w:t>
            </w:r>
          </w:p>
        </w:tc>
        <w:tc>
          <w:tcPr>
            <w:tcW w:type="dxa" w:w="2154"/>
          </w:tcPr>
          <w:p>
            <w:r/>
            <w:r>
              <w:rPr>
                <w:rFonts w:ascii="Arial" w:hAnsi="Arial" w:eastAsia="Arial"/>
                <w:b w:val="0"/>
                <w:i w:val="0"/>
                <w:sz w:val="20"/>
              </w:rPr>
              <w:t>One year after the project</w:t>
            </w:r>
          </w:p>
        </w:tc>
      </w:tr>
    </w:tbl>
    <w:p>
      <w:pPr>
        <w:spacing w:after="80" w:before="0"/>
      </w:pPr>
    </w:p>
    <w:p>
      <w:pPr>
        <w:keepNext/>
        <w:spacing w:after="120" w:before="160"/>
      </w:pPr>
      <w:r>
        <w:rPr>
          <w:rFonts w:ascii="Arial" w:hAnsi="Arial" w:eastAsia="Arial"/>
          <w:b/>
          <w:i w:val="0"/>
          <w:color w:val="1F3864"/>
          <w:sz w:val="27"/>
        </w:rPr>
        <w:t>9. What is new in this sustainability plan</w:t>
      </w:r>
    </w:p>
    <w:p>
      <w:pPr>
        <w:spacing w:after="60" w:before="0"/>
        <w:ind w:left="283"/>
      </w:pPr>
      <w:r>
        <w:rPr>
          <w:rFonts w:ascii="Arial" w:hAnsi="Arial" w:eastAsia="Arial"/>
          <w:b/>
          <w:i w:val="0"/>
          <w:sz w:val="22"/>
        </w:rPr>
        <w:t xml:space="preserve">• </w:t>
      </w:r>
      <w:r>
        <w:rPr>
          <w:rFonts w:ascii="Arial" w:hAnsi="Arial" w:eastAsia="Arial"/>
          <w:b/>
          <w:i w:val="0"/>
          <w:sz w:val="22"/>
        </w:rPr>
        <w:t>A guarantee that maintains itself.</w:t>
      </w:r>
      <w:r>
        <w:rPr>
          <w:rFonts w:ascii="Arial" w:hAnsi="Arial" w:eastAsia="Arial"/>
          <w:b w:val="0"/>
          <w:i w:val="0"/>
          <w:sz w:val="22"/>
        </w:rPr>
        <w:t xml:space="preserve"> The online conformal term updates the margins from every logged outcome, without the developers and without assuming that conditions stay the same, so the certified miss rate keeps holding after the project.</w:t>
      </w:r>
    </w:p>
    <w:p>
      <w:pPr>
        <w:spacing w:after="60" w:before="0"/>
        <w:ind w:left="283"/>
      </w:pPr>
      <w:r>
        <w:rPr>
          <w:rFonts w:ascii="Arial" w:hAnsi="Arial" w:eastAsia="Arial"/>
          <w:b/>
          <w:i w:val="0"/>
          <w:sz w:val="22"/>
        </w:rPr>
        <w:t xml:space="preserve">• </w:t>
      </w:r>
      <w:r>
        <w:rPr>
          <w:rFonts w:ascii="Arial" w:hAnsi="Arial" w:eastAsia="Arial"/>
          <w:b/>
          <w:i w:val="0"/>
          <w:sz w:val="22"/>
        </w:rPr>
        <w:t>A system that warns about itself.</w:t>
      </w:r>
      <w:r>
        <w:rPr>
          <w:rFonts w:ascii="Arial" w:hAnsi="Arial" w:eastAsia="Arial"/>
          <w:b w:val="0"/>
          <w:i w:val="0"/>
          <w:sz w:val="22"/>
        </w:rPr>
        <w:t xml:space="preserve"> The bulletin log compares observed miss rates with their targets; if a guarantee starts to drift, the operators see it and trigger recalibration before trust is lost.</w:t>
      </w:r>
    </w:p>
    <w:p>
      <w:pPr>
        <w:spacing w:after="60" w:before="0"/>
        <w:ind w:left="283"/>
      </w:pPr>
      <w:r>
        <w:rPr>
          <w:rFonts w:ascii="Arial" w:hAnsi="Arial" w:eastAsia="Arial"/>
          <w:b/>
          <w:i w:val="0"/>
          <w:sz w:val="22"/>
        </w:rPr>
        <w:t xml:space="preserve">• </w:t>
      </w:r>
      <w:r>
        <w:rPr>
          <w:rFonts w:ascii="Arial" w:hAnsi="Arial" w:eastAsia="Arial"/>
          <w:b/>
          <w:i w:val="0"/>
          <w:sz w:val="22"/>
        </w:rPr>
        <w:t>Better with use.</w:t>
      </w:r>
      <w:r>
        <w:rPr>
          <w:rFonts w:ascii="Arial" w:hAnsi="Arial" w:eastAsia="Arial"/>
          <w:b w:val="0"/>
          <w:i w:val="0"/>
          <w:sz w:val="22"/>
        </w:rPr>
        <w:t xml:space="preserve"> Every year of data narrows the forecasts and shrinks the margins, so the service gives fewer false alarms the longer it runs.</w:t>
      </w:r>
    </w:p>
    <w:p>
      <w:pPr>
        <w:spacing w:after="60" w:before="0"/>
        <w:ind w:left="283"/>
      </w:pPr>
      <w:r>
        <w:rPr>
          <w:rFonts w:ascii="Arial" w:hAnsi="Arial" w:eastAsia="Arial"/>
          <w:b/>
          <w:i w:val="0"/>
          <w:sz w:val="22"/>
        </w:rPr>
        <w:t xml:space="preserve">• </w:t>
      </w:r>
      <w:r>
        <w:rPr>
          <w:rFonts w:ascii="Arial" w:hAnsi="Arial" w:eastAsia="Arial"/>
          <w:b/>
          <w:i w:val="0"/>
          <w:sz w:val="22"/>
        </w:rPr>
        <w:t>Environmental limits as hard constraints.</w:t>
      </w:r>
      <w:r>
        <w:rPr>
          <w:rFonts w:ascii="Arial" w:hAnsi="Arial" w:eastAsia="Arial"/>
          <w:b w:val="0"/>
          <w:i w:val="0"/>
          <w:sz w:val="22"/>
        </w:rPr>
        <w:t xml:space="preserve"> The pumping rule never lets heads fall below the preconsolidation head, so the aquifer is used within the range in which it recovers.</w:t>
      </w:r>
    </w:p>
    <w:p>
      <w:pPr>
        <w:spacing w:after="60" w:before="0"/>
        <w:ind w:left="283"/>
      </w:pPr>
      <w:r>
        <w:rPr>
          <w:rFonts w:ascii="Arial" w:hAnsi="Arial" w:eastAsia="Arial"/>
          <w:b/>
          <w:i w:val="0"/>
          <w:sz w:val="22"/>
        </w:rPr>
        <w:t xml:space="preserve">• </w:t>
      </w:r>
      <w:r>
        <w:rPr>
          <w:rFonts w:ascii="Arial" w:hAnsi="Arial" w:eastAsia="Arial"/>
          <w:b/>
          <w:i w:val="0"/>
          <w:sz w:val="22"/>
        </w:rPr>
        <w:t>A hand-over that is measured.</w:t>
      </w:r>
      <w:r>
        <w:rPr>
          <w:rFonts w:ascii="Arial" w:hAnsi="Arial" w:eastAsia="Arial"/>
          <w:b w:val="0"/>
          <w:i w:val="0"/>
          <w:sz w:val="22"/>
        </w:rPr>
        <w:t xml:space="preserve"> Operators issue every bulletin in the last three months, so sustainability is demonstrated before the project ends, not assumed after it.</w:t>
      </w:r>
    </w:p>
    <w:p>
      <w:pPr>
        <w:keepNext/>
        <w:pageBreakBefore/>
        <w:spacing w:after="120" w:before="0"/>
      </w:pPr>
      <w:r>
        <w:rPr>
          <w:rFonts w:ascii="Arial" w:hAnsi="Arial" w:eastAsia="Arial"/>
          <w:b/>
          <w:i w:val="0"/>
          <w:color w:val="1F3864"/>
          <w:sz w:val="27"/>
        </w:rPr>
        <w:t>10. Short version for the application form (364 words)</w:t>
      </w:r>
    </w:p>
    <w:p>
      <w:pPr>
        <w:spacing w:after="120" w:before="0"/>
      </w:pPr>
      <w:r>
        <w:rPr>
          <w:rFonts w:ascii="Arial" w:hAnsi="Arial" w:eastAsia="Arial"/>
          <w:b w:val="0"/>
          <w:i/>
          <w:color w:val="52606D"/>
          <w:sz w:val="20"/>
        </w:rPr>
        <w:t>For the question on how the project reaches its end state (500 words maximum in the sample form).</w:t>
      </w:r>
    </w:p>
    <w:p>
      <w:pPr>
        <w:spacing w:after="120" w:before="0"/>
        <w:jc w:val="both"/>
      </w:pPr>
      <w:r>
        <w:rPr>
          <w:rFonts w:ascii="Arial" w:hAnsi="Arial" w:eastAsia="Arial"/>
          <w:b w:val="0"/>
          <w:i w:val="0"/>
          <w:sz w:val="22"/>
        </w:rPr>
        <w:t>At the end of CERTAIN-COAST, the operators of the Durrës wellfields, port and energy landfall run a certified early warning service themselves, and civil protection uses its bulletins after earthquakes and storms. Sustainability is built in from the start rather than added at the end.</w:t>
      </w:r>
    </w:p>
    <w:p>
      <w:pPr>
        <w:spacing w:after="120" w:before="0"/>
        <w:jc w:val="both"/>
      </w:pPr>
      <w:r>
        <w:rPr>
          <w:rFonts w:ascii="Arial" w:hAnsi="Arial" w:eastAsia="Arial"/>
          <w:b/>
          <w:i w:val="0"/>
          <w:sz w:val="22"/>
        </w:rPr>
        <w:t xml:space="preserve">Ownership. </w:t>
      </w:r>
      <w:r>
        <w:rPr>
          <w:rFonts w:ascii="Arial" w:hAnsi="Arial" w:eastAsia="Arial"/>
          <w:b w:val="0"/>
          <w:i w:val="0"/>
          <w:sz w:val="22"/>
        </w:rPr>
        <w:t>The monitoring network, servers and software are handed over to the operators under a written agreement at Month 36. The operators set the alarm thresholds in the first year and adopt operating procedures by the end, so the system is theirs from the start. In the last three months every bulletin is issued by operator staff, with the project team only observing: the hand-over is demonstrated before the project ends.</w:t>
      </w:r>
    </w:p>
    <w:p>
      <w:pPr>
        <w:spacing w:after="120" w:before="0"/>
        <w:jc w:val="both"/>
      </w:pPr>
      <w:r>
        <w:rPr>
          <w:rFonts w:ascii="Arial" w:hAnsi="Arial" w:eastAsia="Arial"/>
          <w:b/>
          <w:i w:val="0"/>
          <w:sz w:val="22"/>
        </w:rPr>
        <w:t xml:space="preserve">Low and known running cost. </w:t>
      </w:r>
      <w:r>
        <w:rPr>
          <w:rFonts w:ascii="Arial" w:hAnsi="Arial" w:eastAsia="Arial"/>
          <w:b w:val="0"/>
          <w:i w:val="0"/>
          <w:sz w:val="22"/>
        </w:rPr>
        <w:t>The system uses free Copernicus Sentinel-1 data, existing seismic stations, solar-powered field stations and open-source software. The running cost is about €11,000 per year, shared by three operators under a maintenance agreement signed by Month 33, with the university supporting the geodetic and seismic stations and the software.</w:t>
      </w:r>
    </w:p>
    <w:p>
      <w:pPr>
        <w:spacing w:after="120" w:before="0"/>
        <w:jc w:val="both"/>
      </w:pPr>
      <w:r>
        <w:rPr>
          <w:rFonts w:ascii="Arial" w:hAnsi="Arial" w:eastAsia="Arial"/>
          <w:b/>
          <w:i w:val="0"/>
          <w:sz w:val="22"/>
        </w:rPr>
        <w:t xml:space="preserve">People. </w:t>
      </w:r>
      <w:r>
        <w:rPr>
          <w:rFonts w:ascii="Arial" w:hAnsi="Arial" w:eastAsia="Arial"/>
          <w:b w:val="0"/>
          <w:i w:val="0"/>
          <w:sz w:val="22"/>
        </w:rPr>
        <w:t>At least 20 operator and civil-protection staff and at least 6 early-career researchers are trained, with at least two trained people per operator, a train-the-trainer scheme, a yearly refresher course and manuals in Albanian and English.</w:t>
      </w:r>
    </w:p>
    <w:p>
      <w:pPr>
        <w:spacing w:after="120" w:before="0"/>
        <w:jc w:val="both"/>
      </w:pPr>
      <w:r>
        <w:rPr>
          <w:rFonts w:ascii="Arial" w:hAnsi="Arial" w:eastAsia="Arial"/>
          <w:b/>
          <w:i w:val="0"/>
          <w:sz w:val="22"/>
        </w:rPr>
        <w:t xml:space="preserve">Guarantees that last. </w:t>
      </w:r>
      <w:r>
        <w:rPr>
          <w:rFonts w:ascii="Arial" w:hAnsi="Arial" w:eastAsia="Arial"/>
          <w:b w:val="0"/>
          <w:i w:val="0"/>
          <w:sz w:val="22"/>
        </w:rPr>
        <w:t>The alarm margins recalibrate themselves from every logged outcome, without assuming that conditions stay the same, so the certified miss rates keep holding after the developers leave. The bulletin log shows the operators at once if a guarantee starts to drift, and every year of data makes the forecasts sharper and the false alarms fewer.</w:t>
      </w:r>
    </w:p>
    <w:p>
      <w:pPr>
        <w:spacing w:after="120" w:before="0"/>
        <w:jc w:val="both"/>
      </w:pPr>
      <w:r>
        <w:rPr>
          <w:rFonts w:ascii="Arial" w:hAnsi="Arial" w:eastAsia="Arial"/>
          <w:b/>
          <w:i w:val="0"/>
          <w:sz w:val="22"/>
        </w:rPr>
        <w:t xml:space="preserve">Environment and policy. </w:t>
      </w:r>
      <w:r>
        <w:rPr>
          <w:rFonts w:ascii="Arial" w:hAnsi="Arial" w:eastAsia="Arial"/>
          <w:b w:val="0"/>
          <w:i w:val="0"/>
          <w:sz w:val="22"/>
        </w:rPr>
        <w:t>The joint pumping rule keeps groundwater heads above the level at which permanent subsidence begins, so the aquifer is used within the range in which it recovers. The project contributes to the Sendai Framework target on multi-hazard early warning, to the UN Early Warnings for All initiative and to NATO's baseline requirements for resilient water, energy and transport.</w:t>
      </w:r>
    </w:p>
    <w:p>
      <w:pPr>
        <w:spacing w:after="120" w:before="0"/>
        <w:jc w:val="both"/>
      </w:pPr>
      <w:r>
        <w:rPr>
          <w:rFonts w:ascii="Arial" w:hAnsi="Arial" w:eastAsia="Arial"/>
          <w:b/>
          <w:i w:val="0"/>
          <w:sz w:val="22"/>
        </w:rPr>
        <w:t xml:space="preserve">Beyond Durrës. </w:t>
      </w:r>
      <w:r>
        <w:rPr>
          <w:rFonts w:ascii="Arial" w:hAnsi="Arial" w:eastAsia="Arial"/>
          <w:b w:val="0"/>
          <w:i w:val="0"/>
          <w:sz w:val="22"/>
        </w:rPr>
        <w:t>The open software, a coast kit and a transfer test on a partner-country coast let other subsiding coasts in the Adriatic and beyond repeat the analysis, and at least one follow-up proposal is submitted by Month 36.</w:t>
      </w:r>
    </w:p>
    <w:p>
      <w:pPr>
        <w:spacing w:after="40" w:before="160"/>
      </w:pPr>
      <w:r>
        <w:rPr>
          <w:rFonts w:ascii="Arial" w:hAnsi="Arial" w:eastAsia="Arial"/>
          <w:b/>
          <w:i w:val="0"/>
          <w:color w:val="52606D"/>
          <w:sz w:val="19"/>
        </w:rPr>
        <w:t xml:space="preserve">Sources: </w:t>
      </w:r>
      <w:hyperlink r:id="rId10">
        <w:r>
          <w:rPr>
            <w:rFonts w:ascii="Arial" w:hAnsi="Arial"/>
            <w:color w:val="1F5FBF"/>
            <w:u w:val="single"/>
            <w:sz w:val="19"/>
          </w:rPr>
          <w:t xml:space="preserve">UN Sustainable Development Goals</w:t>
        </w:r>
      </w:hyperlink>
      <w:r>
        <w:rPr>
          <w:rFonts w:ascii="Arial" w:hAnsi="Arial" w:eastAsia="Arial"/>
          <w:b w:val="0"/>
          <w:i w:val="0"/>
          <w:color w:val="52606D"/>
          <w:sz w:val="19"/>
        </w:rPr>
        <w:t xml:space="preserve">; </w:t>
      </w:r>
      <w:hyperlink r:id="rId11">
        <w:r>
          <w:rPr>
            <w:rFonts w:ascii="Arial" w:hAnsi="Arial"/>
            <w:color w:val="1F5FBF"/>
            <w:u w:val="single"/>
            <w:sz w:val="19"/>
          </w:rPr>
          <w:t xml:space="preserve">Sendai Framework for Disaster Risk Reduction 2015–2030</w:t>
        </w:r>
      </w:hyperlink>
      <w:r>
        <w:rPr>
          <w:rFonts w:ascii="Arial" w:hAnsi="Arial" w:eastAsia="Arial"/>
          <w:b w:val="0"/>
          <w:i w:val="0"/>
          <w:color w:val="52606D"/>
          <w:sz w:val="19"/>
        </w:rPr>
        <w:t xml:space="preserve">; </w:t>
      </w:r>
      <w:hyperlink r:id="rId12">
        <w:r>
          <w:rPr>
            <w:rFonts w:ascii="Arial" w:hAnsi="Arial"/>
            <w:color w:val="1F5FBF"/>
            <w:u w:val="single"/>
            <w:sz w:val="19"/>
          </w:rPr>
          <w:t xml:space="preserve">UN Early Warnings for All</w:t>
        </w:r>
      </w:hyperlink>
      <w:r>
        <w:rPr>
          <w:rFonts w:ascii="Arial" w:hAnsi="Arial" w:eastAsia="Arial"/>
          <w:b w:val="0"/>
          <w:i w:val="0"/>
          <w:color w:val="52606D"/>
          <w:sz w:val="19"/>
        </w:rPr>
        <w:t xml:space="preserve">; </w:t>
      </w:r>
      <w:hyperlink r:id="rId13">
        <w:r>
          <w:rPr>
            <w:rFonts w:ascii="Arial" w:hAnsi="Arial"/>
            <w:color w:val="1F5FBF"/>
            <w:u w:val="single"/>
            <w:sz w:val="19"/>
          </w:rPr>
          <w:t xml:space="preserve">SPS Multi-Year Project sample application form</w:t>
        </w:r>
      </w:hyperlink>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dgs.un.org/goals" TargetMode="External"/><Relationship Id="rId11" Type="http://schemas.openxmlformats.org/officeDocument/2006/relationships/hyperlink" Target="https://www.undrr.org/publication/sendai-framework-disaster-risk-reduction-2015-2030" TargetMode="External"/><Relationship Id="rId12" Type="http://schemas.openxmlformats.org/officeDocument/2006/relationships/hyperlink" Target="https://www.un.org/en/climatechange/early-warnings-for-all" TargetMode="External"/><Relationship Id="rId13" Type="http://schemas.openxmlformats.org/officeDocument/2006/relationships/hyperlink" Target="https://nato.int/content/dam/nato/webready/documents/sps/grants/2023/sps-myp-sample-application-form.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