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Arial"/>
          <w:b/>
          <w:i w:val="0"/>
          <w:color w:val="1F3864"/>
          <w:sz w:val="36"/>
        </w:rPr>
        <w:t>CERTAIN-COAST — Expected Results</w:t>
      </w:r>
    </w:p>
    <w:p>
      <w:pPr>
        <w:spacing w:after="200" w:before="0"/>
        <w:jc w:val="center"/>
      </w:pPr>
      <w:r>
        <w:rPr>
          <w:rFonts w:ascii="Arial" w:hAnsi="Arial" w:eastAsia="Arial"/>
          <w:b/>
          <w:i w:val="0"/>
          <w:color w:val="1F3864"/>
          <w:sz w:val="24"/>
        </w:rPr>
        <w:t>Certified early warning for seawater intrusion, liquefaction and extreme sea levels at the wellfields, port and energy landfall of a subsiding Adriatic coast</w:t>
      </w:r>
    </w:p>
    <w:p>
      <w:pPr>
        <w:spacing w:after="160" w:before="0"/>
      </w:pPr>
      <w:r>
        <w:rPr>
          <w:rFonts w:ascii="Arial" w:hAnsi="Arial" w:eastAsia="Arial"/>
          <w:b w:val="0"/>
          <w:i w:val="0"/>
          <w:sz w:val="23"/>
        </w:rPr>
        <w:t>At the end of the project the Durrës coast will have something no coast has today: one early-warning system for seawater intrusion at the wellfields, liquefaction at the port and the energy landfall, and extreme sea levels at all three, driven by one physical model of the coast, issued fast enough to act on, and carrying a stated, verified bound on how often each warning misses. It will be run by the operators themselves, and the methods behind it will be open and transferable to other subsiding coasts.</w:t>
      </w:r>
    </w:p>
    <w:p>
      <w:pPr>
        <w:keepNext/>
        <w:spacing w:after="120" w:before="120"/>
      </w:pPr>
      <w:r>
        <w:rPr>
          <w:rFonts w:ascii="Arial" w:hAnsi="Arial" w:eastAsia="Arial"/>
          <w:b/>
          <w:i w:val="0"/>
          <w:color w:val="1F3864"/>
          <w:sz w:val="27"/>
        </w:rPr>
        <w:t>1. Scientific results</w:t>
      </w:r>
    </w:p>
    <w:p>
      <w:pPr>
        <w:keepNext/>
        <w:spacing w:after="40" w:before="0"/>
      </w:pPr>
      <w:r>
        <w:rPr>
          <w:rFonts w:ascii="Arial" w:hAnsi="Arial" w:eastAsia="Arial"/>
          <w:b/>
          <w:i w:val="0"/>
          <w:color w:val="1F3864"/>
          <w:sz w:val="22"/>
        </w:rPr>
        <w:t xml:space="preserve">R1. </w:t>
      </w:r>
      <w:r>
        <w:rPr>
          <w:rFonts w:ascii="Arial" w:hAnsi="Arial" w:eastAsia="Arial"/>
          <w:b/>
          <w:i w:val="0"/>
          <w:sz w:val="22"/>
        </w:rPr>
        <w:t>The relative sea level of a subsiding Adriatic coast, measured</w:t>
      </w:r>
    </w:p>
    <w:p>
      <w:pPr>
        <w:spacing w:after="100" w:before="0"/>
        <w:ind w:left="283"/>
      </w:pPr>
      <w:r>
        <w:rPr>
          <w:rFonts w:ascii="Arial" w:hAnsi="Arial" w:eastAsia="Arial"/>
          <w:b w:val="0"/>
          <w:i w:val="0"/>
          <w:sz w:val="22"/>
        </w:rPr>
        <w:t>Time series R(t) = η(t) − u_z(t) with uncertainty at every asset, the vertical land motion separated into elastic (reversible) and inelastic (permanent) compaction, the pumping rate the land can sustain, and the coseismic and postseismic motion of 2019. (WP1, D1.1)</w:t>
      </w:r>
    </w:p>
    <w:p>
      <w:pPr>
        <w:keepNext/>
        <w:spacing w:after="40" w:before="0"/>
      </w:pPr>
      <w:r>
        <w:rPr>
          <w:rFonts w:ascii="Arial" w:hAnsi="Arial" w:eastAsia="Arial"/>
          <w:b/>
          <w:i w:val="0"/>
          <w:color w:val="1F3864"/>
          <w:sz w:val="22"/>
        </w:rPr>
        <w:t xml:space="preserve">R2. </w:t>
      </w:r>
      <w:r>
        <w:rPr>
          <w:rFonts w:ascii="Arial" w:hAnsi="Arial" w:eastAsia="Arial"/>
          <w:b/>
          <w:i w:val="0"/>
          <w:sz w:val="22"/>
        </w:rPr>
        <w:t>The first coupled model of intrusion, liquefaction and extreme sea level through their shared variables</w:t>
      </w:r>
    </w:p>
    <w:p>
      <w:pPr>
        <w:spacing w:after="100" w:before="0"/>
        <w:ind w:left="283"/>
      </w:pPr>
      <w:r>
        <w:rPr>
          <w:rFonts w:ascii="Arial" w:hAnsi="Arial" w:eastAsia="Arial"/>
          <w:b w:val="0"/>
          <w:i w:val="0"/>
          <w:sz w:val="22"/>
        </w:rPr>
        <w:t>One calibrated model in which relative sea level and the water table drive all three hazards, including the water-table-dependent factor of safety FS(x, t) = CRR / CSR(z_w(x, t)); the first quantification, at one site, of how pumping moves the three hazards in opposite directions. (WP2, D2.1)</w:t>
      </w:r>
    </w:p>
    <w:p>
      <w:pPr>
        <w:keepNext/>
        <w:spacing w:after="40" w:before="0"/>
      </w:pPr>
      <w:r>
        <w:rPr>
          <w:rFonts w:ascii="Arial" w:hAnsi="Arial" w:eastAsia="Arial"/>
          <w:b/>
          <w:i w:val="0"/>
          <w:color w:val="1F3864"/>
          <w:sz w:val="22"/>
        </w:rPr>
        <w:t xml:space="preserve">R3. </w:t>
      </w:r>
      <w:r>
        <w:rPr>
          <w:rFonts w:ascii="Arial" w:hAnsi="Arial" w:eastAsia="Arial"/>
          <w:b/>
          <w:i w:val="0"/>
          <w:sz w:val="22"/>
        </w:rPr>
        <w:t>Certified alarms with proofs</w:t>
      </w:r>
    </w:p>
    <w:p>
      <w:pPr>
        <w:spacing w:after="100" w:before="0"/>
        <w:ind w:left="283"/>
      </w:pPr>
      <w:r>
        <w:rPr>
          <w:rFonts w:ascii="Arial" w:hAnsi="Arial" w:eastAsia="Arial"/>
          <w:b w:val="0"/>
          <w:i w:val="0"/>
          <w:sz w:val="22"/>
        </w:rPr>
        <w:t>Alarm margins combining a surrogate error bound, online conformal risk control and an extreme-aware term, with proofs that the miss rate of each alarm and the joint miss rate are bounded, and back-testing over the historical record and storylines beyond it. (WP3, D3.1, D3.2)</w:t>
      </w:r>
    </w:p>
    <w:p>
      <w:pPr>
        <w:keepNext/>
        <w:spacing w:after="40" w:before="0"/>
      </w:pPr>
      <w:r>
        <w:rPr>
          <w:rFonts w:ascii="Arial" w:hAnsi="Arial" w:eastAsia="Arial"/>
          <w:b/>
          <w:i w:val="0"/>
          <w:color w:val="1F3864"/>
          <w:sz w:val="22"/>
        </w:rPr>
        <w:t xml:space="preserve">R4. </w:t>
      </w:r>
      <w:r>
        <w:rPr>
          <w:rFonts w:ascii="Arial" w:hAnsi="Arial" w:eastAsia="Arial"/>
          <w:b/>
          <w:i w:val="0"/>
          <w:sz w:val="22"/>
        </w:rPr>
        <w:t>Seismic velocity as a pore-pressure sensor in saturated coastal sediments</w:t>
      </w:r>
    </w:p>
    <w:p>
      <w:pPr>
        <w:spacing w:after="100" w:before="0"/>
        <w:ind w:left="283"/>
      </w:pPr>
      <w:r>
        <w:rPr>
          <w:rFonts w:ascii="Arial" w:hAnsi="Arial" w:eastAsia="Arial"/>
          <w:b w:val="0"/>
          <w:i w:val="0"/>
          <w:sz w:val="22"/>
        </w:rPr>
        <w:t>A calibrated relation between seismic velocity change and water-table depth at the port or landfall, moving a method proven in dry and inland basins to the coastal setting where it matters for liquefaction. (WP4, T4.4)</w:t>
      </w:r>
    </w:p>
    <w:p>
      <w:pPr>
        <w:keepNext/>
        <w:spacing w:after="40" w:before="0"/>
      </w:pPr>
      <w:r>
        <w:rPr>
          <w:rFonts w:ascii="Arial" w:hAnsi="Arial" w:eastAsia="Arial"/>
          <w:b/>
          <w:i w:val="0"/>
          <w:color w:val="1F3864"/>
          <w:sz w:val="22"/>
        </w:rPr>
        <w:t xml:space="preserve">R5. </w:t>
      </w:r>
      <w:r>
        <w:rPr>
          <w:rFonts w:ascii="Arial" w:hAnsi="Arial" w:eastAsia="Arial"/>
          <w:b/>
          <w:i w:val="0"/>
          <w:sz w:val="22"/>
        </w:rPr>
        <w:t>The value of each sensor type for the warnings</w:t>
      </w:r>
    </w:p>
    <w:p>
      <w:pPr>
        <w:spacing w:after="100" w:before="0"/>
        <w:ind w:left="283"/>
      </w:pPr>
      <w:r>
        <w:rPr>
          <w:rFonts w:ascii="Arial" w:hAnsi="Arial" w:eastAsia="Arial"/>
          <w:b w:val="0"/>
          <w:i w:val="0"/>
          <w:sz w:val="22"/>
        </w:rPr>
        <w:t>A ranking of piezometers, chloride samples, GNSS, InSAR, seismic noise, nodes and fibre by how much each reduces the miss probability of the three warnings per unit cost, the first such multi-hazard design. (WP4, D4.1)</w:t>
      </w:r>
    </w:p>
    <w:p>
      <w:pPr>
        <w:keepNext/>
        <w:spacing w:after="120" w:before="120"/>
      </w:pPr>
      <w:r>
        <w:rPr>
          <w:rFonts w:ascii="Arial" w:hAnsi="Arial" w:eastAsia="Arial"/>
          <w:b/>
          <w:i w:val="0"/>
          <w:color w:val="1F3864"/>
          <w:sz w:val="27"/>
        </w:rPr>
        <w:t>2. Technological results</w:t>
      </w:r>
    </w:p>
    <w:p>
      <w:pPr>
        <w:keepNext/>
        <w:spacing w:after="40" w:before="0"/>
      </w:pPr>
      <w:r>
        <w:rPr>
          <w:rFonts w:ascii="Arial" w:hAnsi="Arial" w:eastAsia="Arial"/>
          <w:b/>
          <w:i w:val="0"/>
          <w:color w:val="1F3864"/>
          <w:sz w:val="22"/>
        </w:rPr>
        <w:t xml:space="preserve">R6. </w:t>
      </w:r>
      <w:r>
        <w:rPr>
          <w:rFonts w:ascii="Arial" w:hAnsi="Arial" w:eastAsia="Arial"/>
          <w:b/>
          <w:i w:val="0"/>
          <w:sz w:val="22"/>
        </w:rPr>
        <w:t>A monitoring network designed for the warnings</w:t>
      </w:r>
    </w:p>
    <w:p>
      <w:pPr>
        <w:spacing w:after="100" w:before="0"/>
        <w:ind w:left="283"/>
      </w:pPr>
      <w:r>
        <w:rPr>
          <w:rFonts w:ascii="Arial" w:hAnsi="Arial" w:eastAsia="Arial"/>
          <w:b w:val="0"/>
          <w:i w:val="0"/>
          <w:sz w:val="22"/>
        </w:rPr>
        <w:t>Piezometers with conductivity loggers, chloride sampling points, GNSS and corner reflectors, seismic sensors and, where access is granted, fibre-optic sensing, installed, streaming and handed over to the operators. (WP4, D4.2)</w:t>
      </w:r>
    </w:p>
    <w:p>
      <w:pPr>
        <w:keepNext/>
        <w:spacing w:after="40" w:before="0"/>
      </w:pPr>
      <w:r>
        <w:rPr>
          <w:rFonts w:ascii="Arial" w:hAnsi="Arial" w:eastAsia="Arial"/>
          <w:b/>
          <w:i w:val="0"/>
          <w:color w:val="1F3864"/>
          <w:sz w:val="22"/>
        </w:rPr>
        <w:t xml:space="preserve">R7. </w:t>
      </w:r>
      <w:r>
        <w:rPr>
          <w:rFonts w:ascii="Arial" w:hAnsi="Arial" w:eastAsia="Arial"/>
          <w:b/>
          <w:i w:val="0"/>
          <w:sz w:val="22"/>
        </w:rPr>
        <w:t>A certified fast surrogate of the coupled model</w:t>
      </w:r>
    </w:p>
    <w:p>
      <w:pPr>
        <w:spacing w:after="100" w:before="0"/>
        <w:ind w:left="283"/>
      </w:pPr>
      <w:r>
        <w:rPr>
          <w:rFonts w:ascii="Arial" w:hAnsi="Arial" w:eastAsia="Arial"/>
          <w:b w:val="0"/>
          <w:i w:val="0"/>
          <w:sz w:val="22"/>
        </w:rPr>
        <w:t>A neural or kernel operator that runs thousands of storylines per day with an error bound attached to each forecast. (WP2, D2.2)</w:t>
      </w:r>
    </w:p>
    <w:p>
      <w:pPr>
        <w:keepNext/>
        <w:spacing w:after="40" w:before="0"/>
      </w:pPr>
      <w:r>
        <w:rPr>
          <w:rFonts w:ascii="Arial" w:hAnsi="Arial" w:eastAsia="Arial"/>
          <w:b/>
          <w:i w:val="0"/>
          <w:color w:val="1F3864"/>
          <w:sz w:val="22"/>
        </w:rPr>
        <w:t xml:space="preserve">R8. </w:t>
      </w:r>
      <w:r>
        <w:rPr>
          <w:rFonts w:ascii="Arial" w:hAnsi="Arial" w:eastAsia="Arial"/>
          <w:b/>
          <w:i w:val="0"/>
          <w:sz w:val="22"/>
        </w:rPr>
        <w:t>The CERTAIN-COAST warning system</w:t>
      </w:r>
    </w:p>
    <w:p>
      <w:pPr>
        <w:spacing w:after="100" w:before="0"/>
        <w:ind w:left="283"/>
      </w:pPr>
      <w:r>
        <w:rPr>
          <w:rFonts w:ascii="Arial" w:hAnsi="Arial" w:eastAsia="Arial"/>
          <w:b w:val="0"/>
          <w:i w:val="0"/>
          <w:sz w:val="22"/>
        </w:rPr>
        <w:t>The operational chain from data to bulletin: assimilation, surrogate forecast, certified margin, alarm and bulletin to each end user, released as open software with documentation and the project data. (WP5, WP6, D6.1)</w:t>
      </w:r>
    </w:p>
    <w:p>
      <w:pPr>
        <w:keepNext/>
        <w:spacing w:after="120" w:before="120"/>
      </w:pPr>
      <w:r>
        <w:rPr>
          <w:rFonts w:ascii="Arial" w:hAnsi="Arial" w:eastAsia="Arial"/>
          <w:b/>
          <w:i w:val="0"/>
          <w:color w:val="1F3864"/>
          <w:sz w:val="27"/>
        </w:rPr>
        <w:t>3. Operational results for the end users</w:t>
      </w:r>
    </w:p>
    <w:p>
      <w:pPr>
        <w:keepNext/>
        <w:spacing w:after="40" w:before="0"/>
      </w:pPr>
      <w:r>
        <w:rPr>
          <w:rFonts w:ascii="Arial" w:hAnsi="Arial" w:eastAsia="Arial"/>
          <w:b/>
          <w:i w:val="0"/>
          <w:color w:val="1F3864"/>
          <w:sz w:val="22"/>
        </w:rPr>
        <w:t xml:space="preserve">R9. </w:t>
      </w:r>
      <w:r>
        <w:rPr>
          <w:rFonts w:ascii="Arial" w:hAnsi="Arial" w:eastAsia="Arial"/>
          <w:b/>
          <w:i w:val="0"/>
          <w:sz w:val="22"/>
        </w:rPr>
        <w:t>Twelve months of live operation</w:t>
      </w:r>
    </w:p>
    <w:p>
      <w:pPr>
        <w:spacing w:after="100" w:before="0"/>
        <w:ind w:left="283"/>
      </w:pPr>
      <w:r>
        <w:rPr>
          <w:rFonts w:ascii="Arial" w:hAnsi="Arial" w:eastAsia="Arial"/>
          <w:b w:val="0"/>
          <w:i w:val="0"/>
          <w:sz w:val="22"/>
        </w:rPr>
        <w:t>Bulletins issued to the water utility, the port authority, the landfall operator and civil protection, each logged with its outcome, so that the certified miss rates can be checked in practice. (WP5, D5.1)</w:t>
      </w:r>
    </w:p>
    <w:p>
      <w:pPr>
        <w:keepNext/>
        <w:spacing w:after="40" w:before="0"/>
      </w:pPr>
      <w:r>
        <w:rPr>
          <w:rFonts w:ascii="Arial" w:hAnsi="Arial" w:eastAsia="Arial"/>
          <w:b/>
          <w:i w:val="0"/>
          <w:color w:val="1F3864"/>
          <w:sz w:val="22"/>
        </w:rPr>
        <w:t xml:space="preserve">R10. </w:t>
      </w:r>
      <w:r>
        <w:rPr>
          <w:rFonts w:ascii="Arial" w:hAnsi="Arial" w:eastAsia="Arial"/>
          <w:b/>
          <w:i w:val="0"/>
          <w:sz w:val="22"/>
        </w:rPr>
        <w:t>A pumping rule that is safe for all three hazards</w:t>
      </w:r>
    </w:p>
    <w:p>
      <w:pPr>
        <w:spacing w:after="100" w:before="0"/>
        <w:ind w:left="283"/>
      </w:pPr>
      <w:r>
        <w:rPr>
          <w:rFonts w:ascii="Arial" w:hAnsi="Arial" w:eastAsia="Arial"/>
          <w:b w:val="0"/>
          <w:i w:val="0"/>
          <w:sz w:val="22"/>
        </w:rPr>
        <w:t>An operating rule for the wellfields, agreed with the utility, that keeps the intrusion, liquefaction and extreme-sea-level alarms within their targets together. (WP5, T5.3)</w:t>
      </w:r>
    </w:p>
    <w:p>
      <w:pPr>
        <w:keepNext/>
        <w:spacing w:after="40" w:before="0"/>
      </w:pPr>
      <w:r>
        <w:rPr>
          <w:rFonts w:ascii="Arial" w:hAnsi="Arial" w:eastAsia="Arial"/>
          <w:b/>
          <w:i w:val="0"/>
          <w:color w:val="1F3864"/>
          <w:sz w:val="22"/>
        </w:rPr>
        <w:t xml:space="preserve">R11. </w:t>
      </w:r>
      <w:r>
        <w:rPr>
          <w:rFonts w:ascii="Arial" w:hAnsi="Arial" w:eastAsia="Arial"/>
          <w:b/>
          <w:i w:val="0"/>
          <w:sz w:val="22"/>
        </w:rPr>
        <w:t>A post-event protocol</w:t>
      </w:r>
    </w:p>
    <w:p>
      <w:pPr>
        <w:spacing w:after="100" w:before="0"/>
        <w:ind w:left="283"/>
      </w:pPr>
      <w:r>
        <w:rPr>
          <w:rFonts w:ascii="Arial" w:hAnsi="Arial" w:eastAsia="Arial"/>
          <w:b w:val="0"/>
          <w:i w:val="0"/>
          <w:sz w:val="22"/>
        </w:rPr>
        <w:t>Measurements of heads, conductivity, chloride, ground motion and seismic velocity within days of a strong earthquake or surge, turning each event into data for the system. (WP5, T5.4)</w:t>
      </w:r>
    </w:p>
    <w:p>
      <w:pPr>
        <w:keepNext/>
        <w:spacing w:after="120" w:before="120"/>
      </w:pPr>
      <w:r>
        <w:rPr>
          <w:rFonts w:ascii="Arial" w:hAnsi="Arial" w:eastAsia="Arial"/>
          <w:b/>
          <w:i w:val="0"/>
          <w:color w:val="1F3864"/>
          <w:sz w:val="27"/>
        </w:rPr>
        <w:t>4. Capacity and policy results</w:t>
      </w:r>
    </w:p>
    <w:p>
      <w:pPr>
        <w:keepNext/>
        <w:spacing w:after="40" w:before="0"/>
      </w:pPr>
      <w:r>
        <w:rPr>
          <w:rFonts w:ascii="Arial" w:hAnsi="Arial" w:eastAsia="Arial"/>
          <w:b/>
          <w:i w:val="0"/>
          <w:color w:val="1F3864"/>
          <w:sz w:val="22"/>
        </w:rPr>
        <w:t xml:space="preserve">R12. </w:t>
      </w:r>
      <w:r>
        <w:rPr>
          <w:rFonts w:ascii="Arial" w:hAnsi="Arial" w:eastAsia="Arial"/>
          <w:b/>
          <w:i w:val="0"/>
          <w:sz w:val="22"/>
        </w:rPr>
        <w:t>People who can run and develop the system</w:t>
      </w:r>
    </w:p>
    <w:p>
      <w:pPr>
        <w:spacing w:after="100" w:before="0"/>
        <w:ind w:left="283"/>
      </w:pPr>
      <w:r>
        <w:rPr>
          <w:rFonts w:ascii="Arial" w:hAnsi="Arial" w:eastAsia="Arial"/>
          <w:b w:val="0"/>
          <w:i w:val="0"/>
          <w:sz w:val="22"/>
        </w:rPr>
        <w:t>Early-career researchers trained by doing the work, and staff of the operators and civil protection trained to run the system without the project team. (WP6, T6.1, T6.2)</w:t>
      </w:r>
    </w:p>
    <w:p>
      <w:pPr>
        <w:keepNext/>
        <w:spacing w:after="40" w:before="0"/>
      </w:pPr>
      <w:r>
        <w:rPr>
          <w:rFonts w:ascii="Arial" w:hAnsi="Arial" w:eastAsia="Arial"/>
          <w:b/>
          <w:i w:val="0"/>
          <w:color w:val="1F3864"/>
          <w:sz w:val="22"/>
        </w:rPr>
        <w:t xml:space="preserve">R13. </w:t>
      </w:r>
      <w:r>
        <w:rPr>
          <w:rFonts w:ascii="Arial" w:hAnsi="Arial" w:eastAsia="Arial"/>
          <w:b/>
          <w:i w:val="0"/>
          <w:sz w:val="22"/>
        </w:rPr>
        <w:t>Procedures and a policy brief</w:t>
      </w:r>
    </w:p>
    <w:p>
      <w:pPr>
        <w:spacing w:after="100" w:before="0"/>
        <w:ind w:left="283"/>
      </w:pPr>
      <w:r>
        <w:rPr>
          <w:rFonts w:ascii="Arial" w:hAnsi="Arial" w:eastAsia="Arial"/>
          <w:b w:val="0"/>
          <w:i w:val="0"/>
          <w:sz w:val="22"/>
        </w:rPr>
        <w:t>Operating procedures adopted by the operators of the wellfields, the port and the landfall, and a policy brief for the national authorities on coastal subsidence, water supply and critical-infrastructure protection. (WP6, D6.2)</w:t>
      </w:r>
    </w:p>
    <w:p>
      <w:pPr>
        <w:keepNext/>
        <w:spacing w:after="120" w:before="160"/>
      </w:pPr>
      <w:r>
        <w:rPr>
          <w:rFonts w:ascii="Arial" w:hAnsi="Arial" w:eastAsia="Arial"/>
          <w:b/>
          <w:i w:val="0"/>
          <w:color w:val="1F3864"/>
          <w:sz w:val="27"/>
        </w:rPr>
        <w:t>5. Results at a glance</w:t>
      </w:r>
    </w:p>
    <w:tbl>
      <w:tblPr>
        <w:tblStyle w:val="TableGrid"/>
        <w:tblW w:type="auto" w:w="0"/>
        <w:jc w:val="center"/>
        <w:tblLayout w:type="fixed"/>
        <w:tblLook w:firstColumn="1" w:firstRow="1" w:lastColumn="0" w:lastRow="0" w:noHBand="0" w:noVBand="1" w:val="04A0"/>
        <w:tblLayout w:type="fixed"/>
      </w:tblPr>
      <w:tblGrid>
        <w:gridCol w:w="624"/>
        <w:gridCol w:w="2268"/>
        <w:gridCol w:w="1531"/>
        <w:gridCol w:w="2948"/>
        <w:gridCol w:w="2268"/>
      </w:tblGrid>
      <w:tr>
        <w:trPr>
          <w:cantSplit/>
        </w:trPr>
        <w:tc>
          <w:tcPr>
            <w:tcW w:type="dxa" w:w="624"/>
            <w:shd w:val="clear" w:color="auto" w:fill="1F3864"/>
          </w:tcPr>
          <w:p>
            <w:r/>
            <w:r>
              <w:rPr>
                <w:rFonts w:ascii="Arial" w:hAnsi="Arial" w:eastAsia="Arial"/>
                <w:b/>
                <w:i w:val="0"/>
                <w:color w:val="FFFFFF"/>
                <w:sz w:val="19"/>
              </w:rPr>
            </w:r>
          </w:p>
        </w:tc>
        <w:tc>
          <w:tcPr>
            <w:tcW w:type="dxa" w:w="2268"/>
            <w:shd w:val="clear" w:color="auto" w:fill="1F3864"/>
          </w:tcPr>
          <w:p>
            <w:r/>
            <w:r>
              <w:rPr>
                <w:rFonts w:ascii="Arial" w:hAnsi="Arial" w:eastAsia="Arial"/>
                <w:b/>
                <w:i w:val="0"/>
                <w:color w:val="FFFFFF"/>
                <w:sz w:val="19"/>
              </w:rPr>
              <w:t>Result</w:t>
            </w:r>
          </w:p>
        </w:tc>
        <w:tc>
          <w:tcPr>
            <w:tcW w:type="dxa" w:w="1531"/>
            <w:shd w:val="clear" w:color="auto" w:fill="1F3864"/>
          </w:tcPr>
          <w:p>
            <w:r/>
            <w:r>
              <w:rPr>
                <w:rFonts w:ascii="Arial" w:hAnsi="Arial" w:eastAsia="Arial"/>
                <w:b/>
                <w:i w:val="0"/>
                <w:color w:val="FFFFFF"/>
                <w:sz w:val="19"/>
              </w:rPr>
              <w:t>Where and when</w:t>
            </w:r>
          </w:p>
        </w:tc>
        <w:tc>
          <w:tcPr>
            <w:tcW w:type="dxa" w:w="2948"/>
            <w:shd w:val="clear" w:color="auto" w:fill="1F3864"/>
          </w:tcPr>
          <w:p>
            <w:r/>
            <w:r>
              <w:rPr>
                <w:rFonts w:ascii="Arial" w:hAnsi="Arial" w:eastAsia="Arial"/>
                <w:b/>
                <w:i w:val="0"/>
                <w:color w:val="FFFFFF"/>
                <w:sz w:val="19"/>
              </w:rPr>
              <w:t>Measure of success</w:t>
            </w:r>
          </w:p>
        </w:tc>
        <w:tc>
          <w:tcPr>
            <w:tcW w:type="dxa" w:w="2268"/>
            <w:shd w:val="clear" w:color="auto" w:fill="1F3864"/>
          </w:tcPr>
          <w:p>
            <w:r/>
            <w:r>
              <w:rPr>
                <w:rFonts w:ascii="Arial" w:hAnsi="Arial" w:eastAsia="Arial"/>
                <w:b/>
                <w:i w:val="0"/>
                <w:color w:val="FFFFFF"/>
                <w:sz w:val="19"/>
              </w:rPr>
              <w:t>End user</w:t>
            </w:r>
          </w:p>
        </w:tc>
      </w:tr>
      <w:tr>
        <w:trPr>
          <w:cantSplit/>
        </w:trPr>
        <w:tc>
          <w:tcPr>
            <w:tcW w:type="dxa" w:w="624"/>
          </w:tcPr>
          <w:p>
            <w:r/>
            <w:r>
              <w:rPr>
                <w:rFonts w:ascii="Arial" w:hAnsi="Arial" w:eastAsia="Arial"/>
                <w:b w:val="0"/>
                <w:i w:val="0"/>
                <w:sz w:val="19"/>
              </w:rPr>
              <w:t>R1</w:t>
            </w:r>
          </w:p>
        </w:tc>
        <w:tc>
          <w:tcPr>
            <w:tcW w:type="dxa" w:w="2268"/>
          </w:tcPr>
          <w:p>
            <w:r/>
            <w:r>
              <w:rPr>
                <w:rFonts w:ascii="Arial" w:hAnsi="Arial" w:eastAsia="Arial"/>
                <w:b w:val="0"/>
                <w:i w:val="0"/>
                <w:sz w:val="19"/>
              </w:rPr>
              <w:t>Relative sea level and land motion at the assets</w:t>
            </w:r>
          </w:p>
        </w:tc>
        <w:tc>
          <w:tcPr>
            <w:tcW w:type="dxa" w:w="1531"/>
          </w:tcPr>
          <w:p>
            <w:r/>
            <w:r>
              <w:rPr>
                <w:rFonts w:ascii="Arial" w:hAnsi="Arial" w:eastAsia="Arial"/>
                <w:b w:val="0"/>
                <w:i w:val="0"/>
                <w:sz w:val="19"/>
              </w:rPr>
              <w:t>D1.1, M12</w:t>
            </w:r>
          </w:p>
        </w:tc>
        <w:tc>
          <w:tcPr>
            <w:tcW w:type="dxa" w:w="2948"/>
          </w:tcPr>
          <w:p>
            <w:r/>
            <w:r>
              <w:rPr>
                <w:rFonts w:ascii="Arial" w:hAnsi="Arial" w:eastAsia="Arial"/>
                <w:b w:val="0"/>
                <w:i w:val="0"/>
                <w:sz w:val="19"/>
              </w:rPr>
              <w:t>Vertical-velocity uncertainty of the order of 1–2 mm/yr at asset points</w:t>
            </w:r>
          </w:p>
        </w:tc>
        <w:tc>
          <w:tcPr>
            <w:tcW w:type="dxa" w:w="2268"/>
          </w:tcPr>
          <w:p>
            <w:r/>
            <w:r>
              <w:rPr>
                <w:rFonts w:ascii="Arial" w:hAnsi="Arial" w:eastAsia="Arial"/>
                <w:b w:val="0"/>
                <w:i w:val="0"/>
                <w:sz w:val="19"/>
              </w:rPr>
              <w:t>All operators; authorities</w:t>
            </w:r>
          </w:p>
        </w:tc>
      </w:tr>
      <w:tr>
        <w:trPr>
          <w:cantSplit/>
        </w:trPr>
        <w:tc>
          <w:tcPr>
            <w:tcW w:type="dxa" w:w="624"/>
          </w:tcPr>
          <w:p>
            <w:r/>
            <w:r>
              <w:rPr>
                <w:rFonts w:ascii="Arial" w:hAnsi="Arial" w:eastAsia="Arial"/>
                <w:b w:val="0"/>
                <w:i w:val="0"/>
                <w:sz w:val="19"/>
              </w:rPr>
              <w:t>R2</w:t>
            </w:r>
          </w:p>
        </w:tc>
        <w:tc>
          <w:tcPr>
            <w:tcW w:type="dxa" w:w="2268"/>
          </w:tcPr>
          <w:p>
            <w:r/>
            <w:r>
              <w:rPr>
                <w:rFonts w:ascii="Arial" w:hAnsi="Arial" w:eastAsia="Arial"/>
                <w:b w:val="0"/>
                <w:i w:val="0"/>
                <w:sz w:val="19"/>
              </w:rPr>
              <w:t>Coupled model of the three hazards</w:t>
            </w:r>
          </w:p>
        </w:tc>
        <w:tc>
          <w:tcPr>
            <w:tcW w:type="dxa" w:w="1531"/>
          </w:tcPr>
          <w:p>
            <w:r/>
            <w:r>
              <w:rPr>
                <w:rFonts w:ascii="Arial" w:hAnsi="Arial" w:eastAsia="Arial"/>
                <w:b w:val="0"/>
                <w:i w:val="0"/>
                <w:sz w:val="19"/>
              </w:rPr>
              <w:t>D2.1, M18</w:t>
            </w:r>
          </w:p>
        </w:tc>
        <w:tc>
          <w:tcPr>
            <w:tcW w:type="dxa" w:w="2948"/>
          </w:tcPr>
          <w:p>
            <w:r/>
            <w:r>
              <w:rPr>
                <w:rFonts w:ascii="Arial" w:hAnsi="Arial" w:eastAsia="Arial"/>
                <w:b w:val="0"/>
                <w:i w:val="0"/>
                <w:sz w:val="19"/>
              </w:rPr>
              <w:t>Held-out observations reproduced within stated uncertainty</w:t>
            </w:r>
          </w:p>
        </w:tc>
        <w:tc>
          <w:tcPr>
            <w:tcW w:type="dxa" w:w="2268"/>
          </w:tcPr>
          <w:p>
            <w:r/>
            <w:r>
              <w:rPr>
                <w:rFonts w:ascii="Arial" w:hAnsi="Arial" w:eastAsia="Arial"/>
                <w:b w:val="0"/>
                <w:i w:val="0"/>
                <w:sz w:val="19"/>
              </w:rPr>
              <w:t>Project; utility</w:t>
            </w:r>
          </w:p>
        </w:tc>
      </w:tr>
      <w:tr>
        <w:trPr>
          <w:cantSplit/>
        </w:trPr>
        <w:tc>
          <w:tcPr>
            <w:tcW w:type="dxa" w:w="624"/>
          </w:tcPr>
          <w:p>
            <w:r/>
            <w:r>
              <w:rPr>
                <w:rFonts w:ascii="Arial" w:hAnsi="Arial" w:eastAsia="Arial"/>
                <w:b w:val="0"/>
                <w:i w:val="0"/>
                <w:sz w:val="19"/>
              </w:rPr>
              <w:t>R3</w:t>
            </w:r>
          </w:p>
        </w:tc>
        <w:tc>
          <w:tcPr>
            <w:tcW w:type="dxa" w:w="2268"/>
          </w:tcPr>
          <w:p>
            <w:r/>
            <w:r>
              <w:rPr>
                <w:rFonts w:ascii="Arial" w:hAnsi="Arial" w:eastAsia="Arial"/>
                <w:b w:val="0"/>
                <w:i w:val="0"/>
                <w:sz w:val="19"/>
              </w:rPr>
              <w:t>Certified alarms with proofs</w:t>
            </w:r>
          </w:p>
        </w:tc>
        <w:tc>
          <w:tcPr>
            <w:tcW w:type="dxa" w:w="1531"/>
          </w:tcPr>
          <w:p>
            <w:r/>
            <w:r>
              <w:rPr>
                <w:rFonts w:ascii="Arial" w:hAnsi="Arial" w:eastAsia="Arial"/>
                <w:b w:val="0"/>
                <w:i w:val="0"/>
                <w:sz w:val="19"/>
              </w:rPr>
              <w:t>D3.1–D3.2, M24–27</w:t>
            </w:r>
          </w:p>
        </w:tc>
        <w:tc>
          <w:tcPr>
            <w:tcW w:type="dxa" w:w="2948"/>
          </w:tcPr>
          <w:p>
            <w:r/>
            <w:r>
              <w:rPr>
                <w:rFonts w:ascii="Arial" w:hAnsi="Arial" w:eastAsia="Arial"/>
                <w:b w:val="0"/>
                <w:i w:val="0"/>
                <w:sz w:val="19"/>
              </w:rPr>
              <w:t>Miss rate of each alarm ≤ α_k (indicatively 5–10%) in back-testing; joint miss ≤ Σα_k</w:t>
            </w:r>
          </w:p>
        </w:tc>
        <w:tc>
          <w:tcPr>
            <w:tcW w:type="dxa" w:w="2268"/>
          </w:tcPr>
          <w:p>
            <w:r/>
            <w:r>
              <w:rPr>
                <w:rFonts w:ascii="Arial" w:hAnsi="Arial" w:eastAsia="Arial"/>
                <w:b w:val="0"/>
                <w:i w:val="0"/>
                <w:sz w:val="19"/>
              </w:rPr>
              <w:t>All operators</w:t>
            </w:r>
          </w:p>
        </w:tc>
      </w:tr>
      <w:tr>
        <w:trPr>
          <w:cantSplit/>
        </w:trPr>
        <w:tc>
          <w:tcPr>
            <w:tcW w:type="dxa" w:w="624"/>
          </w:tcPr>
          <w:p>
            <w:r/>
            <w:r>
              <w:rPr>
                <w:rFonts w:ascii="Arial" w:hAnsi="Arial" w:eastAsia="Arial"/>
                <w:b w:val="0"/>
                <w:i w:val="0"/>
                <w:sz w:val="19"/>
              </w:rPr>
              <w:t>R4</w:t>
            </w:r>
          </w:p>
        </w:tc>
        <w:tc>
          <w:tcPr>
            <w:tcW w:type="dxa" w:w="2268"/>
          </w:tcPr>
          <w:p>
            <w:r/>
            <w:r>
              <w:rPr>
                <w:rFonts w:ascii="Arial" w:hAnsi="Arial" w:eastAsia="Arial"/>
                <w:b w:val="0"/>
                <w:i w:val="0"/>
                <w:sz w:val="19"/>
              </w:rPr>
              <w:t>Seismic velocity as pore-pressure sensor</w:t>
            </w:r>
          </w:p>
        </w:tc>
        <w:tc>
          <w:tcPr>
            <w:tcW w:type="dxa" w:w="1531"/>
          </w:tcPr>
          <w:p>
            <w:r/>
            <w:r>
              <w:rPr>
                <w:rFonts w:ascii="Arial" w:hAnsi="Arial" w:eastAsia="Arial"/>
                <w:b w:val="0"/>
                <w:i w:val="0"/>
                <w:sz w:val="19"/>
              </w:rPr>
              <w:t>T4.4, M24</w:t>
            </w:r>
          </w:p>
        </w:tc>
        <w:tc>
          <w:tcPr>
            <w:tcW w:type="dxa" w:w="2948"/>
          </w:tcPr>
          <w:p>
            <w:r/>
            <w:r>
              <w:rPr>
                <w:rFonts w:ascii="Arial" w:hAnsi="Arial" w:eastAsia="Arial"/>
                <w:b w:val="0"/>
                <w:i w:val="0"/>
                <w:sz w:val="19"/>
              </w:rPr>
              <w:t>Calibrated relation with stated uncertainty at the port or landfall</w:t>
            </w:r>
          </w:p>
        </w:tc>
        <w:tc>
          <w:tcPr>
            <w:tcW w:type="dxa" w:w="2268"/>
          </w:tcPr>
          <w:p>
            <w:r/>
            <w:r>
              <w:rPr>
                <w:rFonts w:ascii="Arial" w:hAnsi="Arial" w:eastAsia="Arial"/>
                <w:b w:val="0"/>
                <w:i w:val="0"/>
                <w:sz w:val="19"/>
              </w:rPr>
              <w:t>Port; landfall operator</w:t>
            </w:r>
          </w:p>
        </w:tc>
      </w:tr>
      <w:tr>
        <w:trPr>
          <w:cantSplit/>
        </w:trPr>
        <w:tc>
          <w:tcPr>
            <w:tcW w:type="dxa" w:w="624"/>
          </w:tcPr>
          <w:p>
            <w:r/>
            <w:r>
              <w:rPr>
                <w:rFonts w:ascii="Arial" w:hAnsi="Arial" w:eastAsia="Arial"/>
                <w:b w:val="0"/>
                <w:i w:val="0"/>
                <w:sz w:val="19"/>
              </w:rPr>
              <w:t>R5</w:t>
            </w:r>
          </w:p>
        </w:tc>
        <w:tc>
          <w:tcPr>
            <w:tcW w:type="dxa" w:w="2268"/>
          </w:tcPr>
          <w:p>
            <w:r/>
            <w:r>
              <w:rPr>
                <w:rFonts w:ascii="Arial" w:hAnsi="Arial" w:eastAsia="Arial"/>
                <w:b w:val="0"/>
                <w:i w:val="0"/>
                <w:sz w:val="19"/>
              </w:rPr>
              <w:t>Value of each sensor type</w:t>
            </w:r>
          </w:p>
        </w:tc>
        <w:tc>
          <w:tcPr>
            <w:tcW w:type="dxa" w:w="1531"/>
          </w:tcPr>
          <w:p>
            <w:r/>
            <w:r>
              <w:rPr>
                <w:rFonts w:ascii="Arial" w:hAnsi="Arial" w:eastAsia="Arial"/>
                <w:b w:val="0"/>
                <w:i w:val="0"/>
                <w:sz w:val="19"/>
              </w:rPr>
              <w:t>D4.1, M6</w:t>
            </w:r>
          </w:p>
        </w:tc>
        <w:tc>
          <w:tcPr>
            <w:tcW w:type="dxa" w:w="2948"/>
          </w:tcPr>
          <w:p>
            <w:r/>
            <w:r>
              <w:rPr>
                <w:rFonts w:ascii="Arial" w:hAnsi="Arial" w:eastAsia="Arial"/>
                <w:b w:val="0"/>
                <w:i w:val="0"/>
                <w:sz w:val="19"/>
              </w:rPr>
              <w:t>Ranked design adopted for the network</w:t>
            </w:r>
          </w:p>
        </w:tc>
        <w:tc>
          <w:tcPr>
            <w:tcW w:type="dxa" w:w="2268"/>
          </w:tcPr>
          <w:p>
            <w:r/>
            <w:r>
              <w:rPr>
                <w:rFonts w:ascii="Arial" w:hAnsi="Arial" w:eastAsia="Arial"/>
                <w:b w:val="0"/>
                <w:i w:val="0"/>
                <w:sz w:val="19"/>
              </w:rPr>
              <w:t>Project; operators</w:t>
            </w:r>
          </w:p>
        </w:tc>
      </w:tr>
      <w:tr>
        <w:trPr>
          <w:cantSplit/>
        </w:trPr>
        <w:tc>
          <w:tcPr>
            <w:tcW w:type="dxa" w:w="624"/>
          </w:tcPr>
          <w:p>
            <w:r/>
            <w:r>
              <w:rPr>
                <w:rFonts w:ascii="Arial" w:hAnsi="Arial" w:eastAsia="Arial"/>
                <w:b w:val="0"/>
                <w:i w:val="0"/>
                <w:sz w:val="19"/>
              </w:rPr>
              <w:t>R6</w:t>
            </w:r>
          </w:p>
        </w:tc>
        <w:tc>
          <w:tcPr>
            <w:tcW w:type="dxa" w:w="2268"/>
          </w:tcPr>
          <w:p>
            <w:r/>
            <w:r>
              <w:rPr>
                <w:rFonts w:ascii="Arial" w:hAnsi="Arial" w:eastAsia="Arial"/>
                <w:b w:val="0"/>
                <w:i w:val="0"/>
                <w:sz w:val="19"/>
              </w:rPr>
              <w:t>Monitoring network</w:t>
            </w:r>
          </w:p>
        </w:tc>
        <w:tc>
          <w:tcPr>
            <w:tcW w:type="dxa" w:w="1531"/>
          </w:tcPr>
          <w:p>
            <w:r/>
            <w:r>
              <w:rPr>
                <w:rFonts w:ascii="Arial" w:hAnsi="Arial" w:eastAsia="Arial"/>
                <w:b w:val="0"/>
                <w:i w:val="0"/>
                <w:sz w:val="19"/>
              </w:rPr>
              <w:t>D4.2, M12</w:t>
            </w:r>
          </w:p>
        </w:tc>
        <w:tc>
          <w:tcPr>
            <w:tcW w:type="dxa" w:w="2948"/>
          </w:tcPr>
          <w:p>
            <w:r/>
            <w:r>
              <w:rPr>
                <w:rFonts w:ascii="Arial" w:hAnsi="Arial" w:eastAsia="Arial"/>
                <w:b w:val="0"/>
                <w:i w:val="0"/>
                <w:sz w:val="19"/>
              </w:rPr>
              <w:t>≥ 90% data availability; handed over at M36</w:t>
            </w:r>
          </w:p>
        </w:tc>
        <w:tc>
          <w:tcPr>
            <w:tcW w:type="dxa" w:w="2268"/>
          </w:tcPr>
          <w:p>
            <w:r/>
            <w:r>
              <w:rPr>
                <w:rFonts w:ascii="Arial" w:hAnsi="Arial" w:eastAsia="Arial"/>
                <w:b w:val="0"/>
                <w:i w:val="0"/>
                <w:sz w:val="19"/>
              </w:rPr>
              <w:t>Utility; port; landfall operator</w:t>
            </w:r>
          </w:p>
        </w:tc>
      </w:tr>
      <w:tr>
        <w:trPr>
          <w:cantSplit/>
        </w:trPr>
        <w:tc>
          <w:tcPr>
            <w:tcW w:type="dxa" w:w="624"/>
          </w:tcPr>
          <w:p>
            <w:r/>
            <w:r>
              <w:rPr>
                <w:rFonts w:ascii="Arial" w:hAnsi="Arial" w:eastAsia="Arial"/>
                <w:b w:val="0"/>
                <w:i w:val="0"/>
                <w:sz w:val="19"/>
              </w:rPr>
              <w:t>R7</w:t>
            </w:r>
          </w:p>
        </w:tc>
        <w:tc>
          <w:tcPr>
            <w:tcW w:type="dxa" w:w="2268"/>
          </w:tcPr>
          <w:p>
            <w:r/>
            <w:r>
              <w:rPr>
                <w:rFonts w:ascii="Arial" w:hAnsi="Arial" w:eastAsia="Arial"/>
                <w:b w:val="0"/>
                <w:i w:val="0"/>
                <w:sz w:val="19"/>
              </w:rPr>
              <w:t>Certified surrogate</w:t>
            </w:r>
          </w:p>
        </w:tc>
        <w:tc>
          <w:tcPr>
            <w:tcW w:type="dxa" w:w="1531"/>
          </w:tcPr>
          <w:p>
            <w:r/>
            <w:r>
              <w:rPr>
                <w:rFonts w:ascii="Arial" w:hAnsi="Arial" w:eastAsia="Arial"/>
                <w:b w:val="0"/>
                <w:i w:val="0"/>
                <w:sz w:val="19"/>
              </w:rPr>
              <w:t>D2.2, M22</w:t>
            </w:r>
          </w:p>
        </w:tc>
        <w:tc>
          <w:tcPr>
            <w:tcW w:type="dxa" w:w="2948"/>
          </w:tcPr>
          <w:p>
            <w:r/>
            <w:r>
              <w:rPr>
                <w:rFonts w:ascii="Arial" w:hAnsi="Arial" w:eastAsia="Arial"/>
                <w:b w:val="0"/>
                <w:i w:val="0"/>
                <w:sz w:val="19"/>
              </w:rPr>
              <w:t>Error bound met on the test set; thousands of storylines per day</w:t>
            </w:r>
          </w:p>
        </w:tc>
        <w:tc>
          <w:tcPr>
            <w:tcW w:type="dxa" w:w="2268"/>
          </w:tcPr>
          <w:p>
            <w:r/>
            <w:r>
              <w:rPr>
                <w:rFonts w:ascii="Arial" w:hAnsi="Arial" w:eastAsia="Arial"/>
                <w:b w:val="0"/>
                <w:i w:val="0"/>
                <w:sz w:val="19"/>
              </w:rPr>
              <w:t>Project</w:t>
            </w:r>
          </w:p>
        </w:tc>
      </w:tr>
      <w:tr>
        <w:trPr>
          <w:cantSplit/>
        </w:trPr>
        <w:tc>
          <w:tcPr>
            <w:tcW w:type="dxa" w:w="624"/>
          </w:tcPr>
          <w:p>
            <w:r/>
            <w:r>
              <w:rPr>
                <w:rFonts w:ascii="Arial" w:hAnsi="Arial" w:eastAsia="Arial"/>
                <w:b w:val="0"/>
                <w:i w:val="0"/>
                <w:sz w:val="19"/>
              </w:rPr>
              <w:t>R8</w:t>
            </w:r>
          </w:p>
        </w:tc>
        <w:tc>
          <w:tcPr>
            <w:tcW w:type="dxa" w:w="2268"/>
          </w:tcPr>
          <w:p>
            <w:r/>
            <w:r>
              <w:rPr>
                <w:rFonts w:ascii="Arial" w:hAnsi="Arial" w:eastAsia="Arial"/>
                <w:b w:val="0"/>
                <w:i w:val="0"/>
                <w:sz w:val="19"/>
              </w:rPr>
              <w:t>Warning system, software and data</w:t>
            </w:r>
          </w:p>
        </w:tc>
        <w:tc>
          <w:tcPr>
            <w:tcW w:type="dxa" w:w="1531"/>
          </w:tcPr>
          <w:p>
            <w:r/>
            <w:r>
              <w:rPr>
                <w:rFonts w:ascii="Arial" w:hAnsi="Arial" w:eastAsia="Arial"/>
                <w:b w:val="0"/>
                <w:i w:val="0"/>
                <w:sz w:val="19"/>
              </w:rPr>
              <w:t>D6.1, M33</w:t>
            </w:r>
          </w:p>
        </w:tc>
        <w:tc>
          <w:tcPr>
            <w:tcW w:type="dxa" w:w="2948"/>
          </w:tcPr>
          <w:p>
            <w:r/>
            <w:r>
              <w:rPr>
                <w:rFonts w:ascii="Arial" w:hAnsi="Arial" w:eastAsia="Arial"/>
                <w:b w:val="0"/>
                <w:i w:val="0"/>
                <w:sz w:val="19"/>
              </w:rPr>
              <w:t>Open release with documentation</w:t>
            </w:r>
          </w:p>
        </w:tc>
        <w:tc>
          <w:tcPr>
            <w:tcW w:type="dxa" w:w="2268"/>
          </w:tcPr>
          <w:p>
            <w:r/>
            <w:r>
              <w:rPr>
                <w:rFonts w:ascii="Arial" w:hAnsi="Arial" w:eastAsia="Arial"/>
                <w:b w:val="0"/>
                <w:i w:val="0"/>
                <w:sz w:val="19"/>
              </w:rPr>
              <w:t>Operators; researchers</w:t>
            </w:r>
          </w:p>
        </w:tc>
      </w:tr>
      <w:tr>
        <w:trPr>
          <w:cantSplit/>
        </w:trPr>
        <w:tc>
          <w:tcPr>
            <w:tcW w:type="dxa" w:w="624"/>
          </w:tcPr>
          <w:p>
            <w:r/>
            <w:r>
              <w:rPr>
                <w:rFonts w:ascii="Arial" w:hAnsi="Arial" w:eastAsia="Arial"/>
                <w:b w:val="0"/>
                <w:i w:val="0"/>
                <w:sz w:val="19"/>
              </w:rPr>
              <w:t>R9</w:t>
            </w:r>
          </w:p>
        </w:tc>
        <w:tc>
          <w:tcPr>
            <w:tcW w:type="dxa" w:w="2268"/>
          </w:tcPr>
          <w:p>
            <w:r/>
            <w:r>
              <w:rPr>
                <w:rFonts w:ascii="Arial" w:hAnsi="Arial" w:eastAsia="Arial"/>
                <w:b w:val="0"/>
                <w:i w:val="0"/>
                <w:sz w:val="19"/>
              </w:rPr>
              <w:t>Twelve months of live operation</w:t>
            </w:r>
          </w:p>
        </w:tc>
        <w:tc>
          <w:tcPr>
            <w:tcW w:type="dxa" w:w="1531"/>
          </w:tcPr>
          <w:p>
            <w:r/>
            <w:r>
              <w:rPr>
                <w:rFonts w:ascii="Arial" w:hAnsi="Arial" w:eastAsia="Arial"/>
                <w:b w:val="0"/>
                <w:i w:val="0"/>
                <w:sz w:val="19"/>
              </w:rPr>
              <w:t>D5.1, M34</w:t>
            </w:r>
          </w:p>
        </w:tc>
        <w:tc>
          <w:tcPr>
            <w:tcW w:type="dxa" w:w="2948"/>
          </w:tcPr>
          <w:p>
            <w:r/>
            <w:r>
              <w:rPr>
                <w:rFonts w:ascii="Arial" w:hAnsi="Arial" w:eastAsia="Arial"/>
                <w:b w:val="0"/>
                <w:i w:val="0"/>
                <w:sz w:val="19"/>
              </w:rPr>
              <w:t>Bulletin log; observed miss rates within targets</w:t>
            </w:r>
          </w:p>
        </w:tc>
        <w:tc>
          <w:tcPr>
            <w:tcW w:type="dxa" w:w="2268"/>
          </w:tcPr>
          <w:p>
            <w:r/>
            <w:r>
              <w:rPr>
                <w:rFonts w:ascii="Arial" w:hAnsi="Arial" w:eastAsia="Arial"/>
                <w:b w:val="0"/>
                <w:i w:val="0"/>
                <w:sz w:val="19"/>
              </w:rPr>
              <w:t>Utility; port; landfall operator; civil protection</w:t>
            </w:r>
          </w:p>
        </w:tc>
      </w:tr>
      <w:tr>
        <w:trPr>
          <w:cantSplit/>
        </w:trPr>
        <w:tc>
          <w:tcPr>
            <w:tcW w:type="dxa" w:w="624"/>
          </w:tcPr>
          <w:p>
            <w:r/>
            <w:r>
              <w:rPr>
                <w:rFonts w:ascii="Arial" w:hAnsi="Arial" w:eastAsia="Arial"/>
                <w:b w:val="0"/>
                <w:i w:val="0"/>
                <w:sz w:val="19"/>
              </w:rPr>
              <w:t>R10</w:t>
            </w:r>
          </w:p>
        </w:tc>
        <w:tc>
          <w:tcPr>
            <w:tcW w:type="dxa" w:w="2268"/>
          </w:tcPr>
          <w:p>
            <w:r/>
            <w:r>
              <w:rPr>
                <w:rFonts w:ascii="Arial" w:hAnsi="Arial" w:eastAsia="Arial"/>
                <w:b w:val="0"/>
                <w:i w:val="0"/>
                <w:sz w:val="19"/>
              </w:rPr>
              <w:t>Pumping rule safe for three hazards</w:t>
            </w:r>
          </w:p>
        </w:tc>
        <w:tc>
          <w:tcPr>
            <w:tcW w:type="dxa" w:w="1531"/>
          </w:tcPr>
          <w:p>
            <w:r/>
            <w:r>
              <w:rPr>
                <w:rFonts w:ascii="Arial" w:hAnsi="Arial" w:eastAsia="Arial"/>
                <w:b w:val="0"/>
                <w:i w:val="0"/>
                <w:sz w:val="19"/>
              </w:rPr>
              <w:t>T5.3, M33</w:t>
            </w:r>
          </w:p>
        </w:tc>
        <w:tc>
          <w:tcPr>
            <w:tcW w:type="dxa" w:w="2948"/>
          </w:tcPr>
          <w:p>
            <w:r/>
            <w:r>
              <w:rPr>
                <w:rFonts w:ascii="Arial" w:hAnsi="Arial" w:eastAsia="Arial"/>
                <w:b w:val="0"/>
                <w:i w:val="0"/>
                <w:sz w:val="19"/>
              </w:rPr>
              <w:t>Rule agreed with the utility and documented</w:t>
            </w:r>
          </w:p>
        </w:tc>
        <w:tc>
          <w:tcPr>
            <w:tcW w:type="dxa" w:w="2268"/>
          </w:tcPr>
          <w:p>
            <w:r/>
            <w:r>
              <w:rPr>
                <w:rFonts w:ascii="Arial" w:hAnsi="Arial" w:eastAsia="Arial"/>
                <w:b w:val="0"/>
                <w:i w:val="0"/>
                <w:sz w:val="19"/>
              </w:rPr>
              <w:t>Water utility</w:t>
            </w:r>
          </w:p>
        </w:tc>
      </w:tr>
      <w:tr>
        <w:trPr>
          <w:cantSplit/>
        </w:trPr>
        <w:tc>
          <w:tcPr>
            <w:tcW w:type="dxa" w:w="624"/>
          </w:tcPr>
          <w:p>
            <w:r/>
            <w:r>
              <w:rPr>
                <w:rFonts w:ascii="Arial" w:hAnsi="Arial" w:eastAsia="Arial"/>
                <w:b w:val="0"/>
                <w:i w:val="0"/>
                <w:sz w:val="19"/>
              </w:rPr>
              <w:t>R11</w:t>
            </w:r>
          </w:p>
        </w:tc>
        <w:tc>
          <w:tcPr>
            <w:tcW w:type="dxa" w:w="2268"/>
          </w:tcPr>
          <w:p>
            <w:r/>
            <w:r>
              <w:rPr>
                <w:rFonts w:ascii="Arial" w:hAnsi="Arial" w:eastAsia="Arial"/>
                <w:b w:val="0"/>
                <w:i w:val="0"/>
                <w:sz w:val="19"/>
              </w:rPr>
              <w:t>Post-event protocol</w:t>
            </w:r>
          </w:p>
        </w:tc>
        <w:tc>
          <w:tcPr>
            <w:tcW w:type="dxa" w:w="1531"/>
          </w:tcPr>
          <w:p>
            <w:r/>
            <w:r>
              <w:rPr>
                <w:rFonts w:ascii="Arial" w:hAnsi="Arial" w:eastAsia="Arial"/>
                <w:b w:val="0"/>
                <w:i w:val="0"/>
                <w:sz w:val="19"/>
              </w:rPr>
              <w:t>T5.4, M12–36</w:t>
            </w:r>
          </w:p>
        </w:tc>
        <w:tc>
          <w:tcPr>
            <w:tcW w:type="dxa" w:w="2948"/>
          </w:tcPr>
          <w:p>
            <w:r/>
            <w:r>
              <w:rPr>
                <w:rFonts w:ascii="Arial" w:hAnsi="Arial" w:eastAsia="Arial"/>
                <w:b w:val="0"/>
                <w:i w:val="0"/>
                <w:sz w:val="19"/>
              </w:rPr>
              <w:t>Executed for every triggering event</w:t>
            </w:r>
          </w:p>
        </w:tc>
        <w:tc>
          <w:tcPr>
            <w:tcW w:type="dxa" w:w="2268"/>
          </w:tcPr>
          <w:p>
            <w:r/>
            <w:r>
              <w:rPr>
                <w:rFonts w:ascii="Arial" w:hAnsi="Arial" w:eastAsia="Arial"/>
                <w:b w:val="0"/>
                <w:i w:val="0"/>
                <w:sz w:val="19"/>
              </w:rPr>
              <w:t>Civil protection; operators</w:t>
            </w:r>
          </w:p>
        </w:tc>
      </w:tr>
      <w:tr>
        <w:trPr>
          <w:cantSplit/>
        </w:trPr>
        <w:tc>
          <w:tcPr>
            <w:tcW w:type="dxa" w:w="624"/>
          </w:tcPr>
          <w:p>
            <w:r/>
            <w:r>
              <w:rPr>
                <w:rFonts w:ascii="Arial" w:hAnsi="Arial" w:eastAsia="Arial"/>
                <w:b w:val="0"/>
                <w:i w:val="0"/>
                <w:sz w:val="19"/>
              </w:rPr>
              <w:t>R12</w:t>
            </w:r>
          </w:p>
        </w:tc>
        <w:tc>
          <w:tcPr>
            <w:tcW w:type="dxa" w:w="2268"/>
          </w:tcPr>
          <w:p>
            <w:r/>
            <w:r>
              <w:rPr>
                <w:rFonts w:ascii="Arial" w:hAnsi="Arial" w:eastAsia="Arial"/>
                <w:b w:val="0"/>
                <w:i w:val="0"/>
                <w:sz w:val="19"/>
              </w:rPr>
              <w:t>Trained people</w:t>
            </w:r>
          </w:p>
        </w:tc>
        <w:tc>
          <w:tcPr>
            <w:tcW w:type="dxa" w:w="1531"/>
          </w:tcPr>
          <w:p>
            <w:r/>
            <w:r>
              <w:rPr>
                <w:rFonts w:ascii="Arial" w:hAnsi="Arial" w:eastAsia="Arial"/>
                <w:b w:val="0"/>
                <w:i w:val="0"/>
                <w:sz w:val="19"/>
              </w:rPr>
              <w:t>T6.1–T6.2, M36</w:t>
            </w:r>
          </w:p>
        </w:tc>
        <w:tc>
          <w:tcPr>
            <w:tcW w:type="dxa" w:w="2948"/>
          </w:tcPr>
          <w:p>
            <w:r/>
            <w:r>
              <w:rPr>
                <w:rFonts w:ascii="Arial" w:hAnsi="Arial" w:eastAsia="Arial"/>
                <w:b w:val="0"/>
                <w:i w:val="0"/>
                <w:sz w:val="19"/>
              </w:rPr>
              <w:t>Indicatively ≥ 6 early-career researchers and ≥ 20 operator staff</w:t>
            </w:r>
          </w:p>
        </w:tc>
        <w:tc>
          <w:tcPr>
            <w:tcW w:type="dxa" w:w="2268"/>
          </w:tcPr>
          <w:p>
            <w:r/>
            <w:r>
              <w:rPr>
                <w:rFonts w:ascii="Arial" w:hAnsi="Arial" w:eastAsia="Arial"/>
                <w:b w:val="0"/>
                <w:i w:val="0"/>
                <w:sz w:val="19"/>
              </w:rPr>
              <w:t>Partner institutions; operators</w:t>
            </w:r>
          </w:p>
        </w:tc>
      </w:tr>
      <w:tr>
        <w:trPr>
          <w:cantSplit/>
        </w:trPr>
        <w:tc>
          <w:tcPr>
            <w:tcW w:type="dxa" w:w="624"/>
          </w:tcPr>
          <w:p>
            <w:r/>
            <w:r>
              <w:rPr>
                <w:rFonts w:ascii="Arial" w:hAnsi="Arial" w:eastAsia="Arial"/>
                <w:b w:val="0"/>
                <w:i w:val="0"/>
                <w:sz w:val="19"/>
              </w:rPr>
              <w:t>R13</w:t>
            </w:r>
          </w:p>
        </w:tc>
        <w:tc>
          <w:tcPr>
            <w:tcW w:type="dxa" w:w="2268"/>
          </w:tcPr>
          <w:p>
            <w:r/>
            <w:r>
              <w:rPr>
                <w:rFonts w:ascii="Arial" w:hAnsi="Arial" w:eastAsia="Arial"/>
                <w:b w:val="0"/>
                <w:i w:val="0"/>
                <w:sz w:val="19"/>
              </w:rPr>
              <w:t>Procedures and policy brief</w:t>
            </w:r>
          </w:p>
        </w:tc>
        <w:tc>
          <w:tcPr>
            <w:tcW w:type="dxa" w:w="1531"/>
          </w:tcPr>
          <w:p>
            <w:r/>
            <w:r>
              <w:rPr>
                <w:rFonts w:ascii="Arial" w:hAnsi="Arial" w:eastAsia="Arial"/>
                <w:b w:val="0"/>
                <w:i w:val="0"/>
                <w:sz w:val="19"/>
              </w:rPr>
              <w:t>D6.2, M36</w:t>
            </w:r>
          </w:p>
        </w:tc>
        <w:tc>
          <w:tcPr>
            <w:tcW w:type="dxa" w:w="2948"/>
          </w:tcPr>
          <w:p>
            <w:r/>
            <w:r>
              <w:rPr>
                <w:rFonts w:ascii="Arial" w:hAnsi="Arial" w:eastAsia="Arial"/>
                <w:b w:val="0"/>
                <w:i w:val="0"/>
                <w:sz w:val="19"/>
              </w:rPr>
              <w:t>≥ 1 procedure adopted per asset; brief delivered</w:t>
            </w:r>
          </w:p>
        </w:tc>
        <w:tc>
          <w:tcPr>
            <w:tcW w:type="dxa" w:w="2268"/>
          </w:tcPr>
          <w:p>
            <w:r/>
            <w:r>
              <w:rPr>
                <w:rFonts w:ascii="Arial" w:hAnsi="Arial" w:eastAsia="Arial"/>
                <w:b w:val="0"/>
                <w:i w:val="0"/>
                <w:sz w:val="19"/>
              </w:rPr>
              <w:t>Operators; national authorities</w:t>
            </w:r>
          </w:p>
        </w:tc>
      </w:tr>
    </w:tbl>
    <w:p>
      <w:pPr>
        <w:spacing w:after="80" w:before="0"/>
      </w:pPr>
    </w:p>
    <w:p>
      <w:pPr>
        <w:keepNext/>
        <w:spacing w:after="120" w:before="200"/>
      </w:pPr>
      <w:r>
        <w:rPr>
          <w:rFonts w:ascii="Arial" w:hAnsi="Arial" w:eastAsia="Arial"/>
          <w:b/>
          <w:i w:val="0"/>
          <w:color w:val="1F3864"/>
          <w:sz w:val="27"/>
        </w:rPr>
        <w:t>6. Contribution to security</w:t>
      </w:r>
    </w:p>
    <w:p>
      <w:pPr>
        <w:spacing w:after="60" w:before="0"/>
        <w:ind w:left="283"/>
      </w:pPr>
      <w:r>
        <w:rPr>
          <w:rFonts w:ascii="Arial" w:hAnsi="Arial" w:eastAsia="Arial"/>
          <w:b/>
          <w:i w:val="0"/>
          <w:sz w:val="22"/>
        </w:rPr>
        <w:t xml:space="preserve">• </w:t>
      </w:r>
      <w:r>
        <w:rPr>
          <w:rFonts w:ascii="Arial" w:hAnsi="Arial" w:eastAsia="Arial"/>
          <w:b/>
          <w:i w:val="0"/>
          <w:sz w:val="22"/>
        </w:rPr>
        <w:t>Water security.</w:t>
      </w:r>
      <w:r>
        <w:rPr>
          <w:rFonts w:ascii="Arial" w:hAnsi="Arial" w:eastAsia="Arial"/>
          <w:b w:val="0"/>
          <w:i w:val="0"/>
          <w:sz w:val="22"/>
        </w:rPr>
        <w:t xml:space="preserve"> The wellfields supply drinking water; an intrusion warning with a guaranteed miss rate protects supply before the wells turn saline, which takes years to reverse.</w:t>
      </w:r>
    </w:p>
    <w:p>
      <w:pPr>
        <w:spacing w:after="60" w:before="0"/>
        <w:ind w:left="283"/>
      </w:pPr>
      <w:r>
        <w:rPr>
          <w:rFonts w:ascii="Arial" w:hAnsi="Arial" w:eastAsia="Arial"/>
          <w:b/>
          <w:i w:val="0"/>
          <w:sz w:val="22"/>
        </w:rPr>
        <w:t xml:space="preserve">• </w:t>
      </w:r>
      <w:r>
        <w:rPr>
          <w:rFonts w:ascii="Arial" w:hAnsi="Arial" w:eastAsia="Arial"/>
          <w:b/>
          <w:i w:val="0"/>
          <w:sz w:val="22"/>
        </w:rPr>
        <w:t>Port and logistics security.</w:t>
      </w:r>
      <w:r>
        <w:rPr>
          <w:rFonts w:ascii="Arial" w:hAnsi="Arial" w:eastAsia="Arial"/>
          <w:b w:val="0"/>
          <w:i w:val="0"/>
          <w:sz w:val="22"/>
        </w:rPr>
        <w:t xml:space="preserve"> The port is a national logistics node; a liquefaction and extreme-sea-level warning protects operations and the infrastructure behind them.</w:t>
      </w:r>
    </w:p>
    <w:p>
      <w:pPr>
        <w:spacing w:after="60" w:before="0"/>
        <w:ind w:left="283"/>
      </w:pPr>
      <w:r>
        <w:rPr>
          <w:rFonts w:ascii="Arial" w:hAnsi="Arial" w:eastAsia="Arial"/>
          <w:b/>
          <w:i w:val="0"/>
          <w:sz w:val="22"/>
        </w:rPr>
        <w:t xml:space="preserve">• </w:t>
      </w:r>
      <w:r>
        <w:rPr>
          <w:rFonts w:ascii="Arial" w:hAnsi="Arial" w:eastAsia="Arial"/>
          <w:b/>
          <w:i w:val="0"/>
          <w:sz w:val="22"/>
        </w:rPr>
        <w:t>Energy security.</w:t>
      </w:r>
      <w:r>
        <w:rPr>
          <w:rFonts w:ascii="Arial" w:hAnsi="Arial" w:eastAsia="Arial"/>
          <w:b w:val="0"/>
          <w:i w:val="0"/>
          <w:sz w:val="22"/>
        </w:rPr>
        <w:t xml:space="preserve"> The energy landfall connects supply to the national system; its stability under shaking, liquefaction, extreme water levels and subsidence is assessed in one framework.</w:t>
      </w:r>
    </w:p>
    <w:p>
      <w:pPr>
        <w:spacing w:after="60" w:before="0"/>
        <w:ind w:left="283"/>
      </w:pPr>
      <w:r>
        <w:rPr>
          <w:rFonts w:ascii="Arial" w:hAnsi="Arial" w:eastAsia="Arial"/>
          <w:b/>
          <w:i w:val="0"/>
          <w:sz w:val="22"/>
        </w:rPr>
        <w:t xml:space="preserve">• </w:t>
      </w:r>
      <w:r>
        <w:rPr>
          <w:rFonts w:ascii="Arial" w:hAnsi="Arial" w:eastAsia="Arial"/>
          <w:b/>
          <w:i w:val="0"/>
          <w:sz w:val="22"/>
        </w:rPr>
        <w:t>Civil protection and resilience.</w:t>
      </w:r>
      <w:r>
        <w:rPr>
          <w:rFonts w:ascii="Arial" w:hAnsi="Arial" w:eastAsia="Arial"/>
          <w:b w:val="0"/>
          <w:i w:val="0"/>
          <w:sz w:val="22"/>
        </w:rPr>
        <w:t xml:space="preserve"> One system for three hazards, with a post-event protocol, gives civil protection a consistent picture after an earthquake or a storm, instead of three separate ones.</w:t>
      </w:r>
    </w:p>
    <w:p>
      <w:pPr>
        <w:spacing w:after="60" w:before="0"/>
        <w:ind w:left="283"/>
      </w:pPr>
      <w:r>
        <w:rPr>
          <w:rFonts w:ascii="Arial" w:hAnsi="Arial" w:eastAsia="Arial"/>
          <w:b/>
          <w:i w:val="0"/>
          <w:sz w:val="22"/>
        </w:rPr>
        <w:t xml:space="preserve">• </w:t>
      </w:r>
      <w:r>
        <w:rPr>
          <w:rFonts w:ascii="Arial" w:hAnsi="Arial" w:eastAsia="Arial"/>
          <w:b/>
          <w:i w:val="0"/>
          <w:sz w:val="22"/>
        </w:rPr>
        <w:t>Transferability.</w:t>
      </w:r>
      <w:r>
        <w:rPr>
          <w:rFonts w:ascii="Arial" w:hAnsi="Arial" w:eastAsia="Arial"/>
          <w:b w:val="0"/>
          <w:i w:val="0"/>
          <w:sz w:val="22"/>
        </w:rPr>
        <w:t xml:space="preserve"> The methods need only free satellite data, existing fibre and seismic stations, and a calibrated model; they transfer to other subsiding coasts with wellfields, ports and energy landfalls, in the Adriatic and beyond.</w:t>
      </w:r>
    </w:p>
    <w:p>
      <w:pPr>
        <w:keepNext/>
        <w:spacing w:after="120" w:before="160"/>
      </w:pPr>
      <w:r>
        <w:rPr>
          <w:rFonts w:ascii="Arial" w:hAnsi="Arial" w:eastAsia="Arial"/>
          <w:b/>
          <w:i w:val="0"/>
          <w:color w:val="1F3864"/>
          <w:sz w:val="27"/>
        </w:rPr>
        <w:t>7. Impact over time</w:t>
      </w:r>
    </w:p>
    <w:tbl>
      <w:tblPr>
        <w:tblStyle w:val="TableGrid"/>
        <w:tblW w:type="auto" w:w="0"/>
        <w:jc w:val="center"/>
        <w:tblLayout w:type="fixed"/>
        <w:tblLook w:firstColumn="1" w:firstRow="1" w:lastColumn="0" w:lastRow="0" w:noHBand="0" w:noVBand="1" w:val="04A0"/>
        <w:tblLayout w:type="fixed"/>
      </w:tblPr>
      <w:tblGrid>
        <w:gridCol w:w="2268"/>
        <w:gridCol w:w="7370"/>
      </w:tblGrid>
      <w:tr>
        <w:trPr>
          <w:cantSplit/>
        </w:trPr>
        <w:tc>
          <w:tcPr>
            <w:tcW w:type="dxa" w:w="2268"/>
            <w:shd w:val="clear" w:color="auto" w:fill="1F3864"/>
          </w:tcPr>
          <w:p>
            <w:r/>
            <w:r>
              <w:rPr>
                <w:rFonts w:ascii="Arial" w:hAnsi="Arial" w:eastAsia="Arial"/>
                <w:b/>
                <w:i w:val="0"/>
                <w:color w:val="FFFFFF"/>
                <w:sz w:val="20"/>
              </w:rPr>
              <w:t>Horizon</w:t>
            </w:r>
          </w:p>
        </w:tc>
        <w:tc>
          <w:tcPr>
            <w:tcW w:type="dxa" w:w="7370"/>
            <w:shd w:val="clear" w:color="auto" w:fill="1F3864"/>
          </w:tcPr>
          <w:p>
            <w:r/>
            <w:r>
              <w:rPr>
                <w:rFonts w:ascii="Arial" w:hAnsi="Arial" w:eastAsia="Arial"/>
                <w:b/>
                <w:i w:val="0"/>
                <w:color w:val="FFFFFF"/>
                <w:sz w:val="20"/>
              </w:rPr>
              <w:t>Expected impact</w:t>
            </w:r>
          </w:p>
        </w:tc>
      </w:tr>
      <w:tr>
        <w:trPr>
          <w:cantSplit/>
        </w:trPr>
        <w:tc>
          <w:tcPr>
            <w:tcW w:type="dxa" w:w="2268"/>
          </w:tcPr>
          <w:p>
            <w:r/>
            <w:r>
              <w:rPr>
                <w:rFonts w:ascii="Arial" w:hAnsi="Arial" w:eastAsia="Arial"/>
                <w:b w:val="0"/>
                <w:i w:val="0"/>
                <w:sz w:val="20"/>
              </w:rPr>
              <w:t>During the project (M1–M36)</w:t>
            </w:r>
          </w:p>
        </w:tc>
        <w:tc>
          <w:tcPr>
            <w:tcW w:type="dxa" w:w="7370"/>
          </w:tcPr>
          <w:p>
            <w:r/>
            <w:r>
              <w:rPr>
                <w:rFonts w:ascii="Arial" w:hAnsi="Arial" w:eastAsia="Arial"/>
                <w:b w:val="0"/>
                <w:i w:val="0"/>
                <w:sz w:val="20"/>
              </w:rPr>
              <w:t>Coastal motion known; network and model in place; certified warnings issued to the operators for twelve months; staff trained</w:t>
            </w:r>
          </w:p>
        </w:tc>
      </w:tr>
      <w:tr>
        <w:trPr>
          <w:cantSplit/>
        </w:trPr>
        <w:tc>
          <w:tcPr>
            <w:tcW w:type="dxa" w:w="2268"/>
          </w:tcPr>
          <w:p>
            <w:r/>
            <w:r>
              <w:rPr>
                <w:rFonts w:ascii="Arial" w:hAnsi="Arial" w:eastAsia="Arial"/>
                <w:b w:val="0"/>
                <w:i w:val="0"/>
                <w:sz w:val="20"/>
              </w:rPr>
              <w:t>After hand-over (1–3 years)</w:t>
            </w:r>
          </w:p>
        </w:tc>
        <w:tc>
          <w:tcPr>
            <w:tcW w:type="dxa" w:w="7370"/>
          </w:tcPr>
          <w:p>
            <w:r/>
            <w:r>
              <w:rPr>
                <w:rFonts w:ascii="Arial" w:hAnsi="Arial" w:eastAsia="Arial"/>
                <w:b w:val="0"/>
                <w:i w:val="0"/>
                <w:sz w:val="20"/>
              </w:rPr>
              <w:t>Operators run the system and the pumping rule; the network continues to stream; the record of warnings and outcomes grows and keeps the guarantees checked</w:t>
            </w:r>
          </w:p>
        </w:tc>
      </w:tr>
      <w:tr>
        <w:trPr>
          <w:cantSplit/>
        </w:trPr>
        <w:tc>
          <w:tcPr>
            <w:tcW w:type="dxa" w:w="2268"/>
          </w:tcPr>
          <w:p>
            <w:r/>
            <w:r>
              <w:rPr>
                <w:rFonts w:ascii="Arial" w:hAnsi="Arial" w:eastAsia="Arial"/>
                <w:b w:val="0"/>
                <w:i w:val="0"/>
                <w:sz w:val="20"/>
              </w:rPr>
              <w:t>Longer term</w:t>
            </w:r>
          </w:p>
        </w:tc>
        <w:tc>
          <w:tcPr>
            <w:tcW w:type="dxa" w:w="7370"/>
          </w:tcPr>
          <w:p>
            <w:r/>
            <w:r>
              <w:rPr>
                <w:rFonts w:ascii="Arial" w:hAnsi="Arial" w:eastAsia="Arial"/>
                <w:b w:val="0"/>
                <w:i w:val="0"/>
                <w:sz w:val="20"/>
              </w:rPr>
              <w:t>Coastal planning and civil protection use relative sea level instead of a fixed trend; the approach is adopted on other subsiding coasts; certified warning becomes the expected standard for critical coastal infrastructure</w:t>
            </w:r>
          </w:p>
        </w:tc>
      </w:tr>
    </w:tbl>
    <w:p>
      <w:pPr>
        <w:spacing w:after="80" w:before="0"/>
      </w:pPr>
    </w:p>
    <w:p>
      <w:pPr>
        <w:keepNext/>
        <w:spacing w:after="120" w:before="200"/>
      </w:pPr>
      <w:r>
        <w:rPr>
          <w:rFonts w:ascii="Arial" w:hAnsi="Arial" w:eastAsia="Arial"/>
          <w:b/>
          <w:i w:val="0"/>
          <w:color w:val="1F3864"/>
          <w:sz w:val="27"/>
        </w:rPr>
        <w:t>8. Sustainability after the project</w:t>
      </w:r>
    </w:p>
    <w:p>
      <w:pPr>
        <w:spacing w:after="60" w:before="0"/>
        <w:ind w:left="283"/>
      </w:pPr>
      <w:r>
        <w:rPr>
          <w:rFonts w:ascii="Arial" w:hAnsi="Arial" w:eastAsia="Arial"/>
          <w:b/>
          <w:i w:val="0"/>
          <w:sz w:val="22"/>
        </w:rPr>
        <w:t xml:space="preserve">• </w:t>
      </w:r>
      <w:r>
        <w:rPr>
          <w:rFonts w:ascii="Arial" w:hAnsi="Arial" w:eastAsia="Arial"/>
          <w:b/>
          <w:i w:val="0"/>
          <w:sz w:val="22"/>
        </w:rPr>
        <w:t>Low running cost.</w:t>
      </w:r>
      <w:r>
        <w:rPr>
          <w:rFonts w:ascii="Arial" w:hAnsi="Arial" w:eastAsia="Arial"/>
          <w:b w:val="0"/>
          <w:i w:val="0"/>
          <w:sz w:val="22"/>
        </w:rPr>
        <w:t xml:space="preserve"> Satellite data are free; fibre and seismic stations already exist or are installed by the project; the surrogate runs on ordinary computers.</w:t>
      </w:r>
    </w:p>
    <w:p>
      <w:pPr>
        <w:spacing w:after="60" w:before="0"/>
        <w:ind w:left="283"/>
      </w:pPr>
      <w:r>
        <w:rPr>
          <w:rFonts w:ascii="Arial" w:hAnsi="Arial" w:eastAsia="Arial"/>
          <w:b/>
          <w:i w:val="0"/>
          <w:sz w:val="22"/>
        </w:rPr>
        <w:t xml:space="preserve">• </w:t>
      </w:r>
      <w:r>
        <w:rPr>
          <w:rFonts w:ascii="Arial" w:hAnsi="Arial" w:eastAsia="Arial"/>
          <w:b/>
          <w:i w:val="0"/>
          <w:sz w:val="22"/>
        </w:rPr>
        <w:t>Ownership.</w:t>
      </w:r>
      <w:r>
        <w:rPr>
          <w:rFonts w:ascii="Arial" w:hAnsi="Arial" w:eastAsia="Arial"/>
          <w:b w:val="0"/>
          <w:i w:val="0"/>
          <w:sz w:val="22"/>
        </w:rPr>
        <w:t xml:space="preserve"> The network and the system are handed over to the operators, who are trained to run them and adopt the procedures (R12, R13).</w:t>
      </w:r>
    </w:p>
    <w:p>
      <w:pPr>
        <w:spacing w:after="60" w:before="0"/>
        <w:ind w:left="283"/>
      </w:pPr>
      <w:r>
        <w:rPr>
          <w:rFonts w:ascii="Arial" w:hAnsi="Arial" w:eastAsia="Arial"/>
          <w:b/>
          <w:i w:val="0"/>
          <w:sz w:val="22"/>
        </w:rPr>
        <w:t xml:space="preserve">• </w:t>
      </w:r>
      <w:r>
        <w:rPr>
          <w:rFonts w:ascii="Arial" w:hAnsi="Arial" w:eastAsia="Arial"/>
          <w:b/>
          <w:i w:val="0"/>
          <w:sz w:val="22"/>
        </w:rPr>
        <w:t>Open licences.</w:t>
      </w:r>
      <w:r>
        <w:rPr>
          <w:rFonts w:ascii="Arial" w:hAnsi="Arial" w:eastAsia="Arial"/>
          <w:b w:val="0"/>
          <w:i w:val="0"/>
          <w:sz w:val="22"/>
        </w:rPr>
        <w:t xml:space="preserve"> Software, documentation and project data are released openly, so the system does not depend on any single partner (R8).</w:t>
      </w:r>
    </w:p>
    <w:p>
      <w:pPr>
        <w:spacing w:after="60" w:before="0"/>
        <w:ind w:left="283"/>
      </w:pPr>
      <w:r>
        <w:rPr>
          <w:rFonts w:ascii="Arial" w:hAnsi="Arial" w:eastAsia="Arial"/>
          <w:b/>
          <w:i w:val="0"/>
          <w:sz w:val="22"/>
        </w:rPr>
        <w:t xml:space="preserve">• </w:t>
      </w:r>
      <w:r>
        <w:rPr>
          <w:rFonts w:ascii="Arial" w:hAnsi="Arial" w:eastAsia="Arial"/>
          <w:b/>
          <w:i w:val="0"/>
          <w:sz w:val="22"/>
        </w:rPr>
        <w:t>Self-checking.</w:t>
      </w:r>
      <w:r>
        <w:rPr>
          <w:rFonts w:ascii="Arial" w:hAnsi="Arial" w:eastAsia="Arial"/>
          <w:b w:val="0"/>
          <w:i w:val="0"/>
          <w:sz w:val="22"/>
        </w:rPr>
        <w:t xml:space="preserve"> Every bulletin is logged with its outcome, so the operators can see whether the certified miss rates still hold, and recalibrate if they do not.</w:t>
      </w:r>
    </w:p>
    <w:p>
      <w:pPr>
        <w:keepNext/>
        <w:spacing w:after="120" w:before="160"/>
      </w:pPr>
      <w:r>
        <w:rPr>
          <w:rFonts w:ascii="Arial" w:hAnsi="Arial" w:eastAsia="Arial"/>
          <w:b/>
          <w:i w:val="0"/>
          <w:color w:val="1F3864"/>
          <w:sz w:val="27"/>
        </w:rPr>
        <w:t>9. Dissemination of the results</w:t>
      </w:r>
    </w:p>
    <w:p>
      <w:pPr>
        <w:spacing w:after="60" w:before="0"/>
        <w:ind w:left="283"/>
      </w:pPr>
      <w:r>
        <w:rPr>
          <w:rFonts w:ascii="Arial" w:hAnsi="Arial" w:eastAsia="Arial"/>
          <w:b/>
          <w:i w:val="0"/>
          <w:sz w:val="22"/>
        </w:rPr>
        <w:t xml:space="preserve">• </w:t>
      </w:r>
      <w:r>
        <w:rPr>
          <w:rFonts w:ascii="Arial" w:hAnsi="Arial" w:eastAsia="Arial"/>
          <w:b w:val="0"/>
          <w:i w:val="0"/>
          <w:sz w:val="22"/>
        </w:rPr>
        <w:t>Peer-reviewed open-access publications on the coupled model, the certified alarms, the seismic sensing of the water table and the coastal motion (indicatively at least six).</w:t>
      </w:r>
    </w:p>
    <w:p>
      <w:pPr>
        <w:spacing w:after="60" w:before="0"/>
        <w:ind w:left="283"/>
      </w:pPr>
      <w:r>
        <w:rPr>
          <w:rFonts w:ascii="Arial" w:hAnsi="Arial" w:eastAsia="Arial"/>
          <w:b/>
          <w:i w:val="0"/>
          <w:sz w:val="22"/>
        </w:rPr>
        <w:t xml:space="preserve">• </w:t>
      </w:r>
      <w:r>
        <w:rPr>
          <w:rFonts w:ascii="Arial" w:hAnsi="Arial" w:eastAsia="Arial"/>
          <w:b w:val="0"/>
          <w:i w:val="0"/>
          <w:sz w:val="22"/>
        </w:rPr>
        <w:t>A final workshop with the operators, civil protection and national authorities, and a demonstration of the system in operation.</w:t>
      </w:r>
    </w:p>
    <w:p>
      <w:pPr>
        <w:spacing w:after="60" w:before="0"/>
        <w:ind w:left="283"/>
      </w:pPr>
      <w:r>
        <w:rPr>
          <w:rFonts w:ascii="Arial" w:hAnsi="Arial" w:eastAsia="Arial"/>
          <w:b/>
          <w:i w:val="0"/>
          <w:sz w:val="22"/>
        </w:rPr>
        <w:t xml:space="preserve">• </w:t>
      </w:r>
      <w:r>
        <w:rPr>
          <w:rFonts w:ascii="Arial" w:hAnsi="Arial" w:eastAsia="Arial"/>
          <w:b w:val="0"/>
          <w:i w:val="0"/>
          <w:sz w:val="22"/>
        </w:rPr>
        <w:t>Presentations at international conferences on geohazards, coastal groundwater and uncertainty quantification.</w:t>
      </w:r>
    </w:p>
    <w:p>
      <w:pPr>
        <w:spacing w:after="60" w:before="0"/>
        <w:ind w:left="283"/>
      </w:pPr>
      <w:r>
        <w:rPr>
          <w:rFonts w:ascii="Arial" w:hAnsi="Arial" w:eastAsia="Arial"/>
          <w:b/>
          <w:i w:val="0"/>
          <w:sz w:val="22"/>
        </w:rPr>
        <w:t xml:space="preserve">• </w:t>
      </w:r>
      <w:r>
        <w:rPr>
          <w:rFonts w:ascii="Arial" w:hAnsi="Arial" w:eastAsia="Arial"/>
          <w:b w:val="0"/>
          <w:i w:val="0"/>
          <w:sz w:val="22"/>
        </w:rPr>
        <w:t>Open software, data and training material, so that others can repeat the analysis on their own coasts.</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