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Budget</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60" w:before="0"/>
        <w:jc w:val="both"/>
      </w:pPr>
      <w:r>
        <w:rPr>
          <w:rFonts w:ascii="Arial" w:hAnsi="Arial" w:eastAsia="Arial"/>
          <w:b w:val="0"/>
          <w:i w:val="0"/>
          <w:sz w:val="23"/>
        </w:rPr>
        <w:t xml:space="preserve">CERTAIN-COAST requests </w:t>
      </w:r>
      <w:r>
        <w:rPr>
          <w:rFonts w:ascii="Arial" w:hAnsi="Arial" w:eastAsia="Arial"/>
          <w:b/>
          <w:i w:val="0"/>
          <w:sz w:val="23"/>
        </w:rPr>
        <w:t>€382 500</w:t>
      </w:r>
      <w:r>
        <w:rPr>
          <w:rFonts w:ascii="Arial" w:hAnsi="Arial" w:eastAsia="Arial"/>
          <w:b w:val="0"/>
          <w:i w:val="0"/>
          <w:sz w:val="23"/>
        </w:rPr>
        <w:t xml:space="preserve"> from the NATO SPS Programme for 36 months, within the typical range of €250,000–400,000 for a three-year Multi-Year Project. The budget contains only project-specific costs, with no salaries or overheads. Equipment is 48% of the total, because the project installs a monitoring network at critical infrastructure and hands it over to the operators; the rest pays for consumables, training and travel, stipends for young researchers, dissemination and management. Every figure is computed from quantity × unit cost; unit costs are planning estimates to be replaced by quotes.</w:t>
      </w:r>
    </w:p>
    <w:p>
      <w:pPr>
        <w:keepNext/>
        <w:spacing w:after="120" w:before="80"/>
      </w:pPr>
      <w:r>
        <w:rPr>
          <w:rFonts w:ascii="Arial" w:hAnsi="Arial" w:eastAsia="Arial"/>
          <w:b/>
          <w:i w:val="0"/>
          <w:color w:val="1F3864"/>
          <w:sz w:val="26"/>
        </w:rPr>
        <w:t>SPS budget rules used</w:t>
      </w:r>
    </w:p>
    <w:p>
      <w:pPr>
        <w:spacing w:after="40" w:before="0"/>
        <w:ind w:left="283"/>
      </w:pPr>
      <w:r>
        <w:rPr>
          <w:rFonts w:ascii="Arial" w:hAnsi="Arial" w:eastAsia="Arial"/>
          <w:b/>
          <w:i w:val="0"/>
          <w:sz w:val="22"/>
        </w:rPr>
        <w:t xml:space="preserve">• </w:t>
      </w:r>
      <w:r>
        <w:rPr>
          <w:rFonts w:ascii="Arial" w:hAnsi="Arial" w:eastAsia="Arial"/>
          <w:b w:val="0"/>
          <w:i w:val="0"/>
          <w:sz w:val="21"/>
        </w:rPr>
        <w:t>There is no hard budget limit; typical three-year Multi-Year Projects are in the range of €250,000–400,000.</w:t>
      </w:r>
    </w:p>
    <w:p>
      <w:pPr>
        <w:spacing w:after="40" w:before="0"/>
        <w:ind w:left="283"/>
      </w:pPr>
      <w:r>
        <w:rPr>
          <w:rFonts w:ascii="Arial" w:hAnsi="Arial" w:eastAsia="Arial"/>
          <w:b/>
          <w:i w:val="0"/>
          <w:sz w:val="22"/>
        </w:rPr>
        <w:t xml:space="preserve">• </w:t>
      </w:r>
      <w:r>
        <w:rPr>
          <w:rFonts w:ascii="Arial" w:hAnsi="Arial" w:eastAsia="Arial"/>
          <w:b w:val="0"/>
          <w:i w:val="0"/>
          <w:sz w:val="21"/>
        </w:rPr>
        <w:t>SPS funds project-specific costs (equipment, consumables, project-related training and travel, including conferences and seminars, and limited stipends for young researchers), not salaries or overheads.</w:t>
      </w:r>
    </w:p>
    <w:p>
      <w:pPr>
        <w:spacing w:after="40" w:before="0"/>
        <w:ind w:left="283"/>
      </w:pPr>
      <w:r>
        <w:rPr>
          <w:rFonts w:ascii="Arial" w:hAnsi="Arial" w:eastAsia="Arial"/>
          <w:b/>
          <w:i w:val="0"/>
          <w:sz w:val="22"/>
        </w:rPr>
        <w:t xml:space="preserve">• </w:t>
      </w:r>
      <w:r>
        <w:rPr>
          <w:rFonts w:ascii="Arial" w:hAnsi="Arial" w:eastAsia="Arial"/>
          <w:b w:val="0"/>
          <w:i w:val="0"/>
          <w:sz w:val="21"/>
        </w:rPr>
        <w:t>The NATO-country Project Director may receive a management allowance (up to 10% of the budget in the 2017 handbook).</w:t>
      </w:r>
    </w:p>
    <w:p>
      <w:pPr>
        <w:spacing w:after="40" w:before="0"/>
        <w:ind w:left="283"/>
      </w:pPr>
      <w:r>
        <w:rPr>
          <w:rFonts w:ascii="Arial" w:hAnsi="Arial" w:eastAsia="Arial"/>
          <w:b/>
          <w:i w:val="0"/>
          <w:sz w:val="22"/>
        </w:rPr>
        <w:t xml:space="preserve">• </w:t>
      </w:r>
      <w:r>
        <w:rPr>
          <w:rFonts w:ascii="Arial" w:hAnsi="Arial" w:eastAsia="Arial"/>
          <w:b w:val="0"/>
          <w:i w:val="0"/>
          <w:sz w:val="21"/>
        </w:rPr>
        <w:t>Stipends for young researchers without a PhD are given as €400 per month in a 2023 SPS presentation; an older SPS page limited stipends to 15% of the grant.</w:t>
      </w:r>
    </w:p>
    <w:p>
      <w:pPr>
        <w:spacing w:after="40" w:before="0"/>
        <w:ind w:left="283"/>
      </w:pPr>
      <w:r>
        <w:rPr>
          <w:rFonts w:ascii="Arial" w:hAnsi="Arial" w:eastAsia="Arial"/>
          <w:b/>
          <w:i w:val="0"/>
          <w:sz w:val="22"/>
        </w:rPr>
        <w:t xml:space="preserve">• </w:t>
      </w:r>
      <w:r>
        <w:rPr>
          <w:rFonts w:ascii="Arial" w:hAnsi="Arial" w:eastAsia="Arial"/>
          <w:b w:val="0"/>
          <w:i w:val="0"/>
          <w:sz w:val="21"/>
        </w:rPr>
        <w:t>Each project has a NATO-country Project Director and a partner-country Project Director; the NATO-country Project Director is accountable for the funds.</w:t>
      </w:r>
    </w:p>
    <w:p>
      <w:pPr>
        <w:spacing w:after="40" w:before="60"/>
      </w:pPr>
      <w:r>
        <w:rPr>
          <w:rFonts w:ascii="Arial" w:hAnsi="Arial" w:eastAsia="Arial"/>
          <w:b/>
          <w:i w:val="0"/>
          <w:color w:val="52606D"/>
          <w:sz w:val="19"/>
        </w:rPr>
        <w:t xml:space="preserve">Sources: </w:t>
      </w:r>
      <w:hyperlink r:id="rId9">
        <w:r>
          <w:rPr>
            <w:rFonts w:ascii="Arial" w:hAnsi="Arial"/>
            <w:color w:val="1F5FBF"/>
            <w:u w:val="single"/>
            <w:sz w:val="19"/>
          </w:rPr>
          <w:t xml:space="preserve">SPS Multi-Year Project Handbook (2023)</w:t>
        </w:r>
      </w:hyperlink>
      <w:r>
        <w:rPr>
          <w:rFonts w:ascii="Arial" w:hAnsi="Arial" w:eastAsia="Arial"/>
          <w:b w:val="0"/>
          <w:i w:val="0"/>
          <w:color w:val="52606D"/>
          <w:sz w:val="19"/>
        </w:rPr>
        <w:t xml:space="preserve">; </w:t>
      </w:r>
      <w:hyperlink r:id="rId10">
        <w:r>
          <w:rPr>
            <w:rFonts w:ascii="Arial" w:hAnsi="Arial"/>
            <w:color w:val="1F5FBF"/>
            <w:u w:val="single"/>
            <w:sz w:val="19"/>
          </w:rPr>
          <w:t xml:space="preserve">SPS Multi-Year Project Handbook (2020)</w:t>
        </w:r>
      </w:hyperlink>
      <w:r>
        <w:rPr>
          <w:rFonts w:ascii="Arial" w:hAnsi="Arial" w:eastAsia="Arial"/>
          <w:b w:val="0"/>
          <w:i w:val="0"/>
          <w:color w:val="52606D"/>
          <w:sz w:val="19"/>
        </w:rPr>
        <w:t xml:space="preserve">; </w:t>
      </w:r>
      <w:hyperlink r:id="rId11">
        <w:r>
          <w:rPr>
            <w:rFonts w:ascii="Arial" w:hAnsi="Arial"/>
            <w:color w:val="1F5FBF"/>
            <w:u w:val="single"/>
            <w:sz w:val="19"/>
          </w:rPr>
          <w:t xml:space="preserve">SPS Multi-Year Project Handbook (2017)</w:t>
        </w:r>
      </w:hyperlink>
      <w:r>
        <w:rPr>
          <w:rFonts w:ascii="Arial" w:hAnsi="Arial" w:eastAsia="Arial"/>
          <w:b w:val="0"/>
          <w:i w:val="0"/>
          <w:color w:val="52606D"/>
          <w:sz w:val="19"/>
        </w:rPr>
        <w:t xml:space="preserve">; </w:t>
      </w:r>
      <w:hyperlink r:id="rId12">
        <w:r>
          <w:rPr>
            <w:rFonts w:ascii="Arial" w:hAnsi="Arial"/>
            <w:color w:val="1F5FBF"/>
            <w:u w:val="single"/>
            <w:sz w:val="19"/>
          </w:rPr>
          <w:t xml:space="preserve">SPS project kick-off presentation (2023)</w:t>
        </w:r>
      </w:hyperlink>
      <w:r>
        <w:rPr>
          <w:rFonts w:ascii="Arial" w:hAnsi="Arial" w:eastAsia="Arial"/>
          <w:b w:val="0"/>
          <w:i w:val="0"/>
          <w:color w:val="52606D"/>
          <w:sz w:val="19"/>
        </w:rPr>
        <w:t xml:space="preserve">; </w:t>
      </w:r>
      <w:hyperlink r:id="rId13">
        <w:r>
          <w:rPr>
            <w:rFonts w:ascii="Arial" w:hAnsi="Arial"/>
            <w:color w:val="1F5FBF"/>
            <w:u w:val="single"/>
            <w:sz w:val="19"/>
          </w:rPr>
          <w:t xml:space="preserve">NATO SPS grant mechanisms</w:t>
        </w:r>
      </w:hyperlink>
      <w:r>
        <w:rPr>
          <w:rFonts w:ascii="Arial" w:hAnsi="Arial" w:eastAsia="Arial"/>
          <w:b w:val="0"/>
          <w:i w:val="0"/>
          <w:color w:val="52606D"/>
          <w:sz w:val="19"/>
        </w:rPr>
        <w:t xml:space="preserve">; </w:t>
      </w:r>
      <w:hyperlink r:id="rId14">
        <w:r>
          <w:rPr>
            <w:rFonts w:ascii="Arial" w:hAnsi="Arial"/>
            <w:color w:val="1F5FBF"/>
            <w:u w:val="single"/>
            <w:sz w:val="19"/>
          </w:rPr>
          <w:t xml:space="preserve">NATO SPS page on funding (2012, older rules)</w:t>
        </w:r>
      </w:hyperlink>
    </w:p>
    <w:p>
      <w:pPr>
        <w:keepNext/>
        <w:spacing w:after="120" w:before="200"/>
      </w:pPr>
      <w:r>
        <w:rPr>
          <w:rFonts w:ascii="Arial" w:hAnsi="Arial" w:eastAsia="Arial"/>
          <w:b/>
          <w:i w:val="0"/>
          <w:color w:val="1F3864"/>
          <w:sz w:val="27"/>
        </w:rPr>
        <w:t>1. Budget by category and year</w:t>
      </w:r>
    </w:p>
    <w:tbl>
      <w:tblPr>
        <w:tblStyle w:val="TableGrid"/>
        <w:tblW w:type="auto" w:w="0"/>
        <w:jc w:val="center"/>
        <w:tblLayout w:type="fixed"/>
        <w:tblLook w:firstColumn="1" w:firstRow="1" w:lastColumn="0" w:lastRow="0" w:noHBand="0" w:noVBand="1" w:val="04A0"/>
        <w:tblLayout w:type="fixed"/>
      </w:tblPr>
      <w:tblGrid>
        <w:gridCol w:w="2948"/>
        <w:gridCol w:w="1361"/>
        <w:gridCol w:w="1361"/>
        <w:gridCol w:w="1361"/>
        <w:gridCol w:w="1474"/>
        <w:gridCol w:w="1134"/>
      </w:tblGrid>
      <w:tr>
        <w:trPr>
          <w:cantSplit/>
          <w:tblHeader/>
        </w:trPr>
        <w:tc>
          <w:tcPr>
            <w:tcW w:type="dxa" w:w="2948"/>
            <w:shd w:val="clear" w:color="auto" w:fill="1F3864"/>
          </w:tcPr>
          <w:p>
            <w:pPr>
              <w:keepNext/>
            </w:pPr>
            <w:r/>
            <w:r>
              <w:rPr>
                <w:rFonts w:ascii="Arial" w:hAnsi="Arial" w:eastAsia="Arial"/>
                <w:b/>
                <w:i w:val="0"/>
                <w:color w:val="FFFFFF"/>
                <w:sz w:val="20"/>
              </w:rPr>
              <w:t>Category (€)</w:t>
            </w:r>
          </w:p>
        </w:tc>
        <w:tc>
          <w:tcPr>
            <w:tcW w:type="dxa" w:w="1361"/>
            <w:shd w:val="clear" w:color="auto" w:fill="1F3864"/>
          </w:tcPr>
          <w:p>
            <w:pPr>
              <w:keepNext/>
            </w:pPr>
            <w:r/>
            <w:r>
              <w:rPr>
                <w:rFonts w:ascii="Arial" w:hAnsi="Arial" w:eastAsia="Arial"/>
                <w:b/>
                <w:i w:val="0"/>
                <w:color w:val="FFFFFF"/>
                <w:sz w:val="20"/>
              </w:rPr>
              <w:t>Year 1</w:t>
            </w:r>
          </w:p>
        </w:tc>
        <w:tc>
          <w:tcPr>
            <w:tcW w:type="dxa" w:w="1361"/>
            <w:shd w:val="clear" w:color="auto" w:fill="1F3864"/>
          </w:tcPr>
          <w:p>
            <w:pPr>
              <w:keepNext/>
            </w:pPr>
            <w:r/>
            <w:r>
              <w:rPr>
                <w:rFonts w:ascii="Arial" w:hAnsi="Arial" w:eastAsia="Arial"/>
                <w:b/>
                <w:i w:val="0"/>
                <w:color w:val="FFFFFF"/>
                <w:sz w:val="20"/>
              </w:rPr>
              <w:t>Year 2</w:t>
            </w:r>
          </w:p>
        </w:tc>
        <w:tc>
          <w:tcPr>
            <w:tcW w:type="dxa" w:w="1361"/>
            <w:shd w:val="clear" w:color="auto" w:fill="1F3864"/>
          </w:tcPr>
          <w:p>
            <w:pPr>
              <w:keepNext/>
            </w:pPr>
            <w:r/>
            <w:r>
              <w:rPr>
                <w:rFonts w:ascii="Arial" w:hAnsi="Arial" w:eastAsia="Arial"/>
                <w:b/>
                <w:i w:val="0"/>
                <w:color w:val="FFFFFF"/>
                <w:sz w:val="20"/>
              </w:rPr>
              <w:t>Year 3</w:t>
            </w:r>
          </w:p>
        </w:tc>
        <w:tc>
          <w:tcPr>
            <w:tcW w:type="dxa" w:w="1474"/>
            <w:shd w:val="clear" w:color="auto" w:fill="1F3864"/>
          </w:tcPr>
          <w:p>
            <w:pPr>
              <w:keepNext/>
            </w:pPr>
            <w:r/>
            <w:r>
              <w:rPr>
                <w:rFonts w:ascii="Arial" w:hAnsi="Arial" w:eastAsia="Arial"/>
                <w:b/>
                <w:i w:val="0"/>
                <w:color w:val="FFFFFF"/>
                <w:sz w:val="20"/>
              </w:rPr>
              <w:t>Total</w:t>
            </w:r>
          </w:p>
        </w:tc>
        <w:tc>
          <w:tcPr>
            <w:tcW w:type="dxa" w:w="1134"/>
            <w:shd w:val="clear" w:color="auto" w:fill="1F3864"/>
          </w:tcPr>
          <w:p>
            <w:pPr>
              <w:keepNext/>
            </w:pPr>
            <w:r/>
            <w:r>
              <w:rPr>
                <w:rFonts w:ascii="Arial" w:hAnsi="Arial" w:eastAsia="Arial"/>
                <w:b/>
                <w:i w:val="0"/>
                <w:color w:val="FFFFFF"/>
                <w:sz w:val="20"/>
              </w:rPr>
              <w:t>Share</w:t>
            </w:r>
          </w:p>
        </w:tc>
      </w:tr>
      <w:tr>
        <w:trPr>
          <w:cantSplit/>
        </w:trPr>
        <w:tc>
          <w:tcPr>
            <w:tcW w:type="dxa" w:w="2948"/>
          </w:tcPr>
          <w:p>
            <w:r/>
            <w:r>
              <w:rPr>
                <w:rFonts w:ascii="Arial" w:hAnsi="Arial" w:eastAsia="Arial"/>
                <w:b w:val="0"/>
                <w:i w:val="0"/>
                <w:sz w:val="20"/>
              </w:rPr>
              <w:t>Equipment</w:t>
            </w:r>
          </w:p>
        </w:tc>
        <w:tc>
          <w:tcPr>
            <w:tcW w:type="dxa" w:w="1361"/>
          </w:tcPr>
          <w:p>
            <w:r/>
            <w:r>
              <w:rPr>
                <w:rFonts w:ascii="Arial" w:hAnsi="Arial" w:eastAsia="Arial"/>
                <w:b w:val="0"/>
                <w:i w:val="0"/>
                <w:sz w:val="20"/>
              </w:rPr>
              <w:t>151 800</w:t>
            </w:r>
          </w:p>
        </w:tc>
        <w:tc>
          <w:tcPr>
            <w:tcW w:type="dxa" w:w="1361"/>
          </w:tcPr>
          <w:p>
            <w:r/>
            <w:r>
              <w:rPr>
                <w:rFonts w:ascii="Arial" w:hAnsi="Arial" w:eastAsia="Arial"/>
                <w:b w:val="0"/>
                <w:i w:val="0"/>
                <w:sz w:val="20"/>
              </w:rPr>
              <w:t>31 000</w:t>
            </w:r>
          </w:p>
        </w:tc>
        <w:tc>
          <w:tcPr>
            <w:tcW w:type="dxa" w:w="1361"/>
          </w:tcPr>
          <w:p>
            <w:r/>
            <w:r>
              <w:rPr>
                <w:rFonts w:ascii="Arial" w:hAnsi="Arial" w:eastAsia="Arial"/>
                <w:b w:val="0"/>
                <w:i w:val="0"/>
                <w:sz w:val="20"/>
              </w:rPr>
              <w:t>0</w:t>
            </w:r>
          </w:p>
        </w:tc>
        <w:tc>
          <w:tcPr>
            <w:tcW w:type="dxa" w:w="1474"/>
          </w:tcPr>
          <w:p>
            <w:r/>
            <w:r>
              <w:rPr>
                <w:rFonts w:ascii="Arial" w:hAnsi="Arial" w:eastAsia="Arial"/>
                <w:b w:val="0"/>
                <w:i w:val="0"/>
                <w:sz w:val="20"/>
              </w:rPr>
              <w:t>182 800</w:t>
            </w:r>
          </w:p>
        </w:tc>
        <w:tc>
          <w:tcPr>
            <w:tcW w:type="dxa" w:w="1134"/>
          </w:tcPr>
          <w:p>
            <w:r/>
            <w:r>
              <w:rPr>
                <w:rFonts w:ascii="Arial" w:hAnsi="Arial" w:eastAsia="Arial"/>
                <w:b w:val="0"/>
                <w:i w:val="0"/>
                <w:sz w:val="20"/>
              </w:rPr>
              <w:t>47.8%</w:t>
            </w:r>
          </w:p>
        </w:tc>
      </w:tr>
      <w:tr>
        <w:trPr>
          <w:cantSplit/>
        </w:trPr>
        <w:tc>
          <w:tcPr>
            <w:tcW w:type="dxa" w:w="2948"/>
          </w:tcPr>
          <w:p>
            <w:r/>
            <w:r>
              <w:rPr>
                <w:rFonts w:ascii="Arial" w:hAnsi="Arial" w:eastAsia="Arial"/>
                <w:b w:val="0"/>
                <w:i w:val="0"/>
                <w:sz w:val="20"/>
              </w:rPr>
              <w:t>Consumables</w:t>
            </w:r>
          </w:p>
        </w:tc>
        <w:tc>
          <w:tcPr>
            <w:tcW w:type="dxa" w:w="1361"/>
          </w:tcPr>
          <w:p>
            <w:r/>
            <w:r>
              <w:rPr>
                <w:rFonts w:ascii="Arial" w:hAnsi="Arial" w:eastAsia="Arial"/>
                <w:b w:val="0"/>
                <w:i w:val="0"/>
                <w:sz w:val="20"/>
              </w:rPr>
              <w:t>7 610</w:t>
            </w:r>
          </w:p>
        </w:tc>
        <w:tc>
          <w:tcPr>
            <w:tcW w:type="dxa" w:w="1361"/>
          </w:tcPr>
          <w:p>
            <w:r/>
            <w:r>
              <w:rPr>
                <w:rFonts w:ascii="Arial" w:hAnsi="Arial" w:eastAsia="Arial"/>
                <w:b w:val="0"/>
                <w:i w:val="0"/>
                <w:sz w:val="20"/>
              </w:rPr>
              <w:t>8 145</w:t>
            </w:r>
          </w:p>
        </w:tc>
        <w:tc>
          <w:tcPr>
            <w:tcW w:type="dxa" w:w="1361"/>
          </w:tcPr>
          <w:p>
            <w:r/>
            <w:r>
              <w:rPr>
                <w:rFonts w:ascii="Arial" w:hAnsi="Arial" w:eastAsia="Arial"/>
                <w:b w:val="0"/>
                <w:i w:val="0"/>
                <w:sz w:val="20"/>
              </w:rPr>
              <w:t>6 945</w:t>
            </w:r>
          </w:p>
        </w:tc>
        <w:tc>
          <w:tcPr>
            <w:tcW w:type="dxa" w:w="1474"/>
          </w:tcPr>
          <w:p>
            <w:r/>
            <w:r>
              <w:rPr>
                <w:rFonts w:ascii="Arial" w:hAnsi="Arial" w:eastAsia="Arial"/>
                <w:b w:val="0"/>
                <w:i w:val="0"/>
                <w:sz w:val="20"/>
              </w:rPr>
              <w:t>22 700</w:t>
            </w:r>
          </w:p>
        </w:tc>
        <w:tc>
          <w:tcPr>
            <w:tcW w:type="dxa" w:w="1134"/>
          </w:tcPr>
          <w:p>
            <w:r/>
            <w:r>
              <w:rPr>
                <w:rFonts w:ascii="Arial" w:hAnsi="Arial" w:eastAsia="Arial"/>
                <w:b w:val="0"/>
                <w:i w:val="0"/>
                <w:sz w:val="20"/>
              </w:rPr>
              <w:t>5.9%</w:t>
            </w:r>
          </w:p>
        </w:tc>
      </w:tr>
      <w:tr>
        <w:trPr>
          <w:cantSplit/>
        </w:trPr>
        <w:tc>
          <w:tcPr>
            <w:tcW w:type="dxa" w:w="2948"/>
          </w:tcPr>
          <w:p>
            <w:r/>
            <w:r>
              <w:rPr>
                <w:rFonts w:ascii="Arial" w:hAnsi="Arial" w:eastAsia="Arial"/>
                <w:b w:val="0"/>
                <w:i w:val="0"/>
                <w:sz w:val="20"/>
              </w:rPr>
              <w:t>Training and travel</w:t>
            </w:r>
          </w:p>
        </w:tc>
        <w:tc>
          <w:tcPr>
            <w:tcW w:type="dxa" w:w="1361"/>
          </w:tcPr>
          <w:p>
            <w:r/>
            <w:r>
              <w:rPr>
                <w:rFonts w:ascii="Arial" w:hAnsi="Arial" w:eastAsia="Arial"/>
                <w:b w:val="0"/>
                <w:i w:val="0"/>
                <w:sz w:val="20"/>
              </w:rPr>
              <w:t>18 000</w:t>
            </w:r>
          </w:p>
        </w:tc>
        <w:tc>
          <w:tcPr>
            <w:tcW w:type="dxa" w:w="1361"/>
          </w:tcPr>
          <w:p>
            <w:r/>
            <w:r>
              <w:rPr>
                <w:rFonts w:ascii="Arial" w:hAnsi="Arial" w:eastAsia="Arial"/>
                <w:b w:val="0"/>
                <w:i w:val="0"/>
                <w:sz w:val="20"/>
              </w:rPr>
              <w:t>41 000</w:t>
            </w:r>
          </w:p>
        </w:tc>
        <w:tc>
          <w:tcPr>
            <w:tcW w:type="dxa" w:w="1361"/>
          </w:tcPr>
          <w:p>
            <w:r/>
            <w:r>
              <w:rPr>
                <w:rFonts w:ascii="Arial" w:hAnsi="Arial" w:eastAsia="Arial"/>
                <w:b w:val="0"/>
                <w:i w:val="0"/>
                <w:sz w:val="20"/>
              </w:rPr>
              <w:t>30 000</w:t>
            </w:r>
          </w:p>
        </w:tc>
        <w:tc>
          <w:tcPr>
            <w:tcW w:type="dxa" w:w="1474"/>
          </w:tcPr>
          <w:p>
            <w:r/>
            <w:r>
              <w:rPr>
                <w:rFonts w:ascii="Arial" w:hAnsi="Arial" w:eastAsia="Arial"/>
                <w:b w:val="0"/>
                <w:i w:val="0"/>
                <w:sz w:val="20"/>
              </w:rPr>
              <w:t>89 000</w:t>
            </w:r>
          </w:p>
        </w:tc>
        <w:tc>
          <w:tcPr>
            <w:tcW w:type="dxa" w:w="1134"/>
          </w:tcPr>
          <w:p>
            <w:r/>
            <w:r>
              <w:rPr>
                <w:rFonts w:ascii="Arial" w:hAnsi="Arial" w:eastAsia="Arial"/>
                <w:b w:val="0"/>
                <w:i w:val="0"/>
                <w:sz w:val="20"/>
              </w:rPr>
              <w:t>23.3%</w:t>
            </w:r>
          </w:p>
        </w:tc>
      </w:tr>
      <w:tr>
        <w:trPr>
          <w:cantSplit/>
        </w:trPr>
        <w:tc>
          <w:tcPr>
            <w:tcW w:type="dxa" w:w="2948"/>
          </w:tcPr>
          <w:p>
            <w:r/>
            <w:r>
              <w:rPr>
                <w:rFonts w:ascii="Arial" w:hAnsi="Arial" w:eastAsia="Arial"/>
                <w:b w:val="0"/>
                <w:i w:val="0"/>
                <w:sz w:val="20"/>
              </w:rPr>
              <w:t>Stipends</w:t>
            </w:r>
          </w:p>
        </w:tc>
        <w:tc>
          <w:tcPr>
            <w:tcW w:type="dxa" w:w="1361"/>
          </w:tcPr>
          <w:p>
            <w:r/>
            <w:r>
              <w:rPr>
                <w:rFonts w:ascii="Arial" w:hAnsi="Arial" w:eastAsia="Arial"/>
                <w:b w:val="0"/>
                <w:i w:val="0"/>
                <w:sz w:val="20"/>
              </w:rPr>
              <w:t>14 400</w:t>
            </w:r>
          </w:p>
        </w:tc>
        <w:tc>
          <w:tcPr>
            <w:tcW w:type="dxa" w:w="1361"/>
          </w:tcPr>
          <w:p>
            <w:r/>
            <w:r>
              <w:rPr>
                <w:rFonts w:ascii="Arial" w:hAnsi="Arial" w:eastAsia="Arial"/>
                <w:b w:val="0"/>
                <w:i w:val="0"/>
                <w:sz w:val="20"/>
              </w:rPr>
              <w:t>19 200</w:t>
            </w:r>
          </w:p>
        </w:tc>
        <w:tc>
          <w:tcPr>
            <w:tcW w:type="dxa" w:w="1361"/>
          </w:tcPr>
          <w:p>
            <w:r/>
            <w:r>
              <w:rPr>
                <w:rFonts w:ascii="Arial" w:hAnsi="Arial" w:eastAsia="Arial"/>
                <w:b w:val="0"/>
                <w:i w:val="0"/>
                <w:sz w:val="20"/>
              </w:rPr>
              <w:t>14 400</w:t>
            </w:r>
          </w:p>
        </w:tc>
        <w:tc>
          <w:tcPr>
            <w:tcW w:type="dxa" w:w="1474"/>
          </w:tcPr>
          <w:p>
            <w:r/>
            <w:r>
              <w:rPr>
                <w:rFonts w:ascii="Arial" w:hAnsi="Arial" w:eastAsia="Arial"/>
                <w:b w:val="0"/>
                <w:i w:val="0"/>
                <w:sz w:val="20"/>
              </w:rPr>
              <w:t>48 000</w:t>
            </w:r>
          </w:p>
        </w:tc>
        <w:tc>
          <w:tcPr>
            <w:tcW w:type="dxa" w:w="1134"/>
          </w:tcPr>
          <w:p>
            <w:r/>
            <w:r>
              <w:rPr>
                <w:rFonts w:ascii="Arial" w:hAnsi="Arial" w:eastAsia="Arial"/>
                <w:b w:val="0"/>
                <w:i w:val="0"/>
                <w:sz w:val="20"/>
              </w:rPr>
              <w:t>12.5%</w:t>
            </w:r>
          </w:p>
        </w:tc>
      </w:tr>
      <w:tr>
        <w:trPr>
          <w:cantSplit/>
        </w:trPr>
        <w:tc>
          <w:tcPr>
            <w:tcW w:type="dxa" w:w="2948"/>
          </w:tcPr>
          <w:p>
            <w:r/>
            <w:r>
              <w:rPr>
                <w:rFonts w:ascii="Arial" w:hAnsi="Arial" w:eastAsia="Arial"/>
                <w:b w:val="0"/>
                <w:i w:val="0"/>
                <w:sz w:val="20"/>
              </w:rPr>
              <w:t>Dissemination</w:t>
            </w:r>
          </w:p>
        </w:tc>
        <w:tc>
          <w:tcPr>
            <w:tcW w:type="dxa" w:w="1361"/>
          </w:tcPr>
          <w:p>
            <w:r/>
            <w:r>
              <w:rPr>
                <w:rFonts w:ascii="Arial" w:hAnsi="Arial" w:eastAsia="Arial"/>
                <w:b w:val="0"/>
                <w:i w:val="0"/>
                <w:sz w:val="20"/>
              </w:rPr>
              <w:t>2 250</w:t>
            </w:r>
          </w:p>
        </w:tc>
        <w:tc>
          <w:tcPr>
            <w:tcW w:type="dxa" w:w="1361"/>
          </w:tcPr>
          <w:p>
            <w:r/>
            <w:r>
              <w:rPr>
                <w:rFonts w:ascii="Arial" w:hAnsi="Arial" w:eastAsia="Arial"/>
                <w:b w:val="0"/>
                <w:i w:val="0"/>
                <w:sz w:val="20"/>
              </w:rPr>
              <w:t>5 250</w:t>
            </w:r>
          </w:p>
        </w:tc>
        <w:tc>
          <w:tcPr>
            <w:tcW w:type="dxa" w:w="1361"/>
          </w:tcPr>
          <w:p>
            <w:r/>
            <w:r>
              <w:rPr>
                <w:rFonts w:ascii="Arial" w:hAnsi="Arial" w:eastAsia="Arial"/>
                <w:b w:val="0"/>
                <w:i w:val="0"/>
                <w:sz w:val="20"/>
              </w:rPr>
              <w:t>10 500</w:t>
            </w:r>
          </w:p>
        </w:tc>
        <w:tc>
          <w:tcPr>
            <w:tcW w:type="dxa" w:w="1474"/>
          </w:tcPr>
          <w:p>
            <w:r/>
            <w:r>
              <w:rPr>
                <w:rFonts w:ascii="Arial" w:hAnsi="Arial" w:eastAsia="Arial"/>
                <w:b w:val="0"/>
                <w:i w:val="0"/>
                <w:sz w:val="20"/>
              </w:rPr>
              <w:t>18 000</w:t>
            </w:r>
          </w:p>
        </w:tc>
        <w:tc>
          <w:tcPr>
            <w:tcW w:type="dxa" w:w="1134"/>
          </w:tcPr>
          <w:p>
            <w:r/>
            <w:r>
              <w:rPr>
                <w:rFonts w:ascii="Arial" w:hAnsi="Arial" w:eastAsia="Arial"/>
                <w:b w:val="0"/>
                <w:i w:val="0"/>
                <w:sz w:val="20"/>
              </w:rPr>
              <w:t>4.7%</w:t>
            </w:r>
          </w:p>
        </w:tc>
      </w:tr>
      <w:tr>
        <w:trPr>
          <w:cantSplit/>
        </w:trPr>
        <w:tc>
          <w:tcPr>
            <w:tcW w:type="dxa" w:w="2948"/>
          </w:tcPr>
          <w:p>
            <w:r/>
            <w:r>
              <w:rPr>
                <w:rFonts w:ascii="Arial" w:hAnsi="Arial" w:eastAsia="Arial"/>
                <w:b w:val="0"/>
                <w:i w:val="0"/>
                <w:sz w:val="20"/>
              </w:rPr>
              <w:t>Other direct costs</w:t>
            </w:r>
          </w:p>
        </w:tc>
        <w:tc>
          <w:tcPr>
            <w:tcW w:type="dxa" w:w="1361"/>
          </w:tcPr>
          <w:p>
            <w:r/>
            <w:r>
              <w:rPr>
                <w:rFonts w:ascii="Arial" w:hAnsi="Arial" w:eastAsia="Arial"/>
                <w:b w:val="0"/>
                <w:i w:val="0"/>
                <w:sz w:val="20"/>
              </w:rPr>
              <w:t>5 000</w:t>
            </w:r>
          </w:p>
        </w:tc>
        <w:tc>
          <w:tcPr>
            <w:tcW w:type="dxa" w:w="1361"/>
          </w:tcPr>
          <w:p>
            <w:r/>
            <w:r>
              <w:rPr>
                <w:rFonts w:ascii="Arial" w:hAnsi="Arial" w:eastAsia="Arial"/>
                <w:b w:val="0"/>
                <w:i w:val="0"/>
                <w:sz w:val="20"/>
              </w:rPr>
              <w:t>1 000</w:t>
            </w:r>
          </w:p>
        </w:tc>
        <w:tc>
          <w:tcPr>
            <w:tcW w:type="dxa" w:w="1361"/>
          </w:tcPr>
          <w:p>
            <w:r/>
            <w:r>
              <w:rPr>
                <w:rFonts w:ascii="Arial" w:hAnsi="Arial" w:eastAsia="Arial"/>
                <w:b w:val="0"/>
                <w:i w:val="0"/>
                <w:sz w:val="20"/>
              </w:rPr>
              <w:t>1 000</w:t>
            </w:r>
          </w:p>
        </w:tc>
        <w:tc>
          <w:tcPr>
            <w:tcW w:type="dxa" w:w="1474"/>
          </w:tcPr>
          <w:p>
            <w:r/>
            <w:r>
              <w:rPr>
                <w:rFonts w:ascii="Arial" w:hAnsi="Arial" w:eastAsia="Arial"/>
                <w:b w:val="0"/>
                <w:i w:val="0"/>
                <w:sz w:val="20"/>
              </w:rPr>
              <w:t>7 000</w:t>
            </w:r>
          </w:p>
        </w:tc>
        <w:tc>
          <w:tcPr>
            <w:tcW w:type="dxa" w:w="1134"/>
          </w:tcPr>
          <w:p>
            <w:r/>
            <w:r>
              <w:rPr>
                <w:rFonts w:ascii="Arial" w:hAnsi="Arial" w:eastAsia="Arial"/>
                <w:b w:val="0"/>
                <w:i w:val="0"/>
                <w:sz w:val="20"/>
              </w:rPr>
              <w:t>1.8%</w:t>
            </w:r>
          </w:p>
        </w:tc>
      </w:tr>
      <w:tr>
        <w:trPr>
          <w:cantSplit/>
        </w:trPr>
        <w:tc>
          <w:tcPr>
            <w:tcW w:type="dxa" w:w="2948"/>
          </w:tcPr>
          <w:p>
            <w:pPr>
              <w:keepNext/>
            </w:pPr>
            <w:r/>
            <w:r>
              <w:rPr>
                <w:rFonts w:ascii="Arial" w:hAnsi="Arial" w:eastAsia="Arial"/>
                <w:b w:val="0"/>
                <w:i w:val="0"/>
                <w:sz w:val="20"/>
              </w:rPr>
              <w:t>Management</w:t>
            </w:r>
          </w:p>
        </w:tc>
        <w:tc>
          <w:tcPr>
            <w:tcW w:type="dxa" w:w="1361"/>
          </w:tcPr>
          <w:p>
            <w:pPr>
              <w:keepNext/>
            </w:pPr>
            <w:r/>
            <w:r>
              <w:rPr>
                <w:rFonts w:ascii="Arial" w:hAnsi="Arial" w:eastAsia="Arial"/>
                <w:b w:val="0"/>
                <w:i w:val="0"/>
                <w:sz w:val="20"/>
              </w:rPr>
              <w:t>5 000</w:t>
            </w:r>
          </w:p>
        </w:tc>
        <w:tc>
          <w:tcPr>
            <w:tcW w:type="dxa" w:w="1361"/>
          </w:tcPr>
          <w:p>
            <w:pPr>
              <w:keepNext/>
            </w:pPr>
            <w:r/>
            <w:r>
              <w:rPr>
                <w:rFonts w:ascii="Arial" w:hAnsi="Arial" w:eastAsia="Arial"/>
                <w:b w:val="0"/>
                <w:i w:val="0"/>
                <w:sz w:val="20"/>
              </w:rPr>
              <w:t>5 000</w:t>
            </w:r>
          </w:p>
        </w:tc>
        <w:tc>
          <w:tcPr>
            <w:tcW w:type="dxa" w:w="1361"/>
          </w:tcPr>
          <w:p>
            <w:pPr>
              <w:keepNext/>
            </w:pPr>
            <w:r/>
            <w:r>
              <w:rPr>
                <w:rFonts w:ascii="Arial" w:hAnsi="Arial" w:eastAsia="Arial"/>
                <w:b w:val="0"/>
                <w:i w:val="0"/>
                <w:sz w:val="20"/>
              </w:rPr>
              <w:t>5 000</w:t>
            </w:r>
          </w:p>
        </w:tc>
        <w:tc>
          <w:tcPr>
            <w:tcW w:type="dxa" w:w="1474"/>
          </w:tcPr>
          <w:p>
            <w:pPr>
              <w:keepNext/>
            </w:pPr>
            <w:r/>
            <w:r>
              <w:rPr>
                <w:rFonts w:ascii="Arial" w:hAnsi="Arial" w:eastAsia="Arial"/>
                <w:b w:val="0"/>
                <w:i w:val="0"/>
                <w:sz w:val="20"/>
              </w:rPr>
              <w:t>15 000</w:t>
            </w:r>
          </w:p>
        </w:tc>
        <w:tc>
          <w:tcPr>
            <w:tcW w:type="dxa" w:w="1134"/>
          </w:tcPr>
          <w:p>
            <w:pPr>
              <w:keepNext/>
            </w:pPr>
            <w:r/>
            <w:r>
              <w:rPr>
                <w:rFonts w:ascii="Arial" w:hAnsi="Arial" w:eastAsia="Arial"/>
                <w:b w:val="0"/>
                <w:i w:val="0"/>
                <w:sz w:val="20"/>
              </w:rPr>
              <w:t>3.9%</w:t>
            </w:r>
          </w:p>
        </w:tc>
      </w:tr>
      <w:tr>
        <w:trPr>
          <w:cantSplit/>
        </w:trPr>
        <w:tc>
          <w:tcPr>
            <w:tcW w:type="dxa" w:w="2948"/>
            <w:shd w:val="clear" w:color="auto" w:fill="E8EDF5"/>
          </w:tcPr>
          <w:p>
            <w:r>
              <w:rPr>
                <w:b/>
              </w:rPr>
            </w:r>
            <w:r>
              <w:rPr>
                <w:rFonts w:ascii="Arial" w:hAnsi="Arial" w:eastAsia="Arial"/>
                <w:b/>
                <w:i w:val="0"/>
                <w:sz w:val="20"/>
              </w:rPr>
              <w:t>Total</w:t>
            </w:r>
          </w:p>
        </w:tc>
        <w:tc>
          <w:tcPr>
            <w:tcW w:type="dxa" w:w="1361"/>
            <w:shd w:val="clear" w:color="auto" w:fill="E8EDF5"/>
          </w:tcPr>
          <w:p>
            <w:r>
              <w:rPr>
                <w:b/>
              </w:rPr>
            </w:r>
            <w:r>
              <w:rPr>
                <w:rFonts w:ascii="Arial" w:hAnsi="Arial" w:eastAsia="Arial"/>
                <w:b/>
                <w:i w:val="0"/>
                <w:sz w:val="20"/>
              </w:rPr>
              <w:t>204 060</w:t>
            </w:r>
          </w:p>
        </w:tc>
        <w:tc>
          <w:tcPr>
            <w:tcW w:type="dxa" w:w="1361"/>
            <w:shd w:val="clear" w:color="auto" w:fill="E8EDF5"/>
          </w:tcPr>
          <w:p>
            <w:r>
              <w:rPr>
                <w:b/>
              </w:rPr>
            </w:r>
            <w:r>
              <w:rPr>
                <w:rFonts w:ascii="Arial" w:hAnsi="Arial" w:eastAsia="Arial"/>
                <w:b/>
                <w:i w:val="0"/>
                <w:sz w:val="20"/>
              </w:rPr>
              <w:t>110 595</w:t>
            </w:r>
          </w:p>
        </w:tc>
        <w:tc>
          <w:tcPr>
            <w:tcW w:type="dxa" w:w="1361"/>
            <w:shd w:val="clear" w:color="auto" w:fill="E8EDF5"/>
          </w:tcPr>
          <w:p>
            <w:r>
              <w:rPr>
                <w:b/>
              </w:rPr>
            </w:r>
            <w:r>
              <w:rPr>
                <w:rFonts w:ascii="Arial" w:hAnsi="Arial" w:eastAsia="Arial"/>
                <w:b/>
                <w:i w:val="0"/>
                <w:sz w:val="20"/>
              </w:rPr>
              <w:t>67 845</w:t>
            </w:r>
          </w:p>
        </w:tc>
        <w:tc>
          <w:tcPr>
            <w:tcW w:type="dxa" w:w="1474"/>
            <w:shd w:val="clear" w:color="auto" w:fill="E8EDF5"/>
          </w:tcPr>
          <w:p>
            <w:r>
              <w:rPr>
                <w:b/>
              </w:rPr>
            </w:r>
            <w:r>
              <w:rPr>
                <w:rFonts w:ascii="Arial" w:hAnsi="Arial" w:eastAsia="Arial"/>
                <w:b/>
                <w:i w:val="0"/>
                <w:sz w:val="20"/>
              </w:rPr>
              <w:t>382 500</w:t>
            </w:r>
          </w:p>
        </w:tc>
        <w:tc>
          <w:tcPr>
            <w:tcW w:type="dxa" w:w="1134"/>
            <w:shd w:val="clear" w:color="auto" w:fill="E8EDF5"/>
          </w:tcPr>
          <w:p>
            <w:r>
              <w:rPr>
                <w:b/>
              </w:rPr>
            </w:r>
            <w:r>
              <w:rPr>
                <w:rFonts w:ascii="Arial" w:hAnsi="Arial" w:eastAsia="Arial"/>
                <w:b/>
                <w:i w:val="0"/>
                <w:sz w:val="20"/>
              </w:rPr>
              <w:t>100%</w:t>
            </w:r>
          </w:p>
        </w:tc>
      </w:tr>
    </w:tbl>
    <w:p>
      <w:pPr>
        <w:spacing w:after="80" w:before="0"/>
      </w:pPr>
    </w:p>
    <w:p>
      <w:pPr>
        <w:spacing w:after="40" w:before="0"/>
        <w:jc w:val="center"/>
      </w:pPr>
      <w:r>
        <w:drawing>
          <wp:inline xmlns:a="http://schemas.openxmlformats.org/drawingml/2006/main" xmlns:pic="http://schemas.openxmlformats.org/drawingml/2006/picture">
            <wp:extent cx="6120000" cy="3014328"/>
            <wp:docPr id="1" name="Picture 1"/>
            <wp:cNvGraphicFramePr>
              <a:graphicFrameLocks noChangeAspect="1"/>
            </wp:cNvGraphicFramePr>
            <a:graphic>
              <a:graphicData uri="http://schemas.openxmlformats.org/drawingml/2006/picture">
                <pic:pic>
                  <pic:nvPicPr>
                    <pic:cNvPr id="0" name="fig_budget_categories.png"/>
                    <pic:cNvPicPr/>
                  </pic:nvPicPr>
                  <pic:blipFill>
                    <a:blip r:embed="rId15"/>
                    <a:stretch>
                      <a:fillRect/>
                    </a:stretch>
                  </pic:blipFill>
                  <pic:spPr>
                    <a:xfrm>
                      <a:off x="0" y="0"/>
                      <a:ext cx="6120000" cy="3014328"/>
                    </a:xfrm>
                    <a:prstGeom prst="rect"/>
                  </pic:spPr>
                </pic:pic>
              </a:graphicData>
            </a:graphic>
          </wp:inline>
        </w:drawing>
      </w:r>
    </w:p>
    <w:p>
      <w:pPr>
        <w:spacing w:after="120" w:before="0"/>
      </w:pPr>
      <w:r>
        <w:rPr>
          <w:rFonts w:ascii="Arial" w:hAnsi="Arial" w:eastAsia="Arial"/>
          <w:b w:val="0"/>
          <w:i/>
          <w:color w:val="52606D"/>
          <w:sz w:val="20"/>
        </w:rPr>
        <w:t>Figure 1. Budget by category.</w:t>
      </w:r>
    </w:p>
    <w:p>
      <w:pPr>
        <w:keepNext/>
        <w:spacing w:after="120" w:before="160"/>
      </w:pPr>
      <w:r>
        <w:rPr>
          <w:rFonts w:ascii="Arial" w:hAnsi="Arial" w:eastAsia="Arial"/>
          <w:b/>
          <w:i w:val="0"/>
          <w:color w:val="1F3864"/>
          <w:sz w:val="27"/>
        </w:rPr>
        <w:t>2. Budget by work package</w:t>
      </w:r>
    </w:p>
    <w:tbl>
      <w:tblPr>
        <w:tblStyle w:val="TableGrid"/>
        <w:tblW w:type="auto" w:w="0"/>
        <w:jc w:val="center"/>
        <w:tblLayout w:type="fixed"/>
        <w:tblLook w:firstColumn="1" w:firstRow="1" w:lastColumn="0" w:lastRow="0" w:noHBand="0" w:noVBand="1" w:val="04A0"/>
        <w:tblLayout w:type="fixed"/>
      </w:tblPr>
      <w:tblGrid>
        <w:gridCol w:w="794"/>
        <w:gridCol w:w="5669"/>
        <w:gridCol w:w="1814"/>
        <w:gridCol w:w="1361"/>
      </w:tblGrid>
      <w:tr>
        <w:trPr>
          <w:cantSplit/>
          <w:tblHeader/>
        </w:trPr>
        <w:tc>
          <w:tcPr>
            <w:tcW w:type="dxa" w:w="794"/>
            <w:shd w:val="clear" w:color="auto" w:fill="1F3864"/>
          </w:tcPr>
          <w:p>
            <w:pPr>
              <w:keepNext/>
            </w:pPr>
            <w:r/>
            <w:r>
              <w:rPr>
                <w:rFonts w:ascii="Arial" w:hAnsi="Arial" w:eastAsia="Arial"/>
                <w:b/>
                <w:i w:val="0"/>
                <w:color w:val="FFFFFF"/>
                <w:sz w:val="20"/>
              </w:rPr>
            </w:r>
          </w:p>
        </w:tc>
        <w:tc>
          <w:tcPr>
            <w:tcW w:type="dxa" w:w="5669"/>
            <w:shd w:val="clear" w:color="auto" w:fill="1F3864"/>
          </w:tcPr>
          <w:p>
            <w:pPr>
              <w:keepNext/>
            </w:pPr>
            <w:r/>
            <w:r>
              <w:rPr>
                <w:rFonts w:ascii="Arial" w:hAnsi="Arial" w:eastAsia="Arial"/>
                <w:b/>
                <w:i w:val="0"/>
                <w:color w:val="FFFFFF"/>
                <w:sz w:val="20"/>
              </w:rPr>
              <w:t>Work package</w:t>
            </w:r>
          </w:p>
        </w:tc>
        <w:tc>
          <w:tcPr>
            <w:tcW w:type="dxa" w:w="1814"/>
            <w:shd w:val="clear" w:color="auto" w:fill="1F3864"/>
          </w:tcPr>
          <w:p>
            <w:pPr>
              <w:keepNext/>
            </w:pPr>
            <w:r/>
            <w:r>
              <w:rPr>
                <w:rFonts w:ascii="Arial" w:hAnsi="Arial" w:eastAsia="Arial"/>
                <w:b/>
                <w:i w:val="0"/>
                <w:color w:val="FFFFFF"/>
                <w:sz w:val="20"/>
              </w:rPr>
              <w:t>Total (€)</w:t>
            </w:r>
          </w:p>
        </w:tc>
        <w:tc>
          <w:tcPr>
            <w:tcW w:type="dxa" w:w="1361"/>
            <w:shd w:val="clear" w:color="auto" w:fill="1F3864"/>
          </w:tcPr>
          <w:p>
            <w:pPr>
              <w:keepNext/>
            </w:pPr>
            <w:r/>
            <w:r>
              <w:rPr>
                <w:rFonts w:ascii="Arial" w:hAnsi="Arial" w:eastAsia="Arial"/>
                <w:b/>
                <w:i w:val="0"/>
                <w:color w:val="FFFFFF"/>
                <w:sz w:val="20"/>
              </w:rPr>
              <w:t>Share</w:t>
            </w:r>
          </w:p>
        </w:tc>
      </w:tr>
      <w:tr>
        <w:trPr>
          <w:cantSplit/>
        </w:trPr>
        <w:tc>
          <w:tcPr>
            <w:tcW w:type="dxa" w:w="794"/>
          </w:tcPr>
          <w:p>
            <w:r/>
            <w:r>
              <w:rPr>
                <w:rFonts w:ascii="Arial" w:hAnsi="Arial" w:eastAsia="Arial"/>
                <w:b w:val="0"/>
                <w:i w:val="0"/>
                <w:sz w:val="20"/>
              </w:rPr>
              <w:t>WP1</w:t>
            </w:r>
          </w:p>
        </w:tc>
        <w:tc>
          <w:tcPr>
            <w:tcW w:type="dxa" w:w="5669"/>
          </w:tcPr>
          <w:p>
            <w:r/>
            <w:r>
              <w:rPr>
                <w:rFonts w:ascii="Arial" w:hAnsi="Arial" w:eastAsia="Arial"/>
                <w:b w:val="0"/>
                <w:i w:val="0"/>
                <w:sz w:val="20"/>
              </w:rPr>
              <w:t>Coastal motion and relative sea level</w:t>
            </w:r>
          </w:p>
        </w:tc>
        <w:tc>
          <w:tcPr>
            <w:tcW w:type="dxa" w:w="1814"/>
          </w:tcPr>
          <w:p>
            <w:r/>
            <w:r>
              <w:rPr>
                <w:rFonts w:ascii="Arial" w:hAnsi="Arial" w:eastAsia="Arial"/>
                <w:b w:val="0"/>
                <w:i w:val="0"/>
                <w:sz w:val="20"/>
              </w:rPr>
              <w:t>45 600</w:t>
            </w:r>
          </w:p>
        </w:tc>
        <w:tc>
          <w:tcPr>
            <w:tcW w:type="dxa" w:w="1361"/>
          </w:tcPr>
          <w:p>
            <w:r/>
            <w:r>
              <w:rPr>
                <w:rFonts w:ascii="Arial" w:hAnsi="Arial" w:eastAsia="Arial"/>
                <w:b w:val="0"/>
                <w:i w:val="0"/>
                <w:sz w:val="20"/>
              </w:rPr>
              <w:t>11.9%</w:t>
            </w:r>
          </w:p>
        </w:tc>
      </w:tr>
      <w:tr>
        <w:trPr>
          <w:cantSplit/>
        </w:trPr>
        <w:tc>
          <w:tcPr>
            <w:tcW w:type="dxa" w:w="794"/>
          </w:tcPr>
          <w:p>
            <w:r/>
            <w:r>
              <w:rPr>
                <w:rFonts w:ascii="Arial" w:hAnsi="Arial" w:eastAsia="Arial"/>
                <w:b w:val="0"/>
                <w:i w:val="0"/>
                <w:sz w:val="20"/>
              </w:rPr>
              <w:t>WP2</w:t>
            </w:r>
          </w:p>
        </w:tc>
        <w:tc>
          <w:tcPr>
            <w:tcW w:type="dxa" w:w="5669"/>
          </w:tcPr>
          <w:p>
            <w:r/>
            <w:r>
              <w:rPr>
                <w:rFonts w:ascii="Arial" w:hAnsi="Arial" w:eastAsia="Arial"/>
                <w:b w:val="0"/>
                <w:i w:val="0"/>
                <w:sz w:val="20"/>
              </w:rPr>
              <w:t>Coupled model and certified surrogate</w:t>
            </w:r>
          </w:p>
        </w:tc>
        <w:tc>
          <w:tcPr>
            <w:tcW w:type="dxa" w:w="1814"/>
          </w:tcPr>
          <w:p>
            <w:r/>
            <w:r>
              <w:rPr>
                <w:rFonts w:ascii="Arial" w:hAnsi="Arial" w:eastAsia="Arial"/>
                <w:b w:val="0"/>
                <w:i w:val="0"/>
                <w:sz w:val="20"/>
              </w:rPr>
              <w:t>24 600</w:t>
            </w:r>
          </w:p>
        </w:tc>
        <w:tc>
          <w:tcPr>
            <w:tcW w:type="dxa" w:w="1361"/>
          </w:tcPr>
          <w:p>
            <w:r/>
            <w:r>
              <w:rPr>
                <w:rFonts w:ascii="Arial" w:hAnsi="Arial" w:eastAsia="Arial"/>
                <w:b w:val="0"/>
                <w:i w:val="0"/>
                <w:sz w:val="20"/>
              </w:rPr>
              <w:t>6.4%</w:t>
            </w:r>
          </w:p>
        </w:tc>
      </w:tr>
      <w:tr>
        <w:trPr>
          <w:cantSplit/>
        </w:trPr>
        <w:tc>
          <w:tcPr>
            <w:tcW w:type="dxa" w:w="794"/>
          </w:tcPr>
          <w:p>
            <w:r/>
            <w:r>
              <w:rPr>
                <w:rFonts w:ascii="Arial" w:hAnsi="Arial" w:eastAsia="Arial"/>
                <w:b w:val="0"/>
                <w:i w:val="0"/>
                <w:sz w:val="20"/>
              </w:rPr>
              <w:t>WP3</w:t>
            </w:r>
          </w:p>
        </w:tc>
        <w:tc>
          <w:tcPr>
            <w:tcW w:type="dxa" w:w="5669"/>
          </w:tcPr>
          <w:p>
            <w:r/>
            <w:r>
              <w:rPr>
                <w:rFonts w:ascii="Arial" w:hAnsi="Arial" w:eastAsia="Arial"/>
                <w:b w:val="0"/>
                <w:i w:val="0"/>
                <w:sz w:val="20"/>
              </w:rPr>
              <w:t>Certified multi-hazard alarm</w:t>
            </w:r>
          </w:p>
        </w:tc>
        <w:tc>
          <w:tcPr>
            <w:tcW w:type="dxa" w:w="1814"/>
          </w:tcPr>
          <w:p>
            <w:r/>
            <w:r>
              <w:rPr>
                <w:rFonts w:ascii="Arial" w:hAnsi="Arial" w:eastAsia="Arial"/>
                <w:b w:val="0"/>
                <w:i w:val="0"/>
                <w:sz w:val="20"/>
              </w:rPr>
              <w:t>9 600</w:t>
            </w:r>
          </w:p>
        </w:tc>
        <w:tc>
          <w:tcPr>
            <w:tcW w:type="dxa" w:w="1361"/>
          </w:tcPr>
          <w:p>
            <w:r/>
            <w:r>
              <w:rPr>
                <w:rFonts w:ascii="Arial" w:hAnsi="Arial" w:eastAsia="Arial"/>
                <w:b w:val="0"/>
                <w:i w:val="0"/>
                <w:sz w:val="20"/>
              </w:rPr>
              <w:t>2.5%</w:t>
            </w:r>
          </w:p>
        </w:tc>
      </w:tr>
      <w:tr>
        <w:trPr>
          <w:cantSplit/>
        </w:trPr>
        <w:tc>
          <w:tcPr>
            <w:tcW w:type="dxa" w:w="794"/>
          </w:tcPr>
          <w:p>
            <w:r/>
            <w:r>
              <w:rPr>
                <w:rFonts w:ascii="Arial" w:hAnsi="Arial" w:eastAsia="Arial"/>
                <w:b w:val="0"/>
                <w:i w:val="0"/>
                <w:sz w:val="20"/>
              </w:rPr>
              <w:t>WP4</w:t>
            </w:r>
          </w:p>
        </w:tc>
        <w:tc>
          <w:tcPr>
            <w:tcW w:type="dxa" w:w="5669"/>
          </w:tcPr>
          <w:p>
            <w:r/>
            <w:r>
              <w:rPr>
                <w:rFonts w:ascii="Arial" w:hAnsi="Arial" w:eastAsia="Arial"/>
                <w:b w:val="0"/>
                <w:i w:val="0"/>
                <w:sz w:val="20"/>
              </w:rPr>
              <w:t>Monitoring network</w:t>
            </w:r>
          </w:p>
        </w:tc>
        <w:tc>
          <w:tcPr>
            <w:tcW w:type="dxa" w:w="1814"/>
          </w:tcPr>
          <w:p>
            <w:r/>
            <w:r>
              <w:rPr>
                <w:rFonts w:ascii="Arial" w:hAnsi="Arial" w:eastAsia="Arial"/>
                <w:b w:val="0"/>
                <w:i w:val="0"/>
                <w:sz w:val="20"/>
              </w:rPr>
              <w:t>166 100</w:t>
            </w:r>
          </w:p>
        </w:tc>
        <w:tc>
          <w:tcPr>
            <w:tcW w:type="dxa" w:w="1361"/>
          </w:tcPr>
          <w:p>
            <w:r/>
            <w:r>
              <w:rPr>
                <w:rFonts w:ascii="Arial" w:hAnsi="Arial" w:eastAsia="Arial"/>
                <w:b w:val="0"/>
                <w:i w:val="0"/>
                <w:sz w:val="20"/>
              </w:rPr>
              <w:t>43.4%</w:t>
            </w:r>
          </w:p>
        </w:tc>
      </w:tr>
      <w:tr>
        <w:trPr>
          <w:cantSplit/>
        </w:trPr>
        <w:tc>
          <w:tcPr>
            <w:tcW w:type="dxa" w:w="794"/>
          </w:tcPr>
          <w:p>
            <w:r/>
            <w:r>
              <w:rPr>
                <w:rFonts w:ascii="Arial" w:hAnsi="Arial" w:eastAsia="Arial"/>
                <w:b w:val="0"/>
                <w:i w:val="0"/>
                <w:sz w:val="20"/>
              </w:rPr>
              <w:t>WP5</w:t>
            </w:r>
          </w:p>
        </w:tc>
        <w:tc>
          <w:tcPr>
            <w:tcW w:type="dxa" w:w="5669"/>
          </w:tcPr>
          <w:p>
            <w:r/>
            <w:r>
              <w:rPr>
                <w:rFonts w:ascii="Arial" w:hAnsi="Arial" w:eastAsia="Arial"/>
                <w:b w:val="0"/>
                <w:i w:val="0"/>
                <w:sz w:val="20"/>
              </w:rPr>
              <w:t>Live demonstration</w:t>
            </w:r>
          </w:p>
        </w:tc>
        <w:tc>
          <w:tcPr>
            <w:tcW w:type="dxa" w:w="1814"/>
          </w:tcPr>
          <w:p>
            <w:r/>
            <w:r>
              <w:rPr>
                <w:rFonts w:ascii="Arial" w:hAnsi="Arial" w:eastAsia="Arial"/>
                <w:b w:val="0"/>
                <w:i w:val="0"/>
                <w:sz w:val="20"/>
              </w:rPr>
              <w:t>14 600</w:t>
            </w:r>
          </w:p>
        </w:tc>
        <w:tc>
          <w:tcPr>
            <w:tcW w:type="dxa" w:w="1361"/>
          </w:tcPr>
          <w:p>
            <w:r/>
            <w:r>
              <w:rPr>
                <w:rFonts w:ascii="Arial" w:hAnsi="Arial" w:eastAsia="Arial"/>
                <w:b w:val="0"/>
                <w:i w:val="0"/>
                <w:sz w:val="20"/>
              </w:rPr>
              <w:t>3.8%</w:t>
            </w:r>
          </w:p>
        </w:tc>
      </w:tr>
      <w:tr>
        <w:trPr>
          <w:cantSplit/>
        </w:trPr>
        <w:tc>
          <w:tcPr>
            <w:tcW w:type="dxa" w:w="794"/>
          </w:tcPr>
          <w:p>
            <w:r/>
            <w:r>
              <w:rPr>
                <w:rFonts w:ascii="Arial" w:hAnsi="Arial" w:eastAsia="Arial"/>
                <w:b w:val="0"/>
                <w:i w:val="0"/>
                <w:sz w:val="20"/>
              </w:rPr>
              <w:t>WP6</w:t>
            </w:r>
          </w:p>
        </w:tc>
        <w:tc>
          <w:tcPr>
            <w:tcW w:type="dxa" w:w="5669"/>
          </w:tcPr>
          <w:p>
            <w:r/>
            <w:r>
              <w:rPr>
                <w:rFonts w:ascii="Arial" w:hAnsi="Arial" w:eastAsia="Arial"/>
                <w:b w:val="0"/>
                <w:i w:val="0"/>
                <w:sz w:val="20"/>
              </w:rPr>
              <w:t>Training, transfer and dissemination</w:t>
            </w:r>
          </w:p>
        </w:tc>
        <w:tc>
          <w:tcPr>
            <w:tcW w:type="dxa" w:w="1814"/>
          </w:tcPr>
          <w:p>
            <w:r/>
            <w:r>
              <w:rPr>
                <w:rFonts w:ascii="Arial" w:hAnsi="Arial" w:eastAsia="Arial"/>
                <w:b w:val="0"/>
                <w:i w:val="0"/>
                <w:sz w:val="20"/>
              </w:rPr>
              <w:t>85 400</w:t>
            </w:r>
          </w:p>
        </w:tc>
        <w:tc>
          <w:tcPr>
            <w:tcW w:type="dxa" w:w="1361"/>
          </w:tcPr>
          <w:p>
            <w:r/>
            <w:r>
              <w:rPr>
                <w:rFonts w:ascii="Arial" w:hAnsi="Arial" w:eastAsia="Arial"/>
                <w:b w:val="0"/>
                <w:i w:val="0"/>
                <w:sz w:val="20"/>
              </w:rPr>
              <w:t>22.3%</w:t>
            </w:r>
          </w:p>
        </w:tc>
      </w:tr>
      <w:tr>
        <w:trPr>
          <w:cantSplit/>
        </w:trPr>
        <w:tc>
          <w:tcPr>
            <w:tcW w:type="dxa" w:w="794"/>
          </w:tcPr>
          <w:p>
            <w:pPr>
              <w:keepNext/>
            </w:pPr>
            <w:r/>
            <w:r>
              <w:rPr>
                <w:rFonts w:ascii="Arial" w:hAnsi="Arial" w:eastAsia="Arial"/>
                <w:b w:val="0"/>
                <w:i w:val="0"/>
                <w:sz w:val="20"/>
              </w:rPr>
              <w:t>WP7</w:t>
            </w:r>
          </w:p>
        </w:tc>
        <w:tc>
          <w:tcPr>
            <w:tcW w:type="dxa" w:w="5669"/>
          </w:tcPr>
          <w:p>
            <w:pPr>
              <w:keepNext/>
            </w:pPr>
            <w:r/>
            <w:r>
              <w:rPr>
                <w:rFonts w:ascii="Arial" w:hAnsi="Arial" w:eastAsia="Arial"/>
                <w:b w:val="0"/>
                <w:i w:val="0"/>
                <w:sz w:val="20"/>
              </w:rPr>
              <w:t>Management, data and risk</w:t>
            </w:r>
          </w:p>
        </w:tc>
        <w:tc>
          <w:tcPr>
            <w:tcW w:type="dxa" w:w="1814"/>
          </w:tcPr>
          <w:p>
            <w:pPr>
              <w:keepNext/>
            </w:pPr>
            <w:r/>
            <w:r>
              <w:rPr>
                <w:rFonts w:ascii="Arial" w:hAnsi="Arial" w:eastAsia="Arial"/>
                <w:b w:val="0"/>
                <w:i w:val="0"/>
                <w:sz w:val="20"/>
              </w:rPr>
              <w:t>36 600</w:t>
            </w:r>
          </w:p>
        </w:tc>
        <w:tc>
          <w:tcPr>
            <w:tcW w:type="dxa" w:w="1361"/>
          </w:tcPr>
          <w:p>
            <w:pPr>
              <w:keepNext/>
            </w:pPr>
            <w:r/>
            <w:r>
              <w:rPr>
                <w:rFonts w:ascii="Arial" w:hAnsi="Arial" w:eastAsia="Arial"/>
                <w:b w:val="0"/>
                <w:i w:val="0"/>
                <w:sz w:val="20"/>
              </w:rPr>
              <w:t>9.6%</w:t>
            </w:r>
          </w:p>
        </w:tc>
      </w:tr>
      <w:tr>
        <w:trPr>
          <w:cantSplit/>
        </w:trPr>
        <w:tc>
          <w:tcPr>
            <w:tcW w:type="dxa" w:w="794"/>
            <w:shd w:val="clear" w:color="auto" w:fill="E8EDF5"/>
          </w:tcPr>
          <w:p>
            <w:r>
              <w:rPr>
                <w:b/>
              </w:rPr>
            </w:r>
          </w:p>
        </w:tc>
        <w:tc>
          <w:tcPr>
            <w:tcW w:type="dxa" w:w="5669"/>
            <w:shd w:val="clear" w:color="auto" w:fill="E8EDF5"/>
          </w:tcPr>
          <w:p>
            <w:r>
              <w:rPr>
                <w:b/>
              </w:rPr>
            </w:r>
            <w:r>
              <w:rPr>
                <w:rFonts w:ascii="Arial" w:hAnsi="Arial" w:eastAsia="Arial"/>
                <w:b/>
                <w:i w:val="0"/>
                <w:sz w:val="20"/>
              </w:rPr>
              <w:t>Total</w:t>
            </w:r>
          </w:p>
        </w:tc>
        <w:tc>
          <w:tcPr>
            <w:tcW w:type="dxa" w:w="1814"/>
            <w:shd w:val="clear" w:color="auto" w:fill="E8EDF5"/>
          </w:tcPr>
          <w:p>
            <w:r>
              <w:rPr>
                <w:b/>
              </w:rPr>
            </w:r>
            <w:r>
              <w:rPr>
                <w:rFonts w:ascii="Arial" w:hAnsi="Arial" w:eastAsia="Arial"/>
                <w:b/>
                <w:i w:val="0"/>
                <w:sz w:val="20"/>
              </w:rPr>
              <w:t>382 500</w:t>
            </w:r>
          </w:p>
        </w:tc>
        <w:tc>
          <w:tcPr>
            <w:tcW w:type="dxa" w:w="1361"/>
            <w:shd w:val="clear" w:color="auto" w:fill="E8EDF5"/>
          </w:tcPr>
          <w:p>
            <w:r>
              <w:rPr>
                <w:b/>
              </w:rPr>
            </w:r>
            <w:r>
              <w:rPr>
                <w:rFonts w:ascii="Arial" w:hAnsi="Arial" w:eastAsia="Arial"/>
                <w:b/>
                <w:i w:val="0"/>
                <w:sz w:val="20"/>
              </w:rPr>
              <w:t>100%</w:t>
            </w:r>
          </w:p>
        </w:tc>
      </w:tr>
    </w:tbl>
    <w:p>
      <w:pPr>
        <w:spacing w:after="120" w:before="60"/>
      </w:pPr>
      <w:r>
        <w:rPr>
          <w:rFonts w:ascii="Arial" w:hAnsi="Arial" w:eastAsia="Arial"/>
          <w:b w:val="0"/>
          <w:i/>
          <w:color w:val="52606D"/>
          <w:sz w:val="19"/>
        </w:rPr>
        <w:t>Stipends are shared equally across WP1–WP5, where the young researchers work. WP2 and WP3 are mostly researcher time, which the institutions pay in kind, so their SPS share is small.</w:t>
      </w:r>
    </w:p>
    <w:p>
      <w:pPr>
        <w:keepNext/>
        <w:spacing w:after="120" w:before="160"/>
      </w:pPr>
      <w:r>
        <w:rPr>
          <w:rFonts w:ascii="Arial" w:hAnsi="Arial" w:eastAsia="Arial"/>
          <w:b/>
          <w:i w:val="0"/>
          <w:color w:val="1F3864"/>
          <w:sz w:val="27"/>
        </w:rPr>
        <w:t>3. Budget by recipient</w:t>
      </w:r>
    </w:p>
    <w:tbl>
      <w:tblPr>
        <w:tblStyle w:val="TableGrid"/>
        <w:tblW w:type="auto" w:w="0"/>
        <w:jc w:val="center"/>
        <w:tblLayout w:type="fixed"/>
        <w:tblLook w:firstColumn="1" w:firstRow="1" w:lastColumn="0" w:lastRow="0" w:noHBand="0" w:noVBand="1" w:val="04A0"/>
        <w:tblLayout w:type="fixed"/>
      </w:tblPr>
      <w:tblGrid>
        <w:gridCol w:w="2948"/>
        <w:gridCol w:w="3402"/>
        <w:gridCol w:w="3288"/>
      </w:tblGrid>
      <w:tr>
        <w:trPr>
          <w:cantSplit/>
          <w:tblHeader/>
        </w:trPr>
        <w:tc>
          <w:tcPr>
            <w:tcW w:type="dxa" w:w="2948"/>
            <w:shd w:val="clear" w:color="auto" w:fill="1F3864"/>
          </w:tcPr>
          <w:p>
            <w:pPr>
              <w:keepNext/>
            </w:pPr>
            <w:r/>
            <w:r>
              <w:rPr>
                <w:rFonts w:ascii="Arial" w:hAnsi="Arial" w:eastAsia="Arial"/>
                <w:b/>
                <w:i w:val="0"/>
                <w:color w:val="FFFFFF"/>
                <w:sz w:val="20"/>
              </w:rPr>
              <w:t>Category (€)</w:t>
            </w:r>
          </w:p>
        </w:tc>
        <w:tc>
          <w:tcPr>
            <w:tcW w:type="dxa" w:w="3402"/>
            <w:shd w:val="clear" w:color="auto" w:fill="1F3864"/>
          </w:tcPr>
          <w:p>
            <w:pPr>
              <w:keepNext/>
            </w:pPr>
            <w:r/>
            <w:r>
              <w:rPr>
                <w:rFonts w:ascii="Arial" w:hAnsi="Arial" w:eastAsia="Arial"/>
                <w:b/>
                <w:i w:val="0"/>
                <w:color w:val="FFFFFF"/>
                <w:sz w:val="20"/>
              </w:rPr>
              <w:t>NATO-country Project Director (Albania)</w:t>
            </w:r>
          </w:p>
        </w:tc>
        <w:tc>
          <w:tcPr>
            <w:tcW w:type="dxa" w:w="3288"/>
            <w:shd w:val="clear" w:color="auto" w:fill="1F3864"/>
          </w:tcPr>
          <w:p>
            <w:pPr>
              <w:keepNext/>
            </w:pPr>
            <w:r/>
            <w:r>
              <w:rPr>
                <w:rFonts w:ascii="Arial" w:hAnsi="Arial" w:eastAsia="Arial"/>
                <w:b/>
                <w:i w:val="0"/>
                <w:color w:val="FFFFFF"/>
                <w:sz w:val="20"/>
              </w:rPr>
              <w:t>Partner-country Project Director</w:t>
            </w:r>
          </w:p>
        </w:tc>
      </w:tr>
      <w:tr>
        <w:trPr>
          <w:cantSplit/>
        </w:trPr>
        <w:tc>
          <w:tcPr>
            <w:tcW w:type="dxa" w:w="2948"/>
          </w:tcPr>
          <w:p>
            <w:r/>
            <w:r>
              <w:rPr>
                <w:rFonts w:ascii="Arial" w:hAnsi="Arial" w:eastAsia="Arial"/>
                <w:b w:val="0"/>
                <w:i w:val="0"/>
                <w:sz w:val="20"/>
              </w:rPr>
              <w:t>Equipment</w:t>
            </w:r>
          </w:p>
        </w:tc>
        <w:tc>
          <w:tcPr>
            <w:tcW w:type="dxa" w:w="3402"/>
          </w:tcPr>
          <w:p>
            <w:r/>
            <w:r>
              <w:rPr>
                <w:rFonts w:ascii="Arial" w:hAnsi="Arial" w:eastAsia="Arial"/>
                <w:b w:val="0"/>
                <w:i w:val="0"/>
                <w:sz w:val="20"/>
              </w:rPr>
              <w:t>167 800</w:t>
            </w:r>
          </w:p>
        </w:tc>
        <w:tc>
          <w:tcPr>
            <w:tcW w:type="dxa" w:w="3288"/>
          </w:tcPr>
          <w:p>
            <w:r/>
            <w:r>
              <w:rPr>
                <w:rFonts w:ascii="Arial" w:hAnsi="Arial" w:eastAsia="Arial"/>
                <w:b w:val="0"/>
                <w:i w:val="0"/>
                <w:sz w:val="20"/>
              </w:rPr>
              <w:t>15 000</w:t>
            </w:r>
          </w:p>
        </w:tc>
      </w:tr>
      <w:tr>
        <w:trPr>
          <w:cantSplit/>
        </w:trPr>
        <w:tc>
          <w:tcPr>
            <w:tcW w:type="dxa" w:w="2948"/>
          </w:tcPr>
          <w:p>
            <w:r/>
            <w:r>
              <w:rPr>
                <w:rFonts w:ascii="Arial" w:hAnsi="Arial" w:eastAsia="Arial"/>
                <w:b w:val="0"/>
                <w:i w:val="0"/>
                <w:sz w:val="20"/>
              </w:rPr>
              <w:t>Consumables</w:t>
            </w:r>
          </w:p>
        </w:tc>
        <w:tc>
          <w:tcPr>
            <w:tcW w:type="dxa" w:w="3402"/>
          </w:tcPr>
          <w:p>
            <w:r/>
            <w:r>
              <w:rPr>
                <w:rFonts w:ascii="Arial" w:hAnsi="Arial" w:eastAsia="Arial"/>
                <w:b w:val="0"/>
                <w:i w:val="0"/>
                <w:sz w:val="20"/>
              </w:rPr>
              <w:t>22 700</w:t>
            </w:r>
          </w:p>
        </w:tc>
        <w:tc>
          <w:tcPr>
            <w:tcW w:type="dxa" w:w="3288"/>
          </w:tcPr>
          <w:p>
            <w:r/>
            <w:r>
              <w:rPr>
                <w:rFonts w:ascii="Arial" w:hAnsi="Arial" w:eastAsia="Arial"/>
                <w:b w:val="0"/>
                <w:i w:val="0"/>
                <w:sz w:val="20"/>
              </w:rPr>
              <w:t>0</w:t>
            </w:r>
          </w:p>
        </w:tc>
      </w:tr>
      <w:tr>
        <w:trPr>
          <w:cantSplit/>
        </w:trPr>
        <w:tc>
          <w:tcPr>
            <w:tcW w:type="dxa" w:w="2948"/>
          </w:tcPr>
          <w:p>
            <w:r/>
            <w:r>
              <w:rPr>
                <w:rFonts w:ascii="Arial" w:hAnsi="Arial" w:eastAsia="Arial"/>
                <w:b w:val="0"/>
                <w:i w:val="0"/>
                <w:sz w:val="20"/>
              </w:rPr>
              <w:t>Training and travel</w:t>
            </w:r>
          </w:p>
        </w:tc>
        <w:tc>
          <w:tcPr>
            <w:tcW w:type="dxa" w:w="3402"/>
          </w:tcPr>
          <w:p>
            <w:r/>
            <w:r>
              <w:rPr>
                <w:rFonts w:ascii="Arial" w:hAnsi="Arial" w:eastAsia="Arial"/>
                <w:b w:val="0"/>
                <w:i w:val="0"/>
                <w:sz w:val="20"/>
              </w:rPr>
              <w:t>50 000</w:t>
            </w:r>
          </w:p>
        </w:tc>
        <w:tc>
          <w:tcPr>
            <w:tcW w:type="dxa" w:w="3288"/>
          </w:tcPr>
          <w:p>
            <w:r/>
            <w:r>
              <w:rPr>
                <w:rFonts w:ascii="Arial" w:hAnsi="Arial" w:eastAsia="Arial"/>
                <w:b w:val="0"/>
                <w:i w:val="0"/>
                <w:sz w:val="20"/>
              </w:rPr>
              <w:t>39 000</w:t>
            </w:r>
          </w:p>
        </w:tc>
      </w:tr>
      <w:tr>
        <w:trPr>
          <w:cantSplit/>
        </w:trPr>
        <w:tc>
          <w:tcPr>
            <w:tcW w:type="dxa" w:w="2948"/>
          </w:tcPr>
          <w:p>
            <w:r/>
            <w:r>
              <w:rPr>
                <w:rFonts w:ascii="Arial" w:hAnsi="Arial" w:eastAsia="Arial"/>
                <w:b w:val="0"/>
                <w:i w:val="0"/>
                <w:sz w:val="20"/>
              </w:rPr>
              <w:t>Stipends</w:t>
            </w:r>
          </w:p>
        </w:tc>
        <w:tc>
          <w:tcPr>
            <w:tcW w:type="dxa" w:w="3402"/>
          </w:tcPr>
          <w:p>
            <w:r/>
            <w:r>
              <w:rPr>
                <w:rFonts w:ascii="Arial" w:hAnsi="Arial" w:eastAsia="Arial"/>
                <w:b w:val="0"/>
                <w:i w:val="0"/>
                <w:sz w:val="20"/>
              </w:rPr>
              <w:t>24 000</w:t>
            </w:r>
          </w:p>
        </w:tc>
        <w:tc>
          <w:tcPr>
            <w:tcW w:type="dxa" w:w="3288"/>
          </w:tcPr>
          <w:p>
            <w:r/>
            <w:r>
              <w:rPr>
                <w:rFonts w:ascii="Arial" w:hAnsi="Arial" w:eastAsia="Arial"/>
                <w:b w:val="0"/>
                <w:i w:val="0"/>
                <w:sz w:val="20"/>
              </w:rPr>
              <w:t>24 000</w:t>
            </w:r>
          </w:p>
        </w:tc>
      </w:tr>
      <w:tr>
        <w:trPr>
          <w:cantSplit/>
        </w:trPr>
        <w:tc>
          <w:tcPr>
            <w:tcW w:type="dxa" w:w="2948"/>
          </w:tcPr>
          <w:p>
            <w:r/>
            <w:r>
              <w:rPr>
                <w:rFonts w:ascii="Arial" w:hAnsi="Arial" w:eastAsia="Arial"/>
                <w:b w:val="0"/>
                <w:i w:val="0"/>
                <w:sz w:val="20"/>
              </w:rPr>
              <w:t>Dissemination</w:t>
            </w:r>
          </w:p>
        </w:tc>
        <w:tc>
          <w:tcPr>
            <w:tcW w:type="dxa" w:w="3402"/>
          </w:tcPr>
          <w:p>
            <w:r/>
            <w:r>
              <w:rPr>
                <w:rFonts w:ascii="Arial" w:hAnsi="Arial" w:eastAsia="Arial"/>
                <w:b w:val="0"/>
                <w:i w:val="0"/>
                <w:sz w:val="20"/>
              </w:rPr>
              <w:t>12 000</w:t>
            </w:r>
          </w:p>
        </w:tc>
        <w:tc>
          <w:tcPr>
            <w:tcW w:type="dxa" w:w="3288"/>
          </w:tcPr>
          <w:p>
            <w:r/>
            <w:r>
              <w:rPr>
                <w:rFonts w:ascii="Arial" w:hAnsi="Arial" w:eastAsia="Arial"/>
                <w:b w:val="0"/>
                <w:i w:val="0"/>
                <w:sz w:val="20"/>
              </w:rPr>
              <w:t>6 000</w:t>
            </w:r>
          </w:p>
        </w:tc>
      </w:tr>
      <w:tr>
        <w:trPr>
          <w:cantSplit/>
        </w:trPr>
        <w:tc>
          <w:tcPr>
            <w:tcW w:type="dxa" w:w="2948"/>
          </w:tcPr>
          <w:p>
            <w:r/>
            <w:r>
              <w:rPr>
                <w:rFonts w:ascii="Arial" w:hAnsi="Arial" w:eastAsia="Arial"/>
                <w:b w:val="0"/>
                <w:i w:val="0"/>
                <w:sz w:val="20"/>
              </w:rPr>
              <w:t>Other direct costs</w:t>
            </w:r>
          </w:p>
        </w:tc>
        <w:tc>
          <w:tcPr>
            <w:tcW w:type="dxa" w:w="3402"/>
          </w:tcPr>
          <w:p>
            <w:r/>
            <w:r>
              <w:rPr>
                <w:rFonts w:ascii="Arial" w:hAnsi="Arial" w:eastAsia="Arial"/>
                <w:b w:val="0"/>
                <w:i w:val="0"/>
                <w:sz w:val="20"/>
              </w:rPr>
              <w:t>7 000</w:t>
            </w:r>
          </w:p>
        </w:tc>
        <w:tc>
          <w:tcPr>
            <w:tcW w:type="dxa" w:w="3288"/>
          </w:tcPr>
          <w:p>
            <w:r/>
            <w:r>
              <w:rPr>
                <w:rFonts w:ascii="Arial" w:hAnsi="Arial" w:eastAsia="Arial"/>
                <w:b w:val="0"/>
                <w:i w:val="0"/>
                <w:sz w:val="20"/>
              </w:rPr>
              <w:t>0</w:t>
            </w:r>
          </w:p>
        </w:tc>
      </w:tr>
      <w:tr>
        <w:trPr>
          <w:cantSplit/>
        </w:trPr>
        <w:tc>
          <w:tcPr>
            <w:tcW w:type="dxa" w:w="2948"/>
          </w:tcPr>
          <w:p>
            <w:pPr>
              <w:keepNext/>
            </w:pPr>
            <w:r/>
            <w:r>
              <w:rPr>
                <w:rFonts w:ascii="Arial" w:hAnsi="Arial" w:eastAsia="Arial"/>
                <w:b w:val="0"/>
                <w:i w:val="0"/>
                <w:sz w:val="20"/>
              </w:rPr>
              <w:t>Management</w:t>
            </w:r>
          </w:p>
        </w:tc>
        <w:tc>
          <w:tcPr>
            <w:tcW w:type="dxa" w:w="3402"/>
          </w:tcPr>
          <w:p>
            <w:pPr>
              <w:keepNext/>
            </w:pPr>
            <w:r/>
            <w:r>
              <w:rPr>
                <w:rFonts w:ascii="Arial" w:hAnsi="Arial" w:eastAsia="Arial"/>
                <w:b w:val="0"/>
                <w:i w:val="0"/>
                <w:sz w:val="20"/>
              </w:rPr>
              <w:t>15 000</w:t>
            </w:r>
          </w:p>
        </w:tc>
        <w:tc>
          <w:tcPr>
            <w:tcW w:type="dxa" w:w="3288"/>
          </w:tcPr>
          <w:p>
            <w:pPr>
              <w:keepNext/>
            </w:pPr>
            <w:r/>
            <w:r>
              <w:rPr>
                <w:rFonts w:ascii="Arial" w:hAnsi="Arial" w:eastAsia="Arial"/>
                <w:b w:val="0"/>
                <w:i w:val="0"/>
                <w:sz w:val="20"/>
              </w:rPr>
              <w:t>0</w:t>
            </w:r>
          </w:p>
        </w:tc>
      </w:tr>
      <w:tr>
        <w:trPr>
          <w:cantSplit/>
        </w:trPr>
        <w:tc>
          <w:tcPr>
            <w:tcW w:type="dxa" w:w="2948"/>
            <w:shd w:val="clear" w:color="auto" w:fill="E8EDF5"/>
          </w:tcPr>
          <w:p>
            <w:r>
              <w:rPr>
                <w:b/>
              </w:rPr>
            </w:r>
            <w:r>
              <w:rPr>
                <w:rFonts w:ascii="Arial" w:hAnsi="Arial" w:eastAsia="Arial"/>
                <w:b/>
                <w:i w:val="0"/>
                <w:sz w:val="20"/>
              </w:rPr>
              <w:t>Total</w:t>
            </w:r>
          </w:p>
        </w:tc>
        <w:tc>
          <w:tcPr>
            <w:tcW w:type="dxa" w:w="3402"/>
            <w:shd w:val="clear" w:color="auto" w:fill="E8EDF5"/>
          </w:tcPr>
          <w:p>
            <w:r>
              <w:rPr>
                <w:b/>
              </w:rPr>
            </w:r>
            <w:r>
              <w:rPr>
                <w:rFonts w:ascii="Arial" w:hAnsi="Arial" w:eastAsia="Arial"/>
                <w:b/>
                <w:i w:val="0"/>
                <w:sz w:val="20"/>
              </w:rPr>
              <w:t>298 500 (78%)</w:t>
            </w:r>
          </w:p>
        </w:tc>
        <w:tc>
          <w:tcPr>
            <w:tcW w:type="dxa" w:w="3288"/>
            <w:shd w:val="clear" w:color="auto" w:fill="E8EDF5"/>
          </w:tcPr>
          <w:p>
            <w:r>
              <w:rPr>
                <w:b/>
              </w:rPr>
            </w:r>
            <w:r>
              <w:rPr>
                <w:rFonts w:ascii="Arial" w:hAnsi="Arial" w:eastAsia="Arial"/>
                <w:b/>
                <w:i w:val="0"/>
                <w:sz w:val="20"/>
              </w:rPr>
              <w:t>84 000 (22%)</w:t>
            </w:r>
          </w:p>
        </w:tc>
      </w:tr>
    </w:tbl>
    <w:p>
      <w:pPr>
        <w:spacing w:after="120" w:before="60"/>
      </w:pPr>
      <w:r>
        <w:rPr>
          <w:rFonts w:ascii="Arial" w:hAnsi="Arial" w:eastAsia="Arial"/>
          <w:b w:val="0"/>
          <w:i/>
          <w:color w:val="52606D"/>
          <w:sz w:val="19"/>
        </w:rPr>
        <w:t>The partner country is to be named; lines marked "Both" are split equally. See the points to confirm below.</w:t>
      </w:r>
    </w:p>
    <w:p>
      <w:pPr>
        <w:keepNext/>
        <w:spacing w:after="120" w:before="160"/>
      </w:pPr>
      <w:r>
        <w:rPr>
          <w:rFonts w:ascii="Arial" w:hAnsi="Arial" w:eastAsia="Arial"/>
          <w:b/>
          <w:i w:val="0"/>
          <w:color w:val="1F3864"/>
          <w:sz w:val="27"/>
        </w:rPr>
        <w:t>4. Points to confirm with the SPS Programme before submission</w:t>
      </w:r>
    </w:p>
    <w:p>
      <w:pPr>
        <w:spacing w:after="60" w:before="0"/>
        <w:ind w:left="283"/>
      </w:pPr>
      <w:r>
        <w:rPr>
          <w:rFonts w:ascii="Arial" w:hAnsi="Arial" w:eastAsia="Arial"/>
          <w:b/>
          <w:i w:val="0"/>
          <w:sz w:val="22"/>
        </w:rPr>
        <w:t xml:space="preserve">• </w:t>
      </w:r>
      <w:r>
        <w:rPr>
          <w:rFonts w:ascii="Arial" w:hAnsi="Arial" w:eastAsia="Arial"/>
          <w:b/>
          <w:i w:val="0"/>
          <w:sz w:val="22"/>
        </w:rPr>
        <w:t>Equipment on the NATO-country side.</w:t>
      </w:r>
      <w:r>
        <w:rPr>
          <w:rFonts w:ascii="Arial" w:hAnsi="Arial" w:eastAsia="Arial"/>
          <w:b w:val="0"/>
          <w:i w:val="0"/>
          <w:sz w:val="22"/>
        </w:rPr>
        <w:t xml:space="preserve"> All field equipment is installed in Albania, a NATO member, because the critical infrastructure is there. An older SPS page says funds to NATO countries are mainly for travel and consumables and that equipment needs justification. Confirm with the SPS Programme (sps.info@hq.nato.int) before submission; the justification is that the network is site-specific, protects Allied critical infrastructure and is handed over to Albanian operators.</w:t>
      </w:r>
    </w:p>
    <w:p>
      <w:pPr>
        <w:spacing w:after="60" w:before="0"/>
        <w:ind w:left="283"/>
      </w:pPr>
      <w:r>
        <w:rPr>
          <w:rFonts w:ascii="Arial" w:hAnsi="Arial" w:eastAsia="Arial"/>
          <w:b/>
          <w:i w:val="0"/>
          <w:sz w:val="22"/>
        </w:rPr>
        <w:t xml:space="preserve">• </w:t>
      </w:r>
      <w:r>
        <w:rPr>
          <w:rFonts w:ascii="Arial" w:hAnsi="Arial" w:eastAsia="Arial"/>
          <w:b/>
          <w:i w:val="0"/>
          <w:sz w:val="22"/>
        </w:rPr>
        <w:t>Partner-country share.</w:t>
      </w:r>
      <w:r>
        <w:rPr>
          <w:rFonts w:ascii="Arial" w:hAnsi="Arial" w:eastAsia="Arial"/>
          <w:b w:val="0"/>
          <w:i w:val="0"/>
          <w:sz w:val="22"/>
        </w:rPr>
        <w:t xml:space="preserve"> The partner country receives about 22% of the budget in this version. If the Programme expects more, the options are to place the surrogate and alarm work (WP2, WP3) and more stipends at the partner institution, or to add a transfer study on a partner-country coast.</w:t>
      </w:r>
    </w:p>
    <w:p>
      <w:pPr>
        <w:spacing w:after="60" w:before="0"/>
        <w:ind w:left="283"/>
      </w:pPr>
      <w:r>
        <w:rPr>
          <w:rFonts w:ascii="Arial" w:hAnsi="Arial" w:eastAsia="Arial"/>
          <w:b/>
          <w:i w:val="0"/>
          <w:sz w:val="22"/>
        </w:rPr>
        <w:t xml:space="preserve">• </w:t>
      </w:r>
      <w:r>
        <w:rPr>
          <w:rFonts w:ascii="Arial" w:hAnsi="Arial" w:eastAsia="Arial"/>
          <w:b/>
          <w:i w:val="0"/>
          <w:sz w:val="22"/>
        </w:rPr>
        <w:t>Eligibility of drilling.</w:t>
      </w:r>
      <w:r>
        <w:rPr>
          <w:rFonts w:ascii="Arial" w:hAnsi="Arial" w:eastAsia="Arial"/>
          <w:b w:val="0"/>
          <w:i w:val="0"/>
          <w:sz w:val="22"/>
        </w:rPr>
        <w:t xml:space="preserve"> Borehole drilling is a service needed to install the piezometers; confirm that it can be charged under equipment.</w:t>
      </w:r>
    </w:p>
    <w:p>
      <w:pPr>
        <w:spacing w:after="60" w:before="0"/>
        <w:ind w:left="283"/>
      </w:pPr>
      <w:r>
        <w:rPr>
          <w:rFonts w:ascii="Arial" w:hAnsi="Arial" w:eastAsia="Arial"/>
          <w:b/>
          <w:i w:val="0"/>
          <w:sz w:val="22"/>
        </w:rPr>
        <w:t xml:space="preserve">• </w:t>
      </w:r>
      <w:r>
        <w:rPr>
          <w:rFonts w:ascii="Arial" w:hAnsi="Arial" w:eastAsia="Arial"/>
          <w:b/>
          <w:i w:val="0"/>
          <w:sz w:val="22"/>
        </w:rPr>
        <w:t>Current rates and ceilings.</w:t>
      </w:r>
      <w:r>
        <w:rPr>
          <w:rFonts w:ascii="Arial" w:hAnsi="Arial" w:eastAsia="Arial"/>
          <w:b w:val="0"/>
          <w:i w:val="0"/>
          <w:sz w:val="22"/>
        </w:rPr>
        <w:t xml:space="preserve"> Check the stipend rate, the management allowance ceiling and any travel rules in the current handbook.</w:t>
      </w:r>
    </w:p>
    <w:p>
      <w:pPr>
        <w:spacing w:after="60" w:before="0"/>
        <w:ind w:left="283"/>
      </w:pPr>
      <w:r>
        <w:rPr>
          <w:rFonts w:ascii="Arial" w:hAnsi="Arial" w:eastAsia="Arial"/>
          <w:b/>
          <w:i w:val="0"/>
          <w:sz w:val="22"/>
        </w:rPr>
        <w:t xml:space="preserve">• </w:t>
      </w:r>
      <w:r>
        <w:rPr>
          <w:rFonts w:ascii="Arial" w:hAnsi="Arial" w:eastAsia="Arial"/>
          <w:b/>
          <w:i w:val="0"/>
          <w:sz w:val="22"/>
        </w:rPr>
        <w:t>Unit costs.</w:t>
      </w:r>
      <w:r>
        <w:rPr>
          <w:rFonts w:ascii="Arial" w:hAnsi="Arial" w:eastAsia="Arial"/>
          <w:b w:val="0"/>
          <w:i w:val="0"/>
          <w:sz w:val="22"/>
        </w:rPr>
        <w:t xml:space="preserve"> All unit costs are planning estimates; replace them with quotes before submission (Risk Assessment, R19).</w:t>
      </w:r>
    </w:p>
    <w:p>
      <w:pPr>
        <w:keepNext/>
        <w:spacing w:after="120" w:before="200"/>
      </w:pPr>
      <w:r>
        <w:rPr>
          <w:rFonts w:ascii="Arial" w:hAnsi="Arial" w:eastAsia="Arial"/>
          <w:b/>
          <w:i w:val="0"/>
          <w:color w:val="1F3864"/>
          <w:sz w:val="27"/>
        </w:rPr>
        <w:t>5. Detailed budget and justification</w:t>
      </w:r>
    </w:p>
    <w:p>
      <w:pPr>
        <w:keepNext/>
        <w:spacing w:after="120" w:before="120"/>
      </w:pPr>
      <w:r>
        <w:rPr>
          <w:rFonts w:ascii="Arial" w:hAnsi="Arial" w:eastAsia="Arial"/>
          <w:b/>
          <w:i w:val="0"/>
          <w:color w:val="2E6DB4"/>
          <w:sz w:val="23"/>
        </w:rPr>
        <w:t>Equipment  (€182 800)</w:t>
      </w:r>
    </w:p>
    <w:tbl>
      <w:tblPr>
        <w:tblStyle w:val="TableGrid"/>
        <w:tblW w:type="auto" w:w="0"/>
        <w:jc w:val="center"/>
        <w:tblLayout w:type="fixed"/>
        <w:tblLook w:firstColumn="1" w:firstRow="1" w:lastColumn="0" w:lastRow="0" w:noHBand="0" w:noVBand="1" w:val="04A0"/>
        <w:tblLayout w:type="fixed"/>
      </w:tblPr>
      <w:tblGrid>
        <w:gridCol w:w="2268"/>
        <w:gridCol w:w="567"/>
        <w:gridCol w:w="850"/>
        <w:gridCol w:w="1020"/>
        <w:gridCol w:w="794"/>
        <w:gridCol w:w="907"/>
        <w:gridCol w:w="3231"/>
      </w:tblGrid>
      <w:tr>
        <w:trPr>
          <w:cantSplit/>
          <w:tblHeader/>
        </w:trPr>
        <w:tc>
          <w:tcPr>
            <w:tcW w:type="dxa" w:w="2268"/>
            <w:shd w:val="clear" w:color="auto" w:fill="1F3864"/>
          </w:tcPr>
          <w:p>
            <w:pPr>
              <w:keepNext/>
            </w:pPr>
            <w:r/>
            <w:r>
              <w:rPr>
                <w:rFonts w:ascii="Arial" w:hAnsi="Arial" w:eastAsia="Arial"/>
                <w:b/>
                <w:i w:val="0"/>
                <w:color w:val="FFFFFF"/>
                <w:sz w:val="18"/>
              </w:rPr>
              <w:t>Item</w:t>
            </w:r>
          </w:p>
        </w:tc>
        <w:tc>
          <w:tcPr>
            <w:tcW w:type="dxa" w:w="567"/>
            <w:shd w:val="clear" w:color="auto" w:fill="1F3864"/>
          </w:tcPr>
          <w:p>
            <w:pPr>
              <w:keepNext/>
            </w:pPr>
            <w:r/>
            <w:r>
              <w:rPr>
                <w:rFonts w:ascii="Arial" w:hAnsi="Arial" w:eastAsia="Arial"/>
                <w:b/>
                <w:i w:val="0"/>
                <w:color w:val="FFFFFF"/>
                <w:sz w:val="18"/>
              </w:rPr>
              <w:t>Qty</w:t>
            </w:r>
          </w:p>
        </w:tc>
        <w:tc>
          <w:tcPr>
            <w:tcW w:type="dxa" w:w="850"/>
            <w:shd w:val="clear" w:color="auto" w:fill="1F3864"/>
          </w:tcPr>
          <w:p>
            <w:pPr>
              <w:keepNext/>
            </w:pPr>
            <w:r/>
            <w:r>
              <w:rPr>
                <w:rFonts w:ascii="Arial" w:hAnsi="Arial" w:eastAsia="Arial"/>
                <w:b/>
                <w:i w:val="0"/>
                <w:color w:val="FFFFFF"/>
                <w:sz w:val="18"/>
              </w:rPr>
              <w:t>Unit (€)</w:t>
            </w:r>
          </w:p>
        </w:tc>
        <w:tc>
          <w:tcPr>
            <w:tcW w:type="dxa" w:w="1020"/>
            <w:shd w:val="clear" w:color="auto" w:fill="1F3864"/>
          </w:tcPr>
          <w:p>
            <w:pPr>
              <w:keepNext/>
            </w:pPr>
            <w:r/>
            <w:r>
              <w:rPr>
                <w:rFonts w:ascii="Arial" w:hAnsi="Arial" w:eastAsia="Arial"/>
                <w:b/>
                <w:i w:val="0"/>
                <w:color w:val="FFFFFF"/>
                <w:sz w:val="18"/>
              </w:rPr>
              <w:t>Total (€)</w:t>
            </w:r>
          </w:p>
        </w:tc>
        <w:tc>
          <w:tcPr>
            <w:tcW w:type="dxa" w:w="794"/>
            <w:shd w:val="clear" w:color="auto" w:fill="1F3864"/>
          </w:tcPr>
          <w:p>
            <w:pPr>
              <w:keepNext/>
            </w:pPr>
            <w:r/>
            <w:r>
              <w:rPr>
                <w:rFonts w:ascii="Arial" w:hAnsi="Arial" w:eastAsia="Arial"/>
                <w:b/>
                <w:i w:val="0"/>
                <w:color w:val="FFFFFF"/>
                <w:sz w:val="18"/>
              </w:rPr>
              <w:t>WP</w:t>
            </w:r>
          </w:p>
        </w:tc>
        <w:tc>
          <w:tcPr>
            <w:tcW w:type="dxa" w:w="907"/>
            <w:shd w:val="clear" w:color="auto" w:fill="1F3864"/>
          </w:tcPr>
          <w:p>
            <w:pPr>
              <w:keepNext/>
            </w:pPr>
            <w:r/>
            <w:r>
              <w:rPr>
                <w:rFonts w:ascii="Arial" w:hAnsi="Arial" w:eastAsia="Arial"/>
                <w:b/>
                <w:i w:val="0"/>
                <w:color w:val="FFFFFF"/>
                <w:sz w:val="18"/>
              </w:rPr>
              <w:t>To</w:t>
            </w:r>
          </w:p>
        </w:tc>
        <w:tc>
          <w:tcPr>
            <w:tcW w:type="dxa" w:w="3231"/>
            <w:shd w:val="clear" w:color="auto" w:fill="1F3864"/>
          </w:tcPr>
          <w:p>
            <w:pPr>
              <w:keepNext/>
            </w:pPr>
            <w:r/>
            <w:r>
              <w:rPr>
                <w:rFonts w:ascii="Arial" w:hAnsi="Arial" w:eastAsia="Arial"/>
                <w:b/>
                <w:i w:val="0"/>
                <w:color w:val="FFFFFF"/>
                <w:sz w:val="18"/>
              </w:rPr>
              <w:t>Justification</w:t>
            </w:r>
          </w:p>
        </w:tc>
      </w:tr>
      <w:tr>
        <w:trPr>
          <w:cantSplit/>
        </w:trPr>
        <w:tc>
          <w:tcPr>
            <w:tcW w:type="dxa" w:w="2268"/>
          </w:tcPr>
          <w:p>
            <w:r/>
            <w:r>
              <w:rPr>
                <w:rFonts w:ascii="Arial" w:hAnsi="Arial" w:eastAsia="Arial"/>
                <w:b w:val="0"/>
                <w:i w:val="0"/>
                <w:sz w:val="18"/>
              </w:rPr>
              <w:t>Monitoring boreholes: drilling, casing, screens, sealing</w:t>
            </w:r>
          </w:p>
        </w:tc>
        <w:tc>
          <w:tcPr>
            <w:tcW w:type="dxa" w:w="567"/>
          </w:tcPr>
          <w:p>
            <w:r/>
            <w:r>
              <w:rPr>
                <w:rFonts w:ascii="Arial" w:hAnsi="Arial" w:eastAsia="Arial"/>
                <w:b w:val="0"/>
                <w:i w:val="0"/>
                <w:sz w:val="18"/>
              </w:rPr>
              <w:t>8</w:t>
            </w:r>
          </w:p>
        </w:tc>
        <w:tc>
          <w:tcPr>
            <w:tcW w:type="dxa" w:w="850"/>
          </w:tcPr>
          <w:p>
            <w:r/>
            <w:r>
              <w:rPr>
                <w:rFonts w:ascii="Arial" w:hAnsi="Arial" w:eastAsia="Arial"/>
                <w:b w:val="0"/>
                <w:i w:val="0"/>
                <w:sz w:val="18"/>
              </w:rPr>
              <w:t>4 000</w:t>
            </w:r>
          </w:p>
        </w:tc>
        <w:tc>
          <w:tcPr>
            <w:tcW w:type="dxa" w:w="1020"/>
          </w:tcPr>
          <w:p>
            <w:r/>
            <w:r>
              <w:rPr>
                <w:rFonts w:ascii="Arial" w:hAnsi="Arial" w:eastAsia="Arial"/>
                <w:b w:val="0"/>
                <w:i w:val="0"/>
                <w:sz w:val="18"/>
              </w:rPr>
              <w:t>32 000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Piezometers where the network design (D4.1) ranks them highest; sealed to standard (R12)</w:t>
            </w:r>
          </w:p>
        </w:tc>
      </w:tr>
      <w:tr>
        <w:trPr>
          <w:cantSplit/>
        </w:trPr>
        <w:tc>
          <w:tcPr>
            <w:tcW w:type="dxa" w:w="2268"/>
          </w:tcPr>
          <w:p>
            <w:r/>
            <w:r>
              <w:rPr>
                <w:rFonts w:ascii="Arial" w:hAnsi="Arial" w:eastAsia="Arial"/>
                <w:b w:val="0"/>
                <w:i w:val="0"/>
                <w:sz w:val="18"/>
              </w:rPr>
              <w:t>Pressure, conductivity and temperature loggers</w:t>
            </w:r>
          </w:p>
        </w:tc>
        <w:tc>
          <w:tcPr>
            <w:tcW w:type="dxa" w:w="567"/>
          </w:tcPr>
          <w:p>
            <w:r/>
            <w:r>
              <w:rPr>
                <w:rFonts w:ascii="Arial" w:hAnsi="Arial" w:eastAsia="Arial"/>
                <w:b w:val="0"/>
                <w:i w:val="0"/>
                <w:sz w:val="18"/>
              </w:rPr>
              <w:t>12</w:t>
            </w:r>
          </w:p>
        </w:tc>
        <w:tc>
          <w:tcPr>
            <w:tcW w:type="dxa" w:w="850"/>
          </w:tcPr>
          <w:p>
            <w:r/>
            <w:r>
              <w:rPr>
                <w:rFonts w:ascii="Arial" w:hAnsi="Arial" w:eastAsia="Arial"/>
                <w:b w:val="0"/>
                <w:i w:val="0"/>
                <w:sz w:val="18"/>
              </w:rPr>
              <w:t>1 200</w:t>
            </w:r>
          </w:p>
        </w:tc>
        <w:tc>
          <w:tcPr>
            <w:tcW w:type="dxa" w:w="1020"/>
          </w:tcPr>
          <w:p>
            <w:r/>
            <w:r>
              <w:rPr>
                <w:rFonts w:ascii="Arial" w:hAnsi="Arial" w:eastAsia="Arial"/>
                <w:b w:val="0"/>
                <w:i w:val="0"/>
                <w:sz w:val="18"/>
              </w:rPr>
              <w:t>14 400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Heads and salinity in new and existing wells: the core data for intrusion and the water table</w:t>
            </w:r>
          </w:p>
        </w:tc>
      </w:tr>
      <w:tr>
        <w:trPr>
          <w:cantSplit/>
        </w:trPr>
        <w:tc>
          <w:tcPr>
            <w:tcW w:type="dxa" w:w="2268"/>
          </w:tcPr>
          <w:p>
            <w:r/>
            <w:r>
              <w:rPr>
                <w:rFonts w:ascii="Arial" w:hAnsi="Arial" w:eastAsia="Arial"/>
                <w:b w:val="0"/>
                <w:i w:val="0"/>
                <w:sz w:val="18"/>
              </w:rPr>
              <w:t>Barometric loggers</w:t>
            </w:r>
          </w:p>
        </w:tc>
        <w:tc>
          <w:tcPr>
            <w:tcW w:type="dxa" w:w="567"/>
          </w:tcPr>
          <w:p>
            <w:r/>
            <w:r>
              <w:rPr>
                <w:rFonts w:ascii="Arial" w:hAnsi="Arial" w:eastAsia="Arial"/>
                <w:b w:val="0"/>
                <w:i w:val="0"/>
                <w:sz w:val="18"/>
              </w:rPr>
              <w:t>3</w:t>
            </w:r>
          </w:p>
        </w:tc>
        <w:tc>
          <w:tcPr>
            <w:tcW w:type="dxa" w:w="850"/>
          </w:tcPr>
          <w:p>
            <w:r/>
            <w:r>
              <w:rPr>
                <w:rFonts w:ascii="Arial" w:hAnsi="Arial" w:eastAsia="Arial"/>
                <w:b w:val="0"/>
                <w:i w:val="0"/>
                <w:sz w:val="18"/>
              </w:rPr>
              <w:t>400</w:t>
            </w:r>
          </w:p>
        </w:tc>
        <w:tc>
          <w:tcPr>
            <w:tcW w:type="dxa" w:w="1020"/>
          </w:tcPr>
          <w:p>
            <w:r/>
            <w:r>
              <w:rPr>
                <w:rFonts w:ascii="Arial" w:hAnsi="Arial" w:eastAsia="Arial"/>
                <w:b w:val="0"/>
                <w:i w:val="0"/>
                <w:sz w:val="18"/>
              </w:rPr>
              <w:t>1 200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Barometric correction of the pressure loggers</w:t>
            </w:r>
          </w:p>
        </w:tc>
      </w:tr>
      <w:tr>
        <w:trPr>
          <w:cantSplit/>
        </w:trPr>
        <w:tc>
          <w:tcPr>
            <w:tcW w:type="dxa" w:w="2268"/>
          </w:tcPr>
          <w:p>
            <w:r/>
            <w:r>
              <w:rPr>
                <w:rFonts w:ascii="Arial" w:hAnsi="Arial" w:eastAsia="Arial"/>
                <w:b w:val="0"/>
                <w:i w:val="0"/>
                <w:sz w:val="18"/>
              </w:rPr>
              <w:t>Telemetry units (mobile data loggers)</w:t>
            </w:r>
          </w:p>
        </w:tc>
        <w:tc>
          <w:tcPr>
            <w:tcW w:type="dxa" w:w="567"/>
          </w:tcPr>
          <w:p>
            <w:r/>
            <w:r>
              <w:rPr>
                <w:rFonts w:ascii="Arial" w:hAnsi="Arial" w:eastAsia="Arial"/>
                <w:b w:val="0"/>
                <w:i w:val="0"/>
                <w:sz w:val="18"/>
              </w:rPr>
              <w:t>12</w:t>
            </w:r>
          </w:p>
        </w:tc>
        <w:tc>
          <w:tcPr>
            <w:tcW w:type="dxa" w:w="850"/>
          </w:tcPr>
          <w:p>
            <w:r/>
            <w:r>
              <w:rPr>
                <w:rFonts w:ascii="Arial" w:hAnsi="Arial" w:eastAsia="Arial"/>
                <w:b w:val="0"/>
                <w:i w:val="0"/>
                <w:sz w:val="18"/>
              </w:rPr>
              <w:t>600</w:t>
            </w:r>
          </w:p>
        </w:tc>
        <w:tc>
          <w:tcPr>
            <w:tcW w:type="dxa" w:w="1020"/>
          </w:tcPr>
          <w:p>
            <w:r/>
            <w:r>
              <w:rPr>
                <w:rFonts w:ascii="Arial" w:hAnsi="Arial" w:eastAsia="Arial"/>
                <w:b w:val="0"/>
                <w:i w:val="0"/>
                <w:sz w:val="18"/>
              </w:rPr>
              <w:t>7 200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Near-real-time data for the live bulletins (WP5)</w:t>
            </w:r>
          </w:p>
        </w:tc>
      </w:tr>
      <w:tr>
        <w:trPr>
          <w:cantSplit/>
        </w:trPr>
        <w:tc>
          <w:tcPr>
            <w:tcW w:type="dxa" w:w="2268"/>
          </w:tcPr>
          <w:p>
            <w:r/>
            <w:r>
              <w:rPr>
                <w:rFonts w:ascii="Arial" w:hAnsi="Arial" w:eastAsia="Arial"/>
                <w:b w:val="0"/>
                <w:i w:val="0"/>
                <w:sz w:val="18"/>
              </w:rPr>
              <w:t>GNSS stations: receiver, antenna, monument</w:t>
            </w:r>
          </w:p>
        </w:tc>
        <w:tc>
          <w:tcPr>
            <w:tcW w:type="dxa" w:w="567"/>
          </w:tcPr>
          <w:p>
            <w:r/>
            <w:r>
              <w:rPr>
                <w:rFonts w:ascii="Arial" w:hAnsi="Arial" w:eastAsia="Arial"/>
                <w:b w:val="0"/>
                <w:i w:val="0"/>
                <w:sz w:val="18"/>
              </w:rPr>
              <w:t>3</w:t>
            </w:r>
          </w:p>
        </w:tc>
        <w:tc>
          <w:tcPr>
            <w:tcW w:type="dxa" w:w="850"/>
          </w:tcPr>
          <w:p>
            <w:r/>
            <w:r>
              <w:rPr>
                <w:rFonts w:ascii="Arial" w:hAnsi="Arial" w:eastAsia="Arial"/>
                <w:b w:val="0"/>
                <w:i w:val="0"/>
                <w:sz w:val="18"/>
              </w:rPr>
              <w:t>9 000</w:t>
            </w:r>
          </w:p>
        </w:tc>
        <w:tc>
          <w:tcPr>
            <w:tcW w:type="dxa" w:w="1020"/>
          </w:tcPr>
          <w:p>
            <w:r/>
            <w:r>
              <w:rPr>
                <w:rFonts w:ascii="Arial" w:hAnsi="Arial" w:eastAsia="Arial"/>
                <w:b w:val="0"/>
                <w:i w:val="0"/>
                <w:sz w:val="18"/>
              </w:rPr>
              <w:t>27 000</w:t>
            </w:r>
          </w:p>
        </w:tc>
        <w:tc>
          <w:tcPr>
            <w:tcW w:type="dxa" w:w="794"/>
          </w:tcPr>
          <w:p>
            <w:r/>
            <w:r>
              <w:rPr>
                <w:rFonts w:ascii="Arial" w:hAnsi="Arial" w:eastAsia="Arial"/>
                <w:b w:val="0"/>
                <w:i w:val="0"/>
                <w:sz w:val="18"/>
              </w:rPr>
              <w:t>WP1</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Vertical land motion at the three assets; ties InSAR to a global frame (T1.2)</w:t>
            </w:r>
          </w:p>
        </w:tc>
      </w:tr>
      <w:tr>
        <w:trPr>
          <w:cantSplit/>
        </w:trPr>
        <w:tc>
          <w:tcPr>
            <w:tcW w:type="dxa" w:w="2268"/>
          </w:tcPr>
          <w:p>
            <w:r/>
            <w:r>
              <w:rPr>
                <w:rFonts w:ascii="Arial" w:hAnsi="Arial" w:eastAsia="Arial"/>
                <w:b w:val="0"/>
                <w:i w:val="0"/>
                <w:sz w:val="18"/>
              </w:rPr>
              <w:t>InSAR corner reflectors</w:t>
            </w:r>
          </w:p>
        </w:tc>
        <w:tc>
          <w:tcPr>
            <w:tcW w:type="dxa" w:w="567"/>
          </w:tcPr>
          <w:p>
            <w:r/>
            <w:r>
              <w:rPr>
                <w:rFonts w:ascii="Arial" w:hAnsi="Arial" w:eastAsia="Arial"/>
                <w:b w:val="0"/>
                <w:i w:val="0"/>
                <w:sz w:val="18"/>
              </w:rPr>
              <w:t>6</w:t>
            </w:r>
          </w:p>
        </w:tc>
        <w:tc>
          <w:tcPr>
            <w:tcW w:type="dxa" w:w="850"/>
          </w:tcPr>
          <w:p>
            <w:r/>
            <w:r>
              <w:rPr>
                <w:rFonts w:ascii="Arial" w:hAnsi="Arial" w:eastAsia="Arial"/>
                <w:b w:val="0"/>
                <w:i w:val="0"/>
                <w:sz w:val="18"/>
              </w:rPr>
              <w:t>1 500</w:t>
            </w:r>
          </w:p>
        </w:tc>
        <w:tc>
          <w:tcPr>
            <w:tcW w:type="dxa" w:w="1020"/>
          </w:tcPr>
          <w:p>
            <w:r/>
            <w:r>
              <w:rPr>
                <w:rFonts w:ascii="Arial" w:hAnsi="Arial" w:eastAsia="Arial"/>
                <w:b w:val="0"/>
                <w:i w:val="0"/>
                <w:sz w:val="18"/>
              </w:rPr>
              <w:t>9 000</w:t>
            </w:r>
          </w:p>
        </w:tc>
        <w:tc>
          <w:tcPr>
            <w:tcW w:type="dxa" w:w="794"/>
          </w:tcPr>
          <w:p>
            <w:r/>
            <w:r>
              <w:rPr>
                <w:rFonts w:ascii="Arial" w:hAnsi="Arial" w:eastAsia="Arial"/>
                <w:b w:val="0"/>
                <w:i w:val="0"/>
                <w:sz w:val="18"/>
              </w:rPr>
              <w:t>WP1</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Stable radar targets on soft ground at the assets (R4)</w:t>
            </w:r>
          </w:p>
        </w:tc>
      </w:tr>
      <w:tr>
        <w:trPr>
          <w:cantSplit/>
        </w:trPr>
        <w:tc>
          <w:tcPr>
            <w:tcW w:type="dxa" w:w="2268"/>
          </w:tcPr>
          <w:p>
            <w:r/>
            <w:r>
              <w:rPr>
                <w:rFonts w:ascii="Arial" w:hAnsi="Arial" w:eastAsia="Arial"/>
                <w:b w:val="0"/>
                <w:i w:val="0"/>
                <w:sz w:val="18"/>
              </w:rPr>
              <w:t>Seismic stations: three-component sensor and digitiser</w:t>
            </w:r>
          </w:p>
        </w:tc>
        <w:tc>
          <w:tcPr>
            <w:tcW w:type="dxa" w:w="567"/>
          </w:tcPr>
          <w:p>
            <w:r/>
            <w:r>
              <w:rPr>
                <w:rFonts w:ascii="Arial" w:hAnsi="Arial" w:eastAsia="Arial"/>
                <w:b w:val="0"/>
                <w:i w:val="0"/>
                <w:sz w:val="18"/>
              </w:rPr>
              <w:t>4</w:t>
            </w:r>
          </w:p>
        </w:tc>
        <w:tc>
          <w:tcPr>
            <w:tcW w:type="dxa" w:w="850"/>
          </w:tcPr>
          <w:p>
            <w:r/>
            <w:r>
              <w:rPr>
                <w:rFonts w:ascii="Arial" w:hAnsi="Arial" w:eastAsia="Arial"/>
                <w:b w:val="0"/>
                <w:i w:val="0"/>
                <w:sz w:val="18"/>
              </w:rPr>
              <w:t>7 500</w:t>
            </w:r>
          </w:p>
        </w:tc>
        <w:tc>
          <w:tcPr>
            <w:tcW w:type="dxa" w:w="1020"/>
          </w:tcPr>
          <w:p>
            <w:r/>
            <w:r>
              <w:rPr>
                <w:rFonts w:ascii="Arial" w:hAnsi="Arial" w:eastAsia="Arial"/>
                <w:b w:val="0"/>
                <w:i w:val="0"/>
                <w:sz w:val="18"/>
              </w:rPr>
              <w:t>30 000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Continuous ambient noise for seismic velocity at the port and landfall (T4.4)</w:t>
            </w:r>
          </w:p>
        </w:tc>
      </w:tr>
      <w:tr>
        <w:trPr>
          <w:cantSplit/>
        </w:trPr>
        <w:tc>
          <w:tcPr>
            <w:tcW w:type="dxa" w:w="2268"/>
          </w:tcPr>
          <w:p>
            <w:r/>
            <w:r>
              <w:rPr>
                <w:rFonts w:ascii="Arial" w:hAnsi="Arial" w:eastAsia="Arial"/>
                <w:b w:val="0"/>
                <w:i w:val="0"/>
                <w:sz w:val="18"/>
              </w:rPr>
              <w:t>Seismic node rental, two campaigns</w:t>
            </w:r>
          </w:p>
        </w:tc>
        <w:tc>
          <w:tcPr>
            <w:tcW w:type="dxa" w:w="567"/>
          </w:tcPr>
          <w:p>
            <w:r/>
            <w:r>
              <w:rPr>
                <w:rFonts w:ascii="Arial" w:hAnsi="Arial" w:eastAsia="Arial"/>
                <w:b w:val="0"/>
                <w:i w:val="0"/>
                <w:sz w:val="18"/>
              </w:rPr>
              <w:t>2</w:t>
            </w:r>
          </w:p>
        </w:tc>
        <w:tc>
          <w:tcPr>
            <w:tcW w:type="dxa" w:w="850"/>
          </w:tcPr>
          <w:p>
            <w:r/>
            <w:r>
              <w:rPr>
                <w:rFonts w:ascii="Arial" w:hAnsi="Arial" w:eastAsia="Arial"/>
                <w:b w:val="0"/>
                <w:i w:val="0"/>
                <w:sz w:val="18"/>
              </w:rPr>
              <w:t>4 000</w:t>
            </w:r>
          </w:p>
        </w:tc>
        <w:tc>
          <w:tcPr>
            <w:tcW w:type="dxa" w:w="1020"/>
          </w:tcPr>
          <w:p>
            <w:r/>
            <w:r>
              <w:rPr>
                <w:rFonts w:ascii="Arial" w:hAnsi="Arial" w:eastAsia="Arial"/>
                <w:b w:val="0"/>
                <w:i w:val="0"/>
                <w:sz w:val="18"/>
              </w:rPr>
              <w:t>8 000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Dense temporary coverage to calibrate velocity against the water table</w:t>
            </w:r>
          </w:p>
        </w:tc>
      </w:tr>
      <w:tr>
        <w:trPr>
          <w:cantSplit/>
        </w:trPr>
        <w:tc>
          <w:tcPr>
            <w:tcW w:type="dxa" w:w="2268"/>
          </w:tcPr>
          <w:p>
            <w:r/>
            <w:r>
              <w:rPr>
                <w:rFonts w:ascii="Arial" w:hAnsi="Arial" w:eastAsia="Arial"/>
                <w:b w:val="0"/>
                <w:i w:val="0"/>
                <w:sz w:val="18"/>
              </w:rPr>
              <w:t>Fibre-optic sensing campaign: rental and processing (conditional)</w:t>
            </w:r>
          </w:p>
        </w:tc>
        <w:tc>
          <w:tcPr>
            <w:tcW w:type="dxa" w:w="567"/>
          </w:tcPr>
          <w:p>
            <w:r/>
            <w:r>
              <w:rPr>
                <w:rFonts w:ascii="Arial" w:hAnsi="Arial" w:eastAsia="Arial"/>
                <w:b w:val="0"/>
                <w:i w:val="0"/>
                <w:sz w:val="18"/>
              </w:rPr>
              <w:t>1</w:t>
            </w:r>
          </w:p>
        </w:tc>
        <w:tc>
          <w:tcPr>
            <w:tcW w:type="dxa" w:w="850"/>
          </w:tcPr>
          <w:p>
            <w:r/>
            <w:r>
              <w:rPr>
                <w:rFonts w:ascii="Arial" w:hAnsi="Arial" w:eastAsia="Arial"/>
                <w:b w:val="0"/>
                <w:i w:val="0"/>
                <w:sz w:val="18"/>
              </w:rPr>
              <w:t>15 000</w:t>
            </w:r>
          </w:p>
        </w:tc>
        <w:tc>
          <w:tcPr>
            <w:tcW w:type="dxa" w:w="1020"/>
          </w:tcPr>
          <w:p>
            <w:r/>
            <w:r>
              <w:rPr>
                <w:rFonts w:ascii="Arial" w:hAnsi="Arial" w:eastAsia="Arial"/>
                <w:b w:val="0"/>
                <w:i w:val="0"/>
                <w:sz w:val="18"/>
              </w:rPr>
              <w:t>15 000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Released only if fibre access is agreed by Month 9 (R9); otherwise moved to seismic nodes</w:t>
            </w:r>
          </w:p>
        </w:tc>
      </w:tr>
      <w:tr>
        <w:trPr>
          <w:cantSplit/>
        </w:trPr>
        <w:tc>
          <w:tcPr>
            <w:tcW w:type="dxa" w:w="2268"/>
          </w:tcPr>
          <w:p>
            <w:r/>
            <w:r>
              <w:rPr>
                <w:rFonts w:ascii="Arial" w:hAnsi="Arial" w:eastAsia="Arial"/>
                <w:b w:val="0"/>
                <w:i w:val="0"/>
                <w:sz w:val="18"/>
              </w:rPr>
              <w:t>Power and enclosures: solar panels, batteries, locked boxes</w:t>
            </w:r>
          </w:p>
        </w:tc>
        <w:tc>
          <w:tcPr>
            <w:tcW w:type="dxa" w:w="567"/>
          </w:tcPr>
          <w:p>
            <w:r/>
            <w:r>
              <w:rPr>
                <w:rFonts w:ascii="Arial" w:hAnsi="Arial" w:eastAsia="Arial"/>
                <w:b w:val="0"/>
                <w:i w:val="0"/>
                <w:sz w:val="18"/>
              </w:rPr>
              <w:t>10</w:t>
            </w:r>
          </w:p>
        </w:tc>
        <w:tc>
          <w:tcPr>
            <w:tcW w:type="dxa" w:w="850"/>
          </w:tcPr>
          <w:p>
            <w:r/>
            <w:r>
              <w:rPr>
                <w:rFonts w:ascii="Arial" w:hAnsi="Arial" w:eastAsia="Arial"/>
                <w:b w:val="0"/>
                <w:i w:val="0"/>
                <w:sz w:val="18"/>
              </w:rPr>
              <w:t>700</w:t>
            </w:r>
          </w:p>
        </w:tc>
        <w:tc>
          <w:tcPr>
            <w:tcW w:type="dxa" w:w="1020"/>
          </w:tcPr>
          <w:p>
            <w:r/>
            <w:r>
              <w:rPr>
                <w:rFonts w:ascii="Arial" w:hAnsi="Arial" w:eastAsia="Arial"/>
                <w:b w:val="0"/>
                <w:i w:val="0"/>
                <w:sz w:val="18"/>
              </w:rPr>
              <w:t>7 000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Autonomous and secure operation of the field stations (R11)</w:t>
            </w:r>
          </w:p>
        </w:tc>
      </w:tr>
      <w:tr>
        <w:trPr>
          <w:cantSplit/>
        </w:trPr>
        <w:tc>
          <w:tcPr>
            <w:tcW w:type="dxa" w:w="2268"/>
          </w:tcPr>
          <w:p>
            <w:r/>
            <w:r>
              <w:rPr>
                <w:rFonts w:ascii="Arial" w:hAnsi="Arial" w:eastAsia="Arial"/>
                <w:b w:val="0"/>
                <w:i w:val="0"/>
                <w:sz w:val="18"/>
              </w:rPr>
              <w:t>Field chemistry instruments: multiparameter meter, sampling pump</w:t>
            </w:r>
          </w:p>
        </w:tc>
        <w:tc>
          <w:tcPr>
            <w:tcW w:type="dxa" w:w="567"/>
          </w:tcPr>
          <w:p>
            <w:r/>
            <w:r>
              <w:rPr>
                <w:rFonts w:ascii="Arial" w:hAnsi="Arial" w:eastAsia="Arial"/>
                <w:b w:val="0"/>
                <w:i w:val="0"/>
                <w:sz w:val="18"/>
              </w:rPr>
              <w:t>1</w:t>
            </w:r>
          </w:p>
        </w:tc>
        <w:tc>
          <w:tcPr>
            <w:tcW w:type="dxa" w:w="850"/>
          </w:tcPr>
          <w:p>
            <w:r/>
            <w:r>
              <w:rPr>
                <w:rFonts w:ascii="Arial" w:hAnsi="Arial" w:eastAsia="Arial"/>
                <w:b w:val="0"/>
                <w:i w:val="0"/>
                <w:sz w:val="18"/>
              </w:rPr>
              <w:t>6 000</w:t>
            </w:r>
          </w:p>
        </w:tc>
        <w:tc>
          <w:tcPr>
            <w:tcW w:type="dxa" w:w="1020"/>
          </w:tcPr>
          <w:p>
            <w:r/>
            <w:r>
              <w:rPr>
                <w:rFonts w:ascii="Arial" w:hAnsi="Arial" w:eastAsia="Arial"/>
                <w:b w:val="0"/>
                <w:i w:val="0"/>
                <w:sz w:val="18"/>
              </w:rPr>
              <w:t>6 000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Conductivity and temperature in the field; sampling for chloride</w:t>
            </w:r>
          </w:p>
        </w:tc>
      </w:tr>
      <w:tr>
        <w:trPr>
          <w:cantSplit/>
        </w:trPr>
        <w:tc>
          <w:tcPr>
            <w:tcW w:type="dxa" w:w="2268"/>
          </w:tcPr>
          <w:p>
            <w:r/>
            <w:r>
              <w:rPr>
                <w:rFonts w:ascii="Arial" w:hAnsi="Arial" w:eastAsia="Arial"/>
                <w:b w:val="0"/>
                <w:i w:val="0"/>
                <w:sz w:val="18"/>
              </w:rPr>
              <w:t>Spare loggers and sensors</w:t>
            </w:r>
          </w:p>
        </w:tc>
        <w:tc>
          <w:tcPr>
            <w:tcW w:type="dxa" w:w="567"/>
          </w:tcPr>
          <w:p>
            <w:r/>
            <w:r>
              <w:rPr>
                <w:rFonts w:ascii="Arial" w:hAnsi="Arial" w:eastAsia="Arial"/>
                <w:b w:val="0"/>
                <w:i w:val="0"/>
                <w:sz w:val="18"/>
              </w:rPr>
              <w:t>1</w:t>
            </w:r>
          </w:p>
        </w:tc>
        <w:tc>
          <w:tcPr>
            <w:tcW w:type="dxa" w:w="850"/>
          </w:tcPr>
          <w:p>
            <w:r/>
            <w:r>
              <w:rPr>
                <w:rFonts w:ascii="Arial" w:hAnsi="Arial" w:eastAsia="Arial"/>
                <w:b w:val="0"/>
                <w:i w:val="0"/>
                <w:sz w:val="18"/>
              </w:rPr>
              <w:t>6 000</w:t>
            </w:r>
          </w:p>
        </w:tc>
        <w:tc>
          <w:tcPr>
            <w:tcW w:type="dxa" w:w="1020"/>
          </w:tcPr>
          <w:p>
            <w:r/>
            <w:r>
              <w:rPr>
                <w:rFonts w:ascii="Arial" w:hAnsi="Arial" w:eastAsia="Arial"/>
                <w:b w:val="0"/>
                <w:i w:val="0"/>
                <w:sz w:val="18"/>
              </w:rPr>
              <w:t>6 000</w:t>
            </w:r>
          </w:p>
        </w:tc>
        <w:tc>
          <w:tcPr>
            <w:tcW w:type="dxa" w:w="794"/>
          </w:tcPr>
          <w:p>
            <w:r/>
            <w:r>
              <w:rPr>
                <w:rFonts w:ascii="Arial" w:hAnsi="Arial" w:eastAsia="Arial"/>
                <w:b w:val="0"/>
                <w:i w:val="0"/>
                <w:sz w:val="18"/>
              </w:rPr>
              <w:t>WP4</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Replacement within two weeks after damage or theft (R11, R21)</w:t>
            </w:r>
          </w:p>
        </w:tc>
      </w:tr>
      <w:tr>
        <w:trPr>
          <w:cantSplit/>
        </w:trPr>
        <w:tc>
          <w:tcPr>
            <w:tcW w:type="dxa" w:w="2268"/>
          </w:tcPr>
          <w:p>
            <w:r/>
            <w:r>
              <w:rPr>
                <w:rFonts w:ascii="Arial" w:hAnsi="Arial" w:eastAsia="Arial"/>
                <w:b w:val="0"/>
                <w:i w:val="0"/>
                <w:sz w:val="18"/>
              </w:rPr>
              <w:t>Computing server with GPU</w:t>
            </w:r>
          </w:p>
        </w:tc>
        <w:tc>
          <w:tcPr>
            <w:tcW w:type="dxa" w:w="567"/>
          </w:tcPr>
          <w:p>
            <w:r/>
            <w:r>
              <w:rPr>
                <w:rFonts w:ascii="Arial" w:hAnsi="Arial" w:eastAsia="Arial"/>
                <w:b w:val="0"/>
                <w:i w:val="0"/>
                <w:sz w:val="18"/>
              </w:rPr>
              <w:t>1</w:t>
            </w:r>
          </w:p>
        </w:tc>
        <w:tc>
          <w:tcPr>
            <w:tcW w:type="dxa" w:w="850"/>
          </w:tcPr>
          <w:p>
            <w:r/>
            <w:r>
              <w:rPr>
                <w:rFonts w:ascii="Arial" w:hAnsi="Arial" w:eastAsia="Arial"/>
                <w:b w:val="0"/>
                <w:i w:val="0"/>
                <w:sz w:val="18"/>
              </w:rPr>
              <w:t>12 000</w:t>
            </w:r>
          </w:p>
        </w:tc>
        <w:tc>
          <w:tcPr>
            <w:tcW w:type="dxa" w:w="1020"/>
          </w:tcPr>
          <w:p>
            <w:r/>
            <w:r>
              <w:rPr>
                <w:rFonts w:ascii="Arial" w:hAnsi="Arial" w:eastAsia="Arial"/>
                <w:b w:val="0"/>
                <w:i w:val="0"/>
                <w:sz w:val="18"/>
              </w:rPr>
              <w:t>12 000</w:t>
            </w:r>
          </w:p>
        </w:tc>
        <w:tc>
          <w:tcPr>
            <w:tcW w:type="dxa" w:w="794"/>
          </w:tcPr>
          <w:p>
            <w:r/>
            <w:r>
              <w:rPr>
                <w:rFonts w:ascii="Arial" w:hAnsi="Arial" w:eastAsia="Arial"/>
                <w:b w:val="0"/>
                <w:i w:val="0"/>
                <w:sz w:val="18"/>
              </w:rPr>
              <w:t>WP2</w:t>
            </w:r>
          </w:p>
        </w:tc>
        <w:tc>
          <w:tcPr>
            <w:tcW w:type="dxa" w:w="907"/>
          </w:tcPr>
          <w:p>
            <w:r/>
            <w:r>
              <w:rPr>
                <w:rFonts w:ascii="Arial" w:hAnsi="Arial" w:eastAsia="Arial"/>
                <w:b w:val="0"/>
                <w:i w:val="0"/>
                <w:sz w:val="18"/>
              </w:rPr>
              <w:t>Partner</w:t>
            </w:r>
          </w:p>
        </w:tc>
        <w:tc>
          <w:tcPr>
            <w:tcW w:type="dxa" w:w="3231"/>
          </w:tcPr>
          <w:p>
            <w:r/>
            <w:r>
              <w:rPr>
                <w:rFonts w:ascii="Arial" w:hAnsi="Arial" w:eastAsia="Arial"/>
                <w:b w:val="0"/>
                <w:i w:val="0"/>
                <w:sz w:val="18"/>
              </w:rPr>
              <w:t>Thousands of coupled-model runs and training of the certified surrogate (T2.4)</w:t>
            </w:r>
          </w:p>
        </w:tc>
      </w:tr>
      <w:tr>
        <w:trPr>
          <w:cantSplit/>
        </w:trPr>
        <w:tc>
          <w:tcPr>
            <w:tcW w:type="dxa" w:w="2268"/>
          </w:tcPr>
          <w:p>
            <w:r/>
            <w:r>
              <w:rPr>
                <w:rFonts w:ascii="Arial" w:hAnsi="Arial" w:eastAsia="Arial"/>
                <w:b w:val="0"/>
                <w:i w:val="0"/>
                <w:sz w:val="18"/>
              </w:rPr>
              <w:t>Redundant data server and backup storage</w:t>
            </w:r>
          </w:p>
        </w:tc>
        <w:tc>
          <w:tcPr>
            <w:tcW w:type="dxa" w:w="567"/>
          </w:tcPr>
          <w:p>
            <w:r/>
            <w:r>
              <w:rPr>
                <w:rFonts w:ascii="Arial" w:hAnsi="Arial" w:eastAsia="Arial"/>
                <w:b w:val="0"/>
                <w:i w:val="0"/>
                <w:sz w:val="18"/>
              </w:rPr>
              <w:t>1</w:t>
            </w:r>
          </w:p>
        </w:tc>
        <w:tc>
          <w:tcPr>
            <w:tcW w:type="dxa" w:w="850"/>
          </w:tcPr>
          <w:p>
            <w:r/>
            <w:r>
              <w:rPr>
                <w:rFonts w:ascii="Arial" w:hAnsi="Arial" w:eastAsia="Arial"/>
                <w:b w:val="0"/>
                <w:i w:val="0"/>
                <w:sz w:val="18"/>
              </w:rPr>
              <w:t>5 000</w:t>
            </w:r>
          </w:p>
        </w:tc>
        <w:tc>
          <w:tcPr>
            <w:tcW w:type="dxa" w:w="1020"/>
          </w:tcPr>
          <w:p>
            <w:r/>
            <w:r>
              <w:rPr>
                <w:rFonts w:ascii="Arial" w:hAnsi="Arial" w:eastAsia="Arial"/>
                <w:b w:val="0"/>
                <w:i w:val="0"/>
                <w:sz w:val="18"/>
              </w:rPr>
              <w:t>5 000</w:t>
            </w:r>
          </w:p>
        </w:tc>
        <w:tc>
          <w:tcPr>
            <w:tcW w:type="dxa" w:w="794"/>
          </w:tcPr>
          <w:p>
            <w:r/>
            <w:r>
              <w:rPr>
                <w:rFonts w:ascii="Arial" w:hAnsi="Arial" w:eastAsia="Arial"/>
                <w:b w:val="0"/>
                <w:i w:val="0"/>
                <w:sz w:val="18"/>
              </w:rPr>
              <w:t>WP5</w:t>
            </w:r>
          </w:p>
        </w:tc>
        <w:tc>
          <w:tcPr>
            <w:tcW w:type="dxa" w:w="907"/>
          </w:tcPr>
          <w:p>
            <w:r/>
            <w:r>
              <w:rPr>
                <w:rFonts w:ascii="Arial" w:hAnsi="Arial" w:eastAsia="Arial"/>
                <w:b w:val="0"/>
                <w:i w:val="0"/>
                <w:sz w:val="18"/>
              </w:rPr>
              <w:t>NATO</w:t>
            </w:r>
          </w:p>
        </w:tc>
        <w:tc>
          <w:tcPr>
            <w:tcW w:type="dxa" w:w="3231"/>
          </w:tcPr>
          <w:p>
            <w:r/>
            <w:r>
              <w:rPr>
                <w:rFonts w:ascii="Arial" w:hAnsi="Arial" w:eastAsia="Arial"/>
                <w:b w:val="0"/>
                <w:i w:val="0"/>
                <w:sz w:val="18"/>
              </w:rPr>
              <w:t>Operational redundancy for the live bulletins (R17)</w:t>
            </w:r>
          </w:p>
        </w:tc>
      </w:tr>
      <w:tr>
        <w:trPr>
          <w:cantSplit/>
        </w:trPr>
        <w:tc>
          <w:tcPr>
            <w:tcW w:type="dxa" w:w="2268"/>
          </w:tcPr>
          <w:p>
            <w:pPr>
              <w:keepNext/>
            </w:pPr>
            <w:r/>
            <w:r>
              <w:rPr>
                <w:rFonts w:ascii="Arial" w:hAnsi="Arial" w:eastAsia="Arial"/>
                <w:b w:val="0"/>
                <w:i w:val="0"/>
                <w:sz w:val="18"/>
              </w:rPr>
              <w:t>Software licences</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3 000</w:t>
            </w:r>
          </w:p>
        </w:tc>
        <w:tc>
          <w:tcPr>
            <w:tcW w:type="dxa" w:w="1020"/>
          </w:tcPr>
          <w:p>
            <w:pPr>
              <w:keepNext/>
            </w:pPr>
            <w:r/>
            <w:r>
              <w:rPr>
                <w:rFonts w:ascii="Arial" w:hAnsi="Arial" w:eastAsia="Arial"/>
                <w:b w:val="0"/>
                <w:i w:val="0"/>
                <w:sz w:val="18"/>
              </w:rPr>
              <w:t>3 000</w:t>
            </w:r>
          </w:p>
        </w:tc>
        <w:tc>
          <w:tcPr>
            <w:tcW w:type="dxa" w:w="794"/>
          </w:tcPr>
          <w:p>
            <w:pPr>
              <w:keepNext/>
            </w:pPr>
            <w:r/>
            <w:r>
              <w:rPr>
                <w:rFonts w:ascii="Arial" w:hAnsi="Arial" w:eastAsia="Arial"/>
                <w:b w:val="0"/>
                <w:i w:val="0"/>
                <w:sz w:val="18"/>
              </w:rPr>
              <w:t>WP2</w:t>
            </w:r>
          </w:p>
        </w:tc>
        <w:tc>
          <w:tcPr>
            <w:tcW w:type="dxa" w:w="907"/>
          </w:tcPr>
          <w:p>
            <w:pPr>
              <w:keepNext/>
            </w:pPr>
            <w:r/>
            <w:r>
              <w:rPr>
                <w:rFonts w:ascii="Arial" w:hAnsi="Arial" w:eastAsia="Arial"/>
                <w:b w:val="0"/>
                <w:i w:val="0"/>
                <w:sz w:val="18"/>
              </w:rPr>
              <w:t>Partner</w:t>
            </w:r>
          </w:p>
        </w:tc>
        <w:tc>
          <w:tcPr>
            <w:tcW w:type="dxa" w:w="3231"/>
          </w:tcPr>
          <w:p>
            <w:pPr>
              <w:keepNext/>
            </w:pPr>
            <w:r/>
            <w:r>
              <w:rPr>
                <w:rFonts w:ascii="Arial" w:hAnsi="Arial" w:eastAsia="Arial"/>
                <w:b w:val="0"/>
                <w:i w:val="0"/>
                <w:sz w:val="18"/>
              </w:rPr>
              <w:t>Processing tools without an open-source equivalent; the project itself releases open software</w:t>
            </w:r>
          </w:p>
        </w:tc>
      </w:tr>
      <w:tr>
        <w:trPr>
          <w:cantSplit/>
        </w:trPr>
        <w:tc>
          <w:tcPr>
            <w:tcW w:type="dxa" w:w="2268"/>
            <w:shd w:val="clear" w:color="auto" w:fill="E8EDF5"/>
          </w:tcPr>
          <w:p>
            <w:r>
              <w:rPr>
                <w:b/>
              </w:rPr>
            </w:r>
            <w:r>
              <w:rPr>
                <w:rFonts w:ascii="Arial" w:hAnsi="Arial" w:eastAsia="Arial"/>
                <w:b/>
                <w:i w:val="0"/>
                <w:sz w:val="18"/>
              </w:rPr>
              <w:t>Subtotal</w:t>
            </w:r>
          </w:p>
        </w:tc>
        <w:tc>
          <w:tcPr>
            <w:tcW w:type="dxa" w:w="567"/>
            <w:shd w:val="clear" w:color="auto" w:fill="E8EDF5"/>
          </w:tcPr>
          <w:p>
            <w:r>
              <w:rPr>
                <w:b/>
              </w:rPr>
            </w:r>
          </w:p>
        </w:tc>
        <w:tc>
          <w:tcPr>
            <w:tcW w:type="dxa" w:w="850"/>
            <w:shd w:val="clear" w:color="auto" w:fill="E8EDF5"/>
          </w:tcPr>
          <w:p>
            <w:r>
              <w:rPr>
                <w:b/>
              </w:rPr>
            </w:r>
          </w:p>
        </w:tc>
        <w:tc>
          <w:tcPr>
            <w:tcW w:type="dxa" w:w="1020"/>
            <w:shd w:val="clear" w:color="auto" w:fill="E8EDF5"/>
          </w:tcPr>
          <w:p>
            <w:r>
              <w:rPr>
                <w:b/>
              </w:rPr>
            </w:r>
            <w:r>
              <w:rPr>
                <w:rFonts w:ascii="Arial" w:hAnsi="Arial" w:eastAsia="Arial"/>
                <w:b/>
                <w:i w:val="0"/>
                <w:sz w:val="18"/>
              </w:rPr>
              <w:t>182 800</w:t>
            </w:r>
          </w:p>
        </w:tc>
        <w:tc>
          <w:tcPr>
            <w:tcW w:type="dxa" w:w="794"/>
            <w:shd w:val="clear" w:color="auto" w:fill="E8EDF5"/>
          </w:tcPr>
          <w:p>
            <w:r>
              <w:rPr>
                <w:b/>
              </w:rPr>
            </w:r>
          </w:p>
        </w:tc>
        <w:tc>
          <w:tcPr>
            <w:tcW w:type="dxa" w:w="907"/>
            <w:shd w:val="clear" w:color="auto" w:fill="E8EDF5"/>
          </w:tcPr>
          <w:p>
            <w:r>
              <w:rPr>
                <w:b/>
              </w:rPr>
            </w:r>
          </w:p>
        </w:tc>
        <w:tc>
          <w:tcPr>
            <w:tcW w:type="dxa" w:w="3231"/>
            <w:shd w:val="clear" w:color="auto" w:fill="E8EDF5"/>
          </w:tcPr>
          <w:p>
            <w:r>
              <w:rPr>
                <w:b/>
              </w:rPr>
            </w:r>
          </w:p>
        </w:tc>
      </w:tr>
    </w:tbl>
    <w:p>
      <w:pPr>
        <w:keepNext/>
        <w:spacing w:after="120" w:before="120"/>
      </w:pPr>
      <w:r>
        <w:rPr>
          <w:rFonts w:ascii="Arial" w:hAnsi="Arial" w:eastAsia="Arial"/>
          <w:b/>
          <w:i w:val="0"/>
          <w:color w:val="2E6DB4"/>
          <w:sz w:val="23"/>
        </w:rPr>
        <w:t>Consumables  (€22 700)</w:t>
      </w:r>
    </w:p>
    <w:tbl>
      <w:tblPr>
        <w:tblStyle w:val="TableGrid"/>
        <w:tblW w:type="auto" w:w="0"/>
        <w:jc w:val="center"/>
        <w:tblLayout w:type="fixed"/>
        <w:tblLook w:firstColumn="1" w:firstRow="1" w:lastColumn="0" w:lastRow="0" w:noHBand="0" w:noVBand="1" w:val="04A0"/>
        <w:tblLayout w:type="fixed"/>
      </w:tblPr>
      <w:tblGrid>
        <w:gridCol w:w="2268"/>
        <w:gridCol w:w="567"/>
        <w:gridCol w:w="850"/>
        <w:gridCol w:w="1020"/>
        <w:gridCol w:w="794"/>
        <w:gridCol w:w="907"/>
        <w:gridCol w:w="3231"/>
      </w:tblGrid>
      <w:tr>
        <w:trPr>
          <w:cantSplit/>
          <w:tblHeader/>
        </w:trPr>
        <w:tc>
          <w:tcPr>
            <w:tcW w:type="dxa" w:w="2268"/>
            <w:shd w:val="clear" w:color="auto" w:fill="1F3864"/>
          </w:tcPr>
          <w:p>
            <w:pPr>
              <w:keepNext/>
            </w:pPr>
            <w:r/>
            <w:r>
              <w:rPr>
                <w:rFonts w:ascii="Arial" w:hAnsi="Arial" w:eastAsia="Arial"/>
                <w:b/>
                <w:i w:val="0"/>
                <w:color w:val="FFFFFF"/>
                <w:sz w:val="18"/>
              </w:rPr>
              <w:t>Item</w:t>
            </w:r>
          </w:p>
        </w:tc>
        <w:tc>
          <w:tcPr>
            <w:tcW w:type="dxa" w:w="567"/>
            <w:shd w:val="clear" w:color="auto" w:fill="1F3864"/>
          </w:tcPr>
          <w:p>
            <w:pPr>
              <w:keepNext/>
            </w:pPr>
            <w:r/>
            <w:r>
              <w:rPr>
                <w:rFonts w:ascii="Arial" w:hAnsi="Arial" w:eastAsia="Arial"/>
                <w:b/>
                <w:i w:val="0"/>
                <w:color w:val="FFFFFF"/>
                <w:sz w:val="18"/>
              </w:rPr>
              <w:t>Qty</w:t>
            </w:r>
          </w:p>
        </w:tc>
        <w:tc>
          <w:tcPr>
            <w:tcW w:type="dxa" w:w="850"/>
            <w:shd w:val="clear" w:color="auto" w:fill="1F3864"/>
          </w:tcPr>
          <w:p>
            <w:pPr>
              <w:keepNext/>
            </w:pPr>
            <w:r/>
            <w:r>
              <w:rPr>
                <w:rFonts w:ascii="Arial" w:hAnsi="Arial" w:eastAsia="Arial"/>
                <w:b/>
                <w:i w:val="0"/>
                <w:color w:val="FFFFFF"/>
                <w:sz w:val="18"/>
              </w:rPr>
              <w:t>Unit (€)</w:t>
            </w:r>
          </w:p>
        </w:tc>
        <w:tc>
          <w:tcPr>
            <w:tcW w:type="dxa" w:w="1020"/>
            <w:shd w:val="clear" w:color="auto" w:fill="1F3864"/>
          </w:tcPr>
          <w:p>
            <w:pPr>
              <w:keepNext/>
            </w:pPr>
            <w:r/>
            <w:r>
              <w:rPr>
                <w:rFonts w:ascii="Arial" w:hAnsi="Arial" w:eastAsia="Arial"/>
                <w:b/>
                <w:i w:val="0"/>
                <w:color w:val="FFFFFF"/>
                <w:sz w:val="18"/>
              </w:rPr>
              <w:t>Total (€)</w:t>
            </w:r>
          </w:p>
        </w:tc>
        <w:tc>
          <w:tcPr>
            <w:tcW w:type="dxa" w:w="794"/>
            <w:shd w:val="clear" w:color="auto" w:fill="1F3864"/>
          </w:tcPr>
          <w:p>
            <w:pPr>
              <w:keepNext/>
            </w:pPr>
            <w:r/>
            <w:r>
              <w:rPr>
                <w:rFonts w:ascii="Arial" w:hAnsi="Arial" w:eastAsia="Arial"/>
                <w:b/>
                <w:i w:val="0"/>
                <w:color w:val="FFFFFF"/>
                <w:sz w:val="18"/>
              </w:rPr>
              <w:t>WP</w:t>
            </w:r>
          </w:p>
        </w:tc>
        <w:tc>
          <w:tcPr>
            <w:tcW w:type="dxa" w:w="907"/>
            <w:shd w:val="clear" w:color="auto" w:fill="1F3864"/>
          </w:tcPr>
          <w:p>
            <w:pPr>
              <w:keepNext/>
            </w:pPr>
            <w:r/>
            <w:r>
              <w:rPr>
                <w:rFonts w:ascii="Arial" w:hAnsi="Arial" w:eastAsia="Arial"/>
                <w:b/>
                <w:i w:val="0"/>
                <w:color w:val="FFFFFF"/>
                <w:sz w:val="18"/>
              </w:rPr>
              <w:t>To</w:t>
            </w:r>
          </w:p>
        </w:tc>
        <w:tc>
          <w:tcPr>
            <w:tcW w:type="dxa" w:w="3231"/>
            <w:shd w:val="clear" w:color="auto" w:fill="1F3864"/>
          </w:tcPr>
          <w:p>
            <w:pPr>
              <w:keepNext/>
            </w:pPr>
            <w:r/>
            <w:r>
              <w:rPr>
                <w:rFonts w:ascii="Arial" w:hAnsi="Arial" w:eastAsia="Arial"/>
                <w:b/>
                <w:i w:val="0"/>
                <w:color w:val="FFFFFF"/>
                <w:sz w:val="18"/>
              </w:rPr>
              <w:t>Justification</w:t>
            </w:r>
          </w:p>
        </w:tc>
      </w:tr>
      <w:tr>
        <w:trPr>
          <w:cantSplit/>
        </w:trPr>
        <w:tc>
          <w:tcPr>
            <w:tcW w:type="dxa" w:w="2268"/>
          </w:tcPr>
          <w:p>
            <w:pPr>
              <w:keepNext/>
            </w:pPr>
            <w:r/>
            <w:r>
              <w:rPr>
                <w:rFonts w:ascii="Arial" w:hAnsi="Arial" w:eastAsia="Arial"/>
                <w:b w:val="0"/>
                <w:i w:val="0"/>
                <w:sz w:val="18"/>
              </w:rPr>
              <w:t>Laboratory analyses: chloride and major ions</w:t>
            </w:r>
          </w:p>
        </w:tc>
        <w:tc>
          <w:tcPr>
            <w:tcW w:type="dxa" w:w="567"/>
          </w:tcPr>
          <w:p>
            <w:pPr>
              <w:keepNext/>
            </w:pPr>
            <w:r/>
            <w:r>
              <w:rPr>
                <w:rFonts w:ascii="Arial" w:hAnsi="Arial" w:eastAsia="Arial"/>
                <w:b w:val="0"/>
                <w:i w:val="0"/>
                <w:sz w:val="18"/>
              </w:rPr>
              <w:t>300</w:t>
            </w:r>
          </w:p>
        </w:tc>
        <w:tc>
          <w:tcPr>
            <w:tcW w:type="dxa" w:w="850"/>
          </w:tcPr>
          <w:p>
            <w:pPr>
              <w:keepNext/>
            </w:pPr>
            <w:r/>
            <w:r>
              <w:rPr>
                <w:rFonts w:ascii="Arial" w:hAnsi="Arial" w:eastAsia="Arial"/>
                <w:b w:val="0"/>
                <w:i w:val="0"/>
                <w:sz w:val="18"/>
              </w:rPr>
              <w:t>40</w:t>
            </w:r>
          </w:p>
        </w:tc>
        <w:tc>
          <w:tcPr>
            <w:tcW w:type="dxa" w:w="1020"/>
          </w:tcPr>
          <w:p>
            <w:pPr>
              <w:keepNext/>
            </w:pPr>
            <w:r/>
            <w:r>
              <w:rPr>
                <w:rFonts w:ascii="Arial" w:hAnsi="Arial" w:eastAsia="Arial"/>
                <w:b w:val="0"/>
                <w:i w:val="0"/>
                <w:sz w:val="18"/>
              </w:rPr>
              <w:t>12 000</w:t>
            </w:r>
          </w:p>
        </w:tc>
        <w:tc>
          <w:tcPr>
            <w:tcW w:type="dxa" w:w="794"/>
          </w:tcPr>
          <w:p>
            <w:pPr>
              <w:keepNext/>
            </w:pPr>
            <w:r/>
            <w:r>
              <w:rPr>
                <w:rFonts w:ascii="Arial" w:hAnsi="Arial" w:eastAsia="Arial"/>
                <w:b w:val="0"/>
                <w:i w:val="0"/>
                <w:sz w:val="18"/>
              </w:rPr>
              <w:t>WP4</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Calibrates conductivity loggers against chloride and constrains the model (T2.3)</w:t>
            </w:r>
          </w:p>
        </w:tc>
      </w:tr>
      <w:tr>
        <w:trPr>
          <w:cantSplit/>
        </w:trPr>
        <w:tc>
          <w:tcPr>
            <w:tcW w:type="dxa" w:w="2268"/>
          </w:tcPr>
          <w:p>
            <w:pPr>
              <w:keepNext/>
            </w:pPr>
            <w:r/>
            <w:r>
              <w:rPr>
                <w:rFonts w:ascii="Arial" w:hAnsi="Arial" w:eastAsia="Arial"/>
                <w:b w:val="0"/>
                <w:i w:val="0"/>
                <w:sz w:val="18"/>
              </w:rPr>
              <w:t>Sampling consumables: bottles, filters, standards</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4 000</w:t>
            </w:r>
          </w:p>
        </w:tc>
        <w:tc>
          <w:tcPr>
            <w:tcW w:type="dxa" w:w="1020"/>
          </w:tcPr>
          <w:p>
            <w:pPr>
              <w:keepNext/>
            </w:pPr>
            <w:r/>
            <w:r>
              <w:rPr>
                <w:rFonts w:ascii="Arial" w:hAnsi="Arial" w:eastAsia="Arial"/>
                <w:b w:val="0"/>
                <w:i w:val="0"/>
                <w:sz w:val="18"/>
              </w:rPr>
              <w:t>4 000</w:t>
            </w:r>
          </w:p>
        </w:tc>
        <w:tc>
          <w:tcPr>
            <w:tcW w:type="dxa" w:w="794"/>
          </w:tcPr>
          <w:p>
            <w:pPr>
              <w:keepNext/>
            </w:pPr>
            <w:r/>
            <w:r>
              <w:rPr>
                <w:rFonts w:ascii="Arial" w:hAnsi="Arial" w:eastAsia="Arial"/>
                <w:b w:val="0"/>
                <w:i w:val="0"/>
                <w:sz w:val="18"/>
              </w:rPr>
              <w:t>WP4</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Quality-controlled sampling over three years</w:t>
            </w:r>
          </w:p>
        </w:tc>
      </w:tr>
      <w:tr>
        <w:trPr>
          <w:cantSplit/>
        </w:trPr>
        <w:tc>
          <w:tcPr>
            <w:tcW w:type="dxa" w:w="2268"/>
          </w:tcPr>
          <w:p>
            <w:pPr>
              <w:keepNext/>
            </w:pPr>
            <w:r/>
            <w:r>
              <w:rPr>
                <w:rFonts w:ascii="Arial" w:hAnsi="Arial" w:eastAsia="Arial"/>
                <w:b w:val="0"/>
                <w:i w:val="0"/>
                <w:sz w:val="18"/>
              </w:rPr>
              <w:t>Field consumables: batteries, cables, fixings</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4 000</w:t>
            </w:r>
          </w:p>
        </w:tc>
        <w:tc>
          <w:tcPr>
            <w:tcW w:type="dxa" w:w="1020"/>
          </w:tcPr>
          <w:p>
            <w:pPr>
              <w:keepNext/>
            </w:pPr>
            <w:r/>
            <w:r>
              <w:rPr>
                <w:rFonts w:ascii="Arial" w:hAnsi="Arial" w:eastAsia="Arial"/>
                <w:b w:val="0"/>
                <w:i w:val="0"/>
                <w:sz w:val="18"/>
              </w:rPr>
              <w:t>4 000</w:t>
            </w:r>
          </w:p>
        </w:tc>
        <w:tc>
          <w:tcPr>
            <w:tcW w:type="dxa" w:w="794"/>
          </w:tcPr>
          <w:p>
            <w:pPr>
              <w:keepNext/>
            </w:pPr>
            <w:r/>
            <w:r>
              <w:rPr>
                <w:rFonts w:ascii="Arial" w:hAnsi="Arial" w:eastAsia="Arial"/>
                <w:b w:val="0"/>
                <w:i w:val="0"/>
                <w:sz w:val="18"/>
              </w:rPr>
              <w:t>WP4</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Maintenance of the network to at least 90% data availability</w:t>
            </w:r>
          </w:p>
        </w:tc>
      </w:tr>
      <w:tr>
        <w:trPr>
          <w:cantSplit/>
        </w:trPr>
        <w:tc>
          <w:tcPr>
            <w:tcW w:type="dxa" w:w="2268"/>
          </w:tcPr>
          <w:p>
            <w:pPr>
              <w:keepNext/>
            </w:pPr>
            <w:r/>
            <w:r>
              <w:rPr>
                <w:rFonts w:ascii="Arial" w:hAnsi="Arial" w:eastAsia="Arial"/>
                <w:b w:val="0"/>
                <w:i w:val="0"/>
                <w:sz w:val="18"/>
              </w:rPr>
              <w:t>Mobile data plans: 15 units over 36 months</w:t>
            </w:r>
          </w:p>
        </w:tc>
        <w:tc>
          <w:tcPr>
            <w:tcW w:type="dxa" w:w="567"/>
          </w:tcPr>
          <w:p>
            <w:pPr>
              <w:keepNext/>
            </w:pPr>
            <w:r/>
            <w:r>
              <w:rPr>
                <w:rFonts w:ascii="Arial" w:hAnsi="Arial" w:eastAsia="Arial"/>
                <w:b w:val="0"/>
                <w:i w:val="0"/>
                <w:sz w:val="18"/>
              </w:rPr>
              <w:t>540</w:t>
            </w:r>
          </w:p>
        </w:tc>
        <w:tc>
          <w:tcPr>
            <w:tcW w:type="dxa" w:w="850"/>
          </w:tcPr>
          <w:p>
            <w:pPr>
              <w:keepNext/>
            </w:pPr>
            <w:r/>
            <w:r>
              <w:rPr>
                <w:rFonts w:ascii="Arial" w:hAnsi="Arial" w:eastAsia="Arial"/>
                <w:b w:val="0"/>
                <w:i w:val="0"/>
                <w:sz w:val="18"/>
              </w:rPr>
              <w:t>5</w:t>
            </w:r>
          </w:p>
        </w:tc>
        <w:tc>
          <w:tcPr>
            <w:tcW w:type="dxa" w:w="1020"/>
          </w:tcPr>
          <w:p>
            <w:pPr>
              <w:keepNext/>
            </w:pPr>
            <w:r/>
            <w:r>
              <w:rPr>
                <w:rFonts w:ascii="Arial" w:hAnsi="Arial" w:eastAsia="Arial"/>
                <w:b w:val="0"/>
                <w:i w:val="0"/>
                <w:sz w:val="18"/>
              </w:rPr>
              <w:t>2 700</w:t>
            </w:r>
          </w:p>
        </w:tc>
        <w:tc>
          <w:tcPr>
            <w:tcW w:type="dxa" w:w="794"/>
          </w:tcPr>
          <w:p>
            <w:pPr>
              <w:keepNext/>
            </w:pPr>
            <w:r/>
            <w:r>
              <w:rPr>
                <w:rFonts w:ascii="Arial" w:hAnsi="Arial" w:eastAsia="Arial"/>
                <w:b w:val="0"/>
                <w:i w:val="0"/>
                <w:sz w:val="18"/>
              </w:rPr>
              <w:t>WP4</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Data transmission for telemetry</w:t>
            </w:r>
          </w:p>
        </w:tc>
      </w:tr>
      <w:tr>
        <w:trPr>
          <w:cantSplit/>
        </w:trPr>
        <w:tc>
          <w:tcPr>
            <w:tcW w:type="dxa" w:w="2268"/>
            <w:shd w:val="clear" w:color="auto" w:fill="E8EDF5"/>
          </w:tcPr>
          <w:p>
            <w:r>
              <w:rPr>
                <w:b/>
              </w:rPr>
            </w:r>
            <w:r>
              <w:rPr>
                <w:rFonts w:ascii="Arial" w:hAnsi="Arial" w:eastAsia="Arial"/>
                <w:b/>
                <w:i w:val="0"/>
                <w:sz w:val="18"/>
              </w:rPr>
              <w:t>Subtotal</w:t>
            </w:r>
          </w:p>
        </w:tc>
        <w:tc>
          <w:tcPr>
            <w:tcW w:type="dxa" w:w="567"/>
            <w:shd w:val="clear" w:color="auto" w:fill="E8EDF5"/>
          </w:tcPr>
          <w:p>
            <w:r>
              <w:rPr>
                <w:b/>
              </w:rPr>
            </w:r>
          </w:p>
        </w:tc>
        <w:tc>
          <w:tcPr>
            <w:tcW w:type="dxa" w:w="850"/>
            <w:shd w:val="clear" w:color="auto" w:fill="E8EDF5"/>
          </w:tcPr>
          <w:p>
            <w:r>
              <w:rPr>
                <w:b/>
              </w:rPr>
            </w:r>
          </w:p>
        </w:tc>
        <w:tc>
          <w:tcPr>
            <w:tcW w:type="dxa" w:w="1020"/>
            <w:shd w:val="clear" w:color="auto" w:fill="E8EDF5"/>
          </w:tcPr>
          <w:p>
            <w:r>
              <w:rPr>
                <w:b/>
              </w:rPr>
            </w:r>
            <w:r>
              <w:rPr>
                <w:rFonts w:ascii="Arial" w:hAnsi="Arial" w:eastAsia="Arial"/>
                <w:b/>
                <w:i w:val="0"/>
                <w:sz w:val="18"/>
              </w:rPr>
              <w:t>22 700</w:t>
            </w:r>
          </w:p>
        </w:tc>
        <w:tc>
          <w:tcPr>
            <w:tcW w:type="dxa" w:w="794"/>
            <w:shd w:val="clear" w:color="auto" w:fill="E8EDF5"/>
          </w:tcPr>
          <w:p>
            <w:r>
              <w:rPr>
                <w:b/>
              </w:rPr>
            </w:r>
          </w:p>
        </w:tc>
        <w:tc>
          <w:tcPr>
            <w:tcW w:type="dxa" w:w="907"/>
            <w:shd w:val="clear" w:color="auto" w:fill="E8EDF5"/>
          </w:tcPr>
          <w:p>
            <w:r>
              <w:rPr>
                <w:b/>
              </w:rPr>
            </w:r>
          </w:p>
        </w:tc>
        <w:tc>
          <w:tcPr>
            <w:tcW w:type="dxa" w:w="3231"/>
            <w:shd w:val="clear" w:color="auto" w:fill="E8EDF5"/>
          </w:tcPr>
          <w:p>
            <w:r>
              <w:rPr>
                <w:b/>
              </w:rPr>
            </w:r>
          </w:p>
        </w:tc>
      </w:tr>
    </w:tbl>
    <w:p>
      <w:pPr>
        <w:keepNext/>
        <w:spacing w:after="120" w:before="120"/>
      </w:pPr>
      <w:r>
        <w:rPr>
          <w:rFonts w:ascii="Arial" w:hAnsi="Arial" w:eastAsia="Arial"/>
          <w:b/>
          <w:i w:val="0"/>
          <w:color w:val="2E6DB4"/>
          <w:sz w:val="23"/>
        </w:rPr>
        <w:t>Training and travel  (€89 000)</w:t>
      </w:r>
    </w:p>
    <w:tbl>
      <w:tblPr>
        <w:tblStyle w:val="TableGrid"/>
        <w:tblW w:type="auto" w:w="0"/>
        <w:jc w:val="center"/>
        <w:tblLayout w:type="fixed"/>
        <w:tblLook w:firstColumn="1" w:firstRow="1" w:lastColumn="0" w:lastRow="0" w:noHBand="0" w:noVBand="1" w:val="04A0"/>
        <w:tblLayout w:type="fixed"/>
      </w:tblPr>
      <w:tblGrid>
        <w:gridCol w:w="2268"/>
        <w:gridCol w:w="567"/>
        <w:gridCol w:w="850"/>
        <w:gridCol w:w="1020"/>
        <w:gridCol w:w="794"/>
        <w:gridCol w:w="907"/>
        <w:gridCol w:w="3231"/>
      </w:tblGrid>
      <w:tr>
        <w:trPr>
          <w:cantSplit/>
          <w:tblHeader/>
        </w:trPr>
        <w:tc>
          <w:tcPr>
            <w:tcW w:type="dxa" w:w="2268"/>
            <w:shd w:val="clear" w:color="auto" w:fill="1F3864"/>
          </w:tcPr>
          <w:p>
            <w:pPr>
              <w:keepNext/>
            </w:pPr>
            <w:r/>
            <w:r>
              <w:rPr>
                <w:rFonts w:ascii="Arial" w:hAnsi="Arial" w:eastAsia="Arial"/>
                <w:b/>
                <w:i w:val="0"/>
                <w:color w:val="FFFFFF"/>
                <w:sz w:val="18"/>
              </w:rPr>
              <w:t>Item</w:t>
            </w:r>
          </w:p>
        </w:tc>
        <w:tc>
          <w:tcPr>
            <w:tcW w:type="dxa" w:w="567"/>
            <w:shd w:val="clear" w:color="auto" w:fill="1F3864"/>
          </w:tcPr>
          <w:p>
            <w:pPr>
              <w:keepNext/>
            </w:pPr>
            <w:r/>
            <w:r>
              <w:rPr>
                <w:rFonts w:ascii="Arial" w:hAnsi="Arial" w:eastAsia="Arial"/>
                <w:b/>
                <w:i w:val="0"/>
                <w:color w:val="FFFFFF"/>
                <w:sz w:val="18"/>
              </w:rPr>
              <w:t>Qty</w:t>
            </w:r>
          </w:p>
        </w:tc>
        <w:tc>
          <w:tcPr>
            <w:tcW w:type="dxa" w:w="850"/>
            <w:shd w:val="clear" w:color="auto" w:fill="1F3864"/>
          </w:tcPr>
          <w:p>
            <w:pPr>
              <w:keepNext/>
            </w:pPr>
            <w:r/>
            <w:r>
              <w:rPr>
                <w:rFonts w:ascii="Arial" w:hAnsi="Arial" w:eastAsia="Arial"/>
                <w:b/>
                <w:i w:val="0"/>
                <w:color w:val="FFFFFF"/>
                <w:sz w:val="18"/>
              </w:rPr>
              <w:t>Unit (€)</w:t>
            </w:r>
          </w:p>
        </w:tc>
        <w:tc>
          <w:tcPr>
            <w:tcW w:type="dxa" w:w="1020"/>
            <w:shd w:val="clear" w:color="auto" w:fill="1F3864"/>
          </w:tcPr>
          <w:p>
            <w:pPr>
              <w:keepNext/>
            </w:pPr>
            <w:r/>
            <w:r>
              <w:rPr>
                <w:rFonts w:ascii="Arial" w:hAnsi="Arial" w:eastAsia="Arial"/>
                <w:b/>
                <w:i w:val="0"/>
                <w:color w:val="FFFFFF"/>
                <w:sz w:val="18"/>
              </w:rPr>
              <w:t>Total (€)</w:t>
            </w:r>
          </w:p>
        </w:tc>
        <w:tc>
          <w:tcPr>
            <w:tcW w:type="dxa" w:w="794"/>
            <w:shd w:val="clear" w:color="auto" w:fill="1F3864"/>
          </w:tcPr>
          <w:p>
            <w:pPr>
              <w:keepNext/>
            </w:pPr>
            <w:r/>
            <w:r>
              <w:rPr>
                <w:rFonts w:ascii="Arial" w:hAnsi="Arial" w:eastAsia="Arial"/>
                <w:b/>
                <w:i w:val="0"/>
                <w:color w:val="FFFFFF"/>
                <w:sz w:val="18"/>
              </w:rPr>
              <w:t>WP</w:t>
            </w:r>
          </w:p>
        </w:tc>
        <w:tc>
          <w:tcPr>
            <w:tcW w:type="dxa" w:w="907"/>
            <w:shd w:val="clear" w:color="auto" w:fill="1F3864"/>
          </w:tcPr>
          <w:p>
            <w:pPr>
              <w:keepNext/>
            </w:pPr>
            <w:r/>
            <w:r>
              <w:rPr>
                <w:rFonts w:ascii="Arial" w:hAnsi="Arial" w:eastAsia="Arial"/>
                <w:b/>
                <w:i w:val="0"/>
                <w:color w:val="FFFFFF"/>
                <w:sz w:val="18"/>
              </w:rPr>
              <w:t>To</w:t>
            </w:r>
          </w:p>
        </w:tc>
        <w:tc>
          <w:tcPr>
            <w:tcW w:type="dxa" w:w="3231"/>
            <w:shd w:val="clear" w:color="auto" w:fill="1F3864"/>
          </w:tcPr>
          <w:p>
            <w:pPr>
              <w:keepNext/>
            </w:pPr>
            <w:r/>
            <w:r>
              <w:rPr>
                <w:rFonts w:ascii="Arial" w:hAnsi="Arial" w:eastAsia="Arial"/>
                <w:b/>
                <w:i w:val="0"/>
                <w:color w:val="FFFFFF"/>
                <w:sz w:val="18"/>
              </w:rPr>
              <w:t>Justification</w:t>
            </w:r>
          </w:p>
        </w:tc>
      </w:tr>
      <w:tr>
        <w:trPr>
          <w:cantSplit/>
        </w:trPr>
        <w:tc>
          <w:tcPr>
            <w:tcW w:type="dxa" w:w="2268"/>
          </w:tcPr>
          <w:p>
            <w:pPr>
              <w:keepNext/>
            </w:pPr>
            <w:r/>
            <w:r>
              <w:rPr>
                <w:rFonts w:ascii="Arial" w:hAnsi="Arial" w:eastAsia="Arial"/>
                <w:b w:val="0"/>
                <w:i w:val="0"/>
                <w:sz w:val="18"/>
              </w:rPr>
              <w:t>Consortium meetings (kick-off, mid-term, final): travel and subsistence</w:t>
            </w:r>
          </w:p>
        </w:tc>
        <w:tc>
          <w:tcPr>
            <w:tcW w:type="dxa" w:w="567"/>
          </w:tcPr>
          <w:p>
            <w:pPr>
              <w:keepNext/>
            </w:pPr>
            <w:r/>
            <w:r>
              <w:rPr>
                <w:rFonts w:ascii="Arial" w:hAnsi="Arial" w:eastAsia="Arial"/>
                <w:b w:val="0"/>
                <w:i w:val="0"/>
                <w:sz w:val="18"/>
              </w:rPr>
              <w:t>18</w:t>
            </w:r>
          </w:p>
        </w:tc>
        <w:tc>
          <w:tcPr>
            <w:tcW w:type="dxa" w:w="850"/>
          </w:tcPr>
          <w:p>
            <w:pPr>
              <w:keepNext/>
            </w:pPr>
            <w:r/>
            <w:r>
              <w:rPr>
                <w:rFonts w:ascii="Arial" w:hAnsi="Arial" w:eastAsia="Arial"/>
                <w:b w:val="0"/>
                <w:i w:val="0"/>
                <w:sz w:val="18"/>
              </w:rPr>
              <w:t>1 200</w:t>
            </w:r>
          </w:p>
        </w:tc>
        <w:tc>
          <w:tcPr>
            <w:tcW w:type="dxa" w:w="1020"/>
          </w:tcPr>
          <w:p>
            <w:pPr>
              <w:keepNext/>
            </w:pPr>
            <w:r/>
            <w:r>
              <w:rPr>
                <w:rFonts w:ascii="Arial" w:hAnsi="Arial" w:eastAsia="Arial"/>
                <w:b w:val="0"/>
                <w:i w:val="0"/>
                <w:sz w:val="18"/>
              </w:rPr>
              <w:t>21 600</w:t>
            </w:r>
          </w:p>
        </w:tc>
        <w:tc>
          <w:tcPr>
            <w:tcW w:type="dxa" w:w="794"/>
          </w:tcPr>
          <w:p>
            <w:pPr>
              <w:keepNext/>
            </w:pPr>
            <w:r/>
            <w:r>
              <w:rPr>
                <w:rFonts w:ascii="Arial" w:hAnsi="Arial" w:eastAsia="Arial"/>
                <w:b w:val="0"/>
                <w:i w:val="0"/>
                <w:sz w:val="18"/>
              </w:rPr>
              <w:t>WP7</w:t>
            </w:r>
          </w:p>
        </w:tc>
        <w:tc>
          <w:tcPr>
            <w:tcW w:type="dxa" w:w="907"/>
          </w:tcPr>
          <w:p>
            <w:pPr>
              <w:keepNext/>
            </w:pPr>
            <w:r/>
            <w:r>
              <w:rPr>
                <w:rFonts w:ascii="Arial" w:hAnsi="Arial" w:eastAsia="Arial"/>
                <w:b w:val="0"/>
                <w:i w:val="0"/>
                <w:sz w:val="18"/>
              </w:rPr>
              <w:t>Both</w:t>
            </w:r>
          </w:p>
        </w:tc>
        <w:tc>
          <w:tcPr>
            <w:tcW w:type="dxa" w:w="3231"/>
          </w:tcPr>
          <w:p>
            <w:pPr>
              <w:keepNext/>
            </w:pPr>
            <w:r/>
            <w:r>
              <w:rPr>
                <w:rFonts w:ascii="Arial" w:hAnsi="Arial" w:eastAsia="Arial"/>
                <w:b w:val="0"/>
                <w:i w:val="0"/>
                <w:sz w:val="18"/>
              </w:rPr>
              <w:t>Six people from the two countries at three meetings</w:t>
            </w:r>
          </w:p>
        </w:tc>
      </w:tr>
      <w:tr>
        <w:trPr>
          <w:cantSplit/>
        </w:trPr>
        <w:tc>
          <w:tcPr>
            <w:tcW w:type="dxa" w:w="2268"/>
          </w:tcPr>
          <w:p>
            <w:pPr>
              <w:keepNext/>
            </w:pPr>
            <w:r/>
            <w:r>
              <w:rPr>
                <w:rFonts w:ascii="Arial" w:hAnsi="Arial" w:eastAsia="Arial"/>
                <w:b w:val="0"/>
                <w:i w:val="0"/>
                <w:sz w:val="18"/>
              </w:rPr>
              <w:t>Young-researcher exchanges, two months each</w:t>
            </w:r>
          </w:p>
        </w:tc>
        <w:tc>
          <w:tcPr>
            <w:tcW w:type="dxa" w:w="567"/>
          </w:tcPr>
          <w:p>
            <w:pPr>
              <w:keepNext/>
            </w:pPr>
            <w:r/>
            <w:r>
              <w:rPr>
                <w:rFonts w:ascii="Arial" w:hAnsi="Arial" w:eastAsia="Arial"/>
                <w:b w:val="0"/>
                <w:i w:val="0"/>
                <w:sz w:val="18"/>
              </w:rPr>
              <w:t>6</w:t>
            </w:r>
          </w:p>
        </w:tc>
        <w:tc>
          <w:tcPr>
            <w:tcW w:type="dxa" w:w="850"/>
          </w:tcPr>
          <w:p>
            <w:pPr>
              <w:keepNext/>
            </w:pPr>
            <w:r/>
            <w:r>
              <w:rPr>
                <w:rFonts w:ascii="Arial" w:hAnsi="Arial" w:eastAsia="Arial"/>
                <w:b w:val="0"/>
                <w:i w:val="0"/>
                <w:sz w:val="18"/>
              </w:rPr>
              <w:t>3 500</w:t>
            </w:r>
          </w:p>
        </w:tc>
        <w:tc>
          <w:tcPr>
            <w:tcW w:type="dxa" w:w="1020"/>
          </w:tcPr>
          <w:p>
            <w:pPr>
              <w:keepNext/>
            </w:pPr>
            <w:r/>
            <w:r>
              <w:rPr>
                <w:rFonts w:ascii="Arial" w:hAnsi="Arial" w:eastAsia="Arial"/>
                <w:b w:val="0"/>
                <w:i w:val="0"/>
                <w:sz w:val="18"/>
              </w:rPr>
              <w:t>21 000</w:t>
            </w:r>
          </w:p>
        </w:tc>
        <w:tc>
          <w:tcPr>
            <w:tcW w:type="dxa" w:w="794"/>
          </w:tcPr>
          <w:p>
            <w:pPr>
              <w:keepNext/>
            </w:pPr>
            <w:r/>
            <w:r>
              <w:rPr>
                <w:rFonts w:ascii="Arial" w:hAnsi="Arial" w:eastAsia="Arial"/>
                <w:b w:val="0"/>
                <w:i w:val="0"/>
                <w:sz w:val="18"/>
              </w:rPr>
              <w:t>WP6</w:t>
            </w:r>
          </w:p>
        </w:tc>
        <w:tc>
          <w:tcPr>
            <w:tcW w:type="dxa" w:w="907"/>
          </w:tcPr>
          <w:p>
            <w:pPr>
              <w:keepNext/>
            </w:pPr>
            <w:r/>
            <w:r>
              <w:rPr>
                <w:rFonts w:ascii="Arial" w:hAnsi="Arial" w:eastAsia="Arial"/>
                <w:b w:val="0"/>
                <w:i w:val="0"/>
                <w:sz w:val="18"/>
              </w:rPr>
              <w:t>Partner</w:t>
            </w:r>
          </w:p>
        </w:tc>
        <w:tc>
          <w:tcPr>
            <w:tcW w:type="dxa" w:w="3231"/>
          </w:tcPr>
          <w:p>
            <w:pPr>
              <w:keepNext/>
            </w:pPr>
            <w:r/>
            <w:r>
              <w:rPr>
                <w:rFonts w:ascii="Arial" w:hAnsi="Arial" w:eastAsia="Arial"/>
                <w:b w:val="0"/>
                <w:i w:val="0"/>
                <w:sz w:val="18"/>
              </w:rPr>
              <w:t>Partner-country early-career researchers work on site with the data and the operators (T6.1)</w:t>
            </w:r>
          </w:p>
        </w:tc>
      </w:tr>
      <w:tr>
        <w:trPr>
          <w:cantSplit/>
        </w:trPr>
        <w:tc>
          <w:tcPr>
            <w:tcW w:type="dxa" w:w="2268"/>
          </w:tcPr>
          <w:p>
            <w:pPr>
              <w:keepNext/>
            </w:pPr>
            <w:r/>
            <w:r>
              <w:rPr>
                <w:rFonts w:ascii="Arial" w:hAnsi="Arial" w:eastAsia="Arial"/>
                <w:b w:val="0"/>
                <w:i w:val="0"/>
                <w:sz w:val="18"/>
              </w:rPr>
              <w:t>Training school: venue, materials, trainee travel</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15 000</w:t>
            </w:r>
          </w:p>
        </w:tc>
        <w:tc>
          <w:tcPr>
            <w:tcW w:type="dxa" w:w="1020"/>
          </w:tcPr>
          <w:p>
            <w:pPr>
              <w:keepNext/>
            </w:pPr>
            <w:r/>
            <w:r>
              <w:rPr>
                <w:rFonts w:ascii="Arial" w:hAnsi="Arial" w:eastAsia="Arial"/>
                <w:b w:val="0"/>
                <w:i w:val="0"/>
                <w:sz w:val="18"/>
              </w:rPr>
              <w:t>15 000</w:t>
            </w:r>
          </w:p>
        </w:tc>
        <w:tc>
          <w:tcPr>
            <w:tcW w:type="dxa" w:w="794"/>
          </w:tcPr>
          <w:p>
            <w:pPr>
              <w:keepNext/>
            </w:pPr>
            <w:r/>
            <w:r>
              <w:rPr>
                <w:rFonts w:ascii="Arial" w:hAnsi="Arial" w:eastAsia="Arial"/>
                <w:b w:val="0"/>
                <w:i w:val="0"/>
                <w:sz w:val="18"/>
              </w:rPr>
              <w:t>WP6</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Hands-on school with the coast kit in Month 14 (T6.1)</w:t>
            </w:r>
          </w:p>
        </w:tc>
      </w:tr>
      <w:tr>
        <w:trPr>
          <w:cantSplit/>
        </w:trPr>
        <w:tc>
          <w:tcPr>
            <w:tcW w:type="dxa" w:w="2268"/>
          </w:tcPr>
          <w:p>
            <w:pPr>
              <w:keepNext/>
            </w:pPr>
            <w:r/>
            <w:r>
              <w:rPr>
                <w:rFonts w:ascii="Arial" w:hAnsi="Arial" w:eastAsia="Arial"/>
                <w:b w:val="0"/>
                <w:i w:val="0"/>
                <w:sz w:val="18"/>
              </w:rPr>
              <w:t>Operator and civil-protection training sessions</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5 000</w:t>
            </w:r>
          </w:p>
        </w:tc>
        <w:tc>
          <w:tcPr>
            <w:tcW w:type="dxa" w:w="1020"/>
          </w:tcPr>
          <w:p>
            <w:pPr>
              <w:keepNext/>
            </w:pPr>
            <w:r/>
            <w:r>
              <w:rPr>
                <w:rFonts w:ascii="Arial" w:hAnsi="Arial" w:eastAsia="Arial"/>
                <w:b w:val="0"/>
                <w:i w:val="0"/>
                <w:sz w:val="18"/>
              </w:rPr>
              <w:t>5 000</w:t>
            </w:r>
          </w:p>
        </w:tc>
        <w:tc>
          <w:tcPr>
            <w:tcW w:type="dxa" w:w="794"/>
          </w:tcPr>
          <w:p>
            <w:pPr>
              <w:keepNext/>
            </w:pPr>
            <w:r/>
            <w:r>
              <w:rPr>
                <w:rFonts w:ascii="Arial" w:hAnsi="Arial" w:eastAsia="Arial"/>
                <w:b w:val="0"/>
                <w:i w:val="0"/>
                <w:sz w:val="18"/>
              </w:rPr>
              <w:t>WP6</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Staff able to run the system unaided (T6.2)</w:t>
            </w:r>
          </w:p>
        </w:tc>
      </w:tr>
      <w:tr>
        <w:trPr>
          <w:cantSplit/>
        </w:trPr>
        <w:tc>
          <w:tcPr>
            <w:tcW w:type="dxa" w:w="2268"/>
          </w:tcPr>
          <w:p>
            <w:pPr>
              <w:keepNext/>
            </w:pPr>
            <w:r/>
            <w:r>
              <w:rPr>
                <w:rFonts w:ascii="Arial" w:hAnsi="Arial" w:eastAsia="Arial"/>
                <w:b w:val="0"/>
                <w:i w:val="0"/>
                <w:sz w:val="18"/>
              </w:rPr>
              <w:t>Stakeholder workshops: kick-off, mid-term, final, transfer</w:t>
            </w:r>
          </w:p>
        </w:tc>
        <w:tc>
          <w:tcPr>
            <w:tcW w:type="dxa" w:w="567"/>
          </w:tcPr>
          <w:p>
            <w:pPr>
              <w:keepNext/>
            </w:pPr>
            <w:r/>
            <w:r>
              <w:rPr>
                <w:rFonts w:ascii="Arial" w:hAnsi="Arial" w:eastAsia="Arial"/>
                <w:b w:val="0"/>
                <w:i w:val="0"/>
                <w:sz w:val="18"/>
              </w:rPr>
              <w:t>4</w:t>
            </w:r>
          </w:p>
        </w:tc>
        <w:tc>
          <w:tcPr>
            <w:tcW w:type="dxa" w:w="850"/>
          </w:tcPr>
          <w:p>
            <w:pPr>
              <w:keepNext/>
            </w:pPr>
            <w:r/>
            <w:r>
              <w:rPr>
                <w:rFonts w:ascii="Arial" w:hAnsi="Arial" w:eastAsia="Arial"/>
                <w:b w:val="0"/>
                <w:i w:val="0"/>
                <w:sz w:val="18"/>
              </w:rPr>
              <w:t>3 000</w:t>
            </w:r>
          </w:p>
        </w:tc>
        <w:tc>
          <w:tcPr>
            <w:tcW w:type="dxa" w:w="1020"/>
          </w:tcPr>
          <w:p>
            <w:pPr>
              <w:keepNext/>
            </w:pPr>
            <w:r/>
            <w:r>
              <w:rPr>
                <w:rFonts w:ascii="Arial" w:hAnsi="Arial" w:eastAsia="Arial"/>
                <w:b w:val="0"/>
                <w:i w:val="0"/>
                <w:sz w:val="18"/>
              </w:rPr>
              <w:t>12 000</w:t>
            </w:r>
          </w:p>
        </w:tc>
        <w:tc>
          <w:tcPr>
            <w:tcW w:type="dxa" w:w="794"/>
          </w:tcPr>
          <w:p>
            <w:pPr>
              <w:keepNext/>
            </w:pPr>
            <w:r/>
            <w:r>
              <w:rPr>
                <w:rFonts w:ascii="Arial" w:hAnsi="Arial" w:eastAsia="Arial"/>
                <w:b w:val="0"/>
                <w:i w:val="0"/>
                <w:sz w:val="18"/>
              </w:rPr>
              <w:t>WP6</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Thresholds, dry run, hand-over and transfer to other coasts (Dissemination Plan)</w:t>
            </w:r>
          </w:p>
        </w:tc>
      </w:tr>
      <w:tr>
        <w:trPr>
          <w:cantSplit/>
        </w:trPr>
        <w:tc>
          <w:tcPr>
            <w:tcW w:type="dxa" w:w="2268"/>
          </w:tcPr>
          <w:p>
            <w:pPr>
              <w:keepNext/>
            </w:pPr>
            <w:r/>
            <w:r>
              <w:rPr>
                <w:rFonts w:ascii="Arial" w:hAnsi="Arial" w:eastAsia="Arial"/>
                <w:b w:val="0"/>
                <w:i w:val="0"/>
                <w:sz w:val="18"/>
              </w:rPr>
              <w:t>Conference presentations</w:t>
            </w:r>
          </w:p>
        </w:tc>
        <w:tc>
          <w:tcPr>
            <w:tcW w:type="dxa" w:w="567"/>
          </w:tcPr>
          <w:p>
            <w:pPr>
              <w:keepNext/>
            </w:pPr>
            <w:r/>
            <w:r>
              <w:rPr>
                <w:rFonts w:ascii="Arial" w:hAnsi="Arial" w:eastAsia="Arial"/>
                <w:b w:val="0"/>
                <w:i w:val="0"/>
                <w:sz w:val="18"/>
              </w:rPr>
              <w:t>8</w:t>
            </w:r>
          </w:p>
        </w:tc>
        <w:tc>
          <w:tcPr>
            <w:tcW w:type="dxa" w:w="850"/>
          </w:tcPr>
          <w:p>
            <w:pPr>
              <w:keepNext/>
            </w:pPr>
            <w:r/>
            <w:r>
              <w:rPr>
                <w:rFonts w:ascii="Arial" w:hAnsi="Arial" w:eastAsia="Arial"/>
                <w:b w:val="0"/>
                <w:i w:val="0"/>
                <w:sz w:val="18"/>
              </w:rPr>
              <w:t>1 800</w:t>
            </w:r>
          </w:p>
        </w:tc>
        <w:tc>
          <w:tcPr>
            <w:tcW w:type="dxa" w:w="1020"/>
          </w:tcPr>
          <w:p>
            <w:pPr>
              <w:keepNext/>
            </w:pPr>
            <w:r/>
            <w:r>
              <w:rPr>
                <w:rFonts w:ascii="Arial" w:hAnsi="Arial" w:eastAsia="Arial"/>
                <w:b w:val="0"/>
                <w:i w:val="0"/>
                <w:sz w:val="18"/>
              </w:rPr>
              <w:t>14 400</w:t>
            </w:r>
          </w:p>
        </w:tc>
        <w:tc>
          <w:tcPr>
            <w:tcW w:type="dxa" w:w="794"/>
          </w:tcPr>
          <w:p>
            <w:pPr>
              <w:keepNext/>
            </w:pPr>
            <w:r/>
            <w:r>
              <w:rPr>
                <w:rFonts w:ascii="Arial" w:hAnsi="Arial" w:eastAsia="Arial"/>
                <w:b w:val="0"/>
                <w:i w:val="0"/>
                <w:sz w:val="18"/>
              </w:rPr>
              <w:t>WP6</w:t>
            </w:r>
          </w:p>
        </w:tc>
        <w:tc>
          <w:tcPr>
            <w:tcW w:type="dxa" w:w="907"/>
          </w:tcPr>
          <w:p>
            <w:pPr>
              <w:keepNext/>
            </w:pPr>
            <w:r/>
            <w:r>
              <w:rPr>
                <w:rFonts w:ascii="Arial" w:hAnsi="Arial" w:eastAsia="Arial"/>
                <w:b w:val="0"/>
                <w:i w:val="0"/>
                <w:sz w:val="18"/>
              </w:rPr>
              <w:t>Both</w:t>
            </w:r>
          </w:p>
        </w:tc>
        <w:tc>
          <w:tcPr>
            <w:tcW w:type="dxa" w:w="3231"/>
          </w:tcPr>
          <w:p>
            <w:pPr>
              <w:keepNext/>
            </w:pPr>
            <w:r/>
            <w:r>
              <w:rPr>
                <w:rFonts w:ascii="Arial" w:hAnsi="Arial" w:eastAsia="Arial"/>
                <w:b w:val="0"/>
                <w:i w:val="0"/>
                <w:sz w:val="18"/>
              </w:rPr>
              <w:t>At least eight presentations of the results (Dissemination Plan)</w:t>
            </w:r>
          </w:p>
        </w:tc>
      </w:tr>
      <w:tr>
        <w:trPr>
          <w:cantSplit/>
        </w:trPr>
        <w:tc>
          <w:tcPr>
            <w:tcW w:type="dxa" w:w="2268"/>
            <w:shd w:val="clear" w:color="auto" w:fill="E8EDF5"/>
          </w:tcPr>
          <w:p>
            <w:r>
              <w:rPr>
                <w:b/>
              </w:rPr>
            </w:r>
            <w:r>
              <w:rPr>
                <w:rFonts w:ascii="Arial" w:hAnsi="Arial" w:eastAsia="Arial"/>
                <w:b/>
                <w:i w:val="0"/>
                <w:sz w:val="18"/>
              </w:rPr>
              <w:t>Subtotal</w:t>
            </w:r>
          </w:p>
        </w:tc>
        <w:tc>
          <w:tcPr>
            <w:tcW w:type="dxa" w:w="567"/>
            <w:shd w:val="clear" w:color="auto" w:fill="E8EDF5"/>
          </w:tcPr>
          <w:p>
            <w:r>
              <w:rPr>
                <w:b/>
              </w:rPr>
            </w:r>
          </w:p>
        </w:tc>
        <w:tc>
          <w:tcPr>
            <w:tcW w:type="dxa" w:w="850"/>
            <w:shd w:val="clear" w:color="auto" w:fill="E8EDF5"/>
          </w:tcPr>
          <w:p>
            <w:r>
              <w:rPr>
                <w:b/>
              </w:rPr>
            </w:r>
          </w:p>
        </w:tc>
        <w:tc>
          <w:tcPr>
            <w:tcW w:type="dxa" w:w="1020"/>
            <w:shd w:val="clear" w:color="auto" w:fill="E8EDF5"/>
          </w:tcPr>
          <w:p>
            <w:r>
              <w:rPr>
                <w:b/>
              </w:rPr>
            </w:r>
            <w:r>
              <w:rPr>
                <w:rFonts w:ascii="Arial" w:hAnsi="Arial" w:eastAsia="Arial"/>
                <w:b/>
                <w:i w:val="0"/>
                <w:sz w:val="18"/>
              </w:rPr>
              <w:t>89 000</w:t>
            </w:r>
          </w:p>
        </w:tc>
        <w:tc>
          <w:tcPr>
            <w:tcW w:type="dxa" w:w="794"/>
            <w:shd w:val="clear" w:color="auto" w:fill="E8EDF5"/>
          </w:tcPr>
          <w:p>
            <w:r>
              <w:rPr>
                <w:b/>
              </w:rPr>
            </w:r>
          </w:p>
        </w:tc>
        <w:tc>
          <w:tcPr>
            <w:tcW w:type="dxa" w:w="907"/>
            <w:shd w:val="clear" w:color="auto" w:fill="E8EDF5"/>
          </w:tcPr>
          <w:p>
            <w:r>
              <w:rPr>
                <w:b/>
              </w:rPr>
            </w:r>
          </w:p>
        </w:tc>
        <w:tc>
          <w:tcPr>
            <w:tcW w:type="dxa" w:w="3231"/>
            <w:shd w:val="clear" w:color="auto" w:fill="E8EDF5"/>
          </w:tcPr>
          <w:p>
            <w:r>
              <w:rPr>
                <w:b/>
              </w:rPr>
            </w:r>
          </w:p>
        </w:tc>
      </w:tr>
    </w:tbl>
    <w:p>
      <w:pPr>
        <w:keepNext/>
        <w:spacing w:after="120" w:before="120"/>
      </w:pPr>
      <w:r>
        <w:rPr>
          <w:rFonts w:ascii="Arial" w:hAnsi="Arial" w:eastAsia="Arial"/>
          <w:b/>
          <w:i w:val="0"/>
          <w:color w:val="2E6DB4"/>
          <w:sz w:val="23"/>
        </w:rPr>
        <w:t>Stipends  (€48 000)</w:t>
      </w:r>
    </w:p>
    <w:tbl>
      <w:tblPr>
        <w:tblStyle w:val="TableGrid"/>
        <w:tblW w:type="auto" w:w="0"/>
        <w:jc w:val="center"/>
        <w:tblLayout w:type="fixed"/>
        <w:tblLook w:firstColumn="1" w:firstRow="1" w:lastColumn="0" w:lastRow="0" w:noHBand="0" w:noVBand="1" w:val="04A0"/>
        <w:tblLayout w:type="fixed"/>
      </w:tblPr>
      <w:tblGrid>
        <w:gridCol w:w="2268"/>
        <w:gridCol w:w="567"/>
        <w:gridCol w:w="850"/>
        <w:gridCol w:w="1020"/>
        <w:gridCol w:w="794"/>
        <w:gridCol w:w="907"/>
        <w:gridCol w:w="3231"/>
      </w:tblGrid>
      <w:tr>
        <w:trPr>
          <w:cantSplit/>
          <w:tblHeader/>
        </w:trPr>
        <w:tc>
          <w:tcPr>
            <w:tcW w:type="dxa" w:w="2268"/>
            <w:shd w:val="clear" w:color="auto" w:fill="1F3864"/>
          </w:tcPr>
          <w:p>
            <w:pPr>
              <w:keepNext/>
            </w:pPr>
            <w:r/>
            <w:r>
              <w:rPr>
                <w:rFonts w:ascii="Arial" w:hAnsi="Arial" w:eastAsia="Arial"/>
                <w:b/>
                <w:i w:val="0"/>
                <w:color w:val="FFFFFF"/>
                <w:sz w:val="18"/>
              </w:rPr>
              <w:t>Item</w:t>
            </w:r>
          </w:p>
        </w:tc>
        <w:tc>
          <w:tcPr>
            <w:tcW w:type="dxa" w:w="567"/>
            <w:shd w:val="clear" w:color="auto" w:fill="1F3864"/>
          </w:tcPr>
          <w:p>
            <w:pPr>
              <w:keepNext/>
            </w:pPr>
            <w:r/>
            <w:r>
              <w:rPr>
                <w:rFonts w:ascii="Arial" w:hAnsi="Arial" w:eastAsia="Arial"/>
                <w:b/>
                <w:i w:val="0"/>
                <w:color w:val="FFFFFF"/>
                <w:sz w:val="18"/>
              </w:rPr>
              <w:t>Qty</w:t>
            </w:r>
          </w:p>
        </w:tc>
        <w:tc>
          <w:tcPr>
            <w:tcW w:type="dxa" w:w="850"/>
            <w:shd w:val="clear" w:color="auto" w:fill="1F3864"/>
          </w:tcPr>
          <w:p>
            <w:pPr>
              <w:keepNext/>
            </w:pPr>
            <w:r/>
            <w:r>
              <w:rPr>
                <w:rFonts w:ascii="Arial" w:hAnsi="Arial" w:eastAsia="Arial"/>
                <w:b/>
                <w:i w:val="0"/>
                <w:color w:val="FFFFFF"/>
                <w:sz w:val="18"/>
              </w:rPr>
              <w:t>Unit (€)</w:t>
            </w:r>
          </w:p>
        </w:tc>
        <w:tc>
          <w:tcPr>
            <w:tcW w:type="dxa" w:w="1020"/>
            <w:shd w:val="clear" w:color="auto" w:fill="1F3864"/>
          </w:tcPr>
          <w:p>
            <w:pPr>
              <w:keepNext/>
            </w:pPr>
            <w:r/>
            <w:r>
              <w:rPr>
                <w:rFonts w:ascii="Arial" w:hAnsi="Arial" w:eastAsia="Arial"/>
                <w:b/>
                <w:i w:val="0"/>
                <w:color w:val="FFFFFF"/>
                <w:sz w:val="18"/>
              </w:rPr>
              <w:t>Total (€)</w:t>
            </w:r>
          </w:p>
        </w:tc>
        <w:tc>
          <w:tcPr>
            <w:tcW w:type="dxa" w:w="794"/>
            <w:shd w:val="clear" w:color="auto" w:fill="1F3864"/>
          </w:tcPr>
          <w:p>
            <w:pPr>
              <w:keepNext/>
            </w:pPr>
            <w:r/>
            <w:r>
              <w:rPr>
                <w:rFonts w:ascii="Arial" w:hAnsi="Arial" w:eastAsia="Arial"/>
                <w:b/>
                <w:i w:val="0"/>
                <w:color w:val="FFFFFF"/>
                <w:sz w:val="18"/>
              </w:rPr>
              <w:t>WP</w:t>
            </w:r>
          </w:p>
        </w:tc>
        <w:tc>
          <w:tcPr>
            <w:tcW w:type="dxa" w:w="907"/>
            <w:shd w:val="clear" w:color="auto" w:fill="1F3864"/>
          </w:tcPr>
          <w:p>
            <w:pPr>
              <w:keepNext/>
            </w:pPr>
            <w:r/>
            <w:r>
              <w:rPr>
                <w:rFonts w:ascii="Arial" w:hAnsi="Arial" w:eastAsia="Arial"/>
                <w:b/>
                <w:i w:val="0"/>
                <w:color w:val="FFFFFF"/>
                <w:sz w:val="18"/>
              </w:rPr>
              <w:t>To</w:t>
            </w:r>
          </w:p>
        </w:tc>
        <w:tc>
          <w:tcPr>
            <w:tcW w:type="dxa" w:w="3231"/>
            <w:shd w:val="clear" w:color="auto" w:fill="1F3864"/>
          </w:tcPr>
          <w:p>
            <w:pPr>
              <w:keepNext/>
            </w:pPr>
            <w:r/>
            <w:r>
              <w:rPr>
                <w:rFonts w:ascii="Arial" w:hAnsi="Arial" w:eastAsia="Arial"/>
                <w:b/>
                <w:i w:val="0"/>
                <w:color w:val="FFFFFF"/>
                <w:sz w:val="18"/>
              </w:rPr>
              <w:t>Justification</w:t>
            </w:r>
          </w:p>
        </w:tc>
      </w:tr>
      <w:tr>
        <w:trPr>
          <w:cantSplit/>
        </w:trPr>
        <w:tc>
          <w:tcPr>
            <w:tcW w:type="dxa" w:w="2268"/>
          </w:tcPr>
          <w:p>
            <w:pPr>
              <w:keepNext/>
            </w:pPr>
            <w:r/>
            <w:r>
              <w:rPr>
                <w:rFonts w:ascii="Arial" w:hAnsi="Arial" w:eastAsia="Arial"/>
                <w:b w:val="0"/>
                <w:i w:val="0"/>
                <w:sz w:val="18"/>
              </w:rPr>
              <w:t>Stipends for young researchers without a PhD: 4 researchers × 30 months × €400</w:t>
            </w:r>
          </w:p>
        </w:tc>
        <w:tc>
          <w:tcPr>
            <w:tcW w:type="dxa" w:w="567"/>
          </w:tcPr>
          <w:p>
            <w:pPr>
              <w:keepNext/>
            </w:pPr>
            <w:r/>
            <w:r>
              <w:rPr>
                <w:rFonts w:ascii="Arial" w:hAnsi="Arial" w:eastAsia="Arial"/>
                <w:b w:val="0"/>
                <w:i w:val="0"/>
                <w:sz w:val="18"/>
              </w:rPr>
              <w:t>120</w:t>
            </w:r>
          </w:p>
        </w:tc>
        <w:tc>
          <w:tcPr>
            <w:tcW w:type="dxa" w:w="850"/>
          </w:tcPr>
          <w:p>
            <w:pPr>
              <w:keepNext/>
            </w:pPr>
            <w:r/>
            <w:r>
              <w:rPr>
                <w:rFonts w:ascii="Arial" w:hAnsi="Arial" w:eastAsia="Arial"/>
                <w:b w:val="0"/>
                <w:i w:val="0"/>
                <w:sz w:val="18"/>
              </w:rPr>
              <w:t>400</w:t>
            </w:r>
          </w:p>
        </w:tc>
        <w:tc>
          <w:tcPr>
            <w:tcW w:type="dxa" w:w="1020"/>
          </w:tcPr>
          <w:p>
            <w:pPr>
              <w:keepNext/>
            </w:pPr>
            <w:r/>
            <w:r>
              <w:rPr>
                <w:rFonts w:ascii="Arial" w:hAnsi="Arial" w:eastAsia="Arial"/>
                <w:b w:val="0"/>
                <w:i w:val="0"/>
                <w:sz w:val="18"/>
              </w:rPr>
              <w:t>48 000</w:t>
            </w:r>
          </w:p>
        </w:tc>
        <w:tc>
          <w:tcPr>
            <w:tcW w:type="dxa" w:w="794"/>
          </w:tcPr>
          <w:p>
            <w:pPr>
              <w:keepNext/>
            </w:pPr>
            <w:r/>
            <w:r>
              <w:rPr>
                <w:rFonts w:ascii="Arial" w:hAnsi="Arial" w:eastAsia="Arial"/>
                <w:b w:val="0"/>
                <w:i w:val="0"/>
                <w:sz w:val="18"/>
              </w:rPr>
              <w:t>WP1–WP5</w:t>
            </w:r>
          </w:p>
        </w:tc>
        <w:tc>
          <w:tcPr>
            <w:tcW w:type="dxa" w:w="907"/>
          </w:tcPr>
          <w:p>
            <w:pPr>
              <w:keepNext/>
            </w:pPr>
            <w:r/>
            <w:r>
              <w:rPr>
                <w:rFonts w:ascii="Arial" w:hAnsi="Arial" w:eastAsia="Arial"/>
                <w:b w:val="0"/>
                <w:i w:val="0"/>
                <w:sz w:val="18"/>
              </w:rPr>
              <w:t>Both</w:t>
            </w:r>
          </w:p>
        </w:tc>
        <w:tc>
          <w:tcPr>
            <w:tcW w:type="dxa" w:w="3231"/>
          </w:tcPr>
          <w:p>
            <w:pPr>
              <w:keepNext/>
            </w:pPr>
            <w:r/>
            <w:r>
              <w:rPr>
                <w:rFonts w:ascii="Arial" w:hAnsi="Arial" w:eastAsia="Arial"/>
                <w:b w:val="0"/>
                <w:i w:val="0"/>
                <w:sz w:val="18"/>
              </w:rPr>
              <w:t>Early-career researchers trained by doing the work of WP1–WP5; rate as stated by the SPS Programme</w:t>
            </w:r>
          </w:p>
        </w:tc>
      </w:tr>
      <w:tr>
        <w:trPr>
          <w:cantSplit/>
        </w:trPr>
        <w:tc>
          <w:tcPr>
            <w:tcW w:type="dxa" w:w="2268"/>
            <w:shd w:val="clear" w:color="auto" w:fill="E8EDF5"/>
          </w:tcPr>
          <w:p>
            <w:r>
              <w:rPr>
                <w:b/>
              </w:rPr>
            </w:r>
            <w:r>
              <w:rPr>
                <w:rFonts w:ascii="Arial" w:hAnsi="Arial" w:eastAsia="Arial"/>
                <w:b/>
                <w:i w:val="0"/>
                <w:sz w:val="18"/>
              </w:rPr>
              <w:t>Subtotal</w:t>
            </w:r>
          </w:p>
        </w:tc>
        <w:tc>
          <w:tcPr>
            <w:tcW w:type="dxa" w:w="567"/>
            <w:shd w:val="clear" w:color="auto" w:fill="E8EDF5"/>
          </w:tcPr>
          <w:p>
            <w:r>
              <w:rPr>
                <w:b/>
              </w:rPr>
            </w:r>
          </w:p>
        </w:tc>
        <w:tc>
          <w:tcPr>
            <w:tcW w:type="dxa" w:w="850"/>
            <w:shd w:val="clear" w:color="auto" w:fill="E8EDF5"/>
          </w:tcPr>
          <w:p>
            <w:r>
              <w:rPr>
                <w:b/>
              </w:rPr>
            </w:r>
          </w:p>
        </w:tc>
        <w:tc>
          <w:tcPr>
            <w:tcW w:type="dxa" w:w="1020"/>
            <w:shd w:val="clear" w:color="auto" w:fill="E8EDF5"/>
          </w:tcPr>
          <w:p>
            <w:r>
              <w:rPr>
                <w:b/>
              </w:rPr>
            </w:r>
            <w:r>
              <w:rPr>
                <w:rFonts w:ascii="Arial" w:hAnsi="Arial" w:eastAsia="Arial"/>
                <w:b/>
                <w:i w:val="0"/>
                <w:sz w:val="18"/>
              </w:rPr>
              <w:t>48 000</w:t>
            </w:r>
          </w:p>
        </w:tc>
        <w:tc>
          <w:tcPr>
            <w:tcW w:type="dxa" w:w="794"/>
            <w:shd w:val="clear" w:color="auto" w:fill="E8EDF5"/>
          </w:tcPr>
          <w:p>
            <w:r>
              <w:rPr>
                <w:b/>
              </w:rPr>
            </w:r>
          </w:p>
        </w:tc>
        <w:tc>
          <w:tcPr>
            <w:tcW w:type="dxa" w:w="907"/>
            <w:shd w:val="clear" w:color="auto" w:fill="E8EDF5"/>
          </w:tcPr>
          <w:p>
            <w:r>
              <w:rPr>
                <w:b/>
              </w:rPr>
            </w:r>
          </w:p>
        </w:tc>
        <w:tc>
          <w:tcPr>
            <w:tcW w:type="dxa" w:w="3231"/>
            <w:shd w:val="clear" w:color="auto" w:fill="E8EDF5"/>
          </w:tcPr>
          <w:p>
            <w:r>
              <w:rPr>
                <w:b/>
              </w:rPr>
            </w:r>
          </w:p>
        </w:tc>
      </w:tr>
    </w:tbl>
    <w:p>
      <w:pPr>
        <w:keepNext/>
        <w:spacing w:after="120" w:before="120"/>
      </w:pPr>
      <w:r>
        <w:rPr>
          <w:rFonts w:ascii="Arial" w:hAnsi="Arial" w:eastAsia="Arial"/>
          <w:b/>
          <w:i w:val="0"/>
          <w:color w:val="2E6DB4"/>
          <w:sz w:val="23"/>
        </w:rPr>
        <w:t>Dissemination  (€18 000)</w:t>
      </w:r>
    </w:p>
    <w:tbl>
      <w:tblPr>
        <w:tblStyle w:val="TableGrid"/>
        <w:tblW w:type="auto" w:w="0"/>
        <w:jc w:val="center"/>
        <w:tblLayout w:type="fixed"/>
        <w:tblLook w:firstColumn="1" w:firstRow="1" w:lastColumn="0" w:lastRow="0" w:noHBand="0" w:noVBand="1" w:val="04A0"/>
        <w:tblLayout w:type="fixed"/>
      </w:tblPr>
      <w:tblGrid>
        <w:gridCol w:w="2268"/>
        <w:gridCol w:w="567"/>
        <w:gridCol w:w="850"/>
        <w:gridCol w:w="1020"/>
        <w:gridCol w:w="794"/>
        <w:gridCol w:w="907"/>
        <w:gridCol w:w="3231"/>
      </w:tblGrid>
      <w:tr>
        <w:trPr>
          <w:cantSplit/>
          <w:tblHeader/>
        </w:trPr>
        <w:tc>
          <w:tcPr>
            <w:tcW w:type="dxa" w:w="2268"/>
            <w:shd w:val="clear" w:color="auto" w:fill="1F3864"/>
          </w:tcPr>
          <w:p>
            <w:pPr>
              <w:keepNext/>
            </w:pPr>
            <w:r/>
            <w:r>
              <w:rPr>
                <w:rFonts w:ascii="Arial" w:hAnsi="Arial" w:eastAsia="Arial"/>
                <w:b/>
                <w:i w:val="0"/>
                <w:color w:val="FFFFFF"/>
                <w:sz w:val="18"/>
              </w:rPr>
              <w:t>Item</w:t>
            </w:r>
          </w:p>
        </w:tc>
        <w:tc>
          <w:tcPr>
            <w:tcW w:type="dxa" w:w="567"/>
            <w:shd w:val="clear" w:color="auto" w:fill="1F3864"/>
          </w:tcPr>
          <w:p>
            <w:pPr>
              <w:keepNext/>
            </w:pPr>
            <w:r/>
            <w:r>
              <w:rPr>
                <w:rFonts w:ascii="Arial" w:hAnsi="Arial" w:eastAsia="Arial"/>
                <w:b/>
                <w:i w:val="0"/>
                <w:color w:val="FFFFFF"/>
                <w:sz w:val="18"/>
              </w:rPr>
              <w:t>Qty</w:t>
            </w:r>
          </w:p>
        </w:tc>
        <w:tc>
          <w:tcPr>
            <w:tcW w:type="dxa" w:w="850"/>
            <w:shd w:val="clear" w:color="auto" w:fill="1F3864"/>
          </w:tcPr>
          <w:p>
            <w:pPr>
              <w:keepNext/>
            </w:pPr>
            <w:r/>
            <w:r>
              <w:rPr>
                <w:rFonts w:ascii="Arial" w:hAnsi="Arial" w:eastAsia="Arial"/>
                <w:b/>
                <w:i w:val="0"/>
                <w:color w:val="FFFFFF"/>
                <w:sz w:val="18"/>
              </w:rPr>
              <w:t>Unit (€)</w:t>
            </w:r>
          </w:p>
        </w:tc>
        <w:tc>
          <w:tcPr>
            <w:tcW w:type="dxa" w:w="1020"/>
            <w:shd w:val="clear" w:color="auto" w:fill="1F3864"/>
          </w:tcPr>
          <w:p>
            <w:pPr>
              <w:keepNext/>
            </w:pPr>
            <w:r/>
            <w:r>
              <w:rPr>
                <w:rFonts w:ascii="Arial" w:hAnsi="Arial" w:eastAsia="Arial"/>
                <w:b/>
                <w:i w:val="0"/>
                <w:color w:val="FFFFFF"/>
                <w:sz w:val="18"/>
              </w:rPr>
              <w:t>Total (€)</w:t>
            </w:r>
          </w:p>
        </w:tc>
        <w:tc>
          <w:tcPr>
            <w:tcW w:type="dxa" w:w="794"/>
            <w:shd w:val="clear" w:color="auto" w:fill="1F3864"/>
          </w:tcPr>
          <w:p>
            <w:pPr>
              <w:keepNext/>
            </w:pPr>
            <w:r/>
            <w:r>
              <w:rPr>
                <w:rFonts w:ascii="Arial" w:hAnsi="Arial" w:eastAsia="Arial"/>
                <w:b/>
                <w:i w:val="0"/>
                <w:color w:val="FFFFFF"/>
                <w:sz w:val="18"/>
              </w:rPr>
              <w:t>WP</w:t>
            </w:r>
          </w:p>
        </w:tc>
        <w:tc>
          <w:tcPr>
            <w:tcW w:type="dxa" w:w="907"/>
            <w:shd w:val="clear" w:color="auto" w:fill="1F3864"/>
          </w:tcPr>
          <w:p>
            <w:pPr>
              <w:keepNext/>
            </w:pPr>
            <w:r/>
            <w:r>
              <w:rPr>
                <w:rFonts w:ascii="Arial" w:hAnsi="Arial" w:eastAsia="Arial"/>
                <w:b/>
                <w:i w:val="0"/>
                <w:color w:val="FFFFFF"/>
                <w:sz w:val="18"/>
              </w:rPr>
              <w:t>To</w:t>
            </w:r>
          </w:p>
        </w:tc>
        <w:tc>
          <w:tcPr>
            <w:tcW w:type="dxa" w:w="3231"/>
            <w:shd w:val="clear" w:color="auto" w:fill="1F3864"/>
          </w:tcPr>
          <w:p>
            <w:pPr>
              <w:keepNext/>
            </w:pPr>
            <w:r/>
            <w:r>
              <w:rPr>
                <w:rFonts w:ascii="Arial" w:hAnsi="Arial" w:eastAsia="Arial"/>
                <w:b/>
                <w:i w:val="0"/>
                <w:color w:val="FFFFFF"/>
                <w:sz w:val="18"/>
              </w:rPr>
              <w:t>Justification</w:t>
            </w:r>
          </w:p>
        </w:tc>
      </w:tr>
      <w:tr>
        <w:trPr>
          <w:cantSplit/>
        </w:trPr>
        <w:tc>
          <w:tcPr>
            <w:tcW w:type="dxa" w:w="2268"/>
          </w:tcPr>
          <w:p>
            <w:pPr>
              <w:keepNext/>
            </w:pPr>
            <w:r/>
            <w:r>
              <w:rPr>
                <w:rFonts w:ascii="Arial" w:hAnsi="Arial" w:eastAsia="Arial"/>
                <w:b w:val="0"/>
                <w:i w:val="0"/>
                <w:sz w:val="18"/>
              </w:rPr>
              <w:t>Open-access publication fees</w:t>
            </w:r>
          </w:p>
        </w:tc>
        <w:tc>
          <w:tcPr>
            <w:tcW w:type="dxa" w:w="567"/>
          </w:tcPr>
          <w:p>
            <w:pPr>
              <w:keepNext/>
            </w:pPr>
            <w:r/>
            <w:r>
              <w:rPr>
                <w:rFonts w:ascii="Arial" w:hAnsi="Arial" w:eastAsia="Arial"/>
                <w:b w:val="0"/>
                <w:i w:val="0"/>
                <w:sz w:val="18"/>
              </w:rPr>
              <w:t>6</w:t>
            </w:r>
          </w:p>
        </w:tc>
        <w:tc>
          <w:tcPr>
            <w:tcW w:type="dxa" w:w="850"/>
          </w:tcPr>
          <w:p>
            <w:pPr>
              <w:keepNext/>
            </w:pPr>
            <w:r/>
            <w:r>
              <w:rPr>
                <w:rFonts w:ascii="Arial" w:hAnsi="Arial" w:eastAsia="Arial"/>
                <w:b w:val="0"/>
                <w:i w:val="0"/>
                <w:sz w:val="18"/>
              </w:rPr>
              <w:t>2 000</w:t>
            </w:r>
          </w:p>
        </w:tc>
        <w:tc>
          <w:tcPr>
            <w:tcW w:type="dxa" w:w="1020"/>
          </w:tcPr>
          <w:p>
            <w:pPr>
              <w:keepNext/>
            </w:pPr>
            <w:r/>
            <w:r>
              <w:rPr>
                <w:rFonts w:ascii="Arial" w:hAnsi="Arial" w:eastAsia="Arial"/>
                <w:b w:val="0"/>
                <w:i w:val="0"/>
                <w:sz w:val="18"/>
              </w:rPr>
              <w:t>12 000</w:t>
            </w:r>
          </w:p>
        </w:tc>
        <w:tc>
          <w:tcPr>
            <w:tcW w:type="dxa" w:w="794"/>
          </w:tcPr>
          <w:p>
            <w:pPr>
              <w:keepNext/>
            </w:pPr>
            <w:r/>
            <w:r>
              <w:rPr>
                <w:rFonts w:ascii="Arial" w:hAnsi="Arial" w:eastAsia="Arial"/>
                <w:b w:val="0"/>
                <w:i w:val="0"/>
                <w:sz w:val="18"/>
              </w:rPr>
              <w:t>WP6</w:t>
            </w:r>
          </w:p>
        </w:tc>
        <w:tc>
          <w:tcPr>
            <w:tcW w:type="dxa" w:w="907"/>
          </w:tcPr>
          <w:p>
            <w:pPr>
              <w:keepNext/>
            </w:pPr>
            <w:r/>
            <w:r>
              <w:rPr>
                <w:rFonts w:ascii="Arial" w:hAnsi="Arial" w:eastAsia="Arial"/>
                <w:b w:val="0"/>
                <w:i w:val="0"/>
                <w:sz w:val="18"/>
              </w:rPr>
              <w:t>Both</w:t>
            </w:r>
          </w:p>
        </w:tc>
        <w:tc>
          <w:tcPr>
            <w:tcW w:type="dxa" w:w="3231"/>
          </w:tcPr>
          <w:p>
            <w:pPr>
              <w:keepNext/>
            </w:pPr>
            <w:r/>
            <w:r>
              <w:rPr>
                <w:rFonts w:ascii="Arial" w:hAnsi="Arial" w:eastAsia="Arial"/>
                <w:b w:val="0"/>
                <w:i w:val="0"/>
                <w:sz w:val="18"/>
              </w:rPr>
              <w:t>At least six open-access papers (Expected Results, Dissemination Plan)</w:t>
            </w:r>
          </w:p>
        </w:tc>
      </w:tr>
      <w:tr>
        <w:trPr>
          <w:cantSplit/>
        </w:trPr>
        <w:tc>
          <w:tcPr>
            <w:tcW w:type="dxa" w:w="2268"/>
          </w:tcPr>
          <w:p>
            <w:pPr>
              <w:keepNext/>
            </w:pPr>
            <w:r/>
            <w:r>
              <w:rPr>
                <w:rFonts w:ascii="Arial" w:hAnsi="Arial" w:eastAsia="Arial"/>
                <w:b w:val="0"/>
                <w:i w:val="0"/>
                <w:sz w:val="18"/>
              </w:rPr>
              <w:t>Website, translation and printing in Albanian and English</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5 000</w:t>
            </w:r>
          </w:p>
        </w:tc>
        <w:tc>
          <w:tcPr>
            <w:tcW w:type="dxa" w:w="1020"/>
          </w:tcPr>
          <w:p>
            <w:pPr>
              <w:keepNext/>
            </w:pPr>
            <w:r/>
            <w:r>
              <w:rPr>
                <w:rFonts w:ascii="Arial" w:hAnsi="Arial" w:eastAsia="Arial"/>
                <w:b w:val="0"/>
                <w:i w:val="0"/>
                <w:sz w:val="18"/>
              </w:rPr>
              <w:t>5 000</w:t>
            </w:r>
          </w:p>
        </w:tc>
        <w:tc>
          <w:tcPr>
            <w:tcW w:type="dxa" w:w="794"/>
          </w:tcPr>
          <w:p>
            <w:pPr>
              <w:keepNext/>
            </w:pPr>
            <w:r/>
            <w:r>
              <w:rPr>
                <w:rFonts w:ascii="Arial" w:hAnsi="Arial" w:eastAsia="Arial"/>
                <w:b w:val="0"/>
                <w:i w:val="0"/>
                <w:sz w:val="18"/>
              </w:rPr>
              <w:t>WP6</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Public summaries, policy brief and procedures</w:t>
            </w:r>
          </w:p>
        </w:tc>
      </w:tr>
      <w:tr>
        <w:trPr>
          <w:cantSplit/>
        </w:trPr>
        <w:tc>
          <w:tcPr>
            <w:tcW w:type="dxa" w:w="2268"/>
          </w:tcPr>
          <w:p>
            <w:pPr>
              <w:keepNext/>
            </w:pPr>
            <w:r/>
            <w:r>
              <w:rPr>
                <w:rFonts w:ascii="Arial" w:hAnsi="Arial" w:eastAsia="Arial"/>
                <w:b w:val="0"/>
                <w:i w:val="0"/>
                <w:sz w:val="18"/>
              </w:rPr>
              <w:t>Public and press events</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1 000</w:t>
            </w:r>
          </w:p>
        </w:tc>
        <w:tc>
          <w:tcPr>
            <w:tcW w:type="dxa" w:w="1020"/>
          </w:tcPr>
          <w:p>
            <w:pPr>
              <w:keepNext/>
            </w:pPr>
            <w:r/>
            <w:r>
              <w:rPr>
                <w:rFonts w:ascii="Arial" w:hAnsi="Arial" w:eastAsia="Arial"/>
                <w:b w:val="0"/>
                <w:i w:val="0"/>
                <w:sz w:val="18"/>
              </w:rPr>
              <w:t>1 000</w:t>
            </w:r>
          </w:p>
        </w:tc>
        <w:tc>
          <w:tcPr>
            <w:tcW w:type="dxa" w:w="794"/>
          </w:tcPr>
          <w:p>
            <w:pPr>
              <w:keepNext/>
            </w:pPr>
            <w:r/>
            <w:r>
              <w:rPr>
                <w:rFonts w:ascii="Arial" w:hAnsi="Arial" w:eastAsia="Arial"/>
                <w:b w:val="0"/>
                <w:i w:val="0"/>
                <w:sz w:val="18"/>
              </w:rPr>
              <w:t>WP6</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Kick-off, live start and final event</w:t>
            </w:r>
          </w:p>
        </w:tc>
      </w:tr>
      <w:tr>
        <w:trPr>
          <w:cantSplit/>
        </w:trPr>
        <w:tc>
          <w:tcPr>
            <w:tcW w:type="dxa" w:w="2268"/>
            <w:shd w:val="clear" w:color="auto" w:fill="E8EDF5"/>
          </w:tcPr>
          <w:p>
            <w:r>
              <w:rPr>
                <w:b/>
              </w:rPr>
            </w:r>
            <w:r>
              <w:rPr>
                <w:rFonts w:ascii="Arial" w:hAnsi="Arial" w:eastAsia="Arial"/>
                <w:b/>
                <w:i w:val="0"/>
                <w:sz w:val="18"/>
              </w:rPr>
              <w:t>Subtotal</w:t>
            </w:r>
          </w:p>
        </w:tc>
        <w:tc>
          <w:tcPr>
            <w:tcW w:type="dxa" w:w="567"/>
            <w:shd w:val="clear" w:color="auto" w:fill="E8EDF5"/>
          </w:tcPr>
          <w:p>
            <w:r>
              <w:rPr>
                <w:b/>
              </w:rPr>
            </w:r>
          </w:p>
        </w:tc>
        <w:tc>
          <w:tcPr>
            <w:tcW w:type="dxa" w:w="850"/>
            <w:shd w:val="clear" w:color="auto" w:fill="E8EDF5"/>
          </w:tcPr>
          <w:p>
            <w:r>
              <w:rPr>
                <w:b/>
              </w:rPr>
            </w:r>
          </w:p>
        </w:tc>
        <w:tc>
          <w:tcPr>
            <w:tcW w:type="dxa" w:w="1020"/>
            <w:shd w:val="clear" w:color="auto" w:fill="E8EDF5"/>
          </w:tcPr>
          <w:p>
            <w:r>
              <w:rPr>
                <w:b/>
              </w:rPr>
            </w:r>
            <w:r>
              <w:rPr>
                <w:rFonts w:ascii="Arial" w:hAnsi="Arial" w:eastAsia="Arial"/>
                <w:b/>
                <w:i w:val="0"/>
                <w:sz w:val="18"/>
              </w:rPr>
              <w:t>18 000</w:t>
            </w:r>
          </w:p>
        </w:tc>
        <w:tc>
          <w:tcPr>
            <w:tcW w:type="dxa" w:w="794"/>
            <w:shd w:val="clear" w:color="auto" w:fill="E8EDF5"/>
          </w:tcPr>
          <w:p>
            <w:r>
              <w:rPr>
                <w:b/>
              </w:rPr>
            </w:r>
          </w:p>
        </w:tc>
        <w:tc>
          <w:tcPr>
            <w:tcW w:type="dxa" w:w="907"/>
            <w:shd w:val="clear" w:color="auto" w:fill="E8EDF5"/>
          </w:tcPr>
          <w:p>
            <w:r>
              <w:rPr>
                <w:b/>
              </w:rPr>
            </w:r>
          </w:p>
        </w:tc>
        <w:tc>
          <w:tcPr>
            <w:tcW w:type="dxa" w:w="3231"/>
            <w:shd w:val="clear" w:color="auto" w:fill="E8EDF5"/>
          </w:tcPr>
          <w:p>
            <w:r>
              <w:rPr>
                <w:b/>
              </w:rPr>
            </w:r>
          </w:p>
        </w:tc>
      </w:tr>
    </w:tbl>
    <w:p>
      <w:pPr>
        <w:keepNext/>
        <w:spacing w:after="120" w:before="120"/>
      </w:pPr>
      <w:r>
        <w:rPr>
          <w:rFonts w:ascii="Arial" w:hAnsi="Arial" w:eastAsia="Arial"/>
          <w:b/>
          <w:i w:val="0"/>
          <w:color w:val="2E6DB4"/>
          <w:sz w:val="23"/>
        </w:rPr>
        <w:t>Other direct costs  (€7 000)</w:t>
      </w:r>
    </w:p>
    <w:tbl>
      <w:tblPr>
        <w:tblStyle w:val="TableGrid"/>
        <w:tblW w:type="auto" w:w="0"/>
        <w:jc w:val="center"/>
        <w:tblLayout w:type="fixed"/>
        <w:tblLook w:firstColumn="1" w:firstRow="1" w:lastColumn="0" w:lastRow="0" w:noHBand="0" w:noVBand="1" w:val="04A0"/>
        <w:tblLayout w:type="fixed"/>
      </w:tblPr>
      <w:tblGrid>
        <w:gridCol w:w="2268"/>
        <w:gridCol w:w="567"/>
        <w:gridCol w:w="850"/>
        <w:gridCol w:w="1020"/>
        <w:gridCol w:w="794"/>
        <w:gridCol w:w="907"/>
        <w:gridCol w:w="3231"/>
      </w:tblGrid>
      <w:tr>
        <w:trPr>
          <w:cantSplit/>
          <w:tblHeader/>
        </w:trPr>
        <w:tc>
          <w:tcPr>
            <w:tcW w:type="dxa" w:w="2268"/>
            <w:shd w:val="clear" w:color="auto" w:fill="1F3864"/>
          </w:tcPr>
          <w:p>
            <w:pPr>
              <w:keepNext/>
            </w:pPr>
            <w:r/>
            <w:r>
              <w:rPr>
                <w:rFonts w:ascii="Arial" w:hAnsi="Arial" w:eastAsia="Arial"/>
                <w:b/>
                <w:i w:val="0"/>
                <w:color w:val="FFFFFF"/>
                <w:sz w:val="18"/>
              </w:rPr>
              <w:t>Item</w:t>
            </w:r>
          </w:p>
        </w:tc>
        <w:tc>
          <w:tcPr>
            <w:tcW w:type="dxa" w:w="567"/>
            <w:shd w:val="clear" w:color="auto" w:fill="1F3864"/>
          </w:tcPr>
          <w:p>
            <w:pPr>
              <w:keepNext/>
            </w:pPr>
            <w:r/>
            <w:r>
              <w:rPr>
                <w:rFonts w:ascii="Arial" w:hAnsi="Arial" w:eastAsia="Arial"/>
                <w:b/>
                <w:i w:val="0"/>
                <w:color w:val="FFFFFF"/>
                <w:sz w:val="18"/>
              </w:rPr>
              <w:t>Qty</w:t>
            </w:r>
          </w:p>
        </w:tc>
        <w:tc>
          <w:tcPr>
            <w:tcW w:type="dxa" w:w="850"/>
            <w:shd w:val="clear" w:color="auto" w:fill="1F3864"/>
          </w:tcPr>
          <w:p>
            <w:pPr>
              <w:keepNext/>
            </w:pPr>
            <w:r/>
            <w:r>
              <w:rPr>
                <w:rFonts w:ascii="Arial" w:hAnsi="Arial" w:eastAsia="Arial"/>
                <w:b/>
                <w:i w:val="0"/>
                <w:color w:val="FFFFFF"/>
                <w:sz w:val="18"/>
              </w:rPr>
              <w:t>Unit (€)</w:t>
            </w:r>
          </w:p>
        </w:tc>
        <w:tc>
          <w:tcPr>
            <w:tcW w:type="dxa" w:w="1020"/>
            <w:shd w:val="clear" w:color="auto" w:fill="1F3864"/>
          </w:tcPr>
          <w:p>
            <w:pPr>
              <w:keepNext/>
            </w:pPr>
            <w:r/>
            <w:r>
              <w:rPr>
                <w:rFonts w:ascii="Arial" w:hAnsi="Arial" w:eastAsia="Arial"/>
                <w:b/>
                <w:i w:val="0"/>
                <w:color w:val="FFFFFF"/>
                <w:sz w:val="18"/>
              </w:rPr>
              <w:t>Total (€)</w:t>
            </w:r>
          </w:p>
        </w:tc>
        <w:tc>
          <w:tcPr>
            <w:tcW w:type="dxa" w:w="794"/>
            <w:shd w:val="clear" w:color="auto" w:fill="1F3864"/>
          </w:tcPr>
          <w:p>
            <w:pPr>
              <w:keepNext/>
            </w:pPr>
            <w:r/>
            <w:r>
              <w:rPr>
                <w:rFonts w:ascii="Arial" w:hAnsi="Arial" w:eastAsia="Arial"/>
                <w:b/>
                <w:i w:val="0"/>
                <w:color w:val="FFFFFF"/>
                <w:sz w:val="18"/>
              </w:rPr>
              <w:t>WP</w:t>
            </w:r>
          </w:p>
        </w:tc>
        <w:tc>
          <w:tcPr>
            <w:tcW w:type="dxa" w:w="907"/>
            <w:shd w:val="clear" w:color="auto" w:fill="1F3864"/>
          </w:tcPr>
          <w:p>
            <w:pPr>
              <w:keepNext/>
            </w:pPr>
            <w:r/>
            <w:r>
              <w:rPr>
                <w:rFonts w:ascii="Arial" w:hAnsi="Arial" w:eastAsia="Arial"/>
                <w:b/>
                <w:i w:val="0"/>
                <w:color w:val="FFFFFF"/>
                <w:sz w:val="18"/>
              </w:rPr>
              <w:t>To</w:t>
            </w:r>
          </w:p>
        </w:tc>
        <w:tc>
          <w:tcPr>
            <w:tcW w:type="dxa" w:w="3231"/>
            <w:shd w:val="clear" w:color="auto" w:fill="1F3864"/>
          </w:tcPr>
          <w:p>
            <w:pPr>
              <w:keepNext/>
            </w:pPr>
            <w:r/>
            <w:r>
              <w:rPr>
                <w:rFonts w:ascii="Arial" w:hAnsi="Arial" w:eastAsia="Arial"/>
                <w:b/>
                <w:i w:val="0"/>
                <w:color w:val="FFFFFF"/>
                <w:sz w:val="18"/>
              </w:rPr>
              <w:t>Justification</w:t>
            </w:r>
          </w:p>
        </w:tc>
      </w:tr>
      <w:tr>
        <w:trPr>
          <w:cantSplit/>
        </w:trPr>
        <w:tc>
          <w:tcPr>
            <w:tcW w:type="dxa" w:w="2268"/>
          </w:tcPr>
          <w:p>
            <w:pPr>
              <w:keepNext/>
            </w:pPr>
            <w:r/>
            <w:r>
              <w:rPr>
                <w:rFonts w:ascii="Arial" w:hAnsi="Arial" w:eastAsia="Arial"/>
                <w:b w:val="0"/>
                <w:i w:val="0"/>
                <w:sz w:val="18"/>
              </w:rPr>
              <w:t>Shipping and customs for equipment</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4 000</w:t>
            </w:r>
          </w:p>
        </w:tc>
        <w:tc>
          <w:tcPr>
            <w:tcW w:type="dxa" w:w="1020"/>
          </w:tcPr>
          <w:p>
            <w:pPr>
              <w:keepNext/>
            </w:pPr>
            <w:r/>
            <w:r>
              <w:rPr>
                <w:rFonts w:ascii="Arial" w:hAnsi="Arial" w:eastAsia="Arial"/>
                <w:b w:val="0"/>
                <w:i w:val="0"/>
                <w:sz w:val="18"/>
              </w:rPr>
              <w:t>4 000</w:t>
            </w:r>
          </w:p>
        </w:tc>
        <w:tc>
          <w:tcPr>
            <w:tcW w:type="dxa" w:w="794"/>
          </w:tcPr>
          <w:p>
            <w:pPr>
              <w:keepNext/>
            </w:pPr>
            <w:r/>
            <w:r>
              <w:rPr>
                <w:rFonts w:ascii="Arial" w:hAnsi="Arial" w:eastAsia="Arial"/>
                <w:b w:val="0"/>
                <w:i w:val="0"/>
                <w:sz w:val="18"/>
              </w:rPr>
              <w:t>WP4</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Delivery of sensors to the site</w:t>
            </w:r>
          </w:p>
        </w:tc>
      </w:tr>
      <w:tr>
        <w:trPr>
          <w:cantSplit/>
        </w:trPr>
        <w:tc>
          <w:tcPr>
            <w:tcW w:type="dxa" w:w="2268"/>
          </w:tcPr>
          <w:p>
            <w:pPr>
              <w:keepNext/>
            </w:pPr>
            <w:r/>
            <w:r>
              <w:rPr>
                <w:rFonts w:ascii="Arial" w:hAnsi="Arial" w:eastAsia="Arial"/>
                <w:b w:val="0"/>
                <w:i w:val="0"/>
                <w:sz w:val="18"/>
              </w:rPr>
              <w:t>Insurance of field equipment</w:t>
            </w:r>
          </w:p>
        </w:tc>
        <w:tc>
          <w:tcPr>
            <w:tcW w:type="dxa" w:w="567"/>
          </w:tcPr>
          <w:p>
            <w:pPr>
              <w:keepNext/>
            </w:pPr>
            <w:r/>
            <w:r>
              <w:rPr>
                <w:rFonts w:ascii="Arial" w:hAnsi="Arial" w:eastAsia="Arial"/>
                <w:b w:val="0"/>
                <w:i w:val="0"/>
                <w:sz w:val="18"/>
              </w:rPr>
              <w:t>3</w:t>
            </w:r>
          </w:p>
        </w:tc>
        <w:tc>
          <w:tcPr>
            <w:tcW w:type="dxa" w:w="850"/>
          </w:tcPr>
          <w:p>
            <w:pPr>
              <w:keepNext/>
            </w:pPr>
            <w:r/>
            <w:r>
              <w:rPr>
                <w:rFonts w:ascii="Arial" w:hAnsi="Arial" w:eastAsia="Arial"/>
                <w:b w:val="0"/>
                <w:i w:val="0"/>
                <w:sz w:val="18"/>
              </w:rPr>
              <w:t>1 000</w:t>
            </w:r>
          </w:p>
        </w:tc>
        <w:tc>
          <w:tcPr>
            <w:tcW w:type="dxa" w:w="1020"/>
          </w:tcPr>
          <w:p>
            <w:pPr>
              <w:keepNext/>
            </w:pPr>
            <w:r/>
            <w:r>
              <w:rPr>
                <w:rFonts w:ascii="Arial" w:hAnsi="Arial" w:eastAsia="Arial"/>
                <w:b w:val="0"/>
                <w:i w:val="0"/>
                <w:sz w:val="18"/>
              </w:rPr>
              <w:t>3 000</w:t>
            </w:r>
          </w:p>
        </w:tc>
        <w:tc>
          <w:tcPr>
            <w:tcW w:type="dxa" w:w="794"/>
          </w:tcPr>
          <w:p>
            <w:pPr>
              <w:keepNext/>
            </w:pPr>
            <w:r/>
            <w:r>
              <w:rPr>
                <w:rFonts w:ascii="Arial" w:hAnsi="Arial" w:eastAsia="Arial"/>
                <w:b w:val="0"/>
                <w:i w:val="0"/>
                <w:sz w:val="18"/>
              </w:rPr>
              <w:t>WP4</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One year of cover per year of operation</w:t>
            </w:r>
          </w:p>
        </w:tc>
      </w:tr>
      <w:tr>
        <w:trPr>
          <w:cantSplit/>
        </w:trPr>
        <w:tc>
          <w:tcPr>
            <w:tcW w:type="dxa" w:w="2268"/>
            <w:shd w:val="clear" w:color="auto" w:fill="E8EDF5"/>
          </w:tcPr>
          <w:p>
            <w:r>
              <w:rPr>
                <w:b/>
              </w:rPr>
            </w:r>
            <w:r>
              <w:rPr>
                <w:rFonts w:ascii="Arial" w:hAnsi="Arial" w:eastAsia="Arial"/>
                <w:b/>
                <w:i w:val="0"/>
                <w:sz w:val="18"/>
              </w:rPr>
              <w:t>Subtotal</w:t>
            </w:r>
          </w:p>
        </w:tc>
        <w:tc>
          <w:tcPr>
            <w:tcW w:type="dxa" w:w="567"/>
            <w:shd w:val="clear" w:color="auto" w:fill="E8EDF5"/>
          </w:tcPr>
          <w:p>
            <w:r>
              <w:rPr>
                <w:b/>
              </w:rPr>
            </w:r>
          </w:p>
        </w:tc>
        <w:tc>
          <w:tcPr>
            <w:tcW w:type="dxa" w:w="850"/>
            <w:shd w:val="clear" w:color="auto" w:fill="E8EDF5"/>
          </w:tcPr>
          <w:p>
            <w:r>
              <w:rPr>
                <w:b/>
              </w:rPr>
            </w:r>
          </w:p>
        </w:tc>
        <w:tc>
          <w:tcPr>
            <w:tcW w:type="dxa" w:w="1020"/>
            <w:shd w:val="clear" w:color="auto" w:fill="E8EDF5"/>
          </w:tcPr>
          <w:p>
            <w:r>
              <w:rPr>
                <w:b/>
              </w:rPr>
            </w:r>
            <w:r>
              <w:rPr>
                <w:rFonts w:ascii="Arial" w:hAnsi="Arial" w:eastAsia="Arial"/>
                <w:b/>
                <w:i w:val="0"/>
                <w:sz w:val="18"/>
              </w:rPr>
              <w:t>7 000</w:t>
            </w:r>
          </w:p>
        </w:tc>
        <w:tc>
          <w:tcPr>
            <w:tcW w:type="dxa" w:w="794"/>
            <w:shd w:val="clear" w:color="auto" w:fill="E8EDF5"/>
          </w:tcPr>
          <w:p>
            <w:r>
              <w:rPr>
                <w:b/>
              </w:rPr>
            </w:r>
          </w:p>
        </w:tc>
        <w:tc>
          <w:tcPr>
            <w:tcW w:type="dxa" w:w="907"/>
            <w:shd w:val="clear" w:color="auto" w:fill="E8EDF5"/>
          </w:tcPr>
          <w:p>
            <w:r>
              <w:rPr>
                <w:b/>
              </w:rPr>
            </w:r>
          </w:p>
        </w:tc>
        <w:tc>
          <w:tcPr>
            <w:tcW w:type="dxa" w:w="3231"/>
            <w:shd w:val="clear" w:color="auto" w:fill="E8EDF5"/>
          </w:tcPr>
          <w:p>
            <w:r>
              <w:rPr>
                <w:b/>
              </w:rPr>
            </w:r>
          </w:p>
        </w:tc>
      </w:tr>
    </w:tbl>
    <w:p>
      <w:pPr>
        <w:keepNext/>
        <w:spacing w:after="120" w:before="120"/>
      </w:pPr>
      <w:r>
        <w:rPr>
          <w:rFonts w:ascii="Arial" w:hAnsi="Arial" w:eastAsia="Arial"/>
          <w:b/>
          <w:i w:val="0"/>
          <w:color w:val="2E6DB4"/>
          <w:sz w:val="23"/>
        </w:rPr>
        <w:t>Management  (€15 000)</w:t>
      </w:r>
    </w:p>
    <w:tbl>
      <w:tblPr>
        <w:tblStyle w:val="TableGrid"/>
        <w:tblW w:type="auto" w:w="0"/>
        <w:jc w:val="center"/>
        <w:tblLayout w:type="fixed"/>
        <w:tblLook w:firstColumn="1" w:firstRow="1" w:lastColumn="0" w:lastRow="0" w:noHBand="0" w:noVBand="1" w:val="04A0"/>
        <w:tblLayout w:type="fixed"/>
      </w:tblPr>
      <w:tblGrid>
        <w:gridCol w:w="2268"/>
        <w:gridCol w:w="567"/>
        <w:gridCol w:w="850"/>
        <w:gridCol w:w="1020"/>
        <w:gridCol w:w="794"/>
        <w:gridCol w:w="907"/>
        <w:gridCol w:w="3231"/>
      </w:tblGrid>
      <w:tr>
        <w:trPr>
          <w:cantSplit/>
          <w:tblHeader/>
        </w:trPr>
        <w:tc>
          <w:tcPr>
            <w:tcW w:type="dxa" w:w="2268"/>
            <w:shd w:val="clear" w:color="auto" w:fill="1F3864"/>
          </w:tcPr>
          <w:p>
            <w:pPr>
              <w:keepNext/>
            </w:pPr>
            <w:r/>
            <w:r>
              <w:rPr>
                <w:rFonts w:ascii="Arial" w:hAnsi="Arial" w:eastAsia="Arial"/>
                <w:b/>
                <w:i w:val="0"/>
                <w:color w:val="FFFFFF"/>
                <w:sz w:val="18"/>
              </w:rPr>
              <w:t>Item</w:t>
            </w:r>
          </w:p>
        </w:tc>
        <w:tc>
          <w:tcPr>
            <w:tcW w:type="dxa" w:w="567"/>
            <w:shd w:val="clear" w:color="auto" w:fill="1F3864"/>
          </w:tcPr>
          <w:p>
            <w:pPr>
              <w:keepNext/>
            </w:pPr>
            <w:r/>
            <w:r>
              <w:rPr>
                <w:rFonts w:ascii="Arial" w:hAnsi="Arial" w:eastAsia="Arial"/>
                <w:b/>
                <w:i w:val="0"/>
                <w:color w:val="FFFFFF"/>
                <w:sz w:val="18"/>
              </w:rPr>
              <w:t>Qty</w:t>
            </w:r>
          </w:p>
        </w:tc>
        <w:tc>
          <w:tcPr>
            <w:tcW w:type="dxa" w:w="850"/>
            <w:shd w:val="clear" w:color="auto" w:fill="1F3864"/>
          </w:tcPr>
          <w:p>
            <w:pPr>
              <w:keepNext/>
            </w:pPr>
            <w:r/>
            <w:r>
              <w:rPr>
                <w:rFonts w:ascii="Arial" w:hAnsi="Arial" w:eastAsia="Arial"/>
                <w:b/>
                <w:i w:val="0"/>
                <w:color w:val="FFFFFF"/>
                <w:sz w:val="18"/>
              </w:rPr>
              <w:t>Unit (€)</w:t>
            </w:r>
          </w:p>
        </w:tc>
        <w:tc>
          <w:tcPr>
            <w:tcW w:type="dxa" w:w="1020"/>
            <w:shd w:val="clear" w:color="auto" w:fill="1F3864"/>
          </w:tcPr>
          <w:p>
            <w:pPr>
              <w:keepNext/>
            </w:pPr>
            <w:r/>
            <w:r>
              <w:rPr>
                <w:rFonts w:ascii="Arial" w:hAnsi="Arial" w:eastAsia="Arial"/>
                <w:b/>
                <w:i w:val="0"/>
                <w:color w:val="FFFFFF"/>
                <w:sz w:val="18"/>
              </w:rPr>
              <w:t>Total (€)</w:t>
            </w:r>
          </w:p>
        </w:tc>
        <w:tc>
          <w:tcPr>
            <w:tcW w:type="dxa" w:w="794"/>
            <w:shd w:val="clear" w:color="auto" w:fill="1F3864"/>
          </w:tcPr>
          <w:p>
            <w:pPr>
              <w:keepNext/>
            </w:pPr>
            <w:r/>
            <w:r>
              <w:rPr>
                <w:rFonts w:ascii="Arial" w:hAnsi="Arial" w:eastAsia="Arial"/>
                <w:b/>
                <w:i w:val="0"/>
                <w:color w:val="FFFFFF"/>
                <w:sz w:val="18"/>
              </w:rPr>
              <w:t>WP</w:t>
            </w:r>
          </w:p>
        </w:tc>
        <w:tc>
          <w:tcPr>
            <w:tcW w:type="dxa" w:w="907"/>
            <w:shd w:val="clear" w:color="auto" w:fill="1F3864"/>
          </w:tcPr>
          <w:p>
            <w:pPr>
              <w:keepNext/>
            </w:pPr>
            <w:r/>
            <w:r>
              <w:rPr>
                <w:rFonts w:ascii="Arial" w:hAnsi="Arial" w:eastAsia="Arial"/>
                <w:b/>
                <w:i w:val="0"/>
                <w:color w:val="FFFFFF"/>
                <w:sz w:val="18"/>
              </w:rPr>
              <w:t>To</w:t>
            </w:r>
          </w:p>
        </w:tc>
        <w:tc>
          <w:tcPr>
            <w:tcW w:type="dxa" w:w="3231"/>
            <w:shd w:val="clear" w:color="auto" w:fill="1F3864"/>
          </w:tcPr>
          <w:p>
            <w:pPr>
              <w:keepNext/>
            </w:pPr>
            <w:r/>
            <w:r>
              <w:rPr>
                <w:rFonts w:ascii="Arial" w:hAnsi="Arial" w:eastAsia="Arial"/>
                <w:b/>
                <w:i w:val="0"/>
                <w:color w:val="FFFFFF"/>
                <w:sz w:val="18"/>
              </w:rPr>
              <w:t>Justification</w:t>
            </w:r>
          </w:p>
        </w:tc>
      </w:tr>
      <w:tr>
        <w:trPr>
          <w:cantSplit/>
        </w:trPr>
        <w:tc>
          <w:tcPr>
            <w:tcW w:type="dxa" w:w="2268"/>
          </w:tcPr>
          <w:p>
            <w:pPr>
              <w:keepNext/>
            </w:pPr>
            <w:r/>
            <w:r>
              <w:rPr>
                <w:rFonts w:ascii="Arial" w:hAnsi="Arial" w:eastAsia="Arial"/>
                <w:b w:val="0"/>
                <w:i w:val="0"/>
                <w:sz w:val="18"/>
              </w:rPr>
              <w:t>Management allowance of the NATO-country Project Director</w:t>
            </w:r>
          </w:p>
        </w:tc>
        <w:tc>
          <w:tcPr>
            <w:tcW w:type="dxa" w:w="567"/>
          </w:tcPr>
          <w:p>
            <w:pPr>
              <w:keepNext/>
            </w:pPr>
            <w:r/>
            <w:r>
              <w:rPr>
                <w:rFonts w:ascii="Arial" w:hAnsi="Arial" w:eastAsia="Arial"/>
                <w:b w:val="0"/>
                <w:i w:val="0"/>
                <w:sz w:val="18"/>
              </w:rPr>
              <w:t>1</w:t>
            </w:r>
          </w:p>
        </w:tc>
        <w:tc>
          <w:tcPr>
            <w:tcW w:type="dxa" w:w="850"/>
          </w:tcPr>
          <w:p>
            <w:pPr>
              <w:keepNext/>
            </w:pPr>
            <w:r/>
            <w:r>
              <w:rPr>
                <w:rFonts w:ascii="Arial" w:hAnsi="Arial" w:eastAsia="Arial"/>
                <w:b w:val="0"/>
                <w:i w:val="0"/>
                <w:sz w:val="18"/>
              </w:rPr>
              <w:t>15 000</w:t>
            </w:r>
          </w:p>
        </w:tc>
        <w:tc>
          <w:tcPr>
            <w:tcW w:type="dxa" w:w="1020"/>
          </w:tcPr>
          <w:p>
            <w:pPr>
              <w:keepNext/>
            </w:pPr>
            <w:r/>
            <w:r>
              <w:rPr>
                <w:rFonts w:ascii="Arial" w:hAnsi="Arial" w:eastAsia="Arial"/>
                <w:b w:val="0"/>
                <w:i w:val="0"/>
                <w:sz w:val="18"/>
              </w:rPr>
              <w:t>15 000</w:t>
            </w:r>
          </w:p>
        </w:tc>
        <w:tc>
          <w:tcPr>
            <w:tcW w:type="dxa" w:w="794"/>
          </w:tcPr>
          <w:p>
            <w:pPr>
              <w:keepNext/>
            </w:pPr>
            <w:r/>
            <w:r>
              <w:rPr>
                <w:rFonts w:ascii="Arial" w:hAnsi="Arial" w:eastAsia="Arial"/>
                <w:b w:val="0"/>
                <w:i w:val="0"/>
                <w:sz w:val="18"/>
              </w:rPr>
              <w:t>WP7</w:t>
            </w:r>
          </w:p>
        </w:tc>
        <w:tc>
          <w:tcPr>
            <w:tcW w:type="dxa" w:w="907"/>
          </w:tcPr>
          <w:p>
            <w:pPr>
              <w:keepNext/>
            </w:pPr>
            <w:r/>
            <w:r>
              <w:rPr>
                <w:rFonts w:ascii="Arial" w:hAnsi="Arial" w:eastAsia="Arial"/>
                <w:b w:val="0"/>
                <w:i w:val="0"/>
                <w:sz w:val="18"/>
              </w:rPr>
              <w:t>NATO</w:t>
            </w:r>
          </w:p>
        </w:tc>
        <w:tc>
          <w:tcPr>
            <w:tcW w:type="dxa" w:w="3231"/>
          </w:tcPr>
          <w:p>
            <w:pPr>
              <w:keepNext/>
            </w:pPr>
            <w:r/>
            <w:r>
              <w:rPr>
                <w:rFonts w:ascii="Arial" w:hAnsi="Arial" w:eastAsia="Arial"/>
                <w:b w:val="0"/>
                <w:i w:val="0"/>
                <w:sz w:val="18"/>
              </w:rPr>
              <w:t>Coordination, reporting and financial records; about 4% of the total</w:t>
            </w:r>
          </w:p>
        </w:tc>
      </w:tr>
      <w:tr>
        <w:trPr>
          <w:cantSplit/>
        </w:trPr>
        <w:tc>
          <w:tcPr>
            <w:tcW w:type="dxa" w:w="2268"/>
            <w:shd w:val="clear" w:color="auto" w:fill="E8EDF5"/>
          </w:tcPr>
          <w:p>
            <w:r>
              <w:rPr>
                <w:b/>
              </w:rPr>
            </w:r>
            <w:r>
              <w:rPr>
                <w:rFonts w:ascii="Arial" w:hAnsi="Arial" w:eastAsia="Arial"/>
                <w:b/>
                <w:i w:val="0"/>
                <w:sz w:val="18"/>
              </w:rPr>
              <w:t>Subtotal</w:t>
            </w:r>
          </w:p>
        </w:tc>
        <w:tc>
          <w:tcPr>
            <w:tcW w:type="dxa" w:w="567"/>
            <w:shd w:val="clear" w:color="auto" w:fill="E8EDF5"/>
          </w:tcPr>
          <w:p>
            <w:r>
              <w:rPr>
                <w:b/>
              </w:rPr>
            </w:r>
          </w:p>
        </w:tc>
        <w:tc>
          <w:tcPr>
            <w:tcW w:type="dxa" w:w="850"/>
            <w:shd w:val="clear" w:color="auto" w:fill="E8EDF5"/>
          </w:tcPr>
          <w:p>
            <w:r>
              <w:rPr>
                <w:b/>
              </w:rPr>
            </w:r>
          </w:p>
        </w:tc>
        <w:tc>
          <w:tcPr>
            <w:tcW w:type="dxa" w:w="1020"/>
            <w:shd w:val="clear" w:color="auto" w:fill="E8EDF5"/>
          </w:tcPr>
          <w:p>
            <w:r>
              <w:rPr>
                <w:b/>
              </w:rPr>
            </w:r>
            <w:r>
              <w:rPr>
                <w:rFonts w:ascii="Arial" w:hAnsi="Arial" w:eastAsia="Arial"/>
                <w:b/>
                <w:i w:val="0"/>
                <w:sz w:val="18"/>
              </w:rPr>
              <w:t>15 000</w:t>
            </w:r>
          </w:p>
        </w:tc>
        <w:tc>
          <w:tcPr>
            <w:tcW w:type="dxa" w:w="794"/>
            <w:shd w:val="clear" w:color="auto" w:fill="E8EDF5"/>
          </w:tcPr>
          <w:p>
            <w:r>
              <w:rPr>
                <w:b/>
              </w:rPr>
            </w:r>
          </w:p>
        </w:tc>
        <w:tc>
          <w:tcPr>
            <w:tcW w:type="dxa" w:w="907"/>
            <w:shd w:val="clear" w:color="auto" w:fill="E8EDF5"/>
          </w:tcPr>
          <w:p>
            <w:r>
              <w:rPr>
                <w:b/>
              </w:rPr>
            </w:r>
          </w:p>
        </w:tc>
        <w:tc>
          <w:tcPr>
            <w:tcW w:type="dxa" w:w="3231"/>
            <w:shd w:val="clear" w:color="auto" w:fill="E8EDF5"/>
          </w:tcPr>
          <w:p>
            <w:r>
              <w:rPr>
                <w:b/>
              </w:rPr>
            </w:r>
          </w:p>
        </w:tc>
      </w:tr>
    </w:tbl>
    <w:p>
      <w:pPr>
        <w:keepNext/>
        <w:spacing w:after="120" w:before="200"/>
      </w:pPr>
      <w:r>
        <w:rPr>
          <w:rFonts w:ascii="Arial" w:hAnsi="Arial" w:eastAsia="Arial"/>
          <w:b/>
          <w:i w:val="0"/>
          <w:color w:val="1F3864"/>
          <w:sz w:val="27"/>
        </w:rPr>
        <w:t>6. In-kind contributions (not requested from SPS)</w:t>
      </w:r>
    </w:p>
    <w:p>
      <w:pPr>
        <w:spacing w:after="60" w:before="0"/>
        <w:ind w:left="283"/>
      </w:pPr>
      <w:r>
        <w:rPr>
          <w:rFonts w:ascii="Arial" w:hAnsi="Arial" w:eastAsia="Arial"/>
          <w:b/>
          <w:i w:val="0"/>
          <w:sz w:val="22"/>
        </w:rPr>
        <w:t xml:space="preserve">• </w:t>
      </w:r>
      <w:r>
        <w:rPr>
          <w:rFonts w:ascii="Arial" w:hAnsi="Arial" w:eastAsia="Arial"/>
          <w:b/>
          <w:i w:val="0"/>
          <w:sz w:val="22"/>
        </w:rPr>
        <w:t>Salaries</w:t>
      </w:r>
      <w:r>
        <w:rPr>
          <w:rFonts w:ascii="Arial" w:hAnsi="Arial" w:eastAsia="Arial"/>
          <w:b w:val="0"/>
          <w:i w:val="0"/>
          <w:sz w:val="22"/>
        </w:rPr>
        <w:t xml:space="preserve"> of all researchers and project directors, paid by their institutions (not eligible for SPS funding).</w:t>
      </w:r>
    </w:p>
    <w:p>
      <w:pPr>
        <w:spacing w:after="60" w:before="0"/>
        <w:ind w:left="283"/>
      </w:pPr>
      <w:r>
        <w:rPr>
          <w:rFonts w:ascii="Arial" w:hAnsi="Arial" w:eastAsia="Arial"/>
          <w:b/>
          <w:i w:val="0"/>
          <w:sz w:val="22"/>
        </w:rPr>
        <w:t xml:space="preserve">• </w:t>
      </w:r>
      <w:r>
        <w:rPr>
          <w:rFonts w:ascii="Arial" w:hAnsi="Arial" w:eastAsia="Arial"/>
          <w:b/>
          <w:i w:val="0"/>
          <w:sz w:val="22"/>
        </w:rPr>
        <w:t>Operators:</w:t>
      </w:r>
      <w:r>
        <w:rPr>
          <w:rFonts w:ascii="Arial" w:hAnsi="Arial" w:eastAsia="Arial"/>
          <w:b w:val="0"/>
          <w:i w:val="0"/>
          <w:sz w:val="22"/>
        </w:rPr>
        <w:t xml:space="preserve"> access to wells, port and landfall, existing wells and records, staff time for workshops and training.</w:t>
      </w:r>
    </w:p>
    <w:p>
      <w:pPr>
        <w:spacing w:after="60" w:before="0"/>
        <w:ind w:left="283"/>
      </w:pPr>
      <w:r>
        <w:rPr>
          <w:rFonts w:ascii="Arial" w:hAnsi="Arial" w:eastAsia="Arial"/>
          <w:b/>
          <w:i w:val="0"/>
          <w:sz w:val="22"/>
        </w:rPr>
        <w:t xml:space="preserve">• </w:t>
      </w:r>
      <w:r>
        <w:rPr>
          <w:rFonts w:ascii="Arial" w:hAnsi="Arial" w:eastAsia="Arial"/>
          <w:b/>
          <w:i w:val="0"/>
          <w:sz w:val="22"/>
        </w:rPr>
        <w:t>Free data:</w:t>
      </w:r>
      <w:r>
        <w:rPr>
          <w:rFonts w:ascii="Arial" w:hAnsi="Arial" w:eastAsia="Arial"/>
          <w:b w:val="0"/>
          <w:i w:val="0"/>
          <w:sz w:val="22"/>
        </w:rPr>
        <w:t xml:space="preserve"> Copernicus Sentinel-1 radar images, tide-gauge records and existing seismic stations.</w:t>
      </w:r>
    </w:p>
    <w:p>
      <w:pPr>
        <w:spacing w:after="60" w:before="0"/>
        <w:ind w:left="283"/>
      </w:pPr>
      <w:r>
        <w:rPr>
          <w:rFonts w:ascii="Arial" w:hAnsi="Arial" w:eastAsia="Arial"/>
          <w:b/>
          <w:i w:val="0"/>
          <w:sz w:val="22"/>
        </w:rPr>
        <w:t xml:space="preserve">• </w:t>
      </w:r>
      <w:r>
        <w:rPr>
          <w:rFonts w:ascii="Arial" w:hAnsi="Arial" w:eastAsia="Arial"/>
          <w:b/>
          <w:i w:val="0"/>
          <w:sz w:val="22"/>
        </w:rPr>
        <w:t>Facilities:</w:t>
      </w:r>
      <w:r>
        <w:rPr>
          <w:rFonts w:ascii="Arial" w:hAnsi="Arial" w:eastAsia="Arial"/>
          <w:b w:val="0"/>
          <w:i w:val="0"/>
          <w:sz w:val="22"/>
        </w:rPr>
        <w:t xml:space="preserve"> offices, laboratories and existing field equipment of the partner institutions.</w:t>
      </w:r>
    </w:p>
    <w:p>
      <w:pPr>
        <w:keepNext/>
        <w:spacing w:after="120" w:before="160"/>
      </w:pPr>
      <w:r>
        <w:rPr>
          <w:rFonts w:ascii="Arial" w:hAnsi="Arial" w:eastAsia="Arial"/>
          <w:b/>
          <w:i w:val="0"/>
          <w:color w:val="1F3864"/>
          <w:sz w:val="27"/>
        </w:rPr>
        <w:t>7. Budget control</w:t>
      </w:r>
    </w:p>
    <w:p>
      <w:pPr>
        <w:spacing w:after="60" w:before="0"/>
        <w:ind w:left="283"/>
      </w:pPr>
      <w:r>
        <w:rPr>
          <w:rFonts w:ascii="Arial" w:hAnsi="Arial" w:eastAsia="Arial"/>
          <w:b/>
          <w:i w:val="0"/>
          <w:sz w:val="22"/>
        </w:rPr>
        <w:t xml:space="preserve">• </w:t>
      </w:r>
      <w:r>
        <w:rPr>
          <w:rFonts w:ascii="Arial" w:hAnsi="Arial" w:eastAsia="Arial"/>
          <w:b/>
          <w:i w:val="0"/>
          <w:sz w:val="22"/>
        </w:rPr>
        <w:t>Spending follows the network ranking.</w:t>
      </w:r>
      <w:r>
        <w:rPr>
          <w:rFonts w:ascii="Arial" w:hAnsi="Arial" w:eastAsia="Arial"/>
          <w:b w:val="0"/>
          <w:i w:val="0"/>
          <w:sz w:val="22"/>
        </w:rPr>
        <w:t xml:space="preserve"> Sensors are bought in the order of their value for the warnings per euro (D4.1); if prices rise, the lowest-value sensors are dropped first (R19).</w:t>
      </w:r>
    </w:p>
    <w:p>
      <w:pPr>
        <w:spacing w:after="60" w:before="0"/>
        <w:ind w:left="283"/>
      </w:pPr>
      <w:r>
        <w:rPr>
          <w:rFonts w:ascii="Arial" w:hAnsi="Arial" w:eastAsia="Arial"/>
          <w:b/>
          <w:i w:val="0"/>
          <w:sz w:val="22"/>
        </w:rPr>
        <w:t xml:space="preserve">• </w:t>
      </w:r>
      <w:r>
        <w:rPr>
          <w:rFonts w:ascii="Arial" w:hAnsi="Arial" w:eastAsia="Arial"/>
          <w:b/>
          <w:i w:val="0"/>
          <w:sz w:val="22"/>
        </w:rPr>
        <w:t>One conditional line.</w:t>
      </w:r>
      <w:r>
        <w:rPr>
          <w:rFonts w:ascii="Arial" w:hAnsi="Arial" w:eastAsia="Arial"/>
          <w:b w:val="0"/>
          <w:i w:val="0"/>
          <w:sz w:val="22"/>
        </w:rPr>
        <w:t xml:space="preserve"> The fibre-optic campaign (€15,000) is released only if fibre access is agreed by Month 9; otherwise it moves to seismic nodes (R9).</w:t>
      </w:r>
    </w:p>
    <w:p>
      <w:pPr>
        <w:spacing w:after="60" w:before="0"/>
        <w:ind w:left="283"/>
      </w:pPr>
      <w:r>
        <w:rPr>
          <w:rFonts w:ascii="Arial" w:hAnsi="Arial" w:eastAsia="Arial"/>
          <w:b/>
          <w:i w:val="0"/>
          <w:sz w:val="22"/>
        </w:rPr>
        <w:t xml:space="preserve">• </w:t>
      </w:r>
      <w:r>
        <w:rPr>
          <w:rFonts w:ascii="Arial" w:hAnsi="Arial" w:eastAsia="Arial"/>
          <w:b/>
          <w:i w:val="0"/>
          <w:sz w:val="22"/>
        </w:rPr>
        <w:t>Front-loaded equipment.</w:t>
      </w:r>
      <w:r>
        <w:rPr>
          <w:rFonts w:ascii="Arial" w:hAnsi="Arial" w:eastAsia="Arial"/>
          <w:b w:val="0"/>
          <w:i w:val="0"/>
          <w:sz w:val="22"/>
        </w:rPr>
        <w:t xml:space="preserve"> Most equipment is bought in Year 1 so the network streams by Month 12 (MS2).</w:t>
      </w:r>
    </w:p>
    <w:p>
      <w:pPr>
        <w:spacing w:after="60" w:before="0"/>
        <w:ind w:left="283"/>
      </w:pPr>
      <w:r>
        <w:rPr>
          <w:rFonts w:ascii="Arial" w:hAnsi="Arial" w:eastAsia="Arial"/>
          <w:b/>
          <w:i w:val="0"/>
          <w:sz w:val="22"/>
        </w:rPr>
        <w:t xml:space="preserve">• </w:t>
      </w:r>
      <w:r>
        <w:rPr>
          <w:rFonts w:ascii="Arial" w:hAnsi="Arial" w:eastAsia="Arial"/>
          <w:b/>
          <w:i w:val="0"/>
          <w:sz w:val="22"/>
        </w:rPr>
        <w:t>Reporting.</w:t>
      </w:r>
      <w:r>
        <w:rPr>
          <w:rFonts w:ascii="Arial" w:hAnsi="Arial" w:eastAsia="Arial"/>
          <w:b w:val="0"/>
          <w:i w:val="0"/>
          <w:sz w:val="22"/>
        </w:rPr>
        <w:t xml:space="preserve"> Spending against this plan is reported with each progress report; changes between categories follow the SPS rules.</w:t>
      </w:r>
    </w:p>
    <w:p>
      <w:pPr>
        <w:keepNext/>
        <w:spacing w:after="120" w:before="160"/>
      </w:pPr>
      <w:r>
        <w:rPr>
          <w:rFonts w:ascii="Arial" w:hAnsi="Arial" w:eastAsia="Arial"/>
          <w:b/>
          <w:i w:val="0"/>
          <w:color w:val="1F3864"/>
          <w:sz w:val="27"/>
        </w:rPr>
        <w:t>8. What is new in this budget</w:t>
      </w:r>
    </w:p>
    <w:p>
      <w:pPr>
        <w:spacing w:after="60" w:before="0"/>
        <w:ind w:left="283"/>
      </w:pPr>
      <w:r>
        <w:rPr>
          <w:rFonts w:ascii="Arial" w:hAnsi="Arial" w:eastAsia="Arial"/>
          <w:b/>
          <w:i w:val="0"/>
          <w:sz w:val="22"/>
        </w:rPr>
        <w:t xml:space="preserve">• </w:t>
      </w:r>
      <w:r>
        <w:rPr>
          <w:rFonts w:ascii="Arial" w:hAnsi="Arial" w:eastAsia="Arial"/>
          <w:b/>
          <w:i w:val="0"/>
          <w:sz w:val="22"/>
        </w:rPr>
        <w:t>The budget is a design variable.</w:t>
      </w:r>
      <w:r>
        <w:rPr>
          <w:rFonts w:ascii="Arial" w:hAnsi="Arial" w:eastAsia="Arial"/>
          <w:b w:val="0"/>
          <w:i w:val="0"/>
          <w:sz w:val="22"/>
        </w:rPr>
        <w:t xml:space="preserve"> Each sensor line is funded in the order of its value for the warnings per euro, computed by the goal-oriented network design (Methodology, Section 6), so the budget buys the largest reduction of alarm margins it can.</w:t>
      </w:r>
    </w:p>
    <w:p>
      <w:pPr>
        <w:spacing w:after="60" w:before="0"/>
        <w:ind w:left="283"/>
      </w:pPr>
      <w:r>
        <w:rPr>
          <w:rFonts w:ascii="Arial" w:hAnsi="Arial" w:eastAsia="Arial"/>
          <w:b/>
          <w:i w:val="0"/>
          <w:sz w:val="22"/>
        </w:rPr>
        <w:t xml:space="preserve">• </w:t>
      </w:r>
      <w:r>
        <w:rPr>
          <w:rFonts w:ascii="Arial" w:hAnsi="Arial" w:eastAsia="Arial"/>
          <w:b/>
          <w:i w:val="0"/>
          <w:sz w:val="22"/>
        </w:rPr>
        <w:t>A budget cut has a known effect.</w:t>
      </w:r>
      <w:r>
        <w:rPr>
          <w:rFonts w:ascii="Arial" w:hAnsi="Arial" w:eastAsia="Arial"/>
          <w:b w:val="0"/>
          <w:i w:val="0"/>
          <w:sz w:val="22"/>
        </w:rPr>
        <w:t xml:space="preserve"> Because sensors are ranked, removing the last lines removes the least valuable sensors, and the effect on the miss and false-alarm rates can be stated before the cut.</w:t>
      </w:r>
    </w:p>
    <w:p>
      <w:pPr>
        <w:spacing w:after="60" w:before="0"/>
        <w:ind w:left="283"/>
      </w:pPr>
      <w:r>
        <w:rPr>
          <w:rFonts w:ascii="Arial" w:hAnsi="Arial" w:eastAsia="Arial"/>
          <w:b/>
          <w:i w:val="0"/>
          <w:sz w:val="22"/>
        </w:rPr>
        <w:t xml:space="preserve">• </w:t>
      </w:r>
      <w:r>
        <w:rPr>
          <w:rFonts w:ascii="Arial" w:hAnsi="Arial" w:eastAsia="Arial"/>
          <w:b/>
          <w:i w:val="0"/>
          <w:sz w:val="22"/>
        </w:rPr>
        <w:t>Money is released on evidence.</w:t>
      </w:r>
      <w:r>
        <w:rPr>
          <w:rFonts w:ascii="Arial" w:hAnsi="Arial" w:eastAsia="Arial"/>
          <w:b w:val="0"/>
          <w:i w:val="0"/>
          <w:sz w:val="22"/>
        </w:rPr>
        <w:t xml:space="preserve"> The costly fibre campaign is conditional on access by Month 9, and live operation starts only after the go/no-go milestone (MS4), so funds are not committed to work that cannot happen.</w:t>
      </w:r>
    </w:p>
    <w:p>
      <w:pPr>
        <w:spacing w:after="60" w:before="0"/>
        <w:ind w:left="283"/>
      </w:pPr>
      <w:r>
        <w:rPr>
          <w:rFonts w:ascii="Arial" w:hAnsi="Arial" w:eastAsia="Arial"/>
          <w:b/>
          <w:i w:val="0"/>
          <w:sz w:val="22"/>
        </w:rPr>
        <w:t xml:space="preserve">• </w:t>
      </w:r>
      <w:r>
        <w:rPr>
          <w:rFonts w:ascii="Arial" w:hAnsi="Arial" w:eastAsia="Arial"/>
          <w:b/>
          <w:i w:val="0"/>
          <w:sz w:val="22"/>
        </w:rPr>
        <w:t>What is bought stays.</w:t>
      </w:r>
      <w:r>
        <w:rPr>
          <w:rFonts w:ascii="Arial" w:hAnsi="Arial" w:eastAsia="Arial"/>
          <w:b w:val="0"/>
          <w:i w:val="0"/>
          <w:sz w:val="22"/>
        </w:rPr>
        <w:t xml:space="preserve"> The network, servers and software are handed over to the operators, so the equipment budget becomes a lasting national capability rather than project hardware.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o.int/content/dam/nato/webready/documents/sps/grants/2023/SPS_MYP_Handbook.pdf" TargetMode="External"/><Relationship Id="rId10" Type="http://schemas.openxmlformats.org/officeDocument/2006/relationships/hyperlink" Target="https://nato.int/content/dam/nato/webready/documents/sps/grants/2020/2020-sps-myp-handbook.pdf" TargetMode="External"/><Relationship Id="rId11" Type="http://schemas.openxmlformats.org/officeDocument/2006/relationships/hyperlink" Target="https://nato.int/content/dam/nato/webready/documents/sps/grants/2017/1705_SPS_MYP_Handbook.pdf" TargetMode="External"/><Relationship Id="rId12" Type="http://schemas.openxmlformats.org/officeDocument/2006/relationships/hyperlink" Target="https://www.ftmc.lt/uploads/images/pages/projektai/SPS%20Presentation%20-%20KoM%20-%20Richard%20Brewin.pdf" TargetMode="External"/><Relationship Id="rId13" Type="http://schemas.openxmlformats.org/officeDocument/2006/relationships/hyperlink" Target="https://www.nato.int/en/about-us/organization/nato-structure/science-for-peace-and-security-hub/grant-mechanisms" TargetMode="External"/><Relationship Id="rId14" Type="http://schemas.openxmlformats.org/officeDocument/2006/relationships/hyperlink" Target="https://www.nato.int/cps/en/natohq/88198.htm" TargetMode="Externa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