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NOTE  ·  TWENTY CHLORIDE PAPERS AND ANCHOR REGRESSION  ·  OCTOBER 2026</w:t>
      </w:r>
    </w:p>
    <w:p>
      <w:pPr>
        <w:spacing w:after="140"/>
      </w:pPr>
      <w:r>
        <w:rPr>
          <w:rFonts w:ascii="Calibri" w:cs="Calibri" w:eastAsia="Calibri" w:hAnsi="Calibri"/>
          <w:b/>
          <w:bCs/>
          <w:color w:val="1F3864"/>
          <w:sz w:val="38"/>
          <w:szCs w:val="38"/>
        </w:rPr>
        <w:t xml:space="preserve">What the twenty chloride papers and anchor regression give the Fushë-Kuqe work: checks, extractions and a chloride alarm that survives the decision</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Reads the twenty-paper note of 19 October 2026 and the anchor-regression paper for the chloride manuscript and the assembled-system note, checks the three proposals of the twenty-paper note, and adds the innovation SPIRANCA-GO (spiranca: the anchor).</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This note reads two documents for the Fushë-Kuqe chloride work: the note of 19 October 2026 on twenty papers from Oxford, ETH Zürich, Berkeley, Harvard and Princeton, with its three proposals N1–N3, and the anchor-regression paper of Rothenhäusler, Meinshausen, Bühlmann and Peters (2021). The twenty-paper note is sound. The proofs of N1–N3 hold and so do numerical checks, with two refinements: the slope of N1 cannot tell a target outside the model's reach from one inside it at the effective sample sizes available (a true 4 is fitted as 3.5), while its intercept is accurate; and the analytic upper bound of N3 is 5–20 times looser than the information it bounds. Applied to the safe yields of the assembled-system note, the certified threshold of N2 costs 11.6% of the value with 25 draws and cannot be issued at δ = 5%. The innovation, SPIRANCA-GO, turns anchor regression into a chloride alarm that stays valid after the pumping decision. The recorded pumping and rainfall are the anchors; the decision is a known shift outside the record, which is corrected; a warming that the rain gauge does not see is an unknown one-sided shift in the span of the anchors, which is certified; and the goal is the exceedance of 250 mg/L, not a mean-square error. On 100 aquifers drawn from the prior of the chloride study, heads-only proxies over-predict in 91% of the future seasons, least squares on heads and anchors in 36% under the worst warming, and SPIRANCA-GO in 2.4%, against the 10% allowed, with a margin 32% smaller than the same certificate added to least squares. Choosing the three piezometers by the certified margin picks the inland well A13 in 94 of the 100 aquifers and cuts the margin by 26% against the design of largest record R².</w:t>
      </w:r>
    </w:p>
    <w:p>
      <w:pPr>
        <w:spacing w:after="100"/>
      </w:pPr>
      <w:r>
        <w:rPr>
          <w:b/>
          <w:bCs/>
          <w:color w:val="1F3864"/>
          <w:sz w:val="18"/>
          <w:szCs w:val="18"/>
        </w:rPr>
        <w:t xml:space="preserve">Keywords: </w:t>
      </w:r>
      <w:r>
        <w:rPr>
          <w:color w:val="3A4350"/>
          <w:sz w:val="18"/>
          <w:szCs w:val="18"/>
        </w:rPr>
        <w:t xml:space="preserve">seawater intrusion; chloride; anchor regression; distribution shift; conformal prediction; certified alarm; monitoring design; Learn then Test; approximate Bayesian computation; expected information gain; Fushë-Kuqe</w:t>
      </w:r>
    </w:p>
    <w:p>
      <w:pPr>
        <w:pStyle w:val="Heading1"/>
      </w:pPr>
      <w:r>
        <w:t xml:space="preserve">1. The outcome</w:t>
      </w:r>
    </w:p>
    <w:p>
      <w:pPr>
        <w:spacing w:after="100"/>
        <w:jc w:val="both"/>
      </w:pPr>
      <w:r>
        <w:t xml:space="preserve">Two documents were read for the chloride manuscript [1], the companion of the base paper [2], and for the assembled-system note [3]: the note on twenty papers of 19 October 2026 [4] and the anchor-regression paper [5], which is paper [5] of that note. What they give, in short:</w:t>
      </w:r>
    </w:p>
    <w:p>
      <w:pPr>
        <w:pStyle w:val="ListParagraph"/>
        <w:numPr>
          <w:ilvl w:val="0"/>
          <w:numId w:val="2"/>
        </w:numPr>
        <w:spacing w:after="50"/>
        <w:jc w:val="both"/>
      </w:pPr>
      <w:r>
        <w:rPr>
          <w:b/>
          <w:bCs/>
        </w:rPr>
        <w:t xml:space="preserve">The twenty-paper note is sound.</w:t>
      </w:r>
      <w:r>
        <w:t xml:space="preserve"> Its three proposals N1–N3 have correct proofs. Numerical checks confirm them (Section 3), with two refinements. In N1, read the intercept </w:t>
      </w:r>
      <m:oMath>
        <m:sSup>
          <m:e>
            <m:acc>
              <m:accPr>
                <m:chr m:val="̂"/>
              </m:accPr>
              <m:e>
                <m:r>
                  <m:t>D</m:t>
                </m:r>
              </m:e>
            </m:acc>
          </m:e>
          <m:sup>
            <m:r>
              <m:rPr>
                <m:sty m:val="p"/>
              </m:rPr>
              <m:t>⋆</m:t>
            </m:r>
          </m:sup>
        </m:sSup>
      </m:oMath>
      <w:r>
        <w:t xml:space="preserve">, not the slope </w:t>
      </w:r>
      <m:oMath>
        <m:acc>
          <m:accPr>
            <m:chr m:val="̂"/>
          </m:accPr>
          <m:e>
            <m:r>
              <m:t>m</m:t>
            </m:r>
          </m:e>
        </m:acc>
      </m:oMath>
      <w:r>
        <w:t xml:space="preserve">: the slope is 2.96 and 2.00 where the theory says 3 and 2, but 3.46 where it says 4. In N3, the analytic upper bound is valid but 5–20 times larger than the information it bounds, so it prunes little.</w:t>
      </w:r>
    </w:p>
    <w:p>
      <w:pPr>
        <w:pStyle w:val="ListParagraph"/>
        <w:numPr>
          <w:ilvl w:val="0"/>
          <w:numId w:val="2"/>
        </w:numPr>
        <w:spacing w:after="50"/>
        <w:jc w:val="both"/>
      </w:pPr>
      <w:r>
        <w:rPr>
          <w:b/>
          <w:bCs/>
        </w:rPr>
        <w:t xml:space="preserve">One number for the assembled-system note.</w:t>
      </w:r>
      <w:r>
        <w:t xml:space="preserve"> The fixed-sequence certificate of N2 (Learn then Test [6]) applied to the safe yields of that note allows no exceedance at all among 25 draws: it lowers the value of the best layout by 11.6% at </w:t>
      </w:r>
      <m:oMath>
        <m:r>
          <m:t>δ</m:t>
        </m:r>
        <m:r>
          <m:rPr>
            <m:sty m:val="p"/>
          </m:rPr>
          <m:t>=</m:t>
        </m:r>
        <m:r>
          <m:t>10</m:t>
        </m:r>
        <m:r>
          <m:rPr>
            <m:sty m:val="p"/>
          </m:rPr>
          <m:t>%</m:t>
        </m:r>
      </m:oMath>
      <w:r>
        <w:t xml:space="preserve"> and cannot be issued at </w:t>
      </w:r>
      <m:oMath>
        <m:r>
          <m:t>δ</m:t>
        </m:r>
        <m:r>
          <m:rPr>
            <m:sty m:val="p"/>
          </m:rPr>
          <m:t>=</m:t>
        </m:r>
        <m:r>
          <m:t>5</m:t>
        </m:r>
        <m:r>
          <m:rPr>
            <m:sty m:val="p"/>
          </m:rPr>
          <m:t>%</m:t>
        </m:r>
      </m:oMath>
      <w:r>
        <w:t xml:space="preserve"> (Section 3.2).</w:t>
      </w:r>
    </w:p>
    <w:p>
      <w:pPr>
        <w:pStyle w:val="ListParagraph"/>
        <w:numPr>
          <w:ilvl w:val="0"/>
          <w:numId w:val="2"/>
        </w:numPr>
        <w:spacing w:after="50"/>
        <w:jc w:val="both"/>
      </w:pPr>
      <w:r>
        <w:rPr>
          <w:b/>
          <w:bCs/>
        </w:rPr>
        <w:t xml:space="preserve">An innovation from anchor regression: SPIRANCA-GO</w:t>
      </w:r>
      <w:r>
        <w:t xml:space="preserve"> (Sections 4–6). A head-based alarm for the chloride standard at a supply well, built before the pumping decision and certified to stay valid after it and under a warming that the rain gauge does not record. On 100 aquifers of the chloride study's model its over-prediction rate is 2.4% under the worst warming against 36.0% for least squares on heads and anchors and 90.8% for heads alone, with 10% allowed.</w:t>
      </w:r>
    </w:p>
    <w:p>
      <w:pPr>
        <w:pStyle w:val="ListParagraph"/>
        <w:numPr>
          <w:ilvl w:val="0"/>
          <w:numId w:val="2"/>
        </w:numPr>
        <w:spacing w:after="50"/>
        <w:jc w:val="both"/>
      </w:pPr>
      <w:r>
        <w:rPr>
          <w:b/>
          <w:bCs/>
        </w:rPr>
        <w:t xml:space="preserve">Where to put the piezometers for such an alarm.</w:t>
      </w:r>
      <w:r>
        <w:t xml:space="preserve"> Choosing three of the sixteen sector wells by the certified margin picks the inland well A13 in 94 of the 100 aquifers; the three wells nearest the supply well give margins 3.4 times larger and 22% false alarms.</w:t>
      </w:r>
    </w:p>
    <w:p>
      <w:pPr>
        <w:keepNext/>
        <w:spacing w:after="60" w:before="120"/>
        <w:jc w:val="both"/>
      </w:pPr>
      <w:r>
        <w:rPr>
          <w:b/>
          <w:bCs/>
          <w:color w:val="1F3864"/>
          <w:sz w:val="18"/>
          <w:szCs w:val="18"/>
        </w:rPr>
        <w:t xml:space="preserve">Table 1. </w:t>
      </w:r>
      <w:r>
        <w:rPr>
          <w:color w:val="3A4350"/>
          <w:sz w:val="18"/>
          <w:szCs w:val="18"/>
        </w:rPr>
        <w:t xml:space="preserve">What this note found in the two documents.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00"/>
        <w:gridCol w:w="1900"/>
        <w:gridCol w:w="4138"/>
        <w:gridCol w:w="1100"/>
      </w:tblGrid>
      <w:tr>
        <w:trPr>
          <w:cantSplit/>
          <w:tblHeader/>
        </w:trPr>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Item</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Status</w:t>
            </w:r>
          </w:p>
        </w:tc>
        <w:tc>
          <w:tcPr>
            <w:tcW w:type="dxa" w:w="41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What to do with it</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Section</w:t>
            </w:r>
          </w:p>
        </w:tc>
      </w:tr>
      <w:tr>
        <w:trPr>
          <w:cantSplit/>
        </w:trPr>
        <w:tc>
          <w:tcPr>
            <w:tcW w:type="dxa" w:w="2500"/>
            <w:tcMar>
              <w:top w:type="dxa" w:w="40"/>
              <w:left w:type="dxa" w:w="80"/>
              <w:bottom w:type="dxa" w:w="40"/>
              <w:right w:type="dxa" w:w="80"/>
            </w:tcMar>
            <w:vAlign w:val="top"/>
          </w:tcPr>
          <w:p>
            <w:r>
              <w:rPr>
                <w:sz w:val="16"/>
                <w:szCs w:val="16"/>
              </w:rPr>
              <w:t xml:space="preserve">N1: misfit intercept and slope</w:t>
            </w:r>
          </w:p>
        </w:tc>
        <w:tc>
          <w:tcPr>
            <w:tcW w:type="dxa" w:w="1900"/>
            <w:tcMar>
              <w:top w:type="dxa" w:w="40"/>
              <w:left w:type="dxa" w:w="80"/>
              <w:bottom w:type="dxa" w:w="40"/>
              <w:right w:type="dxa" w:w="80"/>
            </w:tcMar>
            <w:vAlign w:val="top"/>
          </w:tcPr>
          <w:p>
            <w:r>
              <w:rPr>
                <w:sz w:val="16"/>
                <w:szCs w:val="16"/>
              </w:rPr>
              <w:t xml:space="preserve">proof correct; checked</w:t>
            </w:r>
          </w:p>
        </w:tc>
        <w:tc>
          <w:tcPr>
            <w:tcW w:type="dxa" w:w="4138"/>
            <w:tcMar>
              <w:top w:type="dxa" w:w="40"/>
              <w:left w:type="dxa" w:w="80"/>
              <w:bottom w:type="dxa" w:w="40"/>
              <w:right w:type="dxa" w:w="80"/>
            </w:tcMar>
            <w:vAlign w:val="top"/>
          </w:tcPr>
          <w:p>
            <w:r>
              <w:rPr>
                <w:sz w:val="16"/>
                <w:szCs w:val="16"/>
              </w:rPr>
              <w:t xml:space="preserve">report </w:t>
            </w:r>
            <m:oMath>
              <m:sSup>
                <m:e>
                  <m:acc>
                    <m:accPr>
                      <m:chr m:val="̂"/>
                    </m:accPr>
                    <m:e>
                      <m:r>
                        <m:t>D</m:t>
                      </m:r>
                    </m:e>
                  </m:acc>
                </m:e>
                <m:sup>
                  <m:r>
                    <m:rPr>
                      <m:sty m:val="p"/>
                    </m:rPr>
                    <m:t>⋆</m:t>
                  </m:r>
                </m:sup>
              </m:sSup>
            </m:oMath>
            <w:r>
              <w:rPr>
                <w:sz w:val="16"/>
                <w:szCs w:val="16"/>
              </w:rPr>
              <w:t xml:space="preserve"> with a bootstrap band; use </w:t>
            </w:r>
            <m:oMath>
              <m:acc>
                <m:accPr>
                  <m:chr m:val="̂"/>
                </m:accPr>
                <m:e>
                  <m:r>
                    <m:t>m</m:t>
                  </m:r>
                </m:e>
              </m:acc>
            </m:oMath>
            <w:r>
              <w:rPr>
                <w:sz w:val="16"/>
                <w:szCs w:val="16"/>
              </w:rPr>
              <w:t xml:space="preserve"> only to detect a redundant fact</w:t>
            </w:r>
          </w:p>
        </w:tc>
        <w:tc>
          <w:tcPr>
            <w:tcW w:type="dxa" w:w="1100"/>
            <w:tcMar>
              <w:top w:type="dxa" w:w="40"/>
              <w:left w:type="dxa" w:w="80"/>
              <w:bottom w:type="dxa" w:w="40"/>
              <w:right w:type="dxa" w:w="80"/>
            </w:tcMar>
            <w:vAlign w:val="top"/>
          </w:tcPr>
          <w:p>
            <w:r>
              <w:rPr>
                <w:sz w:val="16"/>
                <w:szCs w:val="16"/>
              </w:rPr>
              <w:t xml:space="preserve">3.1</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N2: fixed-sequence threshold</w:t>
            </w:r>
          </w:p>
        </w:tc>
        <w:tc>
          <w:tcPr>
            <w:tcW w:type="dxa" w:w="1900"/>
            <w:shd w:fill="F7F9FC" w:color="auto" w:val="clear"/>
            <w:tcMar>
              <w:top w:type="dxa" w:w="40"/>
              <w:left w:type="dxa" w:w="80"/>
              <w:bottom w:type="dxa" w:w="40"/>
              <w:right w:type="dxa" w:w="80"/>
            </w:tcMar>
            <w:vAlign w:val="top"/>
          </w:tcPr>
          <w:p>
            <w:r>
              <w:rPr>
                <w:sz w:val="16"/>
                <w:szCs w:val="16"/>
              </w:rPr>
              <w:t xml:space="preserve">proof correct; checked</w:t>
            </w:r>
          </w:p>
        </w:tc>
        <w:tc>
          <w:tcPr>
            <w:tcW w:type="dxa" w:w="4138"/>
            <w:shd w:fill="F7F9FC" w:color="auto" w:val="clear"/>
            <w:tcMar>
              <w:top w:type="dxa" w:w="40"/>
              <w:left w:type="dxa" w:w="80"/>
              <w:bottom w:type="dxa" w:w="40"/>
              <w:right w:type="dxa" w:w="80"/>
            </w:tcMar>
            <w:vAlign w:val="top"/>
          </w:tcPr>
          <w:p>
            <w:r>
              <w:rPr>
                <w:sz w:val="16"/>
                <w:szCs w:val="16"/>
              </w:rPr>
              <w:t xml:space="preserve">use it in KUFI-GO; in the assembled-system note state its cost with 25 draws</w:t>
            </w:r>
          </w:p>
        </w:tc>
        <w:tc>
          <w:tcPr>
            <w:tcW w:type="dxa" w:w="1100"/>
            <w:shd w:fill="F7F9FC" w:color="auto" w:val="clear"/>
            <w:tcMar>
              <w:top w:type="dxa" w:w="40"/>
              <w:left w:type="dxa" w:w="80"/>
              <w:bottom w:type="dxa" w:w="40"/>
              <w:right w:type="dxa" w:w="80"/>
            </w:tcMar>
            <w:vAlign w:val="top"/>
          </w:tcPr>
          <w:p>
            <w:r>
              <w:rPr>
                <w:sz w:val="16"/>
                <w:szCs w:val="16"/>
              </w:rPr>
              <w:t xml:space="preserve">3.2</w:t>
            </w:r>
          </w:p>
        </w:tc>
      </w:tr>
      <w:tr>
        <w:trPr>
          <w:cantSplit/>
        </w:trPr>
        <w:tc>
          <w:tcPr>
            <w:tcW w:type="dxa" w:w="2500"/>
            <w:tcMar>
              <w:top w:type="dxa" w:w="40"/>
              <w:left w:type="dxa" w:w="80"/>
              <w:bottom w:type="dxa" w:w="40"/>
              <w:right w:type="dxa" w:w="80"/>
            </w:tcMar>
            <w:vAlign w:val="top"/>
          </w:tcPr>
          <w:p>
            <w:r>
              <w:rPr>
                <w:sz w:val="16"/>
                <w:szCs w:val="16"/>
              </w:rPr>
              <w:t xml:space="preserve">N3: certified bracket for EIG</w:t>
            </w:r>
          </w:p>
        </w:tc>
        <w:tc>
          <w:tcPr>
            <w:tcW w:type="dxa" w:w="1900"/>
            <w:tcMar>
              <w:top w:type="dxa" w:w="40"/>
              <w:left w:type="dxa" w:w="80"/>
              <w:bottom w:type="dxa" w:w="40"/>
              <w:right w:type="dxa" w:w="80"/>
            </w:tcMar>
            <w:vAlign w:val="top"/>
          </w:tcPr>
          <w:p>
            <w:r>
              <w:rPr>
                <w:sz w:val="16"/>
                <w:szCs w:val="16"/>
              </w:rPr>
              <w:t xml:space="preserve">proof correct; checked</w:t>
            </w:r>
          </w:p>
        </w:tc>
        <w:tc>
          <w:tcPr>
            <w:tcW w:type="dxa" w:w="4138"/>
            <w:tcMar>
              <w:top w:type="dxa" w:w="40"/>
              <w:left w:type="dxa" w:w="80"/>
              <w:bottom w:type="dxa" w:w="40"/>
              <w:right w:type="dxa" w:w="80"/>
            </w:tcMar>
            <w:vAlign w:val="top"/>
          </w:tcPr>
          <w:p>
            <w:r>
              <w:rPr>
                <w:sz w:val="16"/>
                <w:szCs w:val="16"/>
              </w:rPr>
              <w:t xml:space="preserve">report the bracket; do not rely on it to prune designs</w:t>
            </w:r>
          </w:p>
        </w:tc>
        <w:tc>
          <w:tcPr>
            <w:tcW w:type="dxa" w:w="1100"/>
            <w:tcMar>
              <w:top w:type="dxa" w:w="40"/>
              <w:left w:type="dxa" w:w="80"/>
              <w:bottom w:type="dxa" w:w="40"/>
              <w:right w:type="dxa" w:w="80"/>
            </w:tcMar>
            <w:vAlign w:val="top"/>
          </w:tcPr>
          <w:p>
            <w:r>
              <w:rPr>
                <w:sz w:val="16"/>
                <w:szCs w:val="16"/>
              </w:rPr>
              <w:t xml:space="preserve">3.3</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Paper [5], anchor regression</w:t>
            </w:r>
          </w:p>
        </w:tc>
        <w:tc>
          <w:tcPr>
            <w:tcW w:type="dxa" w:w="1900"/>
            <w:shd w:fill="F7F9FC" w:color="auto" w:val="clear"/>
            <w:tcMar>
              <w:top w:type="dxa" w:w="40"/>
              <w:left w:type="dxa" w:w="80"/>
              <w:bottom w:type="dxa" w:w="40"/>
              <w:right w:type="dxa" w:w="80"/>
            </w:tcMar>
            <w:vAlign w:val="top"/>
          </w:tcPr>
          <w:p>
            <w:r>
              <w:rPr>
                <w:sz w:val="16"/>
                <w:szCs w:val="16"/>
              </w:rPr>
              <w:t xml:space="preserve">read in full</w:t>
            </w:r>
          </w:p>
        </w:tc>
        <w:tc>
          <w:tcPr>
            <w:tcW w:type="dxa" w:w="4138"/>
            <w:shd w:fill="F7F9FC" w:color="auto" w:val="clear"/>
            <w:tcMar>
              <w:top w:type="dxa" w:w="40"/>
              <w:left w:type="dxa" w:w="80"/>
              <w:bottom w:type="dxa" w:w="40"/>
              <w:right w:type="dxa" w:w="80"/>
            </w:tcMar>
            <w:vAlign w:val="top"/>
          </w:tcPr>
          <w:p>
            <w:r>
              <w:rPr>
                <w:sz w:val="16"/>
                <w:szCs w:val="16"/>
              </w:rPr>
              <w:t xml:space="preserve">cite in §5.4 of the manuscript; SPIRANCA-GO</w:t>
            </w:r>
          </w:p>
        </w:tc>
        <w:tc>
          <w:tcPr>
            <w:tcW w:type="dxa" w:w="1100"/>
            <w:shd w:fill="F7F9FC" w:color="auto" w:val="clear"/>
            <w:tcMar>
              <w:top w:type="dxa" w:w="40"/>
              <w:left w:type="dxa" w:w="80"/>
              <w:bottom w:type="dxa" w:w="40"/>
              <w:right w:type="dxa" w:w="80"/>
            </w:tcMar>
            <w:vAlign w:val="top"/>
          </w:tcPr>
          <w:p>
            <w:r>
              <w:rPr>
                <w:sz w:val="16"/>
                <w:szCs w:val="16"/>
              </w:rPr>
              <w:t xml:space="preserve">4–6</w:t>
            </w:r>
          </w:p>
        </w:tc>
      </w:tr>
      <w:tr>
        <w:trPr>
          <w:cantSplit/>
        </w:trPr>
        <w:tc>
          <w:tcPr>
            <w:tcW w:type="dxa" w:w="2500"/>
            <w:tcMar>
              <w:top w:type="dxa" w:w="40"/>
              <w:left w:type="dxa" w:w="80"/>
              <w:bottom w:type="dxa" w:w="40"/>
              <w:right w:type="dxa" w:w="80"/>
            </w:tcMar>
            <w:vAlign w:val="top"/>
          </w:tcPr>
          <w:p>
            <w:r>
              <w:rPr>
                <w:sz w:val="16"/>
                <w:szCs w:val="16"/>
              </w:rPr>
              <w:t xml:space="preserve">The other nineteen papers</w:t>
            </w:r>
          </w:p>
        </w:tc>
        <w:tc>
          <w:tcPr>
            <w:tcW w:type="dxa" w:w="1900"/>
            <w:tcMar>
              <w:top w:type="dxa" w:w="40"/>
              <w:left w:type="dxa" w:w="80"/>
              <w:bottom w:type="dxa" w:w="40"/>
              <w:right w:type="dxa" w:w="80"/>
            </w:tcMar>
            <w:vAlign w:val="top"/>
          </w:tcPr>
          <w:p>
            <w:r>
              <w:rPr>
                <w:sz w:val="16"/>
                <w:szCs w:val="16"/>
              </w:rPr>
              <w:t xml:space="preserve">as listed in the note</w:t>
            </w:r>
          </w:p>
        </w:tc>
        <w:tc>
          <w:tcPr>
            <w:tcW w:type="dxa" w:w="4138"/>
            <w:tcMar>
              <w:top w:type="dxa" w:w="40"/>
              <w:left w:type="dxa" w:w="80"/>
              <w:bottom w:type="dxa" w:w="40"/>
              <w:right w:type="dxa" w:w="80"/>
            </w:tcMar>
            <w:vAlign w:val="top"/>
          </w:tcPr>
          <w:p>
            <w:r>
              <w:rPr>
                <w:sz w:val="16"/>
                <w:szCs w:val="16"/>
              </w:rPr>
              <w:t xml:space="preserve">one concrete use each (Table 2)</w:t>
            </w:r>
          </w:p>
        </w:tc>
        <w:tc>
          <w:tcPr>
            <w:tcW w:type="dxa" w:w="1100"/>
            <w:tcMar>
              <w:top w:type="dxa" w:w="40"/>
              <w:left w:type="dxa" w:w="80"/>
              <w:bottom w:type="dxa" w:w="40"/>
              <w:right w:type="dxa" w:w="80"/>
            </w:tcMar>
            <w:vAlign w:val="top"/>
          </w:tcPr>
          <w:p>
            <w:r>
              <w:rPr>
                <w:sz w:val="16"/>
                <w:szCs w:val="16"/>
              </w:rPr>
              <w:t xml:space="preserve">2</w:t>
            </w:r>
          </w:p>
        </w:tc>
      </w:tr>
    </w:tbl>
    <w:p>
      <w:pPr>
        <w:spacing w:after="120"/>
      </w:pPr>
    </w:p>
    <w:p>
      <w:pPr>
        <w:pStyle w:val="Heading1"/>
      </w:pPr>
      <w:r>
        <w:t xml:space="preserve">2. What the twenty papers give</w:t>
      </w:r>
    </w:p>
    <w:p>
      <w:pPr>
        <w:spacing w:after="100"/>
        <w:jc w:val="both"/>
      </w:pPr>
      <w:r>
        <w:t xml:space="preserve">The note [4] groups the twenty papers by the five mathematical layers of the manuscript: calibration under misspecification, goal-oriented design, certified thresholds, causality and decision, and physical dynamics. Its bibliographic details were checked there against the publishers and are used here as given. Table 2 keeps one concrete use for each paper and adds one step further, so that each paper leaves something to build on. The step further is ours and is not claimed by the paper.</w:t>
      </w:r>
    </w:p>
    <w:p>
      <w:pPr>
        <w:keepNext/>
        <w:spacing w:after="60" w:before="120"/>
        <w:jc w:val="both"/>
      </w:pPr>
      <w:r>
        <w:rPr>
          <w:b/>
          <w:bCs/>
          <w:color w:val="1F3864"/>
          <w:sz w:val="18"/>
          <w:szCs w:val="18"/>
        </w:rPr>
        <w:t xml:space="preserve">Table 2. </w:t>
      </w:r>
      <w:r>
        <w:rPr>
          <w:color w:val="3A4350"/>
          <w:sz w:val="18"/>
          <w:szCs w:val="18"/>
        </w:rPr>
        <w:t xml:space="preserve">The twenty papers of the note [4]: what to take, where it goes in the manuscript (section numbers of the manuscript or module names of the series), and one step further. Paper [5] is developed in Sections 4–6.</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20"/>
        <w:gridCol w:w="1900"/>
        <w:gridCol w:w="2700"/>
        <w:gridCol w:w="1350"/>
        <w:gridCol w:w="3268"/>
      </w:tblGrid>
      <w:tr>
        <w:trPr>
          <w:cantSplit/>
          <w:tblHeader/>
        </w:trPr>
        <w:tc>
          <w:tcPr>
            <w:tcW w:type="dxa" w:w="42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No.</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Paper</w:t>
            </w:r>
          </w:p>
        </w:tc>
        <w:tc>
          <w:tcPr>
            <w:tcW w:type="dxa" w:w="27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What to take</w:t>
            </w:r>
          </w:p>
        </w:tc>
        <w:tc>
          <w:tcPr>
            <w:tcW w:type="dxa" w:w="13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Where</w:t>
            </w:r>
          </w:p>
        </w:tc>
        <w:tc>
          <w:tcPr>
            <w:tcW w:type="dxa" w:w="326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One step further</w:t>
            </w:r>
          </w:p>
        </w:tc>
      </w:tr>
      <w:tr>
        <w:trPr>
          <w:cantSplit/>
        </w:trPr>
        <w:tc>
          <w:tcPr>
            <w:tcW w:type="dxa" w:w="420"/>
            <w:tcMar>
              <w:top w:type="dxa" w:w="40"/>
              <w:left w:type="dxa" w:w="80"/>
              <w:bottom w:type="dxa" w:w="40"/>
              <w:right w:type="dxa" w:w="80"/>
            </w:tcMar>
            <w:vAlign w:val="top"/>
          </w:tcPr>
          <w:p>
            <w:r>
              <w:rPr>
                <w:sz w:val="15"/>
                <w:szCs w:val="15"/>
              </w:rPr>
              <w:t xml:space="preserve">1</w:t>
            </w:r>
          </w:p>
        </w:tc>
        <w:tc>
          <w:tcPr>
            <w:tcW w:type="dxa" w:w="1900"/>
            <w:tcMar>
              <w:top w:type="dxa" w:w="40"/>
              <w:left w:type="dxa" w:w="80"/>
              <w:bottom w:type="dxa" w:w="40"/>
              <w:right w:type="dxa" w:w="80"/>
            </w:tcMar>
            <w:vAlign w:val="top"/>
          </w:tcPr>
          <w:p>
            <w:r>
              <w:rPr>
                <w:sz w:val="15"/>
                <w:szCs w:val="15"/>
              </w:rPr>
              <w:t xml:space="preserve">Frazier, Robert &amp; Rousseau 2020 [7]</w:t>
            </w:r>
          </w:p>
        </w:tc>
        <w:tc>
          <w:tcPr>
            <w:tcW w:type="dxa" w:w="2700"/>
            <w:tcMar>
              <w:top w:type="dxa" w:w="40"/>
              <w:left w:type="dxa" w:w="80"/>
              <w:bottom w:type="dxa" w:w="40"/>
              <w:right w:type="dxa" w:w="80"/>
            </w:tcMar>
            <w:vAlign w:val="top"/>
          </w:tcPr>
          <w:p>
            <w:r>
              <w:rPr>
                <w:sz w:val="15"/>
                <w:szCs w:val="15"/>
              </w:rPr>
              <w:t xml:space="preserve">ABC under misspecification concentrates on a pseudo-true θ*; credible sets miscover (Thm 2)</w:t>
            </w:r>
          </w:p>
        </w:tc>
        <w:tc>
          <w:tcPr>
            <w:tcW w:type="dxa" w:w="1350"/>
            <w:tcMar>
              <w:top w:type="dxa" w:w="40"/>
              <w:left w:type="dxa" w:w="80"/>
              <w:bottom w:type="dxa" w:w="40"/>
              <w:right w:type="dxa" w:w="80"/>
            </w:tcMar>
            <w:vAlign w:val="top"/>
          </w:tcPr>
          <w:p>
            <w:r>
              <w:rPr>
                <w:sz w:val="15"/>
                <w:szCs w:val="15"/>
              </w:rPr>
              <w:t xml:space="preserve">§3.3, §5.1</w:t>
            </w:r>
          </w:p>
        </w:tc>
        <w:tc>
          <w:tcPr>
            <w:tcW w:type="dxa" w:w="3268"/>
            <w:tcMar>
              <w:top w:type="dxa" w:w="40"/>
              <w:left w:type="dxa" w:w="80"/>
              <w:bottom w:type="dxa" w:w="40"/>
              <w:right w:type="dxa" w:w="80"/>
            </w:tcMar>
            <w:vAlign w:val="top"/>
          </w:tcPr>
          <w:p>
            <w:r>
              <w:rPr>
                <w:sz w:val="15"/>
                <w:szCs w:val="15"/>
              </w:rPr>
              <w:t xml:space="preserve">N1 turns ε* into a number from the stored draws; read the intercept (Section 3.1)</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2</w:t>
            </w:r>
          </w:p>
        </w:tc>
        <w:tc>
          <w:tcPr>
            <w:tcW w:type="dxa" w:w="1900"/>
            <w:shd w:fill="F7F9FC" w:color="auto" w:val="clear"/>
            <w:tcMar>
              <w:top w:type="dxa" w:w="40"/>
              <w:left w:type="dxa" w:w="80"/>
              <w:bottom w:type="dxa" w:w="40"/>
              <w:right w:type="dxa" w:w="80"/>
            </w:tcMar>
            <w:vAlign w:val="top"/>
          </w:tcPr>
          <w:p>
            <w:r>
              <w:rPr>
                <w:sz w:val="15"/>
                <w:szCs w:val="15"/>
              </w:rPr>
              <w:t xml:space="preserve">Fong &amp; Holmes 2020 [8]</w:t>
            </w:r>
          </w:p>
        </w:tc>
        <w:tc>
          <w:tcPr>
            <w:tcW w:type="dxa" w:w="2700"/>
            <w:shd w:fill="F7F9FC" w:color="auto" w:val="clear"/>
            <w:tcMar>
              <w:top w:type="dxa" w:w="40"/>
              <w:left w:type="dxa" w:w="80"/>
              <w:bottom w:type="dxa" w:w="40"/>
              <w:right w:type="dxa" w:w="80"/>
            </w:tcMar>
            <w:vAlign w:val="top"/>
          </w:tcPr>
          <w:p>
            <w:r>
              <w:rPr>
                <w:sz w:val="15"/>
                <w:szCs w:val="15"/>
              </w:rPr>
              <w:t xml:space="preserve">the marginal likelihood is a cumulative leave-p-out score; exp(−wℓ) is the only coherent tempered form</w:t>
            </w:r>
          </w:p>
        </w:tc>
        <w:tc>
          <w:tcPr>
            <w:tcW w:type="dxa" w:w="1350"/>
            <w:shd w:fill="F7F9FC" w:color="auto" w:val="clear"/>
            <w:tcMar>
              <w:top w:type="dxa" w:w="40"/>
              <w:left w:type="dxa" w:w="80"/>
              <w:bottom w:type="dxa" w:w="40"/>
              <w:right w:type="dxa" w:w="80"/>
            </w:tcMar>
            <w:vAlign w:val="top"/>
          </w:tcPr>
          <w:p>
            <w:r>
              <w:rPr>
                <w:sz w:val="15"/>
                <w:szCs w:val="15"/>
              </w:rPr>
              <w:t xml:space="preserve">§4.2, SAFE-GO</w:t>
            </w:r>
          </w:p>
        </w:tc>
        <w:tc>
          <w:tcPr>
            <w:tcW w:type="dxa" w:w="3268"/>
            <w:shd w:fill="F7F9FC" w:color="auto" w:val="clear"/>
            <w:tcMar>
              <w:top w:type="dxa" w:w="40"/>
              <w:left w:type="dxa" w:w="80"/>
              <w:bottom w:type="dxa" w:w="40"/>
              <w:right w:type="dxa" w:w="80"/>
            </w:tcMar>
            <w:vAlign w:val="top"/>
          </w:tcPr>
          <w:p>
            <w:r>
              <w:rPr>
                <w:sz w:val="15"/>
                <w:szCs w:val="15"/>
              </w:rPr>
              <w:t xml:space="preserve">score the well-340 check with the cumulative score for the sharp-interface model and its variants</w:t>
            </w:r>
          </w:p>
        </w:tc>
      </w:tr>
      <w:tr>
        <w:trPr>
          <w:cantSplit/>
        </w:trPr>
        <w:tc>
          <w:tcPr>
            <w:tcW w:type="dxa" w:w="420"/>
            <w:tcMar>
              <w:top w:type="dxa" w:w="40"/>
              <w:left w:type="dxa" w:w="80"/>
              <w:bottom w:type="dxa" w:w="40"/>
              <w:right w:type="dxa" w:w="80"/>
            </w:tcMar>
            <w:vAlign w:val="top"/>
          </w:tcPr>
          <w:p>
            <w:r>
              <w:rPr>
                <w:sz w:val="15"/>
                <w:szCs w:val="15"/>
              </w:rPr>
              <w:t xml:space="preserve">3</w:t>
            </w:r>
          </w:p>
        </w:tc>
        <w:tc>
          <w:tcPr>
            <w:tcW w:type="dxa" w:w="1900"/>
            <w:tcMar>
              <w:top w:type="dxa" w:w="40"/>
              <w:left w:type="dxa" w:w="80"/>
              <w:bottom w:type="dxa" w:w="40"/>
              <w:right w:type="dxa" w:w="80"/>
            </w:tcMar>
            <w:vAlign w:val="top"/>
          </w:tcPr>
          <w:p>
            <w:r>
              <w:rPr>
                <w:sz w:val="15"/>
                <w:szCs w:val="15"/>
              </w:rPr>
              <w:t xml:space="preserve">Miller 2021 [9]</w:t>
            </w:r>
          </w:p>
        </w:tc>
        <w:tc>
          <w:tcPr>
            <w:tcW w:type="dxa" w:w="2700"/>
            <w:tcMar>
              <w:top w:type="dxa" w:w="40"/>
              <w:left w:type="dxa" w:w="80"/>
              <w:bottom w:type="dxa" w:w="40"/>
              <w:right w:type="dxa" w:w="80"/>
            </w:tcMar>
            <w:vAlign w:val="top"/>
          </w:tcPr>
          <w:p>
            <w:r>
              <w:rPr>
                <w:sz w:val="15"/>
                <w:szCs w:val="15"/>
              </w:rPr>
              <w:t xml:space="preserve">Bernstein–von Mises for generalized posteriors; coverage exact iff H₀ = J₀</w:t>
            </w:r>
          </w:p>
        </w:tc>
        <w:tc>
          <w:tcPr>
            <w:tcW w:type="dxa" w:w="1350"/>
            <w:tcMar>
              <w:top w:type="dxa" w:w="40"/>
              <w:left w:type="dxa" w:w="80"/>
              <w:bottom w:type="dxa" w:w="40"/>
              <w:right w:type="dxa" w:w="80"/>
            </w:tcMar>
            <w:vAlign w:val="top"/>
          </w:tcPr>
          <w:p>
            <w:r>
              <w:rPr>
                <w:sz w:val="15"/>
                <w:szCs w:val="15"/>
              </w:rPr>
              <w:t xml:space="preserve">SAFE-GO, KALIB-GO</w:t>
            </w:r>
          </w:p>
        </w:tc>
        <w:tc>
          <w:tcPr>
            <w:tcW w:type="dxa" w:w="3268"/>
            <w:tcMar>
              <w:top w:type="dxa" w:w="40"/>
              <w:left w:type="dxa" w:w="80"/>
              <w:bottom w:type="dxa" w:w="40"/>
              <w:right w:type="dxa" w:w="80"/>
            </w:tcMar>
            <w:vAlign w:val="top"/>
          </w:tcPr>
          <w:p>
            <w:r>
              <w:rPr>
                <w:sz w:val="15"/>
                <w:szCs w:val="15"/>
              </w:rPr>
              <w:t xml:space="preserve">η = A/B equalises H₀ and J₀ (the note's derivation; the algebra checks)</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4</w:t>
            </w:r>
          </w:p>
        </w:tc>
        <w:tc>
          <w:tcPr>
            <w:tcW w:type="dxa" w:w="1900"/>
            <w:shd w:fill="F7F9FC" w:color="auto" w:val="clear"/>
            <w:tcMar>
              <w:top w:type="dxa" w:w="40"/>
              <w:left w:type="dxa" w:w="80"/>
              <w:bottom w:type="dxa" w:w="40"/>
              <w:right w:type="dxa" w:w="80"/>
            </w:tcMar>
            <w:vAlign w:val="top"/>
          </w:tcPr>
          <w:p>
            <w:r>
              <w:rPr>
                <w:sz w:val="15"/>
                <w:szCs w:val="15"/>
              </w:rPr>
              <w:t xml:space="preserve">Wagner, Marelli &amp; Sudret 2021 [10]</w:t>
            </w:r>
          </w:p>
        </w:tc>
        <w:tc>
          <w:tcPr>
            <w:tcW w:type="dxa" w:w="2700"/>
            <w:shd w:fill="F7F9FC" w:color="auto" w:val="clear"/>
            <w:tcMar>
              <w:top w:type="dxa" w:w="40"/>
              <w:left w:type="dxa" w:w="80"/>
              <w:bottom w:type="dxa" w:w="40"/>
              <w:right w:type="dxa" w:w="80"/>
            </w:tcMar>
            <w:vAlign w:val="top"/>
          </w:tcPr>
          <w:p>
            <w:r>
              <w:rPr>
                <w:sz w:val="15"/>
                <w:szCs w:val="15"/>
              </w:rPr>
              <w:t xml:space="preserve">evidence and posterior moments in closed form from a spectral expansion</w:t>
            </w:r>
          </w:p>
        </w:tc>
        <w:tc>
          <w:tcPr>
            <w:tcW w:type="dxa" w:w="1350"/>
            <w:shd w:fill="F7F9FC" w:color="auto" w:val="clear"/>
            <w:tcMar>
              <w:top w:type="dxa" w:w="40"/>
              <w:left w:type="dxa" w:w="80"/>
              <w:bottom w:type="dxa" w:w="40"/>
              <w:right w:type="dxa" w:w="80"/>
            </w:tcMar>
            <w:vAlign w:val="top"/>
          </w:tcPr>
          <w:p>
            <w:r>
              <w:rPr>
                <w:sz w:val="15"/>
                <w:szCs w:val="15"/>
              </w:rPr>
              <w:t xml:space="preserve">§3.3, Supplement</w:t>
            </w:r>
          </w:p>
        </w:tc>
        <w:tc>
          <w:tcPr>
            <w:tcW w:type="dxa" w:w="3268"/>
            <w:shd w:fill="F7F9FC" w:color="auto" w:val="clear"/>
            <w:tcMar>
              <w:top w:type="dxa" w:w="40"/>
              <w:left w:type="dxa" w:w="80"/>
              <w:bottom w:type="dxa" w:w="40"/>
              <w:right w:type="dxa" w:w="80"/>
            </w:tcMar>
            <w:vAlign w:val="top"/>
          </w:tcPr>
          <w:p>
            <w:r>
              <w:rPr>
                <w:sz w:val="15"/>
                <w:szCs w:val="15"/>
              </w:rPr>
              <w:t xml:space="preserve">an independent evidence for the sharp versus the dispersive interface</w:t>
            </w:r>
          </w:p>
        </w:tc>
      </w:tr>
      <w:tr>
        <w:trPr>
          <w:cantSplit/>
        </w:trPr>
        <w:tc>
          <w:tcPr>
            <w:tcW w:type="dxa" w:w="420"/>
            <w:tcMar>
              <w:top w:type="dxa" w:w="40"/>
              <w:left w:type="dxa" w:w="80"/>
              <w:bottom w:type="dxa" w:w="40"/>
              <w:right w:type="dxa" w:w="80"/>
            </w:tcMar>
            <w:vAlign w:val="top"/>
          </w:tcPr>
          <w:p>
            <w:r>
              <w:rPr>
                <w:sz w:val="15"/>
                <w:szCs w:val="15"/>
              </w:rPr>
              <w:t xml:space="preserve">5</w:t>
            </w:r>
          </w:p>
        </w:tc>
        <w:tc>
          <w:tcPr>
            <w:tcW w:type="dxa" w:w="1900"/>
            <w:tcMar>
              <w:top w:type="dxa" w:w="40"/>
              <w:left w:type="dxa" w:w="80"/>
              <w:bottom w:type="dxa" w:w="40"/>
              <w:right w:type="dxa" w:w="80"/>
            </w:tcMar>
            <w:vAlign w:val="top"/>
          </w:tcPr>
          <w:p>
            <w:r>
              <w:rPr>
                <w:sz w:val="15"/>
                <w:szCs w:val="15"/>
              </w:rPr>
              <w:t xml:space="preserve">Rothenhäusler et al. 2021 [5]</w:t>
            </w:r>
          </w:p>
        </w:tc>
        <w:tc>
          <w:tcPr>
            <w:tcW w:type="dxa" w:w="2700"/>
            <w:tcMar>
              <w:top w:type="dxa" w:w="40"/>
              <w:left w:type="dxa" w:w="80"/>
              <w:bottom w:type="dxa" w:w="40"/>
              <w:right w:type="dxa" w:w="80"/>
            </w:tcMar>
            <w:vAlign w:val="top"/>
          </w:tcPr>
          <w:p>
            <w:r>
              <w:rPr>
                <w:sz w:val="15"/>
                <w:szCs w:val="15"/>
              </w:rPr>
              <w:t xml:space="preserve">worst-case risk over shifts in the anchor span equals the anchor objective (Thm 1); anchor stability gives causality (Thm 4)</w:t>
            </w:r>
          </w:p>
        </w:tc>
        <w:tc>
          <w:tcPr>
            <w:tcW w:type="dxa" w:w="1350"/>
            <w:tcMar>
              <w:top w:type="dxa" w:w="40"/>
              <w:left w:type="dxa" w:w="80"/>
              <w:bottom w:type="dxa" w:w="40"/>
              <w:right w:type="dxa" w:w="80"/>
            </w:tcMar>
            <w:vAlign w:val="top"/>
          </w:tcPr>
          <w:p>
            <w:r>
              <w:rPr>
                <w:sz w:val="15"/>
                <w:szCs w:val="15"/>
              </w:rPr>
              <w:t xml:space="preserve">§5.4; this note</w:t>
            </w:r>
          </w:p>
        </w:tc>
        <w:tc>
          <w:tcPr>
            <w:tcW w:type="dxa" w:w="3268"/>
            <w:tcMar>
              <w:top w:type="dxa" w:w="40"/>
              <w:left w:type="dxa" w:w="80"/>
              <w:bottom w:type="dxa" w:w="40"/>
              <w:right w:type="dxa" w:w="80"/>
            </w:tcMar>
            <w:vAlign w:val="top"/>
          </w:tcPr>
          <w:p>
            <w:r>
              <w:rPr>
                <w:sz w:val="15"/>
                <w:szCs w:val="15"/>
              </w:rPr>
              <w:t xml:space="preserve">SPIRANCA-GO: the decision as a known shift, the warming as an unseen one-sided shift, the exceedance as the goal</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6</w:t>
            </w:r>
          </w:p>
        </w:tc>
        <w:tc>
          <w:tcPr>
            <w:tcW w:type="dxa" w:w="1900"/>
            <w:shd w:fill="F7F9FC" w:color="auto" w:val="clear"/>
            <w:tcMar>
              <w:top w:type="dxa" w:w="40"/>
              <w:left w:type="dxa" w:w="80"/>
              <w:bottom w:type="dxa" w:w="40"/>
              <w:right w:type="dxa" w:w="80"/>
            </w:tcMar>
            <w:vAlign w:val="top"/>
          </w:tcPr>
          <w:p>
            <w:r>
              <w:rPr>
                <w:sz w:val="15"/>
                <w:szCs w:val="15"/>
              </w:rPr>
              <w:t xml:space="preserve">Foster et al. 2020 [11]</w:t>
            </w:r>
          </w:p>
        </w:tc>
        <w:tc>
          <w:tcPr>
            <w:tcW w:type="dxa" w:w="2700"/>
            <w:shd w:fill="F7F9FC" w:color="auto" w:val="clear"/>
            <w:tcMar>
              <w:top w:type="dxa" w:w="40"/>
              <w:left w:type="dxa" w:w="80"/>
              <w:bottom w:type="dxa" w:w="40"/>
              <w:right w:type="dxa" w:w="80"/>
            </w:tcMar>
            <w:vAlign w:val="top"/>
          </w:tcPr>
          <w:p>
            <w:r>
              <w:rPr>
                <w:sz w:val="15"/>
                <w:szCs w:val="15"/>
              </w:rPr>
              <w:t xml:space="preserve">contrastive bounds on the expected information gain, valid for any critic</w:t>
            </w:r>
          </w:p>
        </w:tc>
        <w:tc>
          <w:tcPr>
            <w:tcW w:type="dxa" w:w="1350"/>
            <w:shd w:fill="F7F9FC" w:color="auto" w:val="clear"/>
            <w:tcMar>
              <w:top w:type="dxa" w:w="40"/>
              <w:left w:type="dxa" w:w="80"/>
              <w:bottom w:type="dxa" w:w="40"/>
              <w:right w:type="dxa" w:w="80"/>
            </w:tcMar>
            <w:vAlign w:val="top"/>
          </w:tcPr>
          <w:p>
            <w:r>
              <w:rPr>
                <w:sz w:val="15"/>
                <w:szCs w:val="15"/>
              </w:rPr>
              <w:t xml:space="preserve">§3.5, §5.5</w:t>
            </w:r>
          </w:p>
        </w:tc>
        <w:tc>
          <w:tcPr>
            <w:tcW w:type="dxa" w:w="3268"/>
            <w:shd w:fill="F7F9FC" w:color="auto" w:val="clear"/>
            <w:tcMar>
              <w:top w:type="dxa" w:w="40"/>
              <w:left w:type="dxa" w:w="80"/>
              <w:bottom w:type="dxa" w:w="40"/>
              <w:right w:type="dxa" w:w="80"/>
            </w:tcMar>
            <w:vAlign w:val="top"/>
          </w:tcPr>
          <w:p>
            <w:r>
              <w:rPr>
                <w:sz w:val="15"/>
                <w:szCs w:val="15"/>
              </w:rPr>
              <w:t xml:space="preserve">a numerical lower end for the N3 bracket</w:t>
            </w:r>
          </w:p>
        </w:tc>
      </w:tr>
      <w:tr>
        <w:trPr>
          <w:cantSplit/>
        </w:trPr>
        <w:tc>
          <w:tcPr>
            <w:tcW w:type="dxa" w:w="420"/>
            <w:tcMar>
              <w:top w:type="dxa" w:w="40"/>
              <w:left w:type="dxa" w:w="80"/>
              <w:bottom w:type="dxa" w:w="40"/>
              <w:right w:type="dxa" w:w="80"/>
            </w:tcMar>
            <w:vAlign w:val="top"/>
          </w:tcPr>
          <w:p>
            <w:r>
              <w:rPr>
                <w:sz w:val="15"/>
                <w:szCs w:val="15"/>
              </w:rPr>
              <w:t xml:space="preserve">7</w:t>
            </w:r>
          </w:p>
        </w:tc>
        <w:tc>
          <w:tcPr>
            <w:tcW w:type="dxa" w:w="1900"/>
            <w:tcMar>
              <w:top w:type="dxa" w:w="40"/>
              <w:left w:type="dxa" w:w="80"/>
              <w:bottom w:type="dxa" w:w="40"/>
              <w:right w:type="dxa" w:w="80"/>
            </w:tcMar>
            <w:vAlign w:val="top"/>
          </w:tcPr>
          <w:p>
            <w:r>
              <w:rPr>
                <w:sz w:val="15"/>
                <w:szCs w:val="15"/>
              </w:rPr>
              <w:t xml:space="preserve">Bickford Smith et al. 2023 [12]</w:t>
            </w:r>
          </w:p>
        </w:tc>
        <w:tc>
          <w:tcPr>
            <w:tcW w:type="dxa" w:w="2700"/>
            <w:tcMar>
              <w:top w:type="dxa" w:w="40"/>
              <w:left w:type="dxa" w:w="80"/>
              <w:bottom w:type="dxa" w:w="40"/>
              <w:right w:type="dxa" w:w="80"/>
            </w:tcMar>
            <w:vAlign w:val="top"/>
          </w:tcPr>
          <w:p>
            <w:r>
              <w:rPr>
                <w:sz w:val="15"/>
                <w:szCs w:val="15"/>
              </w:rPr>
              <w:t xml:space="preserve">information about predictions (EPIG) rather than parameters</w:t>
            </w:r>
          </w:p>
        </w:tc>
        <w:tc>
          <w:tcPr>
            <w:tcW w:type="dxa" w:w="1350"/>
            <w:tcMar>
              <w:top w:type="dxa" w:w="40"/>
              <w:left w:type="dxa" w:w="80"/>
              <w:bottom w:type="dxa" w:w="40"/>
              <w:right w:type="dxa" w:w="80"/>
            </w:tcMar>
            <w:vAlign w:val="top"/>
          </w:tcPr>
          <w:p>
            <w:r>
              <w:rPr>
                <w:sz w:val="15"/>
                <w:szCs w:val="15"/>
              </w:rPr>
              <w:t xml:space="preserve">§3.5, §4.5</w:t>
            </w:r>
          </w:p>
        </w:tc>
        <w:tc>
          <w:tcPr>
            <w:tcW w:type="dxa" w:w="3268"/>
            <w:tcMar>
              <w:top w:type="dxa" w:w="40"/>
              <w:left w:type="dxa" w:w="80"/>
              <w:bottom w:type="dxa" w:w="40"/>
              <w:right w:type="dxa" w:w="80"/>
            </w:tcMar>
            <w:vAlign w:val="top"/>
          </w:tcPr>
          <w:p>
            <w:r>
              <w:rPr>
                <w:sz w:val="15"/>
                <w:szCs w:val="15"/>
              </w:rPr>
              <w:t xml:space="preserve">the rigorous counterpart of the goal-versus-parameter gap of A13 and A10</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8</w:t>
            </w:r>
          </w:p>
        </w:tc>
        <w:tc>
          <w:tcPr>
            <w:tcW w:type="dxa" w:w="1900"/>
            <w:shd w:fill="F7F9FC" w:color="auto" w:val="clear"/>
            <w:tcMar>
              <w:top w:type="dxa" w:w="40"/>
              <w:left w:type="dxa" w:w="80"/>
              <w:bottom w:type="dxa" w:w="40"/>
              <w:right w:type="dxa" w:w="80"/>
            </w:tcMar>
            <w:vAlign w:val="top"/>
          </w:tcPr>
          <w:p>
            <w:r>
              <w:rPr>
                <w:sz w:val="15"/>
                <w:szCs w:val="15"/>
              </w:rPr>
              <w:t xml:space="preserve">Foster et al. 2021 [13]</w:t>
            </w:r>
          </w:p>
        </w:tc>
        <w:tc>
          <w:tcPr>
            <w:tcW w:type="dxa" w:w="2700"/>
            <w:shd w:fill="F7F9FC" w:color="auto" w:val="clear"/>
            <w:tcMar>
              <w:top w:type="dxa" w:w="40"/>
              <w:left w:type="dxa" w:w="80"/>
              <w:bottom w:type="dxa" w:w="40"/>
              <w:right w:type="dxa" w:w="80"/>
            </w:tcMar>
            <w:vAlign w:val="top"/>
          </w:tcPr>
          <w:p>
            <w:r>
              <w:rPr>
                <w:sz w:val="15"/>
                <w:szCs w:val="15"/>
              </w:rPr>
              <w:t xml:space="preserve">deep adaptive design; sequential bound rising at O(1/L)</w:t>
            </w:r>
          </w:p>
        </w:tc>
        <w:tc>
          <w:tcPr>
            <w:tcW w:type="dxa" w:w="1350"/>
            <w:shd w:fill="F7F9FC" w:color="auto" w:val="clear"/>
            <w:tcMar>
              <w:top w:type="dxa" w:w="40"/>
              <w:left w:type="dxa" w:w="80"/>
              <w:bottom w:type="dxa" w:w="40"/>
              <w:right w:type="dxa" w:w="80"/>
            </w:tcMar>
            <w:vAlign w:val="top"/>
          </w:tcPr>
          <w:p>
            <w:r>
              <w:rPr>
                <w:sz w:val="15"/>
                <w:szCs w:val="15"/>
              </w:rPr>
              <w:t xml:space="preserve">§5.3</w:t>
            </w:r>
          </w:p>
        </w:tc>
        <w:tc>
          <w:tcPr>
            <w:tcW w:type="dxa" w:w="3268"/>
            <w:shd w:fill="F7F9FC" w:color="auto" w:val="clear"/>
            <w:tcMar>
              <w:top w:type="dxa" w:w="40"/>
              <w:left w:type="dxa" w:w="80"/>
              <w:bottom w:type="dxa" w:w="40"/>
              <w:right w:type="dxa" w:w="80"/>
            </w:tcMar>
            <w:vAlign w:val="top"/>
          </w:tcPr>
          <w:p>
            <w:r>
              <w:rPr>
                <w:sz w:val="15"/>
                <w:szCs w:val="15"/>
              </w:rPr>
              <w:t xml:space="preserve">a trained policy for the order of chloride samples after the first campaign</w:t>
            </w:r>
          </w:p>
        </w:tc>
      </w:tr>
      <w:tr>
        <w:trPr>
          <w:cantSplit/>
        </w:trPr>
        <w:tc>
          <w:tcPr>
            <w:tcW w:type="dxa" w:w="420"/>
            <w:tcMar>
              <w:top w:type="dxa" w:w="40"/>
              <w:left w:type="dxa" w:w="80"/>
              <w:bottom w:type="dxa" w:w="40"/>
              <w:right w:type="dxa" w:w="80"/>
            </w:tcMar>
            <w:vAlign w:val="top"/>
          </w:tcPr>
          <w:p>
            <w:r>
              <w:rPr>
                <w:sz w:val="15"/>
                <w:szCs w:val="15"/>
              </w:rPr>
              <w:t xml:space="preserve">9</w:t>
            </w:r>
          </w:p>
        </w:tc>
        <w:tc>
          <w:tcPr>
            <w:tcW w:type="dxa" w:w="1900"/>
            <w:tcMar>
              <w:top w:type="dxa" w:w="40"/>
              <w:left w:type="dxa" w:w="80"/>
              <w:bottom w:type="dxa" w:w="40"/>
              <w:right w:type="dxa" w:w="80"/>
            </w:tcMar>
            <w:vAlign w:val="top"/>
          </w:tcPr>
          <w:p>
            <w:r>
              <w:rPr>
                <w:sz w:val="15"/>
                <w:szCs w:val="15"/>
              </w:rPr>
              <w:t xml:space="preserve">Hübotter et al. 2024 [14]</w:t>
            </w:r>
          </w:p>
        </w:tc>
        <w:tc>
          <w:tcPr>
            <w:tcW w:type="dxa" w:w="2700"/>
            <w:tcMar>
              <w:top w:type="dxa" w:w="40"/>
              <w:left w:type="dxa" w:w="80"/>
              <w:bottom w:type="dxa" w:w="40"/>
              <w:right w:type="dxa" w:w="80"/>
            </w:tcMar>
            <w:vAlign w:val="top"/>
          </w:tcPr>
          <w:p>
            <w:r>
              <w:rPr>
                <w:sz w:val="15"/>
                <w:szCs w:val="15"/>
              </w:rPr>
              <w:t xml:space="preserve">transductive learning; submodularity fails when the target lies outside the sampled set</w:t>
            </w:r>
          </w:p>
        </w:tc>
        <w:tc>
          <w:tcPr>
            <w:tcW w:type="dxa" w:w="1350"/>
            <w:tcMar>
              <w:top w:type="dxa" w:w="40"/>
              <w:left w:type="dxa" w:w="80"/>
              <w:bottom w:type="dxa" w:w="40"/>
              <w:right w:type="dxa" w:w="80"/>
            </w:tcMar>
            <w:vAlign w:val="top"/>
          </w:tcPr>
          <w:p>
            <w:r>
              <w:rPr>
                <w:sz w:val="15"/>
                <w:szCs w:val="15"/>
              </w:rPr>
              <w:t xml:space="preserve">§3.5 (SINERGO)</w:t>
            </w:r>
          </w:p>
        </w:tc>
        <w:tc>
          <w:tcPr>
            <w:tcW w:type="dxa" w:w="3268"/>
            <w:tcMar>
              <w:top w:type="dxa" w:w="40"/>
              <w:left w:type="dxa" w:w="80"/>
              <w:bottom w:type="dxa" w:w="40"/>
              <w:right w:type="dxa" w:w="80"/>
            </w:tcMar>
            <w:vAlign w:val="top"/>
          </w:tcPr>
          <w:p>
            <w:r>
              <w:rPr>
                <w:sz w:val="15"/>
                <w:szCs w:val="15"/>
              </w:rPr>
              <w:t xml:space="preserve">report the submodularity ratio and the irreducible variance as the ceiling of any network</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10</w:t>
            </w:r>
          </w:p>
        </w:tc>
        <w:tc>
          <w:tcPr>
            <w:tcW w:type="dxa" w:w="1900"/>
            <w:shd w:fill="F7F9FC" w:color="auto" w:val="clear"/>
            <w:tcMar>
              <w:top w:type="dxa" w:w="40"/>
              <w:left w:type="dxa" w:w="80"/>
              <w:bottom w:type="dxa" w:w="40"/>
              <w:right w:type="dxa" w:w="80"/>
            </w:tcMar>
            <w:vAlign w:val="top"/>
          </w:tcPr>
          <w:p>
            <w:r>
              <w:rPr>
                <w:sz w:val="15"/>
                <w:szCs w:val="15"/>
              </w:rPr>
              <w:t xml:space="preserve">Mutný &amp; Krause 2022 [15]</w:t>
            </w:r>
          </w:p>
        </w:tc>
        <w:tc>
          <w:tcPr>
            <w:tcW w:type="dxa" w:w="2700"/>
            <w:shd w:fill="F7F9FC" w:color="auto" w:val="clear"/>
            <w:tcMar>
              <w:top w:type="dxa" w:w="40"/>
              <w:left w:type="dxa" w:w="80"/>
              <w:bottom w:type="dxa" w:w="40"/>
              <w:right w:type="dxa" w:w="80"/>
            </w:tcMar>
            <w:vAlign w:val="top"/>
          </w:tcPr>
          <w:p>
            <w:r>
              <w:rPr>
                <w:sz w:val="15"/>
                <w:szCs w:val="15"/>
              </w:rPr>
              <w:t xml:space="preserve">c-optimal design with the bias explicit; convex relaxation</w:t>
            </w:r>
          </w:p>
        </w:tc>
        <w:tc>
          <w:tcPr>
            <w:tcW w:type="dxa" w:w="1350"/>
            <w:shd w:fill="F7F9FC" w:color="auto" w:val="clear"/>
            <w:tcMar>
              <w:top w:type="dxa" w:w="40"/>
              <w:left w:type="dxa" w:w="80"/>
              <w:bottom w:type="dxa" w:w="40"/>
              <w:right w:type="dxa" w:w="80"/>
            </w:tcMar>
            <w:vAlign w:val="top"/>
          </w:tcPr>
          <w:p>
            <w:r>
              <w:rPr>
                <w:sz w:val="15"/>
                <w:szCs w:val="15"/>
              </w:rPr>
              <w:t xml:space="preserve">§3.5, §4.5</w:t>
            </w:r>
          </w:p>
        </w:tc>
        <w:tc>
          <w:tcPr>
            <w:tcW w:type="dxa" w:w="3268"/>
            <w:shd w:fill="F7F9FC" w:color="auto" w:val="clear"/>
            <w:tcMar>
              <w:top w:type="dxa" w:w="40"/>
              <w:left w:type="dxa" w:w="80"/>
              <w:bottom w:type="dxa" w:w="40"/>
              <w:right w:type="dxa" w:w="80"/>
            </w:tcMar>
            <w:vAlign w:val="top"/>
          </w:tcPr>
          <w:p>
            <w:r>
              <w:rPr>
                <w:sz w:val="15"/>
                <w:szCs w:val="15"/>
              </w:rPr>
              <w:t xml:space="preserve">the simplex optimum as an upper reference for greedy and exhaustive search</w:t>
            </w:r>
          </w:p>
        </w:tc>
      </w:tr>
      <w:tr>
        <w:trPr>
          <w:cantSplit/>
        </w:trPr>
        <w:tc>
          <w:tcPr>
            <w:tcW w:type="dxa" w:w="420"/>
            <w:tcMar>
              <w:top w:type="dxa" w:w="40"/>
              <w:left w:type="dxa" w:w="80"/>
              <w:bottom w:type="dxa" w:w="40"/>
              <w:right w:type="dxa" w:w="80"/>
            </w:tcMar>
            <w:vAlign w:val="top"/>
          </w:tcPr>
          <w:p>
            <w:r>
              <w:rPr>
                <w:sz w:val="15"/>
                <w:szCs w:val="15"/>
              </w:rPr>
              <w:t xml:space="preserve">11</w:t>
            </w:r>
          </w:p>
        </w:tc>
        <w:tc>
          <w:tcPr>
            <w:tcW w:type="dxa" w:w="1900"/>
            <w:tcMar>
              <w:top w:type="dxa" w:w="40"/>
              <w:left w:type="dxa" w:w="80"/>
              <w:bottom w:type="dxa" w:w="40"/>
              <w:right w:type="dxa" w:w="80"/>
            </w:tcMar>
            <w:vAlign w:val="top"/>
          </w:tcPr>
          <w:p>
            <w:r>
              <w:rPr>
                <w:sz w:val="15"/>
                <w:szCs w:val="15"/>
              </w:rPr>
              <w:t xml:space="preserve">Angelopoulos et al. 2025 [6]</w:t>
            </w:r>
          </w:p>
        </w:tc>
        <w:tc>
          <w:tcPr>
            <w:tcW w:type="dxa" w:w="2700"/>
            <w:tcMar>
              <w:top w:type="dxa" w:w="40"/>
              <w:left w:type="dxa" w:w="80"/>
              <w:bottom w:type="dxa" w:w="40"/>
              <w:right w:type="dxa" w:w="80"/>
            </w:tcMar>
            <w:vAlign w:val="top"/>
          </w:tcPr>
          <w:p>
            <w:r>
              <w:rPr>
                <w:sz w:val="15"/>
                <w:szCs w:val="15"/>
              </w:rPr>
              <w:t xml:space="preserve">Learn then Test: family-wise certificates of risk without monotonicity</w:t>
            </w:r>
          </w:p>
        </w:tc>
        <w:tc>
          <w:tcPr>
            <w:tcW w:type="dxa" w:w="1350"/>
            <w:tcMar>
              <w:top w:type="dxa" w:w="40"/>
              <w:left w:type="dxa" w:w="80"/>
              <w:bottom w:type="dxa" w:w="40"/>
              <w:right w:type="dxa" w:w="80"/>
            </w:tcMar>
            <w:vAlign w:val="top"/>
          </w:tcPr>
          <w:p>
            <w:r>
              <w:rPr>
                <w:sz w:val="15"/>
                <w:szCs w:val="15"/>
              </w:rPr>
              <w:t xml:space="preserve">KUFI-GO</w:t>
            </w:r>
          </w:p>
        </w:tc>
        <w:tc>
          <w:tcPr>
            <w:tcW w:type="dxa" w:w="3268"/>
            <w:tcMar>
              <w:top w:type="dxa" w:w="40"/>
              <w:left w:type="dxa" w:w="80"/>
              <w:bottom w:type="dxa" w:w="40"/>
              <w:right w:type="dxa" w:w="80"/>
            </w:tcMar>
            <w:vAlign w:val="top"/>
          </w:tcPr>
          <w:p>
            <w:r>
              <w:rPr>
                <w:sz w:val="15"/>
                <w:szCs w:val="15"/>
              </w:rPr>
              <w:t xml:space="preserve">N2; and its cost on the safe yields of the assembled-system note (Section 3.2)</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12</w:t>
            </w:r>
          </w:p>
        </w:tc>
        <w:tc>
          <w:tcPr>
            <w:tcW w:type="dxa" w:w="1900"/>
            <w:shd w:fill="F7F9FC" w:color="auto" w:val="clear"/>
            <w:tcMar>
              <w:top w:type="dxa" w:w="40"/>
              <w:left w:type="dxa" w:w="80"/>
              <w:bottom w:type="dxa" w:w="40"/>
              <w:right w:type="dxa" w:w="80"/>
            </w:tcMar>
            <w:vAlign w:val="top"/>
          </w:tcPr>
          <w:p>
            <w:r>
              <w:rPr>
                <w:sz w:val="15"/>
                <w:szCs w:val="15"/>
              </w:rPr>
              <w:t xml:space="preserve">Bates et al. 2021 [16]</w:t>
            </w:r>
          </w:p>
        </w:tc>
        <w:tc>
          <w:tcPr>
            <w:tcW w:type="dxa" w:w="2700"/>
            <w:shd w:fill="F7F9FC" w:color="auto" w:val="clear"/>
            <w:tcMar>
              <w:top w:type="dxa" w:w="40"/>
              <w:left w:type="dxa" w:w="80"/>
              <w:bottom w:type="dxa" w:w="40"/>
              <w:right w:type="dxa" w:w="80"/>
            </w:tcMar>
            <w:vAlign w:val="top"/>
          </w:tcPr>
          <w:p>
            <w:r>
              <w:rPr>
                <w:sz w:val="15"/>
                <w:szCs w:val="15"/>
              </w:rPr>
              <w:t xml:space="preserve">risk-controlling prediction sets by an upper-bound scan</w:t>
            </w:r>
          </w:p>
        </w:tc>
        <w:tc>
          <w:tcPr>
            <w:tcW w:type="dxa" w:w="1350"/>
            <w:shd w:fill="F7F9FC" w:color="auto" w:val="clear"/>
            <w:tcMar>
              <w:top w:type="dxa" w:w="40"/>
              <w:left w:type="dxa" w:w="80"/>
              <w:bottom w:type="dxa" w:w="40"/>
              <w:right w:type="dxa" w:w="80"/>
            </w:tcMar>
            <w:vAlign w:val="top"/>
          </w:tcPr>
          <w:p>
            <w:r>
              <w:rPr>
                <w:sz w:val="15"/>
                <w:szCs w:val="15"/>
              </w:rPr>
              <w:t xml:space="preserve">KUFI-GO, §4.3</w:t>
            </w:r>
          </w:p>
        </w:tc>
        <w:tc>
          <w:tcPr>
            <w:tcW w:type="dxa" w:w="3268"/>
            <w:shd w:fill="F7F9FC" w:color="auto" w:val="clear"/>
            <w:tcMar>
              <w:top w:type="dxa" w:w="40"/>
              <w:left w:type="dxa" w:w="80"/>
              <w:bottom w:type="dxa" w:w="40"/>
              <w:right w:type="dxa" w:w="80"/>
            </w:tcMar>
            <w:vAlign w:val="top"/>
          </w:tcPr>
          <w:p>
            <w:r>
              <w:rPr>
                <w:sz w:val="15"/>
                <w:szCs w:val="15"/>
              </w:rPr>
              <w:t xml:space="preserve">certified exceedance zones on the synthetic tests</w:t>
            </w:r>
          </w:p>
        </w:tc>
      </w:tr>
      <w:tr>
        <w:trPr>
          <w:cantSplit/>
        </w:trPr>
        <w:tc>
          <w:tcPr>
            <w:tcW w:type="dxa" w:w="420"/>
            <w:tcMar>
              <w:top w:type="dxa" w:w="40"/>
              <w:left w:type="dxa" w:w="80"/>
              <w:bottom w:type="dxa" w:w="40"/>
              <w:right w:type="dxa" w:w="80"/>
            </w:tcMar>
            <w:vAlign w:val="top"/>
          </w:tcPr>
          <w:p>
            <w:r>
              <w:rPr>
                <w:sz w:val="15"/>
                <w:szCs w:val="15"/>
              </w:rPr>
              <w:t xml:space="preserve">13</w:t>
            </w:r>
          </w:p>
        </w:tc>
        <w:tc>
          <w:tcPr>
            <w:tcW w:type="dxa" w:w="1900"/>
            <w:tcMar>
              <w:top w:type="dxa" w:w="40"/>
              <w:left w:type="dxa" w:w="80"/>
              <w:bottom w:type="dxa" w:w="40"/>
              <w:right w:type="dxa" w:w="80"/>
            </w:tcMar>
            <w:vAlign w:val="top"/>
          </w:tcPr>
          <w:p>
            <w:r>
              <w:rPr>
                <w:sz w:val="15"/>
                <w:szCs w:val="15"/>
              </w:rPr>
              <w:t xml:space="preserve">Wu et al. 2024 [17]</w:t>
            </w:r>
          </w:p>
        </w:tc>
        <w:tc>
          <w:tcPr>
            <w:tcW w:type="dxa" w:w="2700"/>
            <w:tcMar>
              <w:top w:type="dxa" w:w="40"/>
              <w:left w:type="dxa" w:w="80"/>
              <w:bottom w:type="dxa" w:w="40"/>
              <w:right w:type="dxa" w:w="80"/>
            </w:tcMar>
            <w:vAlign w:val="top"/>
          </w:tcPr>
          <w:p>
            <w:r>
              <w:rPr>
                <w:sz w:val="15"/>
                <w:szCs w:val="15"/>
              </w:rPr>
              <w:t xml:space="preserve">causal exposure–response curve by matching on the generalized propensity score</w:t>
            </w:r>
          </w:p>
        </w:tc>
        <w:tc>
          <w:tcPr>
            <w:tcW w:type="dxa" w:w="1350"/>
            <w:tcMar>
              <w:top w:type="dxa" w:w="40"/>
              <w:left w:type="dxa" w:w="80"/>
              <w:bottom w:type="dxa" w:w="40"/>
              <w:right w:type="dxa" w:w="80"/>
            </w:tcMar>
            <w:vAlign w:val="top"/>
          </w:tcPr>
          <w:p>
            <w:r>
              <w:rPr>
                <w:sz w:val="15"/>
                <w:szCs w:val="15"/>
              </w:rPr>
              <w:t xml:space="preserve">KUFI-GO, TMLE-GO</w:t>
            </w:r>
          </w:p>
        </w:tc>
        <w:tc>
          <w:tcPr>
            <w:tcW w:type="dxa" w:w="3268"/>
            <w:tcMar>
              <w:top w:type="dxa" w:w="40"/>
              <w:left w:type="dxa" w:w="80"/>
              <w:bottom w:type="dxa" w:w="40"/>
              <w:right w:type="dxa" w:w="80"/>
            </w:tcMar>
            <w:vAlign w:val="top"/>
          </w:tcPr>
          <w:p>
            <w:r>
              <w:rPr>
                <w:sz w:val="15"/>
                <w:szCs w:val="15"/>
              </w:rPr>
              <w:t xml:space="preserve">pumping rate as the exposure; state the interference between wells as a limit</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14</w:t>
            </w:r>
          </w:p>
        </w:tc>
        <w:tc>
          <w:tcPr>
            <w:tcW w:type="dxa" w:w="1900"/>
            <w:shd w:fill="F7F9FC" w:color="auto" w:val="clear"/>
            <w:tcMar>
              <w:top w:type="dxa" w:w="40"/>
              <w:left w:type="dxa" w:w="80"/>
              <w:bottom w:type="dxa" w:w="40"/>
              <w:right w:type="dxa" w:w="80"/>
            </w:tcMar>
            <w:vAlign w:val="top"/>
          </w:tcPr>
          <w:p>
            <w:r>
              <w:rPr>
                <w:sz w:val="15"/>
                <w:szCs w:val="15"/>
              </w:rPr>
              <w:t xml:space="preserve">Rytgaard &amp; van der Laan 2024 [18]</w:t>
            </w:r>
          </w:p>
        </w:tc>
        <w:tc>
          <w:tcPr>
            <w:tcW w:type="dxa" w:w="2700"/>
            <w:shd w:fill="F7F9FC" w:color="auto" w:val="clear"/>
            <w:tcMar>
              <w:top w:type="dxa" w:w="40"/>
              <w:left w:type="dxa" w:w="80"/>
              <w:bottom w:type="dxa" w:w="40"/>
              <w:right w:type="dxa" w:w="80"/>
            </w:tcMar>
            <w:vAlign w:val="top"/>
          </w:tcPr>
          <w:p>
            <w:r>
              <w:rPr>
                <w:sz w:val="15"/>
                <w:szCs w:val="15"/>
              </w:rPr>
              <w:t xml:space="preserve">one-step TMLE with simultaneous bands for absolute risks</w:t>
            </w:r>
          </w:p>
        </w:tc>
        <w:tc>
          <w:tcPr>
            <w:tcW w:type="dxa" w:w="1350"/>
            <w:shd w:fill="F7F9FC" w:color="auto" w:val="clear"/>
            <w:tcMar>
              <w:top w:type="dxa" w:w="40"/>
              <w:left w:type="dxa" w:w="80"/>
              <w:bottom w:type="dxa" w:w="40"/>
              <w:right w:type="dxa" w:w="80"/>
            </w:tcMar>
            <w:vAlign w:val="top"/>
          </w:tcPr>
          <w:p>
            <w:r>
              <w:rPr>
                <w:sz w:val="15"/>
                <w:szCs w:val="15"/>
              </w:rPr>
              <w:t xml:space="preserve">TMLE-GO</w:t>
            </w:r>
          </w:p>
        </w:tc>
        <w:tc>
          <w:tcPr>
            <w:tcW w:type="dxa" w:w="3268"/>
            <w:shd w:fill="F7F9FC" w:color="auto" w:val="clear"/>
            <w:tcMar>
              <w:top w:type="dxa" w:w="40"/>
              <w:left w:type="dxa" w:w="80"/>
              <w:bottom w:type="dxa" w:w="40"/>
              <w:right w:type="dxa" w:w="80"/>
            </w:tcMar>
            <w:vAlign w:val="top"/>
          </w:tcPr>
          <w:p>
            <w:r>
              <w:rPr>
                <w:sz w:val="15"/>
                <w:szCs w:val="15"/>
              </w:rPr>
              <w:t xml:space="preserve">index the target by threshold and time to obtain the KUFI-GO band</w:t>
            </w:r>
          </w:p>
        </w:tc>
      </w:tr>
      <w:tr>
        <w:trPr>
          <w:cantSplit/>
        </w:trPr>
        <w:tc>
          <w:tcPr>
            <w:tcW w:type="dxa" w:w="420"/>
            <w:tcMar>
              <w:top w:type="dxa" w:w="40"/>
              <w:left w:type="dxa" w:w="80"/>
              <w:bottom w:type="dxa" w:w="40"/>
              <w:right w:type="dxa" w:w="80"/>
            </w:tcMar>
            <w:vAlign w:val="top"/>
          </w:tcPr>
          <w:p>
            <w:r>
              <w:rPr>
                <w:sz w:val="15"/>
                <w:szCs w:val="15"/>
              </w:rPr>
              <w:t xml:space="preserve">15</w:t>
            </w:r>
          </w:p>
        </w:tc>
        <w:tc>
          <w:tcPr>
            <w:tcW w:type="dxa" w:w="1900"/>
            <w:tcMar>
              <w:top w:type="dxa" w:w="40"/>
              <w:left w:type="dxa" w:w="80"/>
              <w:bottom w:type="dxa" w:w="40"/>
              <w:right w:type="dxa" w:w="80"/>
            </w:tcMar>
            <w:vAlign w:val="top"/>
          </w:tcPr>
          <w:p>
            <w:r>
              <w:rPr>
                <w:sz w:val="15"/>
                <w:szCs w:val="15"/>
              </w:rPr>
              <w:t xml:space="preserve">Zhang, Geng, Li &amp; Ding 2025 [19]</w:t>
            </w:r>
          </w:p>
        </w:tc>
        <w:tc>
          <w:tcPr>
            <w:tcW w:type="dxa" w:w="2700"/>
            <w:tcMar>
              <w:top w:type="dxa" w:w="40"/>
              <w:left w:type="dxa" w:w="80"/>
              <w:bottom w:type="dxa" w:w="40"/>
              <w:right w:type="dxa" w:w="80"/>
            </w:tcMar>
            <w:vAlign w:val="top"/>
          </w:tcPr>
          <w:p>
            <w:r>
              <w:rPr>
                <w:sz w:val="15"/>
                <w:szCs w:val="15"/>
              </w:rPr>
              <w:t xml:space="preserve">probability of necessity for ordinal outcomes; sharp bounds</w:t>
            </w:r>
          </w:p>
        </w:tc>
        <w:tc>
          <w:tcPr>
            <w:tcW w:type="dxa" w:w="1350"/>
            <w:tcMar>
              <w:top w:type="dxa" w:w="40"/>
              <w:left w:type="dxa" w:w="80"/>
              <w:bottom w:type="dxa" w:w="40"/>
              <w:right w:type="dxa" w:w="80"/>
            </w:tcMar>
            <w:vAlign w:val="top"/>
          </w:tcPr>
          <w:p>
            <w:r>
              <w:rPr>
                <w:sz w:val="15"/>
                <w:szCs w:val="15"/>
              </w:rPr>
              <w:t xml:space="preserve">ATRIB-GO</w:t>
            </w:r>
          </w:p>
        </w:tc>
        <w:tc>
          <w:tcPr>
            <w:tcW w:type="dxa" w:w="3268"/>
            <w:tcMar>
              <w:top w:type="dxa" w:w="40"/>
              <w:left w:type="dxa" w:w="80"/>
              <w:bottom w:type="dxa" w:w="40"/>
              <w:right w:type="dxa" w:w="80"/>
            </w:tcMar>
            <w:vAlign w:val="top"/>
          </w:tcPr>
          <w:p>
            <w:r>
              <w:rPr>
                <w:sz w:val="15"/>
                <w:szCs w:val="15"/>
              </w:rPr>
              <w:t xml:space="preserve">salinity classes fresh, brackish and saline as the ordinal outcome</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16</w:t>
            </w:r>
          </w:p>
        </w:tc>
        <w:tc>
          <w:tcPr>
            <w:tcW w:type="dxa" w:w="1900"/>
            <w:shd w:fill="F7F9FC" w:color="auto" w:val="clear"/>
            <w:tcMar>
              <w:top w:type="dxa" w:w="40"/>
              <w:left w:type="dxa" w:w="80"/>
              <w:bottom w:type="dxa" w:w="40"/>
              <w:right w:type="dxa" w:w="80"/>
            </w:tcMar>
            <w:vAlign w:val="top"/>
          </w:tcPr>
          <w:p>
            <w:r>
              <w:rPr>
                <w:sz w:val="15"/>
                <w:szCs w:val="15"/>
              </w:rPr>
              <w:t xml:space="preserve">Liao, Klasnja &amp; Murphy 2021 [20]</w:t>
            </w:r>
          </w:p>
        </w:tc>
        <w:tc>
          <w:tcPr>
            <w:tcW w:type="dxa" w:w="2700"/>
            <w:shd w:fill="F7F9FC" w:color="auto" w:val="clear"/>
            <w:tcMar>
              <w:top w:type="dxa" w:w="40"/>
              <w:left w:type="dxa" w:w="80"/>
              <w:bottom w:type="dxa" w:w="40"/>
              <w:right w:type="dxa" w:w="80"/>
            </w:tcMar>
            <w:vAlign w:val="top"/>
          </w:tcPr>
          <w:p>
            <w:r>
              <w:rPr>
                <w:sz w:val="15"/>
                <w:szCs w:val="15"/>
              </w:rPr>
              <w:t xml:space="preserve">off-policy estimate of a long-run average outcome</w:t>
            </w:r>
          </w:p>
        </w:tc>
        <w:tc>
          <w:tcPr>
            <w:tcW w:type="dxa" w:w="1350"/>
            <w:shd w:fill="F7F9FC" w:color="auto" w:val="clear"/>
            <w:tcMar>
              <w:top w:type="dxa" w:w="40"/>
              <w:left w:type="dxa" w:w="80"/>
              <w:bottom w:type="dxa" w:w="40"/>
              <w:right w:type="dxa" w:w="80"/>
            </w:tcMar>
            <w:vAlign w:val="top"/>
          </w:tcPr>
          <w:p>
            <w:r>
              <w:rPr>
                <w:sz w:val="15"/>
                <w:szCs w:val="15"/>
              </w:rPr>
              <w:t xml:space="preserve">TMLE-GO, KUFI-GO</w:t>
            </w:r>
          </w:p>
        </w:tc>
        <w:tc>
          <w:tcPr>
            <w:tcW w:type="dxa" w:w="3268"/>
            <w:shd w:fill="F7F9FC" w:color="auto" w:val="clear"/>
            <w:tcMar>
              <w:top w:type="dxa" w:w="40"/>
              <w:left w:type="dxa" w:w="80"/>
              <w:bottom w:type="dxa" w:w="40"/>
              <w:right w:type="dxa" w:w="80"/>
            </w:tcMar>
            <w:vAlign w:val="top"/>
          </w:tcPr>
          <w:p>
            <w:r>
              <w:rPr>
                <w:sz w:val="15"/>
                <w:szCs w:val="15"/>
              </w:rPr>
              <w:t xml:space="preserve">long-run exceedance frequency of a pumping rule from operator logs</w:t>
            </w:r>
          </w:p>
        </w:tc>
      </w:tr>
      <w:tr>
        <w:trPr>
          <w:cantSplit/>
        </w:trPr>
        <w:tc>
          <w:tcPr>
            <w:tcW w:type="dxa" w:w="420"/>
            <w:tcMar>
              <w:top w:type="dxa" w:w="40"/>
              <w:left w:type="dxa" w:w="80"/>
              <w:bottom w:type="dxa" w:w="40"/>
              <w:right w:type="dxa" w:w="80"/>
            </w:tcMar>
            <w:vAlign w:val="top"/>
          </w:tcPr>
          <w:p>
            <w:r>
              <w:rPr>
                <w:sz w:val="15"/>
                <w:szCs w:val="15"/>
              </w:rPr>
              <w:t xml:space="preserve">17</w:t>
            </w:r>
          </w:p>
        </w:tc>
        <w:tc>
          <w:tcPr>
            <w:tcW w:type="dxa" w:w="1900"/>
            <w:tcMar>
              <w:top w:type="dxa" w:w="40"/>
              <w:left w:type="dxa" w:w="80"/>
              <w:bottom w:type="dxa" w:w="40"/>
              <w:right w:type="dxa" w:w="80"/>
            </w:tcMar>
            <w:vAlign w:val="top"/>
          </w:tcPr>
          <w:p>
            <w:r>
              <w:rPr>
                <w:sz w:val="15"/>
                <w:szCs w:val="15"/>
              </w:rPr>
              <w:t xml:space="preserve">Elmachtoub &amp; Grigas 2022 [21]</w:t>
            </w:r>
          </w:p>
        </w:tc>
        <w:tc>
          <w:tcPr>
            <w:tcW w:type="dxa" w:w="2700"/>
            <w:tcMar>
              <w:top w:type="dxa" w:w="40"/>
              <w:left w:type="dxa" w:w="80"/>
              <w:bottom w:type="dxa" w:w="40"/>
              <w:right w:type="dxa" w:w="80"/>
            </w:tcMar>
            <w:vAlign w:val="top"/>
          </w:tcPr>
          <w:p>
            <w:r>
              <w:rPr>
                <w:sz w:val="15"/>
                <w:szCs w:val="15"/>
              </w:rPr>
              <w:t xml:space="preserve">learn for the decision (SPO+ loss), not for the prediction</w:t>
            </w:r>
          </w:p>
        </w:tc>
        <w:tc>
          <w:tcPr>
            <w:tcW w:type="dxa" w:w="1350"/>
            <w:tcMar>
              <w:top w:type="dxa" w:w="40"/>
              <w:left w:type="dxa" w:w="80"/>
              <w:bottom w:type="dxa" w:w="40"/>
              <w:right w:type="dxa" w:w="80"/>
            </w:tcMar>
            <w:vAlign w:val="top"/>
          </w:tcPr>
          <w:p>
            <w:r>
              <w:rPr>
                <w:sz w:val="15"/>
                <w:szCs w:val="15"/>
              </w:rPr>
              <w:t xml:space="preserve">§5.4</w:t>
            </w:r>
          </w:p>
        </w:tc>
        <w:tc>
          <w:tcPr>
            <w:tcW w:type="dxa" w:w="3268"/>
            <w:tcMar>
              <w:top w:type="dxa" w:w="40"/>
              <w:left w:type="dxa" w:w="80"/>
              <w:bottom w:type="dxa" w:w="40"/>
              <w:right w:type="dxa" w:w="80"/>
            </w:tcMar>
            <w:vAlign w:val="top"/>
          </w:tcPr>
          <w:p>
            <w:r>
              <w:rPr>
                <w:sz w:val="15"/>
                <w:szCs w:val="15"/>
              </w:rPr>
              <w:t xml:space="preserve">train the cheap assembly of the assembled-system note on decision regret</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18</w:t>
            </w:r>
          </w:p>
        </w:tc>
        <w:tc>
          <w:tcPr>
            <w:tcW w:type="dxa" w:w="1900"/>
            <w:shd w:fill="F7F9FC" w:color="auto" w:val="clear"/>
            <w:tcMar>
              <w:top w:type="dxa" w:w="40"/>
              <w:left w:type="dxa" w:w="80"/>
              <w:bottom w:type="dxa" w:w="40"/>
              <w:right w:type="dxa" w:w="80"/>
            </w:tcMar>
            <w:vAlign w:val="top"/>
          </w:tcPr>
          <w:p>
            <w:r>
              <w:rPr>
                <w:sz w:val="15"/>
                <w:szCs w:val="15"/>
              </w:rPr>
              <w:t xml:space="preserve">Ahmadi &amp; El Khadir 2023 [22]</w:t>
            </w:r>
          </w:p>
        </w:tc>
        <w:tc>
          <w:tcPr>
            <w:tcW w:type="dxa" w:w="2700"/>
            <w:shd w:fill="F7F9FC" w:color="auto" w:val="clear"/>
            <w:tcMar>
              <w:top w:type="dxa" w:w="40"/>
              <w:left w:type="dxa" w:w="80"/>
              <w:bottom w:type="dxa" w:w="40"/>
              <w:right w:type="dxa" w:w="80"/>
            </w:tcMar>
            <w:vAlign w:val="top"/>
          </w:tcPr>
          <w:p>
            <w:r>
              <w:rPr>
                <w:sz w:val="15"/>
                <w:szCs w:val="15"/>
              </w:rPr>
              <w:t xml:space="preserve">dynamics learned under side information as sum-of-squares constraints</w:t>
            </w:r>
          </w:p>
        </w:tc>
        <w:tc>
          <w:tcPr>
            <w:tcW w:type="dxa" w:w="1350"/>
            <w:shd w:fill="F7F9FC" w:color="auto" w:val="clear"/>
            <w:tcMar>
              <w:top w:type="dxa" w:w="40"/>
              <w:left w:type="dxa" w:w="80"/>
              <w:bottom w:type="dxa" w:w="40"/>
              <w:right w:type="dxa" w:w="80"/>
            </w:tcMar>
            <w:vAlign w:val="top"/>
          </w:tcPr>
          <w:p>
            <w:r>
              <w:rPr>
                <w:sz w:val="15"/>
                <w:szCs w:val="15"/>
              </w:rPr>
              <w:t xml:space="preserve">§3.3, KRITIK-GO</w:t>
            </w:r>
          </w:p>
        </w:tc>
        <w:tc>
          <w:tcPr>
            <w:tcW w:type="dxa" w:w="3268"/>
            <w:shd w:fill="F7F9FC" w:color="auto" w:val="clear"/>
            <w:tcMar>
              <w:top w:type="dxa" w:w="40"/>
              <w:left w:type="dxa" w:w="80"/>
              <w:bottom w:type="dxa" w:w="40"/>
              <w:right w:type="dxa" w:w="80"/>
            </w:tcMar>
            <w:vAlign w:val="top"/>
          </w:tcPr>
          <w:p>
            <w:r>
              <w:rPr>
                <w:sz w:val="15"/>
                <w:szCs w:val="15"/>
              </w:rPr>
              <w:t xml:space="preserve">toe monotone in pumping and 0 ≤ c ≤ 1 as hard constraints</w:t>
            </w:r>
          </w:p>
        </w:tc>
      </w:tr>
      <w:tr>
        <w:trPr>
          <w:cantSplit/>
        </w:trPr>
        <w:tc>
          <w:tcPr>
            <w:tcW w:type="dxa" w:w="420"/>
            <w:tcMar>
              <w:top w:type="dxa" w:w="40"/>
              <w:left w:type="dxa" w:w="80"/>
              <w:bottom w:type="dxa" w:w="40"/>
              <w:right w:type="dxa" w:w="80"/>
            </w:tcMar>
            <w:vAlign w:val="top"/>
          </w:tcPr>
          <w:p>
            <w:r>
              <w:rPr>
                <w:sz w:val="15"/>
                <w:szCs w:val="15"/>
              </w:rPr>
              <w:t xml:space="preserve">19</w:t>
            </w:r>
          </w:p>
        </w:tc>
        <w:tc>
          <w:tcPr>
            <w:tcW w:type="dxa" w:w="1900"/>
            <w:tcMar>
              <w:top w:type="dxa" w:w="40"/>
              <w:left w:type="dxa" w:w="80"/>
              <w:bottom w:type="dxa" w:w="40"/>
              <w:right w:type="dxa" w:w="80"/>
            </w:tcMar>
            <w:vAlign w:val="top"/>
          </w:tcPr>
          <w:p>
            <w:r>
              <w:rPr>
                <w:sz w:val="15"/>
                <w:szCs w:val="15"/>
              </w:rPr>
              <w:t xml:space="preserve">Ahmadi et al. 2026 [23]</w:t>
            </w:r>
          </w:p>
        </w:tc>
        <w:tc>
          <w:tcPr>
            <w:tcW w:type="dxa" w:w="2700"/>
            <w:tcMar>
              <w:top w:type="dxa" w:w="40"/>
              <w:left w:type="dxa" w:w="80"/>
              <w:bottom w:type="dxa" w:w="40"/>
              <w:right w:type="dxa" w:w="80"/>
            </w:tcMar>
            <w:vAlign w:val="top"/>
          </w:tcPr>
          <w:p>
            <w:r>
              <w:rPr>
                <w:sz w:val="15"/>
                <w:szCs w:val="15"/>
              </w:rPr>
              <w:t xml:space="preserve">safe learning: stay in the safe set for every model consistent with the data</w:t>
            </w:r>
          </w:p>
        </w:tc>
        <w:tc>
          <w:tcPr>
            <w:tcW w:type="dxa" w:w="1350"/>
            <w:tcMar>
              <w:top w:type="dxa" w:w="40"/>
              <w:left w:type="dxa" w:w="80"/>
              <w:bottom w:type="dxa" w:w="40"/>
              <w:right w:type="dxa" w:w="80"/>
            </w:tcMar>
            <w:vAlign w:val="top"/>
          </w:tcPr>
          <w:p>
            <w:r>
              <w:rPr>
                <w:sz w:val="15"/>
                <w:szCs w:val="15"/>
              </w:rPr>
              <w:t xml:space="preserve">§3.5, KUFI-GO</w:t>
            </w:r>
          </w:p>
        </w:tc>
        <w:tc>
          <w:tcPr>
            <w:tcW w:type="dxa" w:w="3268"/>
            <w:tcMar>
              <w:top w:type="dxa" w:w="40"/>
              <w:left w:type="dxa" w:w="80"/>
              <w:bottom w:type="dxa" w:w="40"/>
              <w:right w:type="dxa" w:w="80"/>
            </w:tcMar>
            <w:vAlign w:val="top"/>
          </w:tcPr>
          <w:p>
            <w:r>
              <w:rPr>
                <w:sz w:val="15"/>
                <w:szCs w:val="15"/>
              </w:rPr>
              <w:t xml:space="preserve">pumping tests that keep the toe seaward of the screens for every credible parameter</w:t>
            </w:r>
          </w:p>
        </w:tc>
      </w:tr>
      <w:tr>
        <w:trPr>
          <w:cantSplit/>
        </w:trPr>
        <w:tc>
          <w:tcPr>
            <w:tcW w:type="dxa" w:w="420"/>
            <w:shd w:fill="F7F9FC" w:color="auto" w:val="clear"/>
            <w:tcMar>
              <w:top w:type="dxa" w:w="40"/>
              <w:left w:type="dxa" w:w="80"/>
              <w:bottom w:type="dxa" w:w="40"/>
              <w:right w:type="dxa" w:w="80"/>
            </w:tcMar>
            <w:vAlign w:val="top"/>
          </w:tcPr>
          <w:p>
            <w:r>
              <w:rPr>
                <w:sz w:val="15"/>
                <w:szCs w:val="15"/>
              </w:rPr>
              <w:t xml:space="preserve">20</w:t>
            </w:r>
          </w:p>
        </w:tc>
        <w:tc>
          <w:tcPr>
            <w:tcW w:type="dxa" w:w="1900"/>
            <w:shd w:fill="F7F9FC" w:color="auto" w:val="clear"/>
            <w:tcMar>
              <w:top w:type="dxa" w:w="40"/>
              <w:left w:type="dxa" w:w="80"/>
              <w:bottom w:type="dxa" w:w="40"/>
              <w:right w:type="dxa" w:w="80"/>
            </w:tcMar>
            <w:vAlign w:val="top"/>
          </w:tcPr>
          <w:p>
            <w:r>
              <w:rPr>
                <w:sz w:val="15"/>
                <w:szCs w:val="15"/>
              </w:rPr>
              <w:t xml:space="preserve">Perri &amp; Porporato 2022 [24]</w:t>
            </w:r>
          </w:p>
        </w:tc>
        <w:tc>
          <w:tcPr>
            <w:tcW w:type="dxa" w:w="2700"/>
            <w:shd w:fill="F7F9FC" w:color="auto" w:val="clear"/>
            <w:tcMar>
              <w:top w:type="dxa" w:w="40"/>
              <w:left w:type="dxa" w:w="80"/>
              <w:bottom w:type="dxa" w:w="40"/>
              <w:right w:type="dxa" w:w="80"/>
            </w:tcMar>
            <w:vAlign w:val="top"/>
          </w:tcPr>
          <w:p>
            <w:r>
              <w:rPr>
                <w:sz w:val="15"/>
                <w:szCs w:val="15"/>
              </w:rPr>
              <w:t xml:space="preserve">concentration as a ratio M/V, with heavy tails as V → 0</w:t>
            </w:r>
          </w:p>
        </w:tc>
        <w:tc>
          <w:tcPr>
            <w:tcW w:type="dxa" w:w="1350"/>
            <w:shd w:fill="F7F9FC" w:color="auto" w:val="clear"/>
            <w:tcMar>
              <w:top w:type="dxa" w:w="40"/>
              <w:left w:type="dxa" w:w="80"/>
              <w:bottom w:type="dxa" w:w="40"/>
              <w:right w:type="dxa" w:w="80"/>
            </w:tcMar>
            <w:vAlign w:val="top"/>
          </w:tcPr>
          <w:p>
            <w:r>
              <w:rPr>
                <w:sz w:val="15"/>
                <w:szCs w:val="15"/>
              </w:rPr>
              <w:t xml:space="preserve">§4.3, §5.5</w:t>
            </w:r>
          </w:p>
        </w:tc>
        <w:tc>
          <w:tcPr>
            <w:tcW w:type="dxa" w:w="3268"/>
            <w:shd w:fill="F7F9FC" w:color="auto" w:val="clear"/>
            <w:tcMar>
              <w:top w:type="dxa" w:w="40"/>
              <w:left w:type="dxa" w:w="80"/>
              <w:bottom w:type="dxa" w:w="40"/>
              <w:right w:type="dxa" w:w="80"/>
            </w:tcMar>
            <w:vAlign w:val="top"/>
          </w:tcPr>
          <w:p>
            <w:r>
              <w:rPr>
                <w:sz w:val="15"/>
                <w:szCs w:val="15"/>
              </w:rPr>
              <w:t xml:space="preserve">chloride as salt mass over freshwater volume in dry seasons</w:t>
            </w:r>
          </w:p>
        </w:tc>
      </w:tr>
    </w:tbl>
    <w:p>
      <w:pPr>
        <w:spacing w:after="120"/>
      </w:pPr>
    </w:p>
    <w:p>
      <w:pPr>
        <w:pStyle w:val="Heading1"/>
      </w:pPr>
      <w:r>
        <w:t xml:space="preserve">3. The three proposals of the note, checked</w:t>
      </w:r>
    </w:p>
    <w:p>
      <w:pPr>
        <w:spacing w:after="100"/>
        <w:jc w:val="both"/>
      </w:pPr>
      <w:r>
        <w:t xml:space="preserve">The note proposes three improvements, N1–N3, with proofs. The proofs were read line by line and are correct under the conditions they state. The checks below are numerical; the code is experiments/spiranca_go/sg_checks.py and sg_ltt.py.</w:t>
      </w:r>
    </w:p>
    <w:p>
      <w:pPr>
        <w:pStyle w:val="Heading2"/>
      </w:pPr>
      <w:r>
        <w:t xml:space="preserve">3.1 N1: the intercept is reliable, the slope is not</w:t>
      </w:r>
    </w:p>
    <w:p>
      <w:pPr>
        <w:spacing w:after="100"/>
        <w:jc w:val="both"/>
      </w:pPr>
      <w:r>
        <w:t xml:space="preserve">N1 tempers the importance weights of the calibration, </w:t>
      </w:r>
      <m:oMath>
        <m:sSub>
          <m:e>
            <m:r>
              <m:t>w</m:t>
            </m:r>
          </m:e>
          <m:sub>
            <m:r>
              <m:t>i</m:t>
            </m:r>
          </m:sub>
        </m:sSub>
        <m:d>
          <m:dPr>
            <m:begChr m:val="("/>
            <m:sepChr m:val=""/>
            <m:endChr m:val=")"/>
            <m:grow/>
          </m:dPr>
          <m:e>
            <m:r>
              <m:t>τ</m:t>
            </m:r>
          </m:e>
        </m:d>
        <m:r>
          <m:rPr>
            <m:sty m:val="p"/>
          </m:rPr>
          <m:t>∝</m:t>
        </m:r>
        <m:r>
          <m:rPr>
            <m:sty m:val="p"/>
          </m:rPr>
          <m:t>exp</m:t>
        </m:r>
        <m:d>
          <m:dPr>
            <m:begChr m:val="("/>
            <m:sepChr m:val=""/>
            <m:endChr m:val=")"/>
            <m:grow/>
          </m:dPr>
          <m:e>
            <m:r>
              <m:rPr>
                <m:sty m:val="p"/>
              </m:rPr>
              <m:t>−</m:t>
            </m:r>
            <m:sSub>
              <m:e>
                <m:r>
                  <m:t>D</m:t>
                </m:r>
              </m:e>
              <m:sub>
                <m:r>
                  <m:t>i</m:t>
                </m:r>
              </m:sub>
            </m:sSub>
            <m:r>
              <m:rPr>
                <m:sty m:val="p"/>
              </m:rPr>
              <m:t>/</m:t>
            </m:r>
            <m:r>
              <m:t>2</m:t>
            </m:r>
            <m:sSup>
              <m:e>
                <m:r>
                  <m:t>τ</m:t>
                </m:r>
              </m:e>
              <m:sup>
                <m:r>
                  <m:t>2</m:t>
                </m:r>
              </m:sup>
            </m:sSup>
          </m:e>
        </m:d>
      </m:oMath>
      <w:r>
        <w:t xml:space="preserve">, where </w:t>
      </w:r>
      <m:oMath>
        <m:sSub>
          <m:e>
            <m:r>
              <m:t>D</m:t>
            </m:r>
          </m:e>
          <m:sub>
            <m:r>
              <m:t>i</m:t>
            </m:r>
          </m:sub>
        </m:sSub>
      </m:oMath>
      <w:r>
        <w:t xml:space="preserve"> is the squared misfit of draw </w:t>
      </w:r>
      <m:oMath>
        <m:r>
          <m:t>i</m:t>
        </m:r>
      </m:oMath>
      <w:r>
        <w:t xml:space="preserve"> to the documented facts, and reads the misspecification from the mean misfit: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cr m:val="double-struck"/>
                        <m:sty m:val="p"/>
                      </m:rPr>
                      <m:t>E</m:t>
                    </m:r>
                  </m:e>
                  <m:sub>
                    <m:r>
                      <m:t>τ</m:t>
                    </m:r>
                  </m:sub>
                </m:sSub>
                <m:d>
                  <m:dPr>
                    <m:begChr m:val="["/>
                    <m:sepChr m:val=""/>
                    <m:endChr m:val="]"/>
                    <m:grow/>
                  </m:dPr>
                  <m:e>
                    <m:r>
                      <m:t>D</m:t>
                    </m:r>
                  </m:e>
                </m:d>
                <m:r>
                  <m:rPr>
                    <m:sty m:val="p"/>
                  </m:rPr>
                  <m:t>=</m:t>
                </m:r>
                <m:sSup>
                  <m:e>
                    <m:r>
                      <m:t>D</m:t>
                    </m:r>
                  </m:e>
                  <m:sup>
                    <m:r>
                      <m:rPr>
                        <m:sty m:val="p"/>
                      </m:rPr>
                      <m:t>⋆</m:t>
                    </m:r>
                  </m:sup>
                </m:sSup>
                <m:r>
                  <m:rPr>
                    <m:sty m:val="p"/>
                  </m:rPr>
                  <m:t>+</m:t>
                </m:r>
                <m:r>
                  <m:t>m</m:t>
                </m:r>
                <m:r>
                  <m:t> </m:t>
                </m:r>
                <m:sSup>
                  <m:e>
                    <m:r>
                      <m:t>τ</m:t>
                    </m:r>
                  </m:e>
                  <m:sup>
                    <m:r>
                      <m:t>2</m:t>
                    </m:r>
                  </m:sup>
                </m:sSup>
                <m:r>
                  <m:rPr>
                    <m:sty m:val="p"/>
                  </m:rPr>
                  <m:t>+</m:t>
                </m:r>
                <m:r>
                  <m:t>o</m:t>
                </m:r>
                <m:d>
                  <m:dPr>
                    <m:begChr m:val="("/>
                    <m:sepChr m:val=""/>
                    <m:endChr m:val=")"/>
                    <m:grow/>
                  </m:dPr>
                  <m:e>
                    <m:sSup>
                      <m:e>
                        <m:r>
                          <m:t>τ</m:t>
                        </m:r>
                      </m:e>
                      <m:sup>
                        <m:r>
                          <m:t>2</m:t>
                        </m:r>
                      </m:sup>
                    </m:sSup>
                  </m:e>
                </m:d>
                <m:r>
                  <m:rPr>
                    <m:sty m:val="p"/>
                  </m:rPr>
                  <m:t>,</m:t>
                </m:r>
                <m:r>
                  <m:t>  </m:t>
                </m:r>
                <m:f>
                  <m:fPr>
                    <m:type m:val="bar"/>
                  </m:fPr>
                  <m:num>
                    <m:r>
                      <m:rPr>
                        <m:sty m:val="p"/>
                      </m:rPr>
                      <m:t>E</m:t>
                    </m:r>
                    <m:r>
                      <m:rPr>
                        <m:sty m:val="p"/>
                      </m:rPr>
                      <m:t>S</m:t>
                    </m:r>
                    <m:r>
                      <m:rPr>
                        <m:sty m:val="p"/>
                      </m:rPr>
                      <m:t>S</m:t>
                    </m:r>
                    <m:d>
                      <m:dPr>
                        <m:begChr m:val="("/>
                        <m:sepChr m:val=""/>
                        <m:endChr m:val=")"/>
                        <m:grow/>
                      </m:dPr>
                      <m:e>
                        <m:r>
                          <m:t>τ</m:t>
                        </m:r>
                      </m:e>
                    </m:d>
                  </m:num>
                  <m:den>
                    <m:r>
                      <m:t>N</m:t>
                    </m:r>
                  </m:den>
                </m:f>
                <m:r>
                  <m:rPr>
                    <m:sty m:val="p"/>
                  </m:rPr>
                  <m:t>≍</m:t>
                </m:r>
                <m:sSup>
                  <m:e>
                    <m:r>
                      <m:t>τ</m:t>
                    </m:r>
                  </m:e>
                  <m:sup>
                    <m:r>
                      <m:t>m</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sSup>
          <m:e>
            <m:r>
              <m:t>D</m:t>
            </m:r>
          </m:e>
          <m:sup>
            <m:r>
              <m:rPr>
                <m:sty m:val="p"/>
              </m:rPr>
              <m:t>⋆</m:t>
            </m:r>
          </m:sup>
        </m:sSup>
      </m:oMath>
      <w:r>
        <w:rPr>
          <w:color w:val="3A4350"/>
          <w:sz w:val="19"/>
          <w:szCs w:val="19"/>
        </w:rPr>
        <w:t xml:space="preserve"> is the smallest misfit the model can reach (zero when the facts are compatible; the squared distance </w:t>
      </w:r>
      <m:oMath>
        <m:sSup>
          <m:e>
            <m:r>
              <m:t>ϵ</m:t>
            </m:r>
          </m:e>
          <m:sup>
            <m:r>
              <m:rPr>
                <m:sty m:val="p"/>
              </m:rPr>
              <m:t>⋆</m:t>
            </m:r>
            <m:r>
              <m:t>2</m:t>
            </m:r>
          </m:sup>
        </m:sSup>
      </m:oMath>
      <w:r>
        <w:rPr>
          <w:color w:val="3A4350"/>
          <w:sz w:val="19"/>
          <w:szCs w:val="19"/>
        </w:rPr>
        <w:t xml:space="preserve"> of Frazier et al. [7] otherwise) and </w:t>
      </w:r>
      <m:oMath>
        <m:r>
          <m:t>m</m:t>
        </m:r>
      </m:oMath>
      <w:r>
        <w:rPr>
          <w:color w:val="3A4350"/>
          <w:sz w:val="19"/>
          <w:szCs w:val="19"/>
        </w:rPr>
        <w:t xml:space="preserve"> is 3 when the target lies inside the reach of the model, 4 when it lies outside it and the nearest point is on a smooth boundary, and smaller when a fact is redundant.</w:t>
      </w:r>
    </w:p>
    <w:p>
      <w:pPr>
        <w:spacing w:after="100"/>
        <w:jc w:val="both"/>
      </w:pPr>
      <w:r>
        <w:t xml:space="preserve">The check draws </w:t>
      </w:r>
      <m:oMath>
        <m:r>
          <m:t>N</m:t>
        </m:r>
        <m:r>
          <m:rPr>
            <m:sty m:val="p"/>
          </m:rPr>
          <m:t>=</m:t>
        </m:r>
        <m:r>
          <m:t>20</m:t>
        </m:r>
        <m:r>
          <m:t> </m:t>
        </m:r>
        <m:r>
          <m:t>000</m:t>
        </m:r>
      </m:oMath>
      <w:r>
        <w:t xml:space="preserve"> summaries uniformly in a cube (three facts) and fits (1) for </w:t>
      </w:r>
      <m:oMath>
        <m:r>
          <m:t>τ</m:t>
        </m:r>
      </m:oMath>
      <w:r>
        <w:t xml:space="preserve"> down to the value where the effective sample size is 100, as the note prescribes. Inside the reach the fitted slope is 2.96 (theory 3) and the exponent of the effective sample size 3.05; with a redundant fact both are 2.00 and 1.99 (theory 2). Outside the reach, the intercept is 0.271 against a true 0.272, but the slope is 3.46 where the theory says 4. The slope stays near 3.6–3.7 even with </w:t>
      </w:r>
      <m:oMath>
        <m:r>
          <m:t>2</m:t>
        </m:r>
        <m:r>
          <m:rPr>
            <m:sty m:val="p"/>
          </m:rPr>
          <m:t>×</m:t>
        </m:r>
        <m:sSup>
          <m:e>
            <m:r>
              <m:t>10</m:t>
            </m:r>
          </m:e>
          <m:sup>
            <m:r>
              <m:t>6</m:t>
            </m:r>
          </m:sup>
        </m:sSup>
      </m:oMath>
      <w:r>
        <w:t xml:space="preserve"> draws: the misfit grows linearly in the normal direction and quadratically along the boundary, and the quadratic correction is not small at any </w:t>
      </w:r>
      <m:oMath>
        <m:r>
          <m:t>τ</m:t>
        </m:r>
      </m:oMath>
      <w:r>
        <w:t xml:space="preserve"> the effective sample size allows (Figure 1a). So </w:t>
      </w:r>
      <m:oMath>
        <m:sSup>
          <m:e>
            <m:acc>
              <m:accPr>
                <m:chr m:val="̂"/>
              </m:accPr>
              <m:e>
                <m:r>
                  <m:t>D</m:t>
                </m:r>
              </m:e>
            </m:acc>
          </m:e>
          <m:sup>
            <m:r>
              <m:rPr>
                <m:sty m:val="p"/>
              </m:rPr>
              <m:t>⋆</m:t>
            </m:r>
          </m:sup>
        </m:sSup>
      </m:oMath>
      <w:r>
        <w:t xml:space="preserve"> answers the question N1 asks, whether the facts can be met at all, and </w:t>
      </w:r>
      <m:oMath>
        <m:acc>
          <m:accPr>
            <m:chr m:val="̂"/>
          </m:accPr>
          <m:e>
            <m:r>
              <m:t>m</m:t>
            </m:r>
          </m:e>
        </m:acc>
      </m:oMath>
      <w:r>
        <w:t xml:space="preserve"> separates only a redundant fact (2) from the rest; it should not be used to tell an inside target (3) from an outside one (4). A bootstrap over the 20 000 stored draws gives the band of </w:t>
      </w:r>
      <m:oMath>
        <m:sSup>
          <m:e>
            <m:acc>
              <m:accPr>
                <m:chr m:val="̂"/>
              </m:accPr>
              <m:e>
                <m:r>
                  <m:t>D</m:t>
                </m:r>
              </m:e>
            </m:acc>
          </m:e>
          <m:sup>
            <m:r>
              <m:rPr>
                <m:sty m:val="p"/>
              </m:rPr>
              <m:t>⋆</m:t>
            </m:r>
          </m:sup>
        </m:sSup>
      </m:oMath>
      <w:r>
        <w:t xml:space="preserve"> at no extra model run.</w:t>
      </w:r>
    </w:p>
    <w:p>
      <w:pPr>
        <w:pStyle w:val="Heading2"/>
      </w:pPr>
      <w:r>
        <w:t xml:space="preserve">3.2 N2: certified thresholds, and what they cost in the assembled-system note</w:t>
      </w:r>
    </w:p>
    <w:p>
      <w:pPr>
        <w:spacing w:after="100"/>
        <w:jc w:val="both"/>
      </w:pPr>
      <w:r>
        <w:t xml:space="preserve">N2 tests the pumping thresholds in increasing order and certifies the largest one before the first non-rejection: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j</m:t>
                    </m:r>
                  </m:sub>
                </m:sSub>
                <m:r>
                  <m:rPr>
                    <m:sty m:val="p"/>
                  </m:rPr>
                  <m:t>:</m:t>
                </m:r>
                <m:r>
                  <m:t> </m:t>
                </m:r>
                <m:r>
                  <m:t>R</m:t>
                </m:r>
                <m:d>
                  <m:dPr>
                    <m:begChr m:val="("/>
                    <m:sepChr m:val=""/>
                    <m:endChr m:val=")"/>
                    <m:grow/>
                  </m:dPr>
                  <m:e>
                    <m:sSub>
                      <m:e>
                        <m:r>
                          <m:t>Q</m:t>
                        </m:r>
                      </m:e>
                      <m:sub>
                        <m:r>
                          <m:t>j</m:t>
                        </m:r>
                      </m:sub>
                    </m:sSub>
                  </m:e>
                </m:d>
                <m:r>
                  <m:rPr>
                    <m:sty m:val="p"/>
                  </m:rPr>
                  <m:t>&gt;</m:t>
                </m:r>
                <m:r>
                  <m:t>α</m:t>
                </m:r>
                <m:r>
                  <m:rPr>
                    <m:sty m:val="p"/>
                  </m:rPr>
                  <m:t>,</m:t>
                </m:r>
                <m:r>
                  <m:t>  </m:t>
                </m:r>
                <m:sSub>
                  <m:e>
                    <m:r>
                      <m:t>p</m:t>
                    </m:r>
                  </m:e>
                  <m:sub>
                    <m:r>
                      <m:t>j</m:t>
                    </m:r>
                  </m:sub>
                </m:sSub>
                <m:r>
                  <m:rPr>
                    <m:sty m:val="p"/>
                  </m:rPr>
                  <m:t>=</m:t>
                </m:r>
                <m:r>
                  <m:rPr>
                    <m:sty m:val="p"/>
                  </m:rPr>
                  <m:t>Pr</m:t>
                </m:r>
                <m:r>
                  <m:rPr>
                    <m:sty m:val="p"/>
                  </m:rPr>
                  <m:t>{</m:t>
                </m:r>
                <m:r>
                  <m:rPr>
                    <m:sty m:val="p"/>
                  </m:rPr>
                  <m:t>B</m:t>
                </m:r>
                <m:r>
                  <m:rPr>
                    <m:sty m:val="p"/>
                  </m:rPr>
                  <m:t>i</m:t>
                </m:r>
                <m:r>
                  <m:rPr>
                    <m:sty m:val="p"/>
                  </m:rPr>
                  <m:t>n</m:t>
                </m:r>
                <m:d>
                  <m:dPr>
                    <m:begChr m:val="("/>
                    <m:sepChr m:val=""/>
                    <m:endChr m:val=")"/>
                    <m:grow/>
                  </m:dPr>
                  <m:e>
                    <m:sSub>
                      <m:e>
                        <m:r>
                          <m:t>n</m:t>
                        </m:r>
                      </m:e>
                      <m:sub>
                        <m:r>
                          <m:t>j</m:t>
                        </m:r>
                      </m:sub>
                    </m:sSub>
                    <m:r>
                      <m:rPr>
                        <m:sty m:val="p"/>
                      </m:rPr>
                      <m:t>,</m:t>
                    </m:r>
                    <m:r>
                      <m:t>α</m:t>
                    </m:r>
                  </m:e>
                </m:d>
                <m:r>
                  <m:rPr>
                    <m:sty m:val="p"/>
                  </m:rPr>
                  <m:t>≤</m:t>
                </m:r>
                <m:sSub>
                  <m:e>
                    <m:r>
                      <m:t>X</m:t>
                    </m:r>
                  </m:e>
                  <m:sub>
                    <m:r>
                      <m:t>j</m:t>
                    </m:r>
                  </m:sub>
                </m:sSub>
                <m:r>
                  <m:rPr>
                    <m:sty m:val="p"/>
                  </m:rPr>
                  <m:t>}</m:t>
                </m:r>
                <m:r>
                  <m:rPr>
                    <m:sty m:val="p"/>
                  </m:rPr>
                  <m:t>,</m:t>
                </m:r>
                <m:r>
                  <m:t>  </m:t>
                </m:r>
                <m:acc>
                  <m:accPr>
                    <m:chr m:val="̂"/>
                  </m:accPr>
                  <m:e>
                    <m:r>
                      <m:t>j</m:t>
                    </m:r>
                  </m:e>
                </m:acc>
                <m:r>
                  <m:rPr>
                    <m:sty m:val="p"/>
                  </m:rPr>
                  <m:t>=</m:t>
                </m:r>
                <m:r>
                  <m:rPr>
                    <m:sty m:val="p"/>
                  </m:rPr>
                  <m:t>max</m:t>
                </m:r>
                <m:r>
                  <m:rPr>
                    <m:sty m:val="p"/>
                  </m:rPr>
                  <m:t>{</m:t>
                </m:r>
                <m:r>
                  <m:t>j</m:t>
                </m:r>
                <m:r>
                  <m:rPr>
                    <m:sty m:val="p"/>
                  </m:rPr>
                  <m:t>:</m:t>
                </m:r>
                <m:r>
                  <m:t> </m:t>
                </m:r>
                <m:sSub>
                  <m:e>
                    <m:r>
                      <m:t>p</m:t>
                    </m:r>
                  </m:e>
                  <m:sub>
                    <m:r>
                      <m:t>1</m:t>
                    </m:r>
                  </m:sub>
                </m:sSub>
                <m:r>
                  <m:rPr>
                    <m:sty m:val="p"/>
                  </m:rPr>
                  <m:t>≤</m:t>
                </m:r>
                <m:r>
                  <m:t>δ</m:t>
                </m:r>
                <m:r>
                  <m:rPr>
                    <m:sty m:val="p"/>
                  </m:rPr>
                  <m:t>,</m:t>
                </m:r>
                <m:r>
                  <m:rPr>
                    <m:sty m:val="p"/>
                  </m:rPr>
                  <m:t>…</m:t>
                </m:r>
                <m:r>
                  <m:rPr>
                    <m:sty m:val="p"/>
                  </m:rPr>
                  <m:t>,</m:t>
                </m:r>
                <m:sSub>
                  <m:e>
                    <m:r>
                      <m:t>p</m:t>
                    </m:r>
                  </m:e>
                  <m:sub>
                    <m:r>
                      <m:t>j</m:t>
                    </m:r>
                  </m:sub>
                </m:sSub>
                <m:r>
                  <m:rPr>
                    <m:sty m:val="p"/>
                  </m:rPr>
                  <m:t>≤</m:t>
                </m:r>
                <m:r>
                  <m:t>δ</m:t>
                </m:r>
                <m:r>
                  <m:rPr>
                    <m:sty m:val="p"/>
                  </m:rPr>
                  <m:t>}</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20" w:before="20"/>
        <w:ind w:left="284"/>
        <w:jc w:val="left"/>
      </w:pPr>
      <w:r>
        <w:rPr>
          <w:i/>
          <w:iCs/>
          <w:color w:val="3A4350"/>
          <w:sz w:val="19"/>
          <w:szCs w:val="19"/>
        </w:rPr>
        <w:t xml:space="preserve">where </w:t>
      </w:r>
      <m:oMath>
        <m:sSub>
          <m:e>
            <m:r>
              <m:t>X</m:t>
            </m:r>
          </m:e>
          <m:sub>
            <m:r>
              <m:t>j</m:t>
            </m:r>
          </m:sub>
        </m:sSub>
      </m:oMath>
      <w:r>
        <w:rPr>
          <w:color w:val="3A4350"/>
          <w:sz w:val="19"/>
          <w:szCs w:val="19"/>
        </w:rPr>
        <w:t xml:space="preserve"> is the number of exceedances among the </w:t>
      </w:r>
      <m:oMath>
        <m:sSub>
          <m:e>
            <m:r>
              <m:t>n</m:t>
            </m:r>
          </m:e>
          <m:sub>
            <m:r>
              <m:t>j</m:t>
            </m:r>
          </m:sub>
        </m:sSub>
      </m:oMath>
      <w:r>
        <w:rPr>
          <w:color w:val="3A4350"/>
          <w:sz w:val="19"/>
          <w:szCs w:val="19"/>
        </w:rPr>
        <w:t xml:space="preserve"> units run at threshold </w:t>
      </w:r>
      <m:oMath>
        <m:sSub>
          <m:e>
            <m:r>
              <m:t>Q</m:t>
            </m:r>
          </m:e>
          <m:sub>
            <m:r>
              <m:t>j</m:t>
            </m:r>
          </m:sub>
        </m:sSub>
      </m:oMath>
      <w:r>
        <w:rPr>
          <w:color w:val="3A4350"/>
          <w:sz w:val="19"/>
          <w:szCs w:val="19"/>
        </w:rPr>
        <w:t xml:space="preserve">. The family-wise error is at most </w:t>
      </w:r>
      <m:oMath>
        <m:r>
          <m:t>δ</m:t>
        </m:r>
      </m:oMath>
      <w:r>
        <w:rPr>
          <w:color w:val="3A4350"/>
          <w:sz w:val="19"/>
          <w:szCs w:val="19"/>
        </w:rPr>
        <w:t xml:space="preserve"> without any monotonicity of the risk [6].</w:t>
      </w:r>
    </w:p>
    <w:p>
      <w:pPr>
        <w:spacing w:after="100"/>
        <w:jc w:val="both"/>
      </w:pPr>
      <w:r>
        <w:t xml:space="preserve">With a risk curve that is not monotone (a bump above </w:t>
      </w:r>
      <m:oMath>
        <m:r>
          <m:t>α</m:t>
        </m:r>
      </m:oMath>
      <w:r>
        <w:t xml:space="preserve"> in the middle), </w:t>
      </w:r>
      <m:oMath>
        <m:r>
          <m:t>n</m:t>
        </m:r>
        <m:r>
          <m:rPr>
            <m:sty m:val="p"/>
          </m:rPr>
          <m:t>=</m:t>
        </m:r>
        <m:r>
          <m:t>40</m:t>
        </m:r>
      </m:oMath>
      <w:r>
        <w:t xml:space="preserve"> units per arm and 20 000 repetitions, the family-wise error was 0.002 against </w:t>
      </w:r>
      <m:oMath>
        <m:r>
          <m:t>δ</m:t>
        </m:r>
        <m:r>
          <m:rPr>
            <m:sty m:val="p"/>
          </m:rPr>
          <m:t>=</m:t>
        </m:r>
        <m:r>
          <m:t>0.1</m:t>
        </m:r>
      </m:oMath>
      <w:r>
        <w:t xml:space="preserve">, and the fixed sequence never certified a smaller threshold than the simultaneous band with the same Wald statistics (0 violations; mean certified index 1.70 against 0.61). Part (c) of the note's claim holds.</w:t>
      </w:r>
    </w:p>
    <w:p>
      <w:pPr>
        <w:spacing w:after="100"/>
        <w:jc w:val="both"/>
      </w:pPr>
      <w:r>
        <w:t xml:space="preserve">The same certificate can be put on the safe yield of the assembled-system note [3], which takes the 3rd smallest of 25 critical rates as the safe rate at </w:t>
      </w:r>
      <m:oMath>
        <m:r>
          <m:t>α</m:t>
        </m:r>
        <m:r>
          <m:rPr>
            <m:sty m:val="p"/>
          </m:rPr>
          <m:t>=</m:t>
        </m:r>
        <m:r>
          <m:t>10</m:t>
        </m:r>
        <m:r>
          <m:rPr>
            <m:sty m:val="p"/>
          </m:rPr>
          <m:t>%</m:t>
        </m:r>
      </m:oMath>
      <w:r>
        <w:t xml:space="preserve">. A certificate at level </w:t>
      </w:r>
      <m:oMath>
        <m:d>
          <m:dPr>
            <m:begChr m:val="("/>
            <m:sepChr m:val=""/>
            <m:endChr m:val=")"/>
            <m:grow/>
          </m:dPr>
          <m:e>
            <m:r>
              <m:t>α</m:t>
            </m:r>
            <m:r>
              <m:rPr>
                <m:sty m:val="p"/>
              </m:rPr>
              <m:t>,</m:t>
            </m:r>
            <m:r>
              <m:t>δ</m:t>
            </m:r>
          </m:e>
        </m:d>
      </m:oMath>
      <w:r>
        <w:t xml:space="preserve"> allows </w:t>
      </w:r>
      <m:oMath>
        <m:r>
          <m:t>k</m:t>
        </m:r>
      </m:oMath>
      <w:r>
        <w:t xml:space="preserve"> exceedances among </w:t>
      </w:r>
      <m:oMath>
        <m:r>
          <m:t>N</m:t>
        </m:r>
      </m:oMath>
      <w:r>
        <w:t xml:space="preserve"> draws only if </w:t>
      </w:r>
      <m:oMath>
        <m:r>
          <m:rPr>
            <m:sty m:val="p"/>
          </m:rPr>
          <m:t>Pr</m:t>
        </m:r>
        <m:r>
          <m:rPr>
            <m:sty m:val="p"/>
          </m:rPr>
          <m:t>{</m:t>
        </m:r>
        <m:r>
          <m:rPr>
            <m:sty m:val="p"/>
          </m:rPr>
          <m:t>B</m:t>
        </m:r>
        <m:r>
          <m:rPr>
            <m:sty m:val="p"/>
          </m:rPr>
          <m:t>i</m:t>
        </m:r>
        <m:r>
          <m:rPr>
            <m:sty m:val="p"/>
          </m:rPr>
          <m:t>n</m:t>
        </m:r>
        <m:d>
          <m:dPr>
            <m:begChr m:val="("/>
            <m:sepChr m:val=""/>
            <m:endChr m:val=")"/>
            <m:grow/>
          </m:dPr>
          <m:e>
            <m:r>
              <m:t>N</m:t>
            </m:r>
            <m:r>
              <m:rPr>
                <m:sty m:val="p"/>
              </m:rPr>
              <m:t>,</m:t>
            </m:r>
            <m:r>
              <m:t>α</m:t>
            </m:r>
          </m:e>
        </m:d>
        <m:r>
          <m:rPr>
            <m:sty m:val="p"/>
          </m:rPr>
          <m:t>≤</m:t>
        </m:r>
        <m:r>
          <m:t>k</m:t>
        </m:r>
        <m:r>
          <m:rPr>
            <m:sty m:val="p"/>
          </m:rPr>
          <m:t>}</m:t>
        </m:r>
        <m:r>
          <m:rPr>
            <m:sty m:val="p"/>
          </m:rPr>
          <m:t>≤</m:t>
        </m:r>
        <m:r>
          <m:t>δ</m:t>
        </m:r>
      </m:oMath>
      <w:r>
        <w:t xml:space="preserve">. With </w:t>
      </w:r>
      <m:oMath>
        <m:r>
          <m:t>N</m:t>
        </m:r>
        <m:r>
          <m:rPr>
            <m:sty m:val="p"/>
          </m:rPr>
          <m:t>=</m:t>
        </m:r>
        <m:r>
          <m:t>25</m:t>
        </m:r>
      </m:oMath>
      <w:r>
        <w:t xml:space="preserve"> this allows 0 exceedances at </w:t>
      </w:r>
      <m:oMath>
        <m:r>
          <m:t>δ</m:t>
        </m:r>
        <m:r>
          <m:rPr>
            <m:sty m:val="p"/>
          </m:rPr>
          <m:t>=</m:t>
        </m:r>
        <m:r>
          <m:t>10</m:t>
        </m:r>
        <m:r>
          <m:rPr>
            <m:sty m:val="p"/>
          </m:rPr>
          <m:t>%</m:t>
        </m:r>
      </m:oMath>
      <w:r>
        <w:t xml:space="preserve"> and none can be certified at </w:t>
      </w:r>
      <m:oMath>
        <m:r>
          <m:t>δ</m:t>
        </m:r>
        <m:r>
          <m:rPr>
            <m:sty m:val="p"/>
          </m:rPr>
          <m:t>=</m:t>
        </m:r>
        <m:r>
          <m:t>5</m:t>
        </m:r>
        <m:r>
          <m:rPr>
            <m:sty m:val="p"/>
          </m:rPr>
          <m:t>%</m:t>
        </m:r>
      </m:oMath>
      <w:r>
        <w:t xml:space="preserve">, since </w:t>
      </w:r>
      <m:oMath>
        <m:sSup>
          <m:e>
            <m:r>
              <m:t>0.9</m:t>
            </m:r>
          </m:e>
          <m:sup>
            <m:r>
              <m:t>25</m:t>
            </m:r>
          </m:sup>
        </m:sSup>
        <m:r>
          <m:rPr>
            <m:sty m:val="p"/>
          </m:rPr>
          <m:t>=</m:t>
        </m:r>
        <m:r>
          <m:t>0.072</m:t>
        </m:r>
      </m:oMath>
      <w:r>
        <w:t xml:space="preserve">. On the complete assembly the best layout stays the same (supply well at 3.5 km, recharge well at 3.0 km), but its certified rate is 5.70 instead of 6.36 m²/d per metre of coast and its value 11.6% lower (Table 3). The order statistic of that note controls the risk on the draws used; the certificate adds a guarantee at confidence </w:t>
      </w:r>
      <m:oMath>
        <m:r>
          <m:t>1</m:t>
        </m:r>
        <m:r>
          <m:rPr>
            <m:sty m:val="p"/>
          </m:rPr>
          <m:t>−</m:t>
        </m:r>
        <m:r>
          <m:t>δ</m:t>
        </m:r>
      </m:oMath>
      <w:r>
        <w:t xml:space="preserve">, and with 25 draws it costs a ninth of the water.</w:t>
      </w:r>
    </w:p>
    <w:p>
      <w:pPr>
        <w:keepNext/>
        <w:spacing w:after="60" w:before="120"/>
        <w:jc w:val="both"/>
      </w:pPr>
      <w:r>
        <w:rPr>
          <w:b/>
          <w:bCs/>
          <w:color w:val="1F3864"/>
          <w:sz w:val="18"/>
          <w:szCs w:val="18"/>
        </w:rPr>
        <w:t xml:space="preserve">Table 3. </w:t>
      </w:r>
      <w:r>
        <w:rPr>
          <w:color w:val="3A4350"/>
          <w:sz w:val="18"/>
          <w:szCs w:val="18"/>
        </w:rPr>
        <w:t xml:space="preserve">How many exceedances a certified safe yield at </w:t>
      </w:r>
      <m:oMath>
        <m:r>
          <m:t>α</m:t>
        </m:r>
        <m:r>
          <m:rPr>
            <m:sty m:val="p"/>
          </m:rPr>
          <m:t>=</m:t>
        </m:r>
        <m:r>
          <m:t>10</m:t>
        </m:r>
        <m:r>
          <m:rPr>
            <m:sty m:val="p"/>
          </m:rPr>
          <m:t>%</m:t>
        </m:r>
      </m:oMath>
      <w:r>
        <w:rPr>
          <w:color w:val="3A4350"/>
          <w:sz w:val="18"/>
          <w:szCs w:val="18"/>
        </w:rPr>
        <w:t xml:space="preserve"> may contain, against the order statistic of the assembled-system note. With 25 draws, the certificate at </w:t>
      </w:r>
      <m:oMath>
        <m:r>
          <m:t>δ</m:t>
        </m:r>
        <m:r>
          <m:rPr>
            <m:sty m:val="p"/>
          </m:rPr>
          <m:t>=</m:t>
        </m:r>
        <m:r>
          <m:t>10</m:t>
        </m:r>
        <m:r>
          <m:rPr>
            <m:sty m:val="p"/>
          </m:rPr>
          <m:t>%</m:t>
        </m:r>
      </m:oMath>
      <w:r>
        <w:rPr>
          <w:color w:val="3A4350"/>
          <w:sz w:val="18"/>
          <w:szCs w:val="18"/>
        </w:rPr>
        <w:t xml:space="preserve"> takes the smallest critical rate.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800"/>
        <w:gridCol w:w="2900"/>
        <w:gridCol w:w="2200"/>
        <w:gridCol w:w="2738"/>
      </w:tblGrid>
      <w:tr>
        <w:trPr>
          <w:cantSplit/>
          <w:tblHeader/>
        </w:trPr>
        <w:tc>
          <w:tcPr>
            <w:tcW w:type="dxa" w:w="1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Draws N</w:t>
            </w:r>
          </w:p>
        </w:tc>
        <w:tc>
          <w:tcPr>
            <w:tcW w:type="dxa" w:w="2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Exceedances allowed at δ = 10%</w:t>
            </w:r>
          </w:p>
        </w:tc>
        <w:tc>
          <w:tcPr>
            <w:tcW w:type="dxa" w:w="22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at δ = 5%</w:t>
            </w:r>
          </w:p>
        </w:tc>
        <w:tc>
          <w:tcPr>
            <w:tcW w:type="dxa" w:w="27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Order statistic ⌊αN⌋</w:t>
            </w:r>
          </w:p>
        </w:tc>
      </w:tr>
      <w:tr>
        <w:trPr>
          <w:cantSplit/>
        </w:trPr>
        <w:tc>
          <w:tcPr>
            <w:tcW w:type="dxa" w:w="1800"/>
            <w:tcMar>
              <w:top w:type="dxa" w:w="40"/>
              <w:left w:type="dxa" w:w="80"/>
              <w:bottom w:type="dxa" w:w="40"/>
              <w:right w:type="dxa" w:w="80"/>
            </w:tcMar>
            <w:vAlign w:val="top"/>
          </w:tcPr>
          <w:p>
            <w:r>
              <w:rPr>
                <w:sz w:val="16"/>
                <w:szCs w:val="16"/>
              </w:rPr>
              <w:t xml:space="preserve">25</w:t>
            </w:r>
          </w:p>
        </w:tc>
        <w:tc>
          <w:tcPr>
            <w:tcW w:type="dxa" w:w="2900"/>
            <w:tcMar>
              <w:top w:type="dxa" w:w="40"/>
              <w:left w:type="dxa" w:w="80"/>
              <w:bottom w:type="dxa" w:w="40"/>
              <w:right w:type="dxa" w:w="80"/>
            </w:tcMar>
            <w:vAlign w:val="top"/>
          </w:tcPr>
          <w:p>
            <w:r>
              <w:rPr>
                <w:sz w:val="16"/>
                <w:szCs w:val="16"/>
              </w:rPr>
              <w:t xml:space="preserve">0</w:t>
            </w:r>
          </w:p>
        </w:tc>
        <w:tc>
          <w:tcPr>
            <w:tcW w:type="dxa" w:w="2200"/>
            <w:tcMar>
              <w:top w:type="dxa" w:w="40"/>
              <w:left w:type="dxa" w:w="80"/>
              <w:bottom w:type="dxa" w:w="40"/>
              <w:right w:type="dxa" w:w="80"/>
            </w:tcMar>
            <w:vAlign w:val="top"/>
          </w:tcPr>
          <w:p>
            <w:r>
              <w:rPr>
                <w:sz w:val="16"/>
                <w:szCs w:val="16"/>
              </w:rPr>
              <w:t xml:space="preserve">none certifiable</w:t>
            </w:r>
          </w:p>
        </w:tc>
        <w:tc>
          <w:tcPr>
            <w:tcW w:type="dxa" w:w="2738"/>
            <w:tcMar>
              <w:top w:type="dxa" w:w="40"/>
              <w:left w:type="dxa" w:w="80"/>
              <w:bottom w:type="dxa" w:w="40"/>
              <w:right w:type="dxa" w:w="80"/>
            </w:tcMar>
            <w:vAlign w:val="top"/>
          </w:tcPr>
          <w:p>
            <w:r>
              <w:rPr>
                <w:sz w:val="16"/>
                <w:szCs w:val="16"/>
              </w:rPr>
              <w:t xml:space="preserve">2</w:t>
            </w:r>
          </w:p>
        </w:tc>
      </w:tr>
      <w:tr>
        <w:trPr>
          <w:cantSplit/>
        </w:trPr>
        <w:tc>
          <w:tcPr>
            <w:tcW w:type="dxa" w:w="1800"/>
            <w:shd w:fill="F7F9FC" w:color="auto" w:val="clear"/>
            <w:tcMar>
              <w:top w:type="dxa" w:w="40"/>
              <w:left w:type="dxa" w:w="80"/>
              <w:bottom w:type="dxa" w:w="40"/>
              <w:right w:type="dxa" w:w="80"/>
            </w:tcMar>
            <w:vAlign w:val="top"/>
          </w:tcPr>
          <w:p>
            <w:r>
              <w:rPr>
                <w:sz w:val="16"/>
                <w:szCs w:val="16"/>
              </w:rPr>
              <w:t xml:space="preserve">29</w:t>
            </w:r>
          </w:p>
        </w:tc>
        <w:tc>
          <w:tcPr>
            <w:tcW w:type="dxa" w:w="2900"/>
            <w:shd w:fill="F7F9FC" w:color="auto" w:val="clear"/>
            <w:tcMar>
              <w:top w:type="dxa" w:w="40"/>
              <w:left w:type="dxa" w:w="80"/>
              <w:bottom w:type="dxa" w:w="40"/>
              <w:right w:type="dxa" w:w="80"/>
            </w:tcMar>
            <w:vAlign w:val="top"/>
          </w:tcPr>
          <w:p>
            <w:r>
              <w:rPr>
                <w:sz w:val="16"/>
                <w:szCs w:val="16"/>
              </w:rPr>
              <w:t xml:space="preserve">0</w:t>
            </w:r>
          </w:p>
        </w:tc>
        <w:tc>
          <w:tcPr>
            <w:tcW w:type="dxa" w:w="2200"/>
            <w:shd w:fill="F7F9FC" w:color="auto" w:val="clear"/>
            <w:tcMar>
              <w:top w:type="dxa" w:w="40"/>
              <w:left w:type="dxa" w:w="80"/>
              <w:bottom w:type="dxa" w:w="40"/>
              <w:right w:type="dxa" w:w="80"/>
            </w:tcMar>
            <w:vAlign w:val="top"/>
          </w:tcPr>
          <w:p>
            <w:r>
              <w:rPr>
                <w:sz w:val="16"/>
                <w:szCs w:val="16"/>
              </w:rPr>
              <w:t xml:space="preserve">0</w:t>
            </w:r>
          </w:p>
        </w:tc>
        <w:tc>
          <w:tcPr>
            <w:tcW w:type="dxa" w:w="2738"/>
            <w:shd w:fill="F7F9FC" w:color="auto" w:val="clear"/>
            <w:tcMar>
              <w:top w:type="dxa" w:w="40"/>
              <w:left w:type="dxa" w:w="80"/>
              <w:bottom w:type="dxa" w:w="40"/>
              <w:right w:type="dxa" w:w="80"/>
            </w:tcMar>
            <w:vAlign w:val="top"/>
          </w:tcPr>
          <w:p>
            <w:r>
              <w:rPr>
                <w:sz w:val="16"/>
                <w:szCs w:val="16"/>
              </w:rPr>
              <w:t xml:space="preserve">2</w:t>
            </w:r>
          </w:p>
        </w:tc>
      </w:tr>
      <w:tr>
        <w:trPr>
          <w:cantSplit/>
        </w:trPr>
        <w:tc>
          <w:tcPr>
            <w:tcW w:type="dxa" w:w="1800"/>
            <w:tcMar>
              <w:top w:type="dxa" w:w="40"/>
              <w:left w:type="dxa" w:w="80"/>
              <w:bottom w:type="dxa" w:w="40"/>
              <w:right w:type="dxa" w:w="80"/>
            </w:tcMar>
            <w:vAlign w:val="top"/>
          </w:tcPr>
          <w:p>
            <w:r>
              <w:rPr>
                <w:sz w:val="16"/>
                <w:szCs w:val="16"/>
              </w:rPr>
              <w:t xml:space="preserve">50</w:t>
            </w:r>
          </w:p>
        </w:tc>
        <w:tc>
          <w:tcPr>
            <w:tcW w:type="dxa" w:w="2900"/>
            <w:tcMar>
              <w:top w:type="dxa" w:w="40"/>
              <w:left w:type="dxa" w:w="80"/>
              <w:bottom w:type="dxa" w:w="40"/>
              <w:right w:type="dxa" w:w="80"/>
            </w:tcMar>
            <w:vAlign w:val="top"/>
          </w:tcPr>
          <w:p>
            <w:r>
              <w:rPr>
                <w:sz w:val="16"/>
                <w:szCs w:val="16"/>
              </w:rPr>
              <w:t xml:space="preserve">1</w:t>
            </w:r>
          </w:p>
        </w:tc>
        <w:tc>
          <w:tcPr>
            <w:tcW w:type="dxa" w:w="2200"/>
            <w:tcMar>
              <w:top w:type="dxa" w:w="40"/>
              <w:left w:type="dxa" w:w="80"/>
              <w:bottom w:type="dxa" w:w="40"/>
              <w:right w:type="dxa" w:w="80"/>
            </w:tcMar>
            <w:vAlign w:val="top"/>
          </w:tcPr>
          <w:p>
            <w:r>
              <w:rPr>
                <w:sz w:val="16"/>
                <w:szCs w:val="16"/>
              </w:rPr>
              <w:t xml:space="preserve">1</w:t>
            </w:r>
          </w:p>
        </w:tc>
        <w:tc>
          <w:tcPr>
            <w:tcW w:type="dxa" w:w="2738"/>
            <w:tcMar>
              <w:top w:type="dxa" w:w="40"/>
              <w:left w:type="dxa" w:w="80"/>
              <w:bottom w:type="dxa" w:w="40"/>
              <w:right w:type="dxa" w:w="80"/>
            </w:tcMar>
            <w:vAlign w:val="top"/>
          </w:tcPr>
          <w:p>
            <w:r>
              <w:rPr>
                <w:sz w:val="16"/>
                <w:szCs w:val="16"/>
              </w:rPr>
              <w:t xml:space="preserve">5</w:t>
            </w:r>
          </w:p>
        </w:tc>
      </w:tr>
      <w:tr>
        <w:trPr>
          <w:cantSplit/>
        </w:trPr>
        <w:tc>
          <w:tcPr>
            <w:tcW w:type="dxa" w:w="1800"/>
            <w:shd w:fill="F7F9FC" w:color="auto" w:val="clear"/>
            <w:tcMar>
              <w:top w:type="dxa" w:w="40"/>
              <w:left w:type="dxa" w:w="80"/>
              <w:bottom w:type="dxa" w:w="40"/>
              <w:right w:type="dxa" w:w="80"/>
            </w:tcMar>
            <w:vAlign w:val="top"/>
          </w:tcPr>
          <w:p>
            <w:r>
              <w:rPr>
                <w:sz w:val="16"/>
                <w:szCs w:val="16"/>
              </w:rPr>
              <w:t xml:space="preserve">100</w:t>
            </w:r>
          </w:p>
        </w:tc>
        <w:tc>
          <w:tcPr>
            <w:tcW w:type="dxa" w:w="2900"/>
            <w:shd w:fill="F7F9FC" w:color="auto" w:val="clear"/>
            <w:tcMar>
              <w:top w:type="dxa" w:w="40"/>
              <w:left w:type="dxa" w:w="80"/>
              <w:bottom w:type="dxa" w:w="40"/>
              <w:right w:type="dxa" w:w="80"/>
            </w:tcMar>
            <w:vAlign w:val="top"/>
          </w:tcPr>
          <w:p>
            <w:r>
              <w:rPr>
                <w:sz w:val="16"/>
                <w:szCs w:val="16"/>
              </w:rPr>
              <w:t xml:space="preserve">5</w:t>
            </w:r>
          </w:p>
        </w:tc>
        <w:tc>
          <w:tcPr>
            <w:tcW w:type="dxa" w:w="2200"/>
            <w:shd w:fill="F7F9FC" w:color="auto" w:val="clear"/>
            <w:tcMar>
              <w:top w:type="dxa" w:w="40"/>
              <w:left w:type="dxa" w:w="80"/>
              <w:bottom w:type="dxa" w:w="40"/>
              <w:right w:type="dxa" w:w="80"/>
            </w:tcMar>
            <w:vAlign w:val="top"/>
          </w:tcPr>
          <w:p>
            <w:r>
              <w:rPr>
                <w:sz w:val="16"/>
                <w:szCs w:val="16"/>
              </w:rPr>
              <w:t xml:space="preserve">4</w:t>
            </w:r>
          </w:p>
        </w:tc>
        <w:tc>
          <w:tcPr>
            <w:tcW w:type="dxa" w:w="2738"/>
            <w:shd w:fill="F7F9FC" w:color="auto" w:val="clear"/>
            <w:tcMar>
              <w:top w:type="dxa" w:w="40"/>
              <w:left w:type="dxa" w:w="80"/>
              <w:bottom w:type="dxa" w:w="40"/>
              <w:right w:type="dxa" w:w="80"/>
            </w:tcMar>
            <w:vAlign w:val="top"/>
          </w:tcPr>
          <w:p>
            <w:r>
              <w:rPr>
                <w:sz w:val="16"/>
                <w:szCs w:val="16"/>
              </w:rPr>
              <w:t xml:space="preserve">10</w:t>
            </w:r>
          </w:p>
        </w:tc>
      </w:tr>
      <w:tr>
        <w:trPr>
          <w:cantSplit/>
        </w:trPr>
        <w:tc>
          <w:tcPr>
            <w:tcW w:type="dxa" w:w="1800"/>
            <w:tcMar>
              <w:top w:type="dxa" w:w="40"/>
              <w:left w:type="dxa" w:w="80"/>
              <w:bottom w:type="dxa" w:w="40"/>
              <w:right w:type="dxa" w:w="80"/>
            </w:tcMar>
            <w:vAlign w:val="top"/>
          </w:tcPr>
          <w:p>
            <w:r>
              <w:rPr>
                <w:sz w:val="16"/>
                <w:szCs w:val="16"/>
              </w:rPr>
              <w:t xml:space="preserve">200</w:t>
            </w:r>
          </w:p>
        </w:tc>
        <w:tc>
          <w:tcPr>
            <w:tcW w:type="dxa" w:w="2900"/>
            <w:tcMar>
              <w:top w:type="dxa" w:w="40"/>
              <w:left w:type="dxa" w:w="80"/>
              <w:bottom w:type="dxa" w:w="40"/>
              <w:right w:type="dxa" w:w="80"/>
            </w:tcMar>
            <w:vAlign w:val="top"/>
          </w:tcPr>
          <w:p>
            <w:r>
              <w:rPr>
                <w:sz w:val="16"/>
                <w:szCs w:val="16"/>
              </w:rPr>
              <w:t xml:space="preserve">14</w:t>
            </w:r>
          </w:p>
        </w:tc>
        <w:tc>
          <w:tcPr>
            <w:tcW w:type="dxa" w:w="2200"/>
            <w:tcMar>
              <w:top w:type="dxa" w:w="40"/>
              <w:left w:type="dxa" w:w="80"/>
              <w:bottom w:type="dxa" w:w="40"/>
              <w:right w:type="dxa" w:w="80"/>
            </w:tcMar>
            <w:vAlign w:val="top"/>
          </w:tcPr>
          <w:p>
            <w:r>
              <w:rPr>
                <w:sz w:val="16"/>
                <w:szCs w:val="16"/>
              </w:rPr>
              <w:t xml:space="preserve">12</w:t>
            </w:r>
          </w:p>
        </w:tc>
        <w:tc>
          <w:tcPr>
            <w:tcW w:type="dxa" w:w="2738"/>
            <w:tcMar>
              <w:top w:type="dxa" w:w="40"/>
              <w:left w:type="dxa" w:w="80"/>
              <w:bottom w:type="dxa" w:w="40"/>
              <w:right w:type="dxa" w:w="80"/>
            </w:tcMar>
            <w:vAlign w:val="top"/>
          </w:tcPr>
          <w:p>
            <w:r>
              <w:rPr>
                <w:sz w:val="16"/>
                <w:szCs w:val="16"/>
              </w:rPr>
              <w:t xml:space="preserve">20</w:t>
            </w:r>
          </w:p>
        </w:tc>
      </w:tr>
      <w:tr>
        <w:trPr>
          <w:cantSplit/>
        </w:trPr>
        <w:tc>
          <w:tcPr>
            <w:tcW w:type="dxa" w:w="1800"/>
            <w:shd w:fill="F7F9FC" w:color="auto" w:val="clear"/>
            <w:tcMar>
              <w:top w:type="dxa" w:w="40"/>
              <w:left w:type="dxa" w:w="80"/>
              <w:bottom w:type="dxa" w:w="40"/>
              <w:right w:type="dxa" w:w="80"/>
            </w:tcMar>
            <w:vAlign w:val="top"/>
          </w:tcPr>
          <w:p>
            <w:r>
              <w:rPr>
                <w:sz w:val="16"/>
                <w:szCs w:val="16"/>
              </w:rPr>
              <w:t xml:space="preserve">400</w:t>
            </w:r>
          </w:p>
        </w:tc>
        <w:tc>
          <w:tcPr>
            <w:tcW w:type="dxa" w:w="2900"/>
            <w:shd w:fill="F7F9FC" w:color="auto" w:val="clear"/>
            <w:tcMar>
              <w:top w:type="dxa" w:w="40"/>
              <w:left w:type="dxa" w:w="80"/>
              <w:bottom w:type="dxa" w:w="40"/>
              <w:right w:type="dxa" w:w="80"/>
            </w:tcMar>
            <w:vAlign w:val="top"/>
          </w:tcPr>
          <w:p>
            <w:r>
              <w:rPr>
                <w:sz w:val="16"/>
                <w:szCs w:val="16"/>
              </w:rPr>
              <w:t xml:space="preserve">31</w:t>
            </w:r>
          </w:p>
        </w:tc>
        <w:tc>
          <w:tcPr>
            <w:tcW w:type="dxa" w:w="2200"/>
            <w:shd w:fill="F7F9FC" w:color="auto" w:val="clear"/>
            <w:tcMar>
              <w:top w:type="dxa" w:w="40"/>
              <w:left w:type="dxa" w:w="80"/>
              <w:bottom w:type="dxa" w:w="40"/>
              <w:right w:type="dxa" w:w="80"/>
            </w:tcMar>
            <w:vAlign w:val="top"/>
          </w:tcPr>
          <w:p>
            <w:r>
              <w:rPr>
                <w:sz w:val="16"/>
                <w:szCs w:val="16"/>
              </w:rPr>
              <w:t xml:space="preserve">29</w:t>
            </w:r>
          </w:p>
        </w:tc>
        <w:tc>
          <w:tcPr>
            <w:tcW w:type="dxa" w:w="2738"/>
            <w:shd w:fill="F7F9FC" w:color="auto" w:val="clear"/>
            <w:tcMar>
              <w:top w:type="dxa" w:w="40"/>
              <w:left w:type="dxa" w:w="80"/>
              <w:bottom w:type="dxa" w:w="40"/>
              <w:right w:type="dxa" w:w="80"/>
            </w:tcMar>
            <w:vAlign w:val="top"/>
          </w:tcPr>
          <w:p>
            <w:r>
              <w:rPr>
                <w:sz w:val="16"/>
                <w:szCs w:val="16"/>
              </w:rPr>
              <w:t xml:space="preserve">40</w:t>
            </w:r>
          </w:p>
        </w:tc>
      </w:tr>
    </w:tbl>
    <w:p>
      <w:pPr>
        <w:spacing w:after="120"/>
      </w:pPr>
    </w:p>
    <w:p>
      <w:pPr>
        <w:pStyle w:val="Heading2"/>
      </w:pPr>
      <w:r>
        <w:t xml:space="preserve">3.3 N3: the bracket holds, the analytic end is loose</w:t>
      </w:r>
    </w:p>
    <w:p>
      <w:pPr>
        <w:spacing w:after="100"/>
        <w:jc w:val="both"/>
      </w:pPr>
      <w:r>
        <w:t xml:space="preserve">N3 brackets the information that a chloride campaign </w:t>
      </w:r>
      <m:oMath>
        <m:r>
          <m:t>S</m:t>
        </m:r>
      </m:oMath>
      <w:r>
        <w:t xml:space="preserve"> gives about the goal </w:t>
      </w:r>
      <m:oMath>
        <m:r>
          <m:t>Q</m:t>
        </m:r>
      </m:oMath>
      <w:r>
        <w:t xml:space="preserve"> (the area above 250 mg/L):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rPr>
                        <m:sty m:val="p"/>
                      </m:rPr>
                      <m:t>E</m:t>
                    </m:r>
                    <m:r>
                      <m:rPr>
                        <m:sty m:val="p"/>
                      </m:rPr>
                      <m:t>I</m:t>
                    </m:r>
                    <m:r>
                      <m:rPr>
                        <m:sty m:val="p"/>
                      </m:rPr>
                      <m:t>G</m:t>
                    </m:r>
                  </m:e>
                  <m:sub>
                    <m:r>
                      <m:t>e</m:t>
                    </m:r>
                    <m:r>
                      <m:t>x</m:t>
                    </m:r>
                  </m:sub>
                  <m:sup>
                    <m:d>
                      <m:dPr>
                        <m:begChr m:val="("/>
                        <m:sepChr m:val=""/>
                        <m:endChr m:val=")"/>
                        <m:grow/>
                      </m:dPr>
                      <m:e>
                        <m:r>
                          <m:t>8</m:t>
                        </m:r>
                      </m:e>
                    </m:d>
                  </m:sup>
                </m:sSubSup>
                <m:d>
                  <m:dPr>
                    <m:begChr m:val="("/>
                    <m:sepChr m:val=""/>
                    <m:endChr m:val=")"/>
                    <m:grow/>
                  </m:dPr>
                  <m:e>
                    <m:r>
                      <m:t>S</m:t>
                    </m:r>
                  </m:e>
                </m:d>
                <m:r>
                  <m:rPr>
                    <m:sty m:val="p"/>
                  </m:rPr>
                  <m:t>≤</m:t>
                </m:r>
                <m:sSubSup>
                  <m:e>
                    <m:r>
                      <m:rPr>
                        <m:sty m:val="p"/>
                      </m:rPr>
                      <m:t>E</m:t>
                    </m:r>
                    <m:r>
                      <m:rPr>
                        <m:sty m:val="p"/>
                      </m:rPr>
                      <m:t>I</m:t>
                    </m:r>
                    <m:r>
                      <m:rPr>
                        <m:sty m:val="p"/>
                      </m:rPr>
                      <m:t>G</m:t>
                    </m:r>
                  </m:e>
                  <m:sub>
                    <m:r>
                      <m:t>e</m:t>
                    </m:r>
                    <m:r>
                      <m:t>x</m:t>
                    </m:r>
                  </m:sub>
                  <m:sup>
                    <m:d>
                      <m:dPr>
                        <m:begChr m:val="("/>
                        <m:sepChr m:val=""/>
                        <m:endChr m:val=")"/>
                        <m:grow/>
                      </m:dPr>
                      <m:e>
                        <m:r>
                          <m:t>16</m:t>
                        </m:r>
                      </m:e>
                    </m:d>
                  </m:sup>
                </m:sSubSup>
                <m:d>
                  <m:dPr>
                    <m:begChr m:val="("/>
                    <m:sepChr m:val=""/>
                    <m:endChr m:val=")"/>
                    <m:grow/>
                  </m:dPr>
                  <m:e>
                    <m:r>
                      <m:t>S</m:t>
                    </m:r>
                  </m:e>
                </m:d>
                <m:r>
                  <m:rPr>
                    <m:sty m:val="p"/>
                  </m:rPr>
                  <m:t>≤</m:t>
                </m:r>
                <m:r>
                  <m:t>I</m:t>
                </m:r>
                <m:d>
                  <m:dPr>
                    <m:begChr m:val="("/>
                    <m:sepChr m:val=""/>
                    <m:endChr m:val=")"/>
                    <m:grow/>
                  </m:dPr>
                  <m:e>
                    <m:r>
                      <m:t>Q</m:t>
                    </m:r>
                    <m:r>
                      <m:rPr>
                        <m:sty m:val="p"/>
                      </m:rPr>
                      <m:t>;</m:t>
                    </m:r>
                    <m:sSub>
                      <m:e>
                        <m:r>
                          <m:t>y</m:t>
                        </m:r>
                      </m:e>
                      <m:sub>
                        <m:r>
                          <m:t>S</m:t>
                        </m:r>
                      </m:sub>
                    </m:sSub>
                  </m:e>
                </m:d>
                <m:r>
                  <m:rPr>
                    <m:sty m:val="p"/>
                  </m:rPr>
                  <m:t>≤</m:t>
                </m:r>
                <m:r>
                  <m:t>I</m:t>
                </m:r>
                <m:d>
                  <m:dPr>
                    <m:begChr m:val="("/>
                    <m:sepChr m:val=""/>
                    <m:endChr m:val=")"/>
                    <m:grow/>
                  </m:dPr>
                  <m:e>
                    <m:r>
                      <m:t>θ</m:t>
                    </m:r>
                    <m:r>
                      <m:rPr>
                        <m:sty m:val="p"/>
                      </m:rPr>
                      <m:t>;</m:t>
                    </m:r>
                    <m:sSub>
                      <m:e>
                        <m:r>
                          <m:t>y</m:t>
                        </m:r>
                      </m:e>
                      <m:sub>
                        <m:r>
                          <m:t>S</m:t>
                        </m:r>
                      </m:sub>
                    </m:sSub>
                  </m:e>
                </m:d>
                <m:r>
                  <m:rPr>
                    <m:sty m:val="p"/>
                  </m:rPr>
                  <m:t>≤</m:t>
                </m:r>
                <m:f>
                  <m:fPr>
                    <m:type m:val="lin"/>
                  </m:fPr>
                  <m:num>
                    <m:r>
                      <m:t>1</m:t>
                    </m:r>
                  </m:num>
                  <m:den>
                    <m:r>
                      <m:t>2</m:t>
                    </m:r>
                  </m:den>
                </m:f>
                <m:r>
                  <m:rPr>
                    <m:sty m:val="p"/>
                  </m:rPr>
                  <m:t>ln</m:t>
                </m:r>
                <m:r>
                  <m:rPr>
                    <m:sty m:val="p"/>
                  </m:rPr>
                  <m:t>det</m:t>
                </m:r>
                <m:r>
                  <m:t>​</m:t>
                </m:r>
                <m:d>
                  <m:dPr>
                    <m:begChr m:val="("/>
                    <m:sepChr m:val=""/>
                    <m:endChr m:val=")"/>
                    <m:grow/>
                  </m:dPr>
                  <m:e>
                    <m:r>
                      <m:rPr>
                        <m:sty m:val="b"/>
                      </m:rPr>
                      <m:t>I</m:t>
                    </m:r>
                    <m:r>
                      <m:rPr>
                        <m:sty m:val="p"/>
                      </m:rPr>
                      <m:t>+</m:t>
                    </m:r>
                    <m:sSup>
                      <m:e>
                        <m:r>
                          <m:t>σ</m:t>
                        </m:r>
                      </m:e>
                      <m:sup>
                        <m:r>
                          <m:rPr>
                            <m:sty m:val="p"/>
                          </m:rPr>
                          <m:t>−</m:t>
                        </m:r>
                        <m:r>
                          <m:t>2</m:t>
                        </m:r>
                      </m:sup>
                    </m:sSup>
                    <m:sSub>
                      <m:e>
                        <m:r>
                          <m:rPr>
                            <m:sty m:val="b"/>
                          </m:rPr>
                          <m:t>C</m:t>
                        </m:r>
                      </m:e>
                      <m:sub>
                        <m:r>
                          <m:t>S</m:t>
                        </m:r>
                        <m:r>
                          <m:t>S</m:t>
                        </m:r>
                      </m:sub>
                    </m:sSub>
                  </m:e>
                </m:d>
                <m:r>
                  <m:rPr>
                    <m:sty m:val="p"/>
                  </m:rPr>
                  <m:t>≤</m:t>
                </m:r>
                <m:nary>
                  <m:naryPr>
                    <m:chr m:val="∑"/>
                    <m:limLoc m:val="undOvr"/>
                    <m:subHide m:val="off"/>
                    <m:supHide m:val="on"/>
                  </m:naryPr>
                  <m:sub>
                    <m:r>
                      <m:t>s</m:t>
                    </m:r>
                    <m:r>
                      <m:rPr>
                        <m:sty m:val="p"/>
                      </m:rPr>
                      <m:t>∈</m:t>
                    </m:r>
                    <m:r>
                      <m:t>S</m:t>
                    </m:r>
                  </m:sub>
                  <m:sup>
                    <m:r>
                      <m:t>​</m:t>
                    </m:r>
                  </m:sup>
                  <m:e>
                    <m:f>
                      <m:fPr>
                        <m:type m:val="lin"/>
                      </m:fPr>
                      <m:num>
                        <m:r>
                          <m:t>1</m:t>
                        </m:r>
                      </m:num>
                      <m:den>
                        <m:r>
                          <m:t>2</m:t>
                        </m:r>
                      </m:den>
                    </m:f>
                  </m:e>
                </m:nary>
                <m:r>
                  <m:rPr>
                    <m:sty m:val="p"/>
                  </m:rPr>
                  <m:t>ln</m:t>
                </m:r>
                <m:r>
                  <m:t>​</m:t>
                </m:r>
                <m:d>
                  <m:dPr>
                    <m:begChr m:val="("/>
                    <m:sepChr m:val=""/>
                    <m:endChr m:val=")"/>
                    <m:grow/>
                  </m:dPr>
                  <m:e>
                    <m:r>
                      <m:t>1</m:t>
                    </m:r>
                    <m:r>
                      <m:rPr>
                        <m:sty m:val="p"/>
                      </m:rPr>
                      <m:t>+</m:t>
                    </m:r>
                    <m:f>
                      <m:fPr>
                        <m:type m:val="bar"/>
                      </m:fPr>
                      <m:num>
                        <m:sSub>
                          <m:e>
                            <m:r>
                              <m:t>C</m:t>
                            </m:r>
                          </m:e>
                          <m:sub>
                            <m:r>
                              <m:t>s</m:t>
                            </m:r>
                            <m:r>
                              <m:t>s</m:t>
                            </m:r>
                          </m:sub>
                        </m:sSub>
                      </m:num>
                      <m:den>
                        <m:sSup>
                          <m:e>
                            <m:r>
                              <m:t>σ</m:t>
                            </m:r>
                          </m:e>
                          <m:sup>
                            <m:r>
                              <m:t>2</m:t>
                            </m:r>
                          </m:sup>
                        </m:sSup>
                      </m:den>
                    </m:f>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p>
      <w:pPr>
        <w:spacing w:after="120" w:before="20"/>
        <w:ind w:left="284"/>
        <w:jc w:val="left"/>
      </w:pPr>
      <w:r>
        <w:rPr>
          <w:i/>
          <w:iCs/>
          <w:color w:val="3A4350"/>
          <w:sz w:val="19"/>
          <w:szCs w:val="19"/>
        </w:rPr>
        <w:t xml:space="preserve">where </w:t>
      </w:r>
      <w:r>
        <w:rPr>
          <w:color w:val="3A4350"/>
          <w:sz w:val="19"/>
          <w:szCs w:val="19"/>
        </w:rPr>
        <w:t xml:space="preserve">the first two terms are the information about 8 and 16 equiprobable classes of </w:t>
      </w:r>
      <m:oMath>
        <m:r>
          <m:t>Q</m:t>
        </m:r>
      </m:oMath>
      <w:r>
        <w:rPr>
          <w:color w:val="3A4350"/>
          <w:sz w:val="19"/>
          <w:szCs w:val="19"/>
        </w:rPr>
        <w:t xml:space="preserve">, and </w:t>
      </w:r>
      <m:oMath>
        <m:sSub>
          <m:e>
            <m:r>
              <m:rPr>
                <m:sty m:val="b"/>
              </m:rPr>
              <m:t>C</m:t>
            </m:r>
          </m:e>
          <m:sub>
            <m:r>
              <m:t>S</m:t>
            </m:r>
            <m:r>
              <m:t>S</m:t>
            </m:r>
          </m:sub>
        </m:sSub>
      </m:oMath>
      <w:r>
        <w:rPr>
          <w:color w:val="3A4350"/>
          <w:sz w:val="19"/>
          <w:szCs w:val="19"/>
        </w:rPr>
        <w:t xml:space="preserve"> is the ensemble covariance of log-chloride at the samples.</w:t>
      </w:r>
    </w:p>
    <w:p>
      <w:pPr>
        <w:spacing w:after="100"/>
        <w:jc w:val="both"/>
      </w:pPr>
      <w:r>
        <w:t xml:space="preserve">On a linear-Gaussian ensemble (five parameters, six candidates, every design of three) the chain held in all 8 designs, with </w:t>
      </w:r>
      <m:oMath>
        <m:r>
          <m:t>I</m:t>
        </m:r>
        <m:d>
          <m:dPr>
            <m:begChr m:val="("/>
            <m:sepChr m:val=""/>
            <m:endChr m:val=")"/>
            <m:grow/>
          </m:dPr>
          <m:e>
            <m:r>
              <m:t>Q</m:t>
            </m:r>
            <m:r>
              <m:rPr>
                <m:sty m:val="p"/>
              </m:rPr>
              <m:t>;</m:t>
            </m:r>
            <m:sSub>
              <m:e>
                <m:r>
                  <m:t>y</m:t>
                </m:r>
              </m:e>
              <m:sub>
                <m:r>
                  <m:t>S</m:t>
                </m:r>
              </m:sub>
            </m:sSub>
          </m:e>
        </m:d>
      </m:oMath>
      <w:r>
        <w:t xml:space="preserve"> computed exactly. The logdet term, however, was 5–20 times larger than </w:t>
      </w:r>
      <m:oMath>
        <m:r>
          <m:t>I</m:t>
        </m:r>
        <m:d>
          <m:dPr>
            <m:begChr m:val="("/>
            <m:sepChr m:val=""/>
            <m:endChr m:val=")"/>
            <m:grow/>
          </m:dPr>
          <m:e>
            <m:r>
              <m:t>Q</m:t>
            </m:r>
            <m:r>
              <m:rPr>
                <m:sty m:val="p"/>
              </m:rPr>
              <m:t>;</m:t>
            </m:r>
            <m:sSub>
              <m:e>
                <m:r>
                  <m:t>y</m:t>
                </m:r>
              </m:e>
              <m:sub>
                <m:r>
                  <m:t>S</m:t>
                </m:r>
              </m:sub>
            </m:sSub>
          </m:e>
        </m:d>
      </m:oMath>
      <w:r>
        <w:t xml:space="preserve"> (Figure 1b): it counts all the information about the parameters, most of which does not concern </w:t>
      </w:r>
      <m:oMath>
        <m:r>
          <m:t>Q</m:t>
        </m:r>
      </m:oMath>
      <w:r>
        <w:t xml:space="preserve">. The branch-and-bound proposed in the note will prune only candidates whose own variance is small; it is still worth reporting the bracket in Table 4 of the manuscript, as the note says, but not worth relying on for the search.</w:t>
      </w:r>
    </w:p>
    <w:p>
      <w:pPr>
        <w:keepNext/>
        <w:spacing w:after="40" w:before="120"/>
        <w:jc w:val="center"/>
      </w:pPr>
      <w:r>
        <w:drawing>
          <wp:inline distT="0" distB="0" distL="0" distR="0">
            <wp:extent cx="6124575" cy="2171700"/>
            <wp:effectExtent t="0" r="0" b="0" l="0"/>
            <wp:docPr id="1" name="Checks of N1 and N3" descr="Checks of N1 and N3" title="Checks of N1 and 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171700"/>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(a) N1: mean misfit above </w:t>
      </w:r>
      <m:oMath>
        <m:sSup>
          <m:e>
            <m:r>
              <m:t>D</m:t>
            </m:r>
          </m:e>
          <m:sup>
            <m:r>
              <m:rPr>
                <m:sty m:val="p"/>
              </m:rPr>
              <m:t>⋆</m:t>
            </m:r>
          </m:sup>
        </m:sSup>
      </m:oMath>
      <w:r>
        <w:rPr>
          <w:color w:val="3A4350"/>
          <w:sz w:val="18"/>
          <w:szCs w:val="18"/>
        </w:rPr>
        <w:t xml:space="preserve"> against </w:t>
      </w:r>
      <m:oMath>
        <m:sSup>
          <m:e>
            <m:r>
              <m:t>τ</m:t>
            </m:r>
          </m:e>
          <m:sup>
            <m:r>
              <m:t>2</m:t>
            </m:r>
          </m:sup>
        </m:sSup>
      </m:oMath>
      <w:r>
        <w:rPr>
          <w:color w:val="3A4350"/>
          <w:sz w:val="18"/>
          <w:szCs w:val="18"/>
        </w:rPr>
        <w:t xml:space="preserve"> for a target inside the reach of the model (theory slope 3), outside it (theory 4) and with a redundant fact (theory 2); lines: </w:t>
      </w:r>
      <m:oMath>
        <m:r>
          <m:t>m</m:t>
        </m:r>
        <m:sSup>
          <m:e>
            <m:r>
              <m:t>τ</m:t>
            </m:r>
          </m:e>
          <m:sup>
            <m:r>
              <m:t>2</m:t>
            </m:r>
          </m:sup>
        </m:sSup>
      </m:oMath>
      <w:r>
        <w:rPr>
          <w:color w:val="3A4350"/>
          <w:sz w:val="18"/>
          <w:szCs w:val="18"/>
        </w:rPr>
        <w:t xml:space="preserve">. The boundary case bends below its asymptote over the whole usable range. (b) N3: the five terms of (3) for eight designs (log scale); the chain holds, but the analytic terms are an order of magnitude above </w:t>
      </w:r>
      <m:oMath>
        <m:r>
          <m:t>I</m:t>
        </m:r>
        <m:d>
          <m:dPr>
            <m:begChr m:val="("/>
            <m:sepChr m:val=""/>
            <m:endChr m:val=")"/>
            <m:grow/>
          </m:dPr>
          <m:e>
            <m:r>
              <m:t>Q</m:t>
            </m:r>
            <m:r>
              <m:rPr>
                <m:sty m:val="p"/>
              </m:rPr>
              <m:t>;</m:t>
            </m:r>
            <m:r>
              <m:t>y</m:t>
            </m:r>
          </m:e>
        </m:d>
      </m:oMath>
      <w:r>
        <w:rPr>
          <w:color w:val="3A4350"/>
          <w:sz w:val="18"/>
          <w:szCs w:val="18"/>
        </w:rPr>
        <w:t xml:space="preserve">.</w:t>
      </w:r>
    </w:p>
    <w:p>
      <w:pPr>
        <w:pStyle w:val="Heading1"/>
      </w:pPr>
      <w:r>
        <w:t xml:space="preserve">4. What anchor regression gives, and where it stops</w:t>
      </w:r>
    </w:p>
    <w:p>
      <w:pPr>
        <w:spacing w:after="100"/>
        <w:jc w:val="both"/>
      </w:pPr>
      <w:r>
        <w:t xml:space="preserve">Anchor regression [5] starts from a linear structural model in which exogenous variables </w:t>
      </w:r>
      <m:oMath>
        <m:r>
          <m:t>A</m:t>
        </m:r>
      </m:oMath>
      <w:r>
        <w:t xml:space="preserve">, the anchors, push the covariates </w:t>
      </w:r>
      <m:oMath>
        <m:r>
          <m:t>X</m:t>
        </m:r>
      </m:oMath>
      <w:r>
        <w:t xml:space="preserve">, the target </w:t>
      </w:r>
      <m:oMath>
        <m:r>
          <m:t>Y</m:t>
        </m:r>
      </m:oMath>
      <w:r>
        <w:t xml:space="preserve"> and hidden variables </w:t>
      </w:r>
      <m:oMath>
        <m:r>
          <m:t>H</m:t>
        </m:r>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m>
                      <m:mPr>
                        <m:baseJc m:val="center"/>
                        <m:plcHide m:val="on"/>
                        <m:mcs>
                          <m:mc>
                            <m:mcPr>
                              <m:count m:val="1"/>
                              <m:mcJc m:val="center"/>
                            </m:mcPr>
                          </m:mc>
                        </m:mcs>
                      </m:mPr>
                      <m:mr>
                        <m:e>
                          <m:r>
                            <m:t>X</m:t>
                          </m:r>
                        </m:e>
                      </m:mr>
                      <m:mr>
                        <m:e>
                          <m:r>
                            <m:t>Y</m:t>
                          </m:r>
                        </m:e>
                      </m:mr>
                      <m:mr>
                        <m:e>
                          <m:r>
                            <m:t>H</m:t>
                          </m:r>
                        </m:e>
                      </m:mr>
                    </m:m>
                  </m:e>
                </m:d>
                <m:r>
                  <m:rPr>
                    <m:sty m:val="p"/>
                  </m:rPr>
                  <m:t>=</m:t>
                </m:r>
                <m:r>
                  <m:rPr>
                    <m:sty m:val="b"/>
                  </m:rPr>
                  <m:t>B</m:t>
                </m:r>
                <m:d>
                  <m:dPr>
                    <m:begChr m:val="("/>
                    <m:sepChr m:val=""/>
                    <m:endChr m:val=")"/>
                    <m:grow/>
                  </m:dPr>
                  <m:e>
                    <m:m>
                      <m:mPr>
                        <m:baseJc m:val="center"/>
                        <m:plcHide m:val="on"/>
                        <m:mcs>
                          <m:mc>
                            <m:mcPr>
                              <m:count m:val="1"/>
                              <m:mcJc m:val="center"/>
                            </m:mcPr>
                          </m:mc>
                        </m:mcs>
                      </m:mPr>
                      <m:mr>
                        <m:e>
                          <m:r>
                            <m:t>X</m:t>
                          </m:r>
                        </m:e>
                      </m:mr>
                      <m:mr>
                        <m:e>
                          <m:r>
                            <m:t>Y</m:t>
                          </m:r>
                        </m:e>
                      </m:mr>
                      <m:mr>
                        <m:e>
                          <m:r>
                            <m:t>H</m:t>
                          </m:r>
                        </m:e>
                      </m:mr>
                    </m:m>
                  </m:e>
                </m:d>
                <m:r>
                  <m:rPr>
                    <m:sty m:val="p"/>
                  </m:rPr>
                  <m:t>+</m:t>
                </m:r>
                <m:r>
                  <m:t>ε</m:t>
                </m:r>
                <m:r>
                  <m:rPr>
                    <m:sty m:val="p"/>
                  </m:rPr>
                  <m:t>+</m:t>
                </m:r>
                <m:r>
                  <m:rPr>
                    <m:sty m:val="b"/>
                  </m:rPr>
                  <m:t>M</m:t>
                </m:r>
                <m:r>
                  <m:t>A</m:t>
                </m:r>
                <m:r>
                  <m:rPr>
                    <m:sty m:val="p"/>
                  </m:rPr>
                  <m:t>,</m:t>
                </m:r>
                <m:r>
                  <m:t>  </m:t>
                </m:r>
                <m:r>
                  <m:t>A</m:t>
                </m:r>
                <m:r>
                  <m:t> </m:t>
                </m:r>
                <m:r>
                  <m:rPr>
                    <m:nor/>
                  </m:rPr>
                  <m:t>independent of</m:t>
                </m:r>
                <m:r>
                  <m:t> </m:t>
                </m:r>
                <m:r>
                  <m:t>ε</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m:oMath>
        <m:r>
          <m:rPr>
            <m:sty m:val="b"/>
          </m:rPr>
          <m:t>M</m:t>
        </m:r>
      </m:oMath>
      <w:r>
        <w:rPr>
          <w:color w:val="3A4350"/>
          <w:sz w:val="19"/>
          <w:szCs w:val="19"/>
        </w:rPr>
        <w:t xml:space="preserve"> is the shift matrix. The anchors may act on </w:t>
      </w:r>
      <m:oMath>
        <m:r>
          <m:t>Y</m:t>
        </m:r>
      </m:oMath>
      <w:r>
        <w:rPr>
          <w:color w:val="3A4350"/>
          <w:sz w:val="19"/>
          <w:szCs w:val="19"/>
        </w:rPr>
        <w:t xml:space="preserve"> and </w:t>
      </w:r>
      <m:oMath>
        <m:r>
          <m:t>H</m:t>
        </m:r>
      </m:oMath>
      <w:r>
        <w:rPr>
          <w:color w:val="3A4350"/>
          <w:sz w:val="19"/>
          <w:szCs w:val="19"/>
        </w:rPr>
        <w:t xml:space="preserve"> directly, so they need not be valid instruments.</w:t>
      </w:r>
    </w:p>
    <w:p>
      <w:pPr>
        <w:spacing w:after="100"/>
        <w:jc w:val="both"/>
      </w:pPr>
      <w:r>
        <w:t xml:space="preserve">For </w:t>
      </w:r>
      <m:oMath>
        <m:r>
          <m:t>γ</m:t>
        </m:r>
        <m:r>
          <m:rPr>
            <m:sty m:val="p"/>
          </m:rPr>
          <m:t>≥</m:t>
        </m:r>
        <m:r>
          <m:t>0</m:t>
        </m:r>
      </m:oMath>
      <w:r>
        <w:t xml:space="preserve"> the anchor estimator penalises the part of the residual that the anchors explain, and Theorem 1 of the paper identifies the penalty with a worst case over shifts </w:t>
      </w:r>
      <m:oMath>
        <m:r>
          <m:t>v</m:t>
        </m:r>
      </m:oMath>
      <w:r>
        <w:t xml:space="preserve"> in the span of </w:t>
      </w:r>
      <m:oMath>
        <m:r>
          <m:rPr>
            <m:sty m:val="b"/>
          </m:rPr>
          <m:t>M</m:t>
        </m:r>
      </m:oMath>
      <w:r>
        <w:t xml:space="preserve"> (the paper writes a supremum; it is attained on the closed set </w:t>
      </w:r>
      <m:oMath>
        <m:sSup>
          <m:e>
            <m:r>
              <m:t>C</m:t>
            </m:r>
          </m:e>
          <m:sup>
            <m:r>
              <m:t>γ</m:t>
            </m:r>
          </m:sup>
        </m:sSup>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cr m:val="double-struck"/>
                    <m:sty m:val="p"/>
                  </m:rPr>
                  <m:t>E</m:t>
                </m:r>
                <m:r>
                  <m:t>​</m:t>
                </m:r>
                <m:d>
                  <m:dPr>
                    <m:begChr m:val="["/>
                    <m:sepChr m:val=""/>
                    <m:endChr m:val="]"/>
                    <m:grow/>
                  </m:dPr>
                  <m:e>
                    <m:r>
                      <m:rPr>
                        <m:sty m:val="p"/>
                      </m:rPr>
                      <m:t>(</m:t>
                    </m:r>
                    <m:d>
                      <m:dPr>
                        <m:begChr m:val="("/>
                        <m:sepChr m:val=""/>
                        <m:endChr m:val=")"/>
                        <m:grow/>
                      </m:dPr>
                      <m:e>
                        <m:r>
                          <m:rPr>
                            <m:sty m:val="p"/>
                          </m:rPr>
                          <m:t>I</m:t>
                        </m:r>
                        <m:r>
                          <m:rPr>
                            <m:sty m:val="p"/>
                          </m:rPr>
                          <m:t>d</m:t>
                        </m:r>
                        <m:r>
                          <m:rPr>
                            <m:sty m:val="p"/>
                          </m:rPr>
                          <m:t>−</m:t>
                        </m:r>
                        <m:sSub>
                          <m:e>
                            <m:r>
                              <m:t>P</m:t>
                            </m:r>
                          </m:e>
                          <m:sub>
                            <m:r>
                              <m:t>A</m:t>
                            </m:r>
                          </m:sub>
                        </m:sSub>
                      </m:e>
                    </m:d>
                    <m:d>
                      <m:dPr>
                        <m:begChr m:val="("/>
                        <m:sepChr m:val=""/>
                        <m:endChr m:val=")"/>
                        <m:grow/>
                      </m:dPr>
                      <m:e>
                        <m:r>
                          <m:t>Y</m:t>
                        </m:r>
                        <m:r>
                          <m:rPr>
                            <m:sty m:val="p"/>
                          </m:rPr>
                          <m:t>−</m:t>
                        </m:r>
                        <m:sSup>
                          <m:e>
                            <m:r>
                              <m:t>X</m:t>
                            </m:r>
                          </m:e>
                          <m:sup>
                            <m:r>
                              <m:rPr>
                                <m:sty m:val="p"/>
                              </m:rPr>
                              <m:t>⊤</m:t>
                            </m:r>
                          </m:sup>
                        </m:sSup>
                        <m:r>
                          <m:t>b</m:t>
                        </m:r>
                      </m:e>
                    </m:d>
                    <m:sSup>
                      <m:e>
                        <m:r>
                          <m:rPr>
                            <m:sty m:val="p"/>
                          </m:rPr>
                          <m:t>)</m:t>
                        </m:r>
                      </m:e>
                      <m:sup>
                        <m:r>
                          <m:t>2</m:t>
                        </m:r>
                      </m:sup>
                    </m:sSup>
                  </m:e>
                </m:d>
                <m:r>
                  <m:rPr>
                    <m:sty m:val="p"/>
                  </m:rPr>
                  <m:t>+</m:t>
                </m:r>
                <m:r>
                  <m:t>γ</m:t>
                </m:r>
                <m:r>
                  <m:t> </m:t>
                </m:r>
                <m:r>
                  <m:rPr>
                    <m:scr m:val="double-struck"/>
                    <m:sty m:val="p"/>
                  </m:rPr>
                  <m:t>E</m:t>
                </m:r>
                <m:r>
                  <m:t>​</m:t>
                </m:r>
                <m:d>
                  <m:dPr>
                    <m:begChr m:val="["/>
                    <m:sepChr m:val=""/>
                    <m:endChr m:val="]"/>
                    <m:grow/>
                  </m:dPr>
                  <m:e>
                    <m:r>
                      <m:rPr>
                        <m:sty m:val="p"/>
                      </m:rPr>
                      <m:t>(</m:t>
                    </m:r>
                    <m:sSub>
                      <m:e>
                        <m:r>
                          <m:t>P</m:t>
                        </m:r>
                      </m:e>
                      <m:sub>
                        <m:r>
                          <m:t>A</m:t>
                        </m:r>
                      </m:sub>
                    </m:sSub>
                    <m:d>
                      <m:dPr>
                        <m:begChr m:val="("/>
                        <m:sepChr m:val=""/>
                        <m:endChr m:val=")"/>
                        <m:grow/>
                      </m:dPr>
                      <m:e>
                        <m:r>
                          <m:t>Y</m:t>
                        </m:r>
                        <m:r>
                          <m:rPr>
                            <m:sty m:val="p"/>
                          </m:rPr>
                          <m:t>−</m:t>
                        </m:r>
                        <m:sSup>
                          <m:e>
                            <m:r>
                              <m:t>X</m:t>
                            </m:r>
                          </m:e>
                          <m:sup>
                            <m:r>
                              <m:rPr>
                                <m:sty m:val="p"/>
                              </m:rPr>
                              <m:t>⊤</m:t>
                            </m:r>
                          </m:sup>
                        </m:sSup>
                        <m:r>
                          <m:t>b</m:t>
                        </m:r>
                      </m:e>
                    </m:d>
                    <m:sSup>
                      <m:e>
                        <m:r>
                          <m:rPr>
                            <m:sty m:val="p"/>
                          </m:rPr>
                          <m:t>)</m:t>
                        </m:r>
                      </m:e>
                      <m:sup>
                        <m:r>
                          <m:t>2</m:t>
                        </m:r>
                      </m:sup>
                    </m:sSup>
                  </m:e>
                </m:d>
                <m:r>
                  <m:rPr>
                    <m:sty m:val="p"/>
                  </m:rPr>
                  <m:t>=</m:t>
                </m:r>
                <m:limLow>
                  <m:e>
                    <m:r>
                      <m:rPr>
                        <m:sty m:val="p"/>
                      </m:rPr>
                      <m:t>max</m:t>
                    </m:r>
                  </m:e>
                  <m:lim>
                    <m:r>
                      <m:t>v</m:t>
                    </m:r>
                    <m:r>
                      <m:rPr>
                        <m:sty m:val="p"/>
                      </m:rPr>
                      <m:t>∈</m:t>
                    </m:r>
                    <m:sSup>
                      <m:e>
                        <m:r>
                          <m:t>C</m:t>
                        </m:r>
                      </m:e>
                      <m:sup>
                        <m:r>
                          <m:t>γ</m:t>
                        </m:r>
                      </m:sup>
                    </m:sSup>
                  </m:lim>
                </m:limLow>
                <m:sSub>
                  <m:e>
                    <m:r>
                      <m:rPr>
                        <m:scr m:val="double-struck"/>
                        <m:sty m:val="p"/>
                      </m:rPr>
                      <m:t>E</m:t>
                    </m:r>
                  </m:e>
                  <m:sub>
                    <m:r>
                      <m:t>v</m:t>
                    </m:r>
                  </m:sub>
                </m:sSub>
                <m:r>
                  <m:t>​</m:t>
                </m:r>
                <m:d>
                  <m:dPr>
                    <m:begChr m:val="["/>
                    <m:sepChr m:val=""/>
                    <m:endChr m:val="]"/>
                    <m:grow/>
                  </m:dPr>
                  <m:e>
                    <m:sSup>
                      <m:e>
                        <m:d>
                          <m:dPr>
                            <m:begChr m:val="("/>
                            <m:sepChr m:val=""/>
                            <m:endChr m:val=")"/>
                            <m:grow/>
                          </m:dPr>
                          <m:e>
                            <m:r>
                              <m:t>Y</m:t>
                            </m:r>
                            <m:r>
                              <m:rPr>
                                <m:sty m:val="p"/>
                              </m:rPr>
                              <m:t>−</m:t>
                            </m:r>
                            <m:sSup>
                              <m:e>
                                <m:r>
                                  <m:t>X</m:t>
                                </m:r>
                              </m:e>
                              <m:sup>
                                <m:r>
                                  <m:rPr>
                                    <m:sty m:val="p"/>
                                  </m:rPr>
                                  <m:t>⊤</m:t>
                                </m:r>
                              </m:sup>
                            </m:sSup>
                            <m:r>
                              <m:t>b</m:t>
                            </m:r>
                          </m:e>
                        </m:d>
                      </m:e>
                      <m:sup>
                        <m:r>
                          <m:t>2</m:t>
                        </m:r>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p>
      <w:pPr>
        <w:spacing w:after="120" w:before="20"/>
        <w:ind w:left="284"/>
        <w:jc w:val="left"/>
      </w:pPr>
      <w:r>
        <w:rPr>
          <w:i/>
          <w:iCs/>
          <w:color w:val="3A4350"/>
          <w:sz w:val="19"/>
          <w:szCs w:val="19"/>
        </w:rPr>
        <w:t xml:space="preserve">where </w:t>
      </w:r>
      <m:oMath>
        <m:sSub>
          <m:e>
            <m:r>
              <m:t>P</m:t>
            </m:r>
          </m:e>
          <m:sub>
            <m:r>
              <m:t>A</m:t>
            </m:r>
          </m:sub>
        </m:sSub>
      </m:oMath>
      <w:r>
        <w:rPr>
          <w:color w:val="3A4350"/>
          <w:sz w:val="19"/>
          <w:szCs w:val="19"/>
        </w:rPr>
        <w:t xml:space="preserve"> is the projection on the span of the anchors and </w:t>
      </w:r>
      <m:oMath>
        <m:sSup>
          <m:e>
            <m:r>
              <m:t>C</m:t>
            </m:r>
          </m:e>
          <m:sup>
            <m:r>
              <m:t>γ</m:t>
            </m:r>
          </m:sup>
        </m:sSup>
        <m:r>
          <m:rPr>
            <m:sty m:val="p"/>
          </m:rPr>
          <m:t>=</m:t>
        </m:r>
        <m:r>
          <m:rPr>
            <m:sty m:val="p"/>
          </m:rPr>
          <m:t>{</m:t>
        </m:r>
        <m:r>
          <m:t>v</m:t>
        </m:r>
        <m:r>
          <m:rPr>
            <m:sty m:val="p"/>
          </m:rPr>
          <m:t>:</m:t>
        </m:r>
        <m:r>
          <m:t> </m:t>
        </m:r>
        <m:r>
          <m:t>v</m:t>
        </m:r>
        <m:sSup>
          <m:e>
            <m:r>
              <m:t>v</m:t>
            </m:r>
          </m:e>
          <m:sup>
            <m:r>
              <m:rPr>
                <m:sty m:val="p"/>
              </m:rPr>
              <m:t>⊤</m:t>
            </m:r>
          </m:sup>
        </m:sSup>
        <m:r>
          <m:rPr>
            <m:sty m:val="p"/>
          </m:rPr>
          <m:t>≼</m:t>
        </m:r>
        <m:r>
          <m:t>γ</m:t>
        </m:r>
        <m:r>
          <m:t> </m:t>
        </m:r>
        <m:r>
          <m:rPr>
            <m:sty m:val="b"/>
          </m:rPr>
          <m:t>M</m:t>
        </m:r>
        <m:r>
          <m:t> </m:t>
        </m:r>
        <m:r>
          <m:rPr>
            <m:scr m:val="double-struck"/>
            <m:sty m:val="p"/>
          </m:rPr>
          <m:t>E</m:t>
        </m:r>
        <m:d>
          <m:dPr>
            <m:begChr m:val="["/>
            <m:sepChr m:val=""/>
            <m:endChr m:val="]"/>
            <m:grow/>
          </m:dPr>
          <m:e>
            <m:r>
              <m:t>A</m:t>
            </m:r>
            <m:sSup>
              <m:e>
                <m:r>
                  <m:t>A</m:t>
                </m:r>
              </m:e>
              <m:sup>
                <m:r>
                  <m:rPr>
                    <m:sty m:val="p"/>
                  </m:rPr>
                  <m:t>⊤</m:t>
                </m:r>
              </m:sup>
            </m:sSup>
          </m:e>
        </m:d>
        <m:r>
          <m:t> </m:t>
        </m:r>
        <m:sSup>
          <m:e>
            <m:r>
              <m:rPr>
                <m:sty m:val="b"/>
              </m:rPr>
              <m:t>M</m:t>
            </m:r>
          </m:e>
          <m:sup>
            <m:r>
              <m:rPr>
                <m:sty m:val="p"/>
              </m:rPr>
              <m:t>⊤</m:t>
            </m:r>
          </m:sup>
        </m:sSup>
        <m:r>
          <m:rPr>
            <m:sty m:val="p"/>
          </m:rPr>
          <m:t>}</m:t>
        </m:r>
      </m:oMath>
      <w:r>
        <w:rPr>
          <w:color w:val="3A4350"/>
          <w:sz w:val="19"/>
          <w:szCs w:val="19"/>
        </w:rPr>
        <w:t xml:space="preserve">. The choice </w:t>
      </w:r>
      <m:oMath>
        <m:r>
          <m:t>γ</m:t>
        </m:r>
        <m:r>
          <m:rPr>
            <m:sty m:val="p"/>
          </m:rPr>
          <m:t>=</m:t>
        </m:r>
        <m:r>
          <m:t>1</m:t>
        </m:r>
      </m:oMath>
      <w:r>
        <w:rPr>
          <w:color w:val="3A4350"/>
          <w:sz w:val="19"/>
          <w:szCs w:val="19"/>
        </w:rPr>
        <w:t xml:space="preserve"> is least squares, </w:t>
      </w:r>
      <m:oMath>
        <m:r>
          <m:t>γ</m:t>
        </m:r>
        <m:r>
          <m:rPr>
            <m:sty m:val="p"/>
          </m:rPr>
          <m:t>=</m:t>
        </m:r>
        <m:r>
          <m:t>0</m:t>
        </m:r>
      </m:oMath>
      <w:r>
        <w:rPr>
          <w:color w:val="3A4350"/>
          <w:sz w:val="19"/>
          <w:szCs w:val="19"/>
        </w:rPr>
        <w:t xml:space="preserve"> partials the anchors out and </w:t>
      </w:r>
      <m:oMath>
        <m:r>
          <m:t>γ</m:t>
        </m:r>
        <m:r>
          <m:rPr>
            <m:sty m:val="p"/>
          </m:rPr>
          <m:t>→</m:t>
        </m:r>
        <m:r>
          <m:rPr>
            <m:sty m:val="p"/>
          </m:rPr>
          <m:t>∞</m:t>
        </m:r>
      </m:oMath>
      <w:r>
        <w:rPr>
          <w:color w:val="3A4350"/>
          <w:sz w:val="19"/>
          <w:szCs w:val="19"/>
        </w:rPr>
        <w:t xml:space="preserve"> is two-stage least squares.</w:t>
      </w:r>
    </w:p>
    <w:p>
      <w:pPr>
        <w:spacing w:after="100"/>
        <w:jc w:val="both"/>
      </w:pPr>
      <w:r>
        <w:t xml:space="preserve">The paper adds three results the series can use directly. For Gaussian data the objective is a quantile of the conditional error with </w:t>
      </w:r>
      <m:oMath>
        <m:r>
          <m:t>γ</m:t>
        </m:r>
      </m:oMath>
      <w:r>
        <w:t xml:space="preserve"> a </w:t>
      </w:r>
      <m:oMath>
        <m:sSubSup>
          <m:e>
            <m:r>
              <m:t>χ</m:t>
            </m:r>
          </m:e>
          <m:sub>
            <m:r>
              <m:t>1</m:t>
            </m:r>
          </m:sub>
          <m:sup>
            <m:r>
              <m:t>2</m:t>
            </m:r>
          </m:sup>
        </m:sSubSup>
      </m:oMath>
      <w:r>
        <w:t xml:space="preserve"> quantile (Lemma 1). The coefficients that make the residual orthogonal to the anchors are the same in any data set that differs by shifts in the span of </w:t>
      </w:r>
      <m:oMath>
        <m:r>
          <m:rPr>
            <m:sty m:val="b"/>
          </m:rPr>
          <m:t>M</m:t>
        </m:r>
      </m:oMath>
      <w:r>
        <w:t xml:space="preserve"> (Theorem 2). If the two ends of the path agree, the coefficients are causal and there is no hidden confounder between </w:t>
      </w:r>
      <m:oMath>
        <m:r>
          <m:t>X</m:t>
        </m:r>
      </m:oMath>
      <w:r>
        <w:t xml:space="preserve"> and </w:t>
      </w:r>
      <m:oMath>
        <m:r>
          <m:t>Y</m:t>
        </m:r>
      </m:oMath>
      <w:r>
        <w:t xml:space="preserve"> (Theorems 3–4, anchor stability). For the manuscript the natural anchors are what is recorded and exogenous: the pumping of each well, set by the operator, and the rainfall at the gauge. Anchor stability is then a test of whether a relation learned under one pumping regime holds under another, which is how the note reads the failed prediction at well 340.</w:t>
      </w:r>
    </w:p>
    <w:p>
      <w:pPr>
        <w:spacing w:after="100"/>
        <w:jc w:val="both"/>
      </w:pPr>
      <w:r>
        <w:t xml:space="preserve">For a pumping decision, three things in anchor regression do not fit. </w:t>
      </w:r>
      <w:r>
        <w:rPr>
          <w:b/>
          <w:bCs/>
        </w:rPr>
        <w:t xml:space="preserve">The decision is not a random perturbation.</w:t>
      </w:r>
      <w:r>
        <w:t xml:space="preserve"> The new pumping is known, chosen by the utility, and lies outside the record; protecting against it in a ball of size </w:t>
      </w:r>
      <m:oMath>
        <m:r>
          <m:t>γ</m:t>
        </m:r>
      </m:oMath>
      <w:r>
        <w:t xml:space="preserve"> wastes the knowledge and needs a large </w:t>
      </w:r>
      <m:oMath>
        <m:r>
          <m:t>γ</m:t>
        </m:r>
      </m:oMath>
      <w:r>
        <w:t xml:space="preserve">. </w:t>
      </w:r>
      <w:r>
        <w:rPr>
          <w:b/>
          <w:bCs/>
        </w:rPr>
        <w:t xml:space="preserve">The goal is not a mean-square error.</w:t>
      </w:r>
      <w:r>
        <w:t xml:space="preserve"> The utility needs an alarm that does not miss the chloride standard, which is a one-sided quantile. </w:t>
      </w:r>
      <w:r>
        <w:rPr>
          <w:b/>
          <w:bCs/>
        </w:rPr>
        <w:t xml:space="preserve">The climate shifts in one direction.</w:t>
      </w:r>
      <w:r>
        <w:t xml:space="preserve"> A warmer climate lowers recharge and raises irrigation pumping; it does not raise recharge, and the rain gauge may not record it at all. The paper recommends choosing </w:t>
      </w:r>
      <m:oMath>
        <m:r>
          <m:t>γ</m:t>
        </m:r>
      </m:oMath>
      <w:r>
        <w:t xml:space="preserve"> by cross-validation across anchor levels, which protects against shifts like those already seen. SPIRANCA-GO keeps the structure of Theorem 1 and changes these three things.</w:t>
      </w:r>
    </w:p>
    <w:p>
      <w:pPr>
        <w:pStyle w:val="Heading1"/>
      </w:pPr>
      <w:r>
        <w:t xml:space="preserve">5. SPIRANCA-GO: a chloride alarm that survives the decision</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rPr>
          <w:b/>
          <w:bCs/>
        </w:rPr>
        <w:t xml:space="preserve">SPIRANCA-GO</w:t>
      </w:r>
      <w:r>
        <w:t xml:space="preserve"> (</w:t>
      </w:r>
      <w:r>
        <w:rPr>
          <w:i/>
          <w:iCs/>
        </w:rPr>
        <w:t xml:space="preserve">spiranca</w:t>
      </w:r>
      <w:r>
        <w:t xml:space="preserve">: the anchor). The cheap and continuous measurements of a coastal aquifer are heads; chloride is measured rarely. A head-based alarm for the chloride standard at a supply well is learned from the record, and the record ends where the decision starts: new pumping, outside anything recorded, and a warming that the rain gauge may not register. SPIRANCA-GO splits the future into a </w:t>
      </w:r>
      <w:r>
        <w:rPr>
          <w:b/>
          <w:bCs/>
        </w:rPr>
        <w:t xml:space="preserve">known shift</w:t>
      </w:r>
      <w:r>
        <w:t xml:space="preserve"> (the decision, applied through the recorded anchors and corrected exactly), an </w:t>
      </w:r>
      <w:r>
        <w:rPr>
          <w:b/>
          <w:bCs/>
        </w:rPr>
        <w:t xml:space="preserve">unseen one-sided shift</w:t>
      </w:r>
      <w:r>
        <w:t xml:space="preserve"> in the span of the anchors (the warming, bounded by the planning scenario) and the </w:t>
      </w:r>
      <w:r>
        <w:rPr>
          <w:b/>
          <w:bCs/>
        </w:rPr>
        <w:t xml:space="preserve">goal</w:t>
      </w:r>
      <w:r>
        <w:t xml:space="preserve"> (an exceedance, not a mean-square error). It chooses the head weights that minimise the certified margin of the alarm, and it chooses the piezometers the same way. Proposition S1 gives the law of the alarm's error after the decision from data recorded before it; Theorem S2 certifies the alarm; Proposition S3 gives the weights in closed form; Proposition S4 says which piezometers can make the alarm shift-proof. On 100 aquifers of the chloride study's model the alarm kept its error rate at 2.4% under the worst warming, where least squares on heads and anchors reached 36.0%.</w:t>
      </w:r>
    </w:p>
    <w:p>
      <w:pPr>
        <w:pStyle w:val="Heading2"/>
      </w:pPr>
      <w:r>
        <w:t xml:space="preserve">5.1 Setting</w:t>
      </w:r>
    </w:p>
    <w:p>
      <w:pPr>
        <w:spacing w:after="100"/>
        <w:jc w:val="both"/>
      </w:pPr>
      <w:r>
        <w:t xml:space="preserve">Take the model (4) with three anchors, </w:t>
      </w:r>
      <m:oMath>
        <m:r>
          <m:t>A</m:t>
        </m:r>
        <m:r>
          <m:rPr>
            <m:sty m:val="p"/>
          </m:rPr>
          <m:t>=</m:t>
        </m:r>
        <m:d>
          <m:dPr>
            <m:begChr m:val="("/>
            <m:sepChr m:val=""/>
            <m:endChr m:val=")"/>
            <m:grow/>
          </m:dPr>
          <m:e>
            <m:r>
              <m:t>r</m:t>
            </m:r>
            <m:r>
              <m:rPr>
                <m:sty m:val="p"/>
              </m:rPr>
              <m:t>,</m:t>
            </m:r>
            <m:sSub>
              <m:e>
                <m:r>
                  <m:t>u</m:t>
                </m:r>
              </m:e>
              <m:sub>
                <m:r>
                  <m:t>A</m:t>
                </m:r>
              </m:sub>
            </m:sSub>
            <m:r>
              <m:rPr>
                <m:sty m:val="p"/>
              </m:rPr>
              <m:t>,</m:t>
            </m:r>
            <m:sSub>
              <m:e>
                <m:r>
                  <m:t>u</m:t>
                </m:r>
              </m:e>
              <m:sub>
                <m:r>
                  <m:t>B</m:t>
                </m:r>
              </m:sub>
            </m:sSub>
          </m:e>
        </m:d>
      </m:oMath>
      <w:r>
        <w:t xml:space="preserve">: the rainfall anomaly at the gauge and the operator's pumping anomalies of the two supply wells. The covariates </w:t>
      </w:r>
      <m:oMath>
        <m:r>
          <m:t>X</m:t>
        </m:r>
      </m:oMath>
      <w:r>
        <w:t xml:space="preserve"> are heads at monitoring wells (converted to the Strack potential [25]), the target </w:t>
      </w:r>
      <m:oMath>
        <m:r>
          <m:t>Y</m:t>
        </m:r>
      </m:oMath>
      <w:r>
        <w:t xml:space="preserve"> is the potential at the supply well, and the chloride of its screen exceeds 250 mg/L exactly when </w:t>
      </w:r>
      <m:oMath>
        <m:r>
          <m:t>Y</m:t>
        </m:r>
        <m:r>
          <m:rPr>
            <m:sty m:val="p"/>
          </m:rPr>
          <m:t>&lt;</m:t>
        </m:r>
        <m:sSup>
          <m:e>
            <m:r>
              <m:t>y</m:t>
            </m:r>
          </m:e>
          <m:sup>
            <m:r>
              <m:rPr>
                <m:sty m:val="p"/>
              </m:rPr>
              <m:t>⋆</m:t>
            </m:r>
          </m:sup>
        </m:sSup>
      </m:oMath>
      <w:r>
        <w:t xml:space="preserve">, by the monotone map of the chloride study [1]. For any weights </w:t>
      </w:r>
      <m:oMath>
        <m:r>
          <m:t>b</m:t>
        </m:r>
      </m:oMath>
      <w:r>
        <w:t xml:space="preserve"> the residual splits into an anchor part and an anchor-free part: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Y</m:t>
                </m:r>
                <m:r>
                  <m:rPr>
                    <m:sty m:val="p"/>
                  </m:rPr>
                  <m:t>−</m:t>
                </m:r>
                <m:sSup>
                  <m:e>
                    <m:r>
                      <m:t>X</m:t>
                    </m:r>
                  </m:e>
                  <m:sup>
                    <m:r>
                      <m:rPr>
                        <m:sty m:val="p"/>
                      </m:rPr>
                      <m:t>⊤</m:t>
                    </m:r>
                  </m:sup>
                </m:sSup>
                <m:r>
                  <m:t>b</m:t>
                </m:r>
                <m:r>
                  <m:rPr>
                    <m:sty m:val="p"/>
                  </m:rPr>
                  <m:t>=</m:t>
                </m:r>
                <m:sSub>
                  <m:e>
                    <m:r>
                      <m:t>η</m:t>
                    </m:r>
                  </m:e>
                  <m:sub>
                    <m:r>
                      <m:t>b</m:t>
                    </m:r>
                  </m:sub>
                </m:sSub>
                <m:r>
                  <m:rPr>
                    <m:sty m:val="p"/>
                  </m:rPr>
                  <m:t>+</m:t>
                </m:r>
                <m:sSubSup>
                  <m:e>
                    <m:r>
                      <m:t>w</m:t>
                    </m:r>
                  </m:e>
                  <m:sub>
                    <m:r>
                      <m:t>b</m:t>
                    </m:r>
                  </m:sub>
                  <m:sup>
                    <m:r>
                      <m:rPr>
                        <m:sty m:val="p"/>
                      </m:rPr>
                      <m:t>⊤</m:t>
                    </m:r>
                  </m:sup>
                </m:sSubSup>
                <m:r>
                  <m:t>A</m:t>
                </m:r>
                <m:r>
                  <m:rPr>
                    <m:sty m:val="p"/>
                  </m:rPr>
                  <m:t>,</m:t>
                </m:r>
                <m:r>
                  <m:t>  </m:t>
                </m:r>
                <m:sSub>
                  <m:e>
                    <m:r>
                      <m:t>w</m:t>
                    </m:r>
                  </m:e>
                  <m:sub>
                    <m:r>
                      <m:t>b</m:t>
                    </m:r>
                  </m:sub>
                </m:sSub>
                <m:r>
                  <m:rPr>
                    <m:sty m:val="p"/>
                  </m:rPr>
                  <m:t>=</m:t>
                </m:r>
                <m:r>
                  <m:rPr>
                    <m:scr m:val="double-struck"/>
                    <m:sty m:val="p"/>
                  </m:rPr>
                  <m:t>E</m:t>
                </m:r>
                <m:sSup>
                  <m:e>
                    <m:d>
                      <m:dPr>
                        <m:begChr m:val="["/>
                        <m:sepChr m:val=""/>
                        <m:endChr m:val="]"/>
                        <m:grow/>
                      </m:dPr>
                      <m:e>
                        <m:r>
                          <m:t>A</m:t>
                        </m:r>
                        <m:sSup>
                          <m:e>
                            <m:r>
                              <m:t>A</m:t>
                            </m:r>
                          </m:e>
                          <m:sup>
                            <m:r>
                              <m:rPr>
                                <m:sty m:val="p"/>
                              </m:rPr>
                              <m:t>⊤</m:t>
                            </m:r>
                          </m:sup>
                        </m:sSup>
                      </m:e>
                    </m:d>
                  </m:e>
                  <m:sup>
                    <m:r>
                      <m:rPr>
                        <m:sty m:val="p"/>
                      </m:rPr>
                      <m:t>−</m:t>
                    </m:r>
                    <m:r>
                      <m:t>1</m:t>
                    </m:r>
                  </m:sup>
                </m:sSup>
                <m:r>
                  <m:rPr>
                    <m:scr m:val="double-struck"/>
                    <m:sty m:val="p"/>
                  </m:rPr>
                  <m:t>E</m:t>
                </m:r>
                <m:d>
                  <m:dPr>
                    <m:begChr m:val="["/>
                    <m:sepChr m:val=""/>
                    <m:endChr m:val="]"/>
                    <m:grow/>
                  </m:dPr>
                  <m:e>
                    <m:r>
                      <m:t>A</m:t>
                    </m:r>
                    <m:r>
                      <m:t> </m:t>
                    </m:r>
                    <m:d>
                      <m:dPr>
                        <m:begChr m:val="("/>
                        <m:sepChr m:val=""/>
                        <m:endChr m:val=")"/>
                        <m:grow/>
                      </m:dPr>
                      <m:e>
                        <m:r>
                          <m:t>Y</m:t>
                        </m:r>
                        <m:r>
                          <m:rPr>
                            <m:sty m:val="p"/>
                          </m:rPr>
                          <m:t>−</m:t>
                        </m:r>
                        <m:sSup>
                          <m:e>
                            <m:r>
                              <m:t>X</m:t>
                            </m:r>
                          </m:e>
                          <m:sup>
                            <m:r>
                              <m:rPr>
                                <m:sty m:val="p"/>
                              </m:rPr>
                              <m:t>⊤</m:t>
                            </m:r>
                          </m:sup>
                        </m:sSup>
                        <m:r>
                          <m:t>b</m:t>
                        </m:r>
                      </m:e>
                    </m:d>
                  </m:e>
                </m:d>
                <m:r>
                  <m:rPr>
                    <m:sty m:val="p"/>
                  </m:rPr>
                  <m:t>=</m:t>
                </m:r>
                <m:sSub>
                  <m:e>
                    <m:r>
                      <m:t>w</m:t>
                    </m:r>
                  </m:e>
                  <m:sub>
                    <m:r>
                      <m:t>Y</m:t>
                    </m:r>
                  </m:sub>
                </m:sSub>
                <m:r>
                  <m:rPr>
                    <m:sty m:val="p"/>
                  </m:rPr>
                  <m:t>−</m:t>
                </m:r>
                <m:sSub>
                  <m:e>
                    <m:r>
                      <m:rPr>
                        <m:sty m:val="b"/>
                      </m:rPr>
                      <m:t>W</m:t>
                    </m:r>
                  </m:e>
                  <m:sub>
                    <m:r>
                      <m:t>X</m:t>
                    </m:r>
                  </m:sub>
                </m:sSub>
                <m:r>
                  <m:t> </m:t>
                </m:r>
                <m:r>
                  <m:t>b</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m:oMath>
        <m:sSub>
          <m:e>
            <m:r>
              <m:t>η</m:t>
            </m:r>
          </m:e>
          <m:sub>
            <m:r>
              <m:t>b</m:t>
            </m:r>
          </m:sub>
        </m:sSub>
        <m:r>
          <m:rPr>
            <m:sty m:val="p"/>
          </m:rPr>
          <m:t>=</m:t>
        </m:r>
        <m:d>
          <m:dPr>
            <m:begChr m:val="("/>
            <m:sepChr m:val=""/>
            <m:endChr m:val=")"/>
            <m:grow/>
          </m:dPr>
          <m:e>
            <m:r>
              <m:rPr>
                <m:sty m:val="p"/>
              </m:rPr>
              <m:t>I</m:t>
            </m:r>
            <m:r>
              <m:rPr>
                <m:sty m:val="p"/>
              </m:rPr>
              <m:t>d</m:t>
            </m:r>
            <m:r>
              <m:rPr>
                <m:sty m:val="p"/>
              </m:rPr>
              <m:t>−</m:t>
            </m:r>
            <m:sSub>
              <m:e>
                <m:r>
                  <m:t>P</m:t>
                </m:r>
              </m:e>
              <m:sub>
                <m:r>
                  <m:t>A</m:t>
                </m:r>
              </m:sub>
            </m:sSub>
          </m:e>
        </m:d>
        <m:d>
          <m:dPr>
            <m:begChr m:val="("/>
            <m:sepChr m:val=""/>
            <m:endChr m:val=")"/>
            <m:grow/>
          </m:dPr>
          <m:e>
            <m:r>
              <m:t>Y</m:t>
            </m:r>
            <m:r>
              <m:rPr>
                <m:sty m:val="p"/>
              </m:rPr>
              <m:t>−</m:t>
            </m:r>
            <m:sSup>
              <m:e>
                <m:r>
                  <m:t>X</m:t>
                </m:r>
              </m:e>
              <m:sup>
                <m:r>
                  <m:rPr>
                    <m:sty m:val="p"/>
                  </m:rPr>
                  <m:t>⊤</m:t>
                </m:r>
              </m:sup>
            </m:sSup>
            <m:r>
              <m:t>b</m:t>
            </m:r>
          </m:e>
        </m:d>
      </m:oMath>
      <w:r>
        <w:rPr>
          <w:color w:val="3A4350"/>
          <w:sz w:val="19"/>
          <w:szCs w:val="19"/>
        </w:rPr>
        <w:t xml:space="preserve">, and </w:t>
      </w:r>
      <m:oMath>
        <m:sSub>
          <m:e>
            <m:r>
              <m:t>w</m:t>
            </m:r>
          </m:e>
          <m:sub>
            <m:r>
              <m:t>Y</m:t>
            </m:r>
          </m:sub>
        </m:sSub>
      </m:oMath>
      <w:r>
        <w:rPr>
          <w:color w:val="3A4350"/>
          <w:sz w:val="19"/>
          <w:szCs w:val="19"/>
        </w:rPr>
        <w:t xml:space="preserve">, </w:t>
      </w:r>
      <m:oMath>
        <m:sSub>
          <m:e>
            <m:r>
              <m:rPr>
                <m:sty m:val="b"/>
              </m:rPr>
              <m:t>W</m:t>
            </m:r>
          </m:e>
          <m:sub>
            <m:r>
              <m:t>X</m:t>
            </m:r>
          </m:sub>
        </m:sSub>
      </m:oMath>
      <w:r>
        <w:rPr>
          <w:color w:val="3A4350"/>
          <w:sz w:val="19"/>
          <w:szCs w:val="19"/>
        </w:rPr>
        <w:t xml:space="preserve"> are the coefficients of </w:t>
      </w:r>
      <m:oMath>
        <m:r>
          <m:t>Y</m:t>
        </m:r>
      </m:oMath>
      <w:r>
        <w:rPr>
          <w:color w:val="3A4350"/>
          <w:sz w:val="19"/>
          <w:szCs w:val="19"/>
        </w:rPr>
        <w:t xml:space="preserve"> and </w:t>
      </w:r>
      <m:oMath>
        <m:r>
          <m:t>X</m:t>
        </m:r>
      </m:oMath>
      <w:r>
        <w:rPr>
          <w:color w:val="3A4350"/>
          <w:sz w:val="19"/>
          <w:szCs w:val="19"/>
        </w:rPr>
        <w:t xml:space="preserve"> on the anchors (data centred).</w:t>
      </w:r>
    </w:p>
    <w:p>
      <w:pPr>
        <w:spacing w:after="100"/>
        <w:jc w:val="both"/>
      </w:pPr>
      <w:r>
        <w:t xml:space="preserve">The future is a family </w:t>
      </w:r>
      <m:oMath>
        <m:r>
          <m:t>F</m:t>
        </m:r>
        <m:d>
          <m:dPr>
            <m:begChr m:val="("/>
            <m:sepChr m:val=""/>
            <m:endChr m:val=")"/>
            <m:grow/>
          </m:dPr>
          <m:e>
            <m:r>
              <m:t>δ</m:t>
            </m:r>
          </m:e>
        </m:d>
      </m:oMath>
      <w:r>
        <w:t xml:space="preserve">: the decision sets </w:t>
      </w:r>
      <m:oMath>
        <m:d>
          <m:dPr>
            <m:begChr m:val="("/>
            <m:sepChr m:val=""/>
            <m:endChr m:val=")"/>
            <m:grow/>
          </m:dPr>
          <m:e>
            <m:sSub>
              <m:e>
                <m:r>
                  <m:t>u</m:t>
                </m:r>
              </m:e>
              <m:sub>
                <m:r>
                  <m:t>A</m:t>
                </m:r>
              </m:sub>
            </m:sSub>
            <m:r>
              <m:rPr>
                <m:sty m:val="p"/>
              </m:rPr>
              <m:t>,</m:t>
            </m:r>
            <m:sSub>
              <m:e>
                <m:r>
                  <m:t>u</m:t>
                </m:r>
              </m:e>
              <m:sub>
                <m:r>
                  <m:t>B</m:t>
                </m:r>
              </m:sub>
            </m:sSub>
          </m:e>
        </m:d>
        <m:r>
          <m:rPr>
            <m:sty m:val="p"/>
          </m:rPr>
          <m:t>=</m:t>
        </m:r>
        <m:sSub>
          <m:e>
            <m:r>
              <m:t>a</m:t>
            </m:r>
          </m:e>
          <m:sub>
            <m:r>
              <m:t>d</m:t>
            </m:r>
          </m:sub>
        </m:sSub>
      </m:oMath>
      <w:r>
        <w:t xml:space="preserve">, known and outside the record; the rainfall anomaly keeps its law and is recorded; and a warming adds an unrecorded shift </w:t>
      </w:r>
      <m:oMath>
        <m:r>
          <m:t>v</m:t>
        </m:r>
        <m:r>
          <m:rPr>
            <m:sty m:val="p"/>
          </m:rPr>
          <m:t>=</m:t>
        </m:r>
        <m:r>
          <m:rPr>
            <m:sty m:val="p"/>
          </m:rPr>
          <m:t>−</m:t>
        </m:r>
        <m:r>
          <m:t>δ</m:t>
        </m:r>
        <m:r>
          <m:t> </m:t>
        </m:r>
        <m:r>
          <m:rPr>
            <m:sty m:val="b"/>
          </m:rPr>
          <m:t>M</m:t>
        </m:r>
        <m:sSub>
          <m:e>
            <m:r>
              <m:t>e</m:t>
            </m:r>
          </m:e>
          <m:sub>
            <m:r>
              <m:t>r</m:t>
            </m:r>
          </m:sub>
        </m:sSub>
      </m:oMath>
      <w:r>
        <w:t xml:space="preserve"> with </w:t>
      </w:r>
      <m:oMath>
        <m:r>
          <m:t>0</m:t>
        </m:r>
        <m:r>
          <m:rPr>
            <m:sty m:val="p"/>
          </m:rPr>
          <m:t>≤</m:t>
        </m:r>
        <m:r>
          <m:t>δ</m:t>
        </m:r>
        <m:r>
          <m:rPr>
            <m:sty m:val="p"/>
          </m:rPr>
          <m:t>≤</m:t>
        </m:r>
        <m:acc>
          <m:accPr>
            <m:chr m:val="‾"/>
          </m:accPr>
          <m:e>
            <m:r>
              <m:t>δ</m:t>
            </m:r>
          </m:e>
        </m:acc>
      </m:oMath>
      <w:r>
        <w:t xml:space="preserve">, the direction in which a dry year moves recharge and private abstraction, with a size set by the planning scenario. The alarm predicts </w:t>
      </w:r>
      <m:oMath>
        <m:sSub>
          <m:e>
            <m:acc>
              <m:accPr>
                <m:chr m:val="̂"/>
              </m:accPr>
              <m:e>
                <m:r>
                  <m:t>Y</m:t>
                </m:r>
              </m:e>
            </m:acc>
          </m:e>
          <m:sub>
            <m:r>
              <m:t>b</m:t>
            </m:r>
          </m:sub>
        </m:sSub>
        <m:r>
          <m:rPr>
            <m:sty m:val="p"/>
          </m:rPr>
          <m:t>=</m:t>
        </m:r>
        <m:sSup>
          <m:e>
            <m:r>
              <m:t>X</m:t>
            </m:r>
          </m:e>
          <m:sup>
            <m:r>
              <m:rPr>
                <m:sty m:val="p"/>
              </m:rPr>
              <m:t>⊤</m:t>
            </m:r>
          </m:sup>
        </m:sSup>
        <m:r>
          <m:t>b</m:t>
        </m:r>
        <m:r>
          <m:rPr>
            <m:sty m:val="p"/>
          </m:rPr>
          <m:t>+</m:t>
        </m:r>
        <m:sSubSup>
          <m:e>
            <m:r>
              <m:t>w</m:t>
            </m:r>
          </m:e>
          <m:sub>
            <m:r>
              <m:t>b</m:t>
            </m:r>
          </m:sub>
          <m:sup>
            <m:r>
              <m:rPr>
                <m:sty m:val="p"/>
              </m:rPr>
              <m:t>⊤</m:t>
            </m:r>
          </m:sup>
        </m:sSubSup>
        <m:r>
          <m:t>A</m:t>
        </m:r>
      </m:oMath>
      <w:r>
        <w:t xml:space="preserve"> from the heads and the recorded anchors, and sounds when </w:t>
      </w:r>
      <m:oMath>
        <m:sSub>
          <m:e>
            <m:acc>
              <m:accPr>
                <m:chr m:val="̂"/>
              </m:accPr>
              <m:e>
                <m:r>
                  <m:t>Y</m:t>
                </m:r>
              </m:e>
            </m:acc>
          </m:e>
          <m:sub>
            <m:r>
              <m:t>b</m:t>
            </m:r>
          </m:sub>
        </m:sSub>
        <m:r>
          <m:rPr>
            <m:sty m:val="p"/>
          </m:rPr>
          <m:t>≤</m:t>
        </m:r>
        <m:sSup>
          <m:e>
            <m:r>
              <m:t>y</m:t>
            </m:r>
          </m:e>
          <m:sup>
            <m:r>
              <m:rPr>
                <m:sty m:val="p"/>
              </m:rPr>
              <m:t>⋆</m:t>
            </m:r>
          </m:sup>
        </m:sSup>
        <m:r>
          <m:rPr>
            <m:sty m:val="p"/>
          </m:rPr>
          <m:t>+</m:t>
        </m:r>
        <m:r>
          <m:t>m</m:t>
        </m:r>
      </m:oMath>
      <w:r>
        <w:t xml:space="preserve">.</w:t>
      </w:r>
    </w:p>
    <w:p>
      <w:pPr>
        <w:pStyle w:val="Heading2"/>
      </w:pPr>
      <w:r>
        <w:t xml:space="preserve">5.2 The law of the error after the decision</w:t>
      </w:r>
    </w:p>
    <w:p>
      <w:pPr>
        <w:keepNext/>
        <w:pBdr>
          <w:left w:val="single" w:color="C2410C" w:sz="18" w:space="6"/>
        </w:pBdr>
        <w:shd w:fill="FDF2E9" w:color="auto" w:val="clear"/>
        <w:spacing w:after="100" w:before="100"/>
        <w:ind w:left="140" w:right="60"/>
        <w:jc w:val="left"/>
      </w:pPr>
      <w:r>
        <w:rPr>
          <w:b/>
          <w:bCs/>
          <w:color w:val="C2410C"/>
        </w:rPr>
        <w:t xml:space="preserve">Proposition S1 (the post-decision error is identified before the decision). </w:t>
      </w:r>
      <w:r>
        <w:t xml:space="preserve">Under (4), for every </w:t>
      </w:r>
      <m:oMath>
        <m:r>
          <m:t>b</m:t>
        </m:r>
      </m:oMath>
      <w:r>
        <w:t xml:space="preserve"> and every future </w:t>
      </w:r>
      <m:oMath>
        <m:r>
          <m:t>F</m:t>
        </m:r>
        <m:d>
          <m:dPr>
            <m:begChr m:val="("/>
            <m:sepChr m:val=""/>
            <m:endChr m:val=")"/>
            <m:grow/>
          </m:dPr>
          <m:e>
            <m:r>
              <m:t>δ</m:t>
            </m:r>
          </m:e>
        </m:d>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Y</m:t>
                </m:r>
                <m:r>
                  <m:rPr>
                    <m:sty m:val="p"/>
                  </m:rPr>
                  <m:t>−</m:t>
                </m:r>
                <m:sSub>
                  <m:e>
                    <m:acc>
                      <m:accPr>
                        <m:chr m:val="̂"/>
                      </m:accPr>
                      <m:e>
                        <m:r>
                          <m:t>Y</m:t>
                        </m:r>
                      </m:e>
                    </m:acc>
                  </m:e>
                  <m:sub>
                    <m:r>
                      <m:t>b</m:t>
                    </m:r>
                  </m:sub>
                </m:sSub>
                <m:r>
                  <m:t> </m:t>
                </m:r>
                <m:limUpp>
                  <m:e>
                    <m:r>
                      <m:rPr>
                        <m:sty m:val="p"/>
                      </m:rPr>
                      <m:t>=</m:t>
                    </m:r>
                  </m:e>
                  <m:lim>
                    <m:r>
                      <m:t>d</m:t>
                    </m:r>
                  </m:lim>
                </m:limUpp>
                <m:r>
                  <m:t> </m:t>
                </m:r>
                <m:sSub>
                  <m:e>
                    <m:r>
                      <m:t>η</m:t>
                    </m:r>
                  </m:e>
                  <m:sub>
                    <m:r>
                      <m:t>b</m:t>
                    </m:r>
                  </m:sub>
                </m:sSub>
                <m:r>
                  <m:rPr>
                    <m:sty m:val="p"/>
                  </m:rPr>
                  <m:t>−</m:t>
                </m:r>
                <m:r>
                  <m:t>δ</m:t>
                </m:r>
                <m:r>
                  <m:t> </m:t>
                </m:r>
                <m:r>
                  <m:rPr>
                    <m:sty m:val="p"/>
                  </m:rPr>
                  <m:t>ℓ</m:t>
                </m:r>
                <m:d>
                  <m:dPr>
                    <m:begChr m:val="("/>
                    <m:sepChr m:val=""/>
                    <m:endChr m:val=")"/>
                    <m:grow/>
                  </m:dPr>
                  <m:e>
                    <m:r>
                      <m:t>b</m:t>
                    </m:r>
                  </m:e>
                </m:d>
                <m:r>
                  <m:rPr>
                    <m:sty m:val="p"/>
                  </m:rPr>
                  <m:t>,</m:t>
                </m:r>
                <m:r>
                  <m:t>  </m:t>
                </m:r>
                <m:r>
                  <m:rPr>
                    <m:sty m:val="p"/>
                  </m:rPr>
                  <m:t>ℓ</m:t>
                </m:r>
                <m:d>
                  <m:dPr>
                    <m:begChr m:val="("/>
                    <m:sepChr m:val=""/>
                    <m:endChr m:val=")"/>
                    <m:grow/>
                  </m:dPr>
                  <m:e>
                    <m:r>
                      <m:t>b</m:t>
                    </m:r>
                  </m:e>
                </m:d>
                <m:r>
                  <m:rPr>
                    <m:sty m:val="p"/>
                  </m:rPr>
                  <m:t>=</m:t>
                </m:r>
                <m:sSubSup>
                  <m:e>
                    <m:r>
                      <m:t>e</m:t>
                    </m:r>
                  </m:e>
                  <m:sub>
                    <m:r>
                      <m:t>r</m:t>
                    </m:r>
                  </m:sub>
                  <m:sup>
                    <m:r>
                      <m:rPr>
                        <m:sty m:val="p"/>
                      </m:rPr>
                      <m:t>⊤</m:t>
                    </m:r>
                  </m:sup>
                </m:sSubSup>
                <m:sSub>
                  <m:e>
                    <m:r>
                      <m:t>w</m:t>
                    </m:r>
                  </m:e>
                  <m:sub>
                    <m:r>
                      <m:t>b</m:t>
                    </m:r>
                  </m:sub>
                </m:sSub>
                <m:r>
                  <m:rPr>
                    <m:sty m:val="p"/>
                  </m:rPr>
                  <m:t>=</m:t>
                </m:r>
                <m:sSub>
                  <m:e>
                    <m:r>
                      <m:t>w</m:t>
                    </m:r>
                  </m:e>
                  <m:sub>
                    <m:r>
                      <m:t>Y</m:t>
                    </m:r>
                    <m:r>
                      <m:rPr>
                        <m:sty m:val="p"/>
                      </m:rPr>
                      <m:t>,</m:t>
                    </m:r>
                    <m:r>
                      <m:t>r</m:t>
                    </m:r>
                  </m:sub>
                </m:sSub>
                <m:r>
                  <m:rPr>
                    <m:sty m:val="p"/>
                  </m:rPr>
                  <m:t>−</m:t>
                </m:r>
                <m:sSub>
                  <m:e>
                    <m:r>
                      <m:rPr>
                        <m:sty m:val="b"/>
                      </m:rPr>
                      <m:t>W</m:t>
                    </m:r>
                  </m:e>
                  <m:sub>
                    <m:r>
                      <m:t>X</m:t>
                    </m:r>
                    <m:r>
                      <m:rPr>
                        <m:sty m:val="p"/>
                      </m:rPr>
                      <m:t>,</m:t>
                    </m:r>
                    <m:r>
                      <m:t>r</m:t>
                    </m:r>
                  </m:sub>
                </m:sSub>
                <m:r>
                  <m:t> </m:t>
                </m:r>
                <m:r>
                  <m:t>b</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20" w:before="20"/>
        <w:ind w:left="284"/>
        <w:jc w:val="left"/>
      </w:pPr>
      <w:r>
        <w:rPr>
          <w:i/>
          <w:iCs/>
          <w:color w:val="3A4350"/>
          <w:sz w:val="19"/>
          <w:szCs w:val="19"/>
        </w:rPr>
        <w:t xml:space="preserve">where </w:t>
      </w:r>
      <m:oMath>
        <m:sSub>
          <m:e>
            <m:r>
              <m:t>η</m:t>
            </m:r>
          </m:e>
          <m:sub>
            <m:r>
              <m:t>b</m:t>
            </m:r>
          </m:sub>
        </m:sSub>
      </m:oMath>
      <w:r>
        <w:rPr>
          <w:color w:val="3A4350"/>
          <w:sz w:val="19"/>
          <w:szCs w:val="19"/>
        </w:rPr>
        <w:t xml:space="preserve"> has its law in the record. The decision, however far outside the record, enters only through the recorded anchors and is corrected by </w:t>
      </w:r>
      <m:oMath>
        <m:sSubSup>
          <m:e>
            <m:r>
              <m:t>w</m:t>
            </m:r>
          </m:e>
          <m:sub>
            <m:r>
              <m:t>b</m:t>
            </m:r>
          </m:sub>
          <m:sup>
            <m:r>
              <m:rPr>
                <m:sty m:val="p"/>
              </m:rPr>
              <m:t>⊤</m:t>
            </m:r>
          </m:sup>
        </m:sSubSup>
        <m:r>
          <m:t>A</m:t>
        </m:r>
      </m:oMath>
      <w:r>
        <w:rPr>
          <w:color w:val="3A4350"/>
          <w:sz w:val="19"/>
          <w:szCs w:val="19"/>
        </w:rPr>
        <w:t xml:space="preserve">; the unrecorded warming moves the error by </w:t>
      </w:r>
      <m:oMath>
        <m:r>
          <m:t>δ</m:t>
        </m:r>
        <m:r>
          <m:t> </m:t>
        </m:r>
        <m:r>
          <m:rPr>
            <m:sty m:val="p"/>
          </m:rPr>
          <m:t>ℓ</m:t>
        </m:r>
        <m:d>
          <m:dPr>
            <m:begChr m:val="("/>
            <m:sepChr m:val=""/>
            <m:endChr m:val=")"/>
            <m:grow/>
          </m:dPr>
          <m:e>
            <m:r>
              <m:t>b</m:t>
            </m:r>
          </m:e>
        </m:d>
      </m:oMath>
      <w:r>
        <w:rPr>
          <w:color w:val="3A4350"/>
          <w:sz w:val="19"/>
          <w:szCs w:val="19"/>
        </w:rPr>
        <w:t xml:space="preserve">, the response of the residual to rainfall with pumping held fixed.</w:t>
      </w:r>
    </w:p>
    <w:p>
      <w:pPr>
        <w:spacing w:after="110"/>
        <w:jc w:val="both"/>
      </w:pPr>
      <w:r>
        <w:rPr>
          <w:i/>
          <w:iCs/>
        </w:rPr>
        <w:t xml:space="preserve">Proof. </w:t>
      </w:r>
      <w:r>
        <w:t xml:space="preserve">Write </w:t>
      </w:r>
      <m:oMath>
        <m:d>
          <m:dPr>
            <m:begChr m:val="("/>
            <m:sepChr m:val=""/>
            <m:endChr m:val=")"/>
            <m:grow/>
          </m:dPr>
          <m:e>
            <m:r>
              <m:t>X</m:t>
            </m:r>
            <m:r>
              <m:rPr>
                <m:sty m:val="p"/>
              </m:rPr>
              <m:t>,</m:t>
            </m:r>
            <m:r>
              <m:t>Y</m:t>
            </m:r>
            <m:r>
              <m:rPr>
                <m:sty m:val="p"/>
              </m:rPr>
              <m:t>,</m:t>
            </m:r>
            <m:r>
              <m:t>H</m:t>
            </m:r>
          </m:e>
        </m:d>
        <m:r>
          <m:rPr>
            <m:sty m:val="p"/>
          </m:rPr>
          <m:t>=</m:t>
        </m:r>
        <m:sSup>
          <m:e>
            <m:d>
              <m:dPr>
                <m:begChr m:val="("/>
                <m:sepChr m:val=""/>
                <m:endChr m:val=")"/>
                <m:grow/>
              </m:dPr>
              <m:e>
                <m:r>
                  <m:rPr>
                    <m:sty m:val="p"/>
                  </m:rPr>
                  <m:t>I</m:t>
                </m:r>
                <m:r>
                  <m:rPr>
                    <m:sty m:val="p"/>
                  </m:rPr>
                  <m:t>d</m:t>
                </m:r>
                <m:r>
                  <m:rPr>
                    <m:sty m:val="p"/>
                  </m:rPr>
                  <m:t>−</m:t>
                </m:r>
                <m:r>
                  <m:rPr>
                    <m:sty m:val="b"/>
                  </m:rPr>
                  <m:t>B</m:t>
                </m:r>
              </m:e>
            </m:d>
          </m:e>
          <m:sup>
            <m:r>
              <m:rPr>
                <m:sty m:val="p"/>
              </m:rPr>
              <m:t>−</m:t>
            </m:r>
            <m:r>
              <m:t>1</m:t>
            </m:r>
          </m:sup>
        </m:sSup>
        <m:d>
          <m:dPr>
            <m:begChr m:val="("/>
            <m:sepChr m:val=""/>
            <m:endChr m:val=")"/>
            <m:grow/>
          </m:dPr>
          <m:e>
            <m:r>
              <m:t>ε</m:t>
            </m:r>
            <m:r>
              <m:rPr>
                <m:sty m:val="p"/>
              </m:rPr>
              <m:t>+</m:t>
            </m:r>
            <m:r>
              <m:rPr>
                <m:sty m:val="b"/>
              </m:rPr>
              <m:t>M</m:t>
            </m:r>
            <m:r>
              <m:t>A</m:t>
            </m:r>
            <m:r>
              <m:rPr>
                <m:sty m:val="p"/>
              </m:rPr>
              <m:t>+</m:t>
            </m:r>
            <m:r>
              <m:t>v</m:t>
            </m:r>
          </m:e>
        </m:d>
      </m:oMath>
      <w:r>
        <w:t xml:space="preserve"> and </w:t>
      </w:r>
      <m:oMath>
        <m:sSub>
          <m:e>
            <m:r>
              <m:t>g</m:t>
            </m:r>
          </m:e>
          <m:sub>
            <m:r>
              <m:t>b</m:t>
            </m:r>
          </m:sub>
        </m:sSub>
        <m:r>
          <m:rPr>
            <m:sty m:val="p"/>
          </m:rPr>
          <m:t>=</m:t>
        </m:r>
        <m:sSup>
          <m:e>
            <m:d>
              <m:dPr>
                <m:begChr m:val="("/>
                <m:sepChr m:val=""/>
                <m:endChr m:val=")"/>
                <m:grow/>
              </m:dPr>
              <m:e>
                <m:r>
                  <m:rPr>
                    <m:sty m:val="p"/>
                  </m:rPr>
                  <m:t>I</m:t>
                </m:r>
                <m:r>
                  <m:rPr>
                    <m:sty m:val="p"/>
                  </m:rPr>
                  <m:t>d</m:t>
                </m:r>
                <m:r>
                  <m:rPr>
                    <m:sty m:val="p"/>
                  </m:rPr>
                  <m:t>−</m:t>
                </m:r>
                <m:r>
                  <m:rPr>
                    <m:sty m:val="b"/>
                  </m:rPr>
                  <m:t>B</m:t>
                </m:r>
              </m:e>
            </m:d>
          </m:e>
          <m:sup>
            <m:r>
              <m:rPr>
                <m:sty m:val="p"/>
              </m:rPr>
              <m:t>−</m:t>
            </m:r>
            <m:r>
              <m:rPr>
                <m:sty m:val="p"/>
              </m:rPr>
              <m:t>⊤</m:t>
            </m:r>
          </m:sup>
        </m:sSup>
        <m:d>
          <m:dPr>
            <m:begChr m:val="("/>
            <m:sepChr m:val=""/>
            <m:endChr m:val=")"/>
            <m:grow/>
          </m:dPr>
          <m:e>
            <m:r>
              <m:rPr>
                <m:sty m:val="p"/>
              </m:rPr>
              <m:t>−</m:t>
            </m:r>
            <m:r>
              <m:t>b</m:t>
            </m:r>
            <m:r>
              <m:rPr>
                <m:sty m:val="p"/>
              </m:rPr>
              <m:t>,</m:t>
            </m:r>
            <m:r>
              <m:t>1</m:t>
            </m:r>
            <m:r>
              <m:rPr>
                <m:sty m:val="p"/>
              </m:rPr>
              <m:t>,</m:t>
            </m:r>
            <m:r>
              <m:t>0</m:t>
            </m:r>
          </m:e>
        </m:d>
      </m:oMath>
      <w:r>
        <w:t xml:space="preserve">, so that </w:t>
      </w:r>
      <m:oMath>
        <m:r>
          <m:t>Y</m:t>
        </m:r>
        <m:r>
          <m:rPr>
            <m:sty m:val="p"/>
          </m:rPr>
          <m:t>−</m:t>
        </m:r>
        <m:sSup>
          <m:e>
            <m:r>
              <m:t>X</m:t>
            </m:r>
          </m:e>
          <m:sup>
            <m:r>
              <m:rPr>
                <m:sty m:val="p"/>
              </m:rPr>
              <m:t>⊤</m:t>
            </m:r>
          </m:sup>
        </m:sSup>
        <m:r>
          <m:t>b</m:t>
        </m:r>
        <m:r>
          <m:rPr>
            <m:sty m:val="p"/>
          </m:rPr>
          <m:t>=</m:t>
        </m:r>
        <m:sSubSup>
          <m:e>
            <m:r>
              <m:t>g</m:t>
            </m:r>
          </m:e>
          <m:sub>
            <m:r>
              <m:t>b</m:t>
            </m:r>
          </m:sub>
          <m:sup>
            <m:r>
              <m:rPr>
                <m:sty m:val="p"/>
              </m:rPr>
              <m:t>⊤</m:t>
            </m:r>
          </m:sup>
        </m:sSubSup>
        <m:r>
          <m:t>ε</m:t>
        </m:r>
        <m:r>
          <m:rPr>
            <m:sty m:val="p"/>
          </m:rPr>
          <m:t>+</m:t>
        </m:r>
        <m:sSubSup>
          <m:e>
            <m:r>
              <m:t>g</m:t>
            </m:r>
          </m:e>
          <m:sub>
            <m:r>
              <m:t>b</m:t>
            </m:r>
          </m:sub>
          <m:sup>
            <m:r>
              <m:rPr>
                <m:sty m:val="p"/>
              </m:rPr>
              <m:t>⊤</m:t>
            </m:r>
          </m:sup>
        </m:sSubSup>
        <m:r>
          <m:rPr>
            <m:sty m:val="b"/>
          </m:rPr>
          <m:t>M</m:t>
        </m:r>
        <m:r>
          <m:t>A</m:t>
        </m:r>
        <m:r>
          <m:rPr>
            <m:sty m:val="p"/>
          </m:rPr>
          <m:t>+</m:t>
        </m:r>
        <m:sSubSup>
          <m:e>
            <m:r>
              <m:t>g</m:t>
            </m:r>
          </m:e>
          <m:sub>
            <m:r>
              <m:t>b</m:t>
            </m:r>
          </m:sub>
          <m:sup>
            <m:r>
              <m:rPr>
                <m:sty m:val="p"/>
              </m:rPr>
              <m:t>⊤</m:t>
            </m:r>
          </m:sup>
        </m:sSubSup>
        <m:r>
          <m:t>v</m:t>
        </m:r>
      </m:oMath>
      <w:r>
        <w:t xml:space="preserve">. In the record </w:t>
      </w:r>
      <m:oMath>
        <m:r>
          <m:t>v</m:t>
        </m:r>
        <m:r>
          <m:rPr>
            <m:sty m:val="p"/>
          </m:rPr>
          <m:t>=</m:t>
        </m:r>
        <m:r>
          <m:t>0</m:t>
        </m:r>
      </m:oMath>
      <w:r>
        <w:t xml:space="preserve"> and </w:t>
      </w:r>
      <m:oMath>
        <m:r>
          <m:t>A</m:t>
        </m:r>
      </m:oMath>
      <w:r>
        <w:t xml:space="preserve"> is independent of the centred </w:t>
      </w:r>
      <m:oMath>
        <m:r>
          <m:t>ε</m:t>
        </m:r>
      </m:oMath>
      <w:r>
        <w:t xml:space="preserve">, so </w:t>
      </w:r>
      <m:oMath>
        <m:sSub>
          <m:e>
            <m:r>
              <m:t>P</m:t>
            </m:r>
          </m:e>
          <m:sub>
            <m:r>
              <m:t>A</m:t>
            </m:r>
          </m:sub>
        </m:sSub>
        <m:d>
          <m:dPr>
            <m:begChr m:val="("/>
            <m:sepChr m:val=""/>
            <m:endChr m:val=")"/>
            <m:grow/>
          </m:dPr>
          <m:e>
            <m:r>
              <m:t>Y</m:t>
            </m:r>
            <m:r>
              <m:rPr>
                <m:sty m:val="p"/>
              </m:rPr>
              <m:t>−</m:t>
            </m:r>
            <m:sSup>
              <m:e>
                <m:r>
                  <m:t>X</m:t>
                </m:r>
              </m:e>
              <m:sup>
                <m:r>
                  <m:rPr>
                    <m:sty m:val="p"/>
                  </m:rPr>
                  <m:t>⊤</m:t>
                </m:r>
              </m:sup>
            </m:sSup>
            <m:r>
              <m:t>b</m:t>
            </m:r>
          </m:e>
        </m:d>
        <m:r>
          <m:rPr>
            <m:sty m:val="p"/>
          </m:rPr>
          <m:t>=</m:t>
        </m:r>
        <m:sSubSup>
          <m:e>
            <m:r>
              <m:t>g</m:t>
            </m:r>
          </m:e>
          <m:sub>
            <m:r>
              <m:t>b</m:t>
            </m:r>
          </m:sub>
          <m:sup>
            <m:r>
              <m:rPr>
                <m:sty m:val="p"/>
              </m:rPr>
              <m:t>⊤</m:t>
            </m:r>
          </m:sup>
        </m:sSubSup>
        <m:r>
          <m:rPr>
            <m:sty m:val="b"/>
          </m:rPr>
          <m:t>M</m:t>
        </m:r>
        <m:r>
          <m:t>A</m:t>
        </m:r>
      </m:oMath>
      <w:r>
        <w:t xml:space="preserve">, hence </w:t>
      </w:r>
      <m:oMath>
        <m:sSubSup>
          <m:e>
            <m:r>
              <m:t>w</m:t>
            </m:r>
          </m:e>
          <m:sub>
            <m:r>
              <m:t>b</m:t>
            </m:r>
          </m:sub>
          <m:sup>
            <m:r>
              <m:rPr>
                <m:sty m:val="p"/>
              </m:rPr>
              <m:t>⊤</m:t>
            </m:r>
          </m:sup>
        </m:sSubSup>
        <m:r>
          <m:rPr>
            <m:sty m:val="p"/>
          </m:rPr>
          <m:t>=</m:t>
        </m:r>
        <m:sSubSup>
          <m:e>
            <m:r>
              <m:t>g</m:t>
            </m:r>
          </m:e>
          <m:sub>
            <m:r>
              <m:t>b</m:t>
            </m:r>
          </m:sub>
          <m:sup>
            <m:r>
              <m:rPr>
                <m:sty m:val="p"/>
              </m:rPr>
              <m:t>⊤</m:t>
            </m:r>
          </m:sup>
        </m:sSubSup>
        <m:r>
          <m:rPr>
            <m:sty m:val="b"/>
          </m:rPr>
          <m:t>M</m:t>
        </m:r>
      </m:oMath>
      <w:r>
        <w:t xml:space="preserve"> and </w:t>
      </w:r>
      <m:oMath>
        <m:sSub>
          <m:e>
            <m:r>
              <m:t>η</m:t>
            </m:r>
          </m:e>
          <m:sub>
            <m:r>
              <m:t>b</m:t>
            </m:r>
          </m:sub>
        </m:sSub>
        <m:r>
          <m:rPr>
            <m:sty m:val="p"/>
          </m:rPr>
          <m:t>=</m:t>
        </m:r>
        <m:sSubSup>
          <m:e>
            <m:r>
              <m:t>g</m:t>
            </m:r>
          </m:e>
          <m:sub>
            <m:r>
              <m:t>b</m:t>
            </m:r>
          </m:sub>
          <m:sup>
            <m:r>
              <m:rPr>
                <m:sty m:val="p"/>
              </m:rPr>
              <m:t>⊤</m:t>
            </m:r>
          </m:sup>
        </m:sSubSup>
        <m:r>
          <m:t>ε</m:t>
        </m:r>
      </m:oMath>
      <w:r>
        <w:t xml:space="preserve">. In the future </w:t>
      </w:r>
      <m:oMath>
        <m:r>
          <m:t>A</m:t>
        </m:r>
      </m:oMath>
      <w:r>
        <w:t xml:space="preserve"> takes its recorded value, the decision included, and </w:t>
      </w:r>
      <m:oMath>
        <m:r>
          <m:t>v</m:t>
        </m:r>
        <m:r>
          <m:rPr>
            <m:sty m:val="p"/>
          </m:rPr>
          <m:t>=</m:t>
        </m:r>
        <m:r>
          <m:rPr>
            <m:sty m:val="p"/>
          </m:rPr>
          <m:t>−</m:t>
        </m:r>
        <m:r>
          <m:t>δ</m:t>
        </m:r>
        <m:r>
          <m:rPr>
            <m:sty m:val="b"/>
          </m:rPr>
          <m:t>M</m:t>
        </m:r>
        <m:sSub>
          <m:e>
            <m:r>
              <m:t>e</m:t>
            </m:r>
          </m:e>
          <m:sub>
            <m:r>
              <m:t>r</m:t>
            </m:r>
          </m:sub>
        </m:sSub>
      </m:oMath>
      <w:r>
        <w:t xml:space="preserve"> adds </w:t>
      </w:r>
      <m:oMath>
        <m:r>
          <m:rPr>
            <m:sty m:val="p"/>
          </m:rPr>
          <m:t>−</m:t>
        </m:r>
        <m:r>
          <m:t>δ</m:t>
        </m:r>
        <m:sSubSup>
          <m:e>
            <m:r>
              <m:t>g</m:t>
            </m:r>
          </m:e>
          <m:sub>
            <m:r>
              <m:t>b</m:t>
            </m:r>
          </m:sub>
          <m:sup>
            <m:r>
              <m:rPr>
                <m:sty m:val="p"/>
              </m:rPr>
              <m:t>⊤</m:t>
            </m:r>
          </m:sup>
        </m:sSubSup>
        <m:r>
          <m:rPr>
            <m:sty m:val="b"/>
          </m:rPr>
          <m:t>M</m:t>
        </m:r>
        <m:sSub>
          <m:e>
            <m:r>
              <m:t>e</m:t>
            </m:r>
          </m:e>
          <m:sub>
            <m:r>
              <m:t>r</m:t>
            </m:r>
          </m:sub>
        </m:sSub>
        <m:r>
          <m:rPr>
            <m:sty m:val="p"/>
          </m:rPr>
          <m:t>=</m:t>
        </m:r>
        <m:r>
          <m:rPr>
            <m:sty m:val="p"/>
          </m:rPr>
          <m:t>−</m:t>
        </m:r>
        <m:r>
          <m:t>δ</m:t>
        </m:r>
        <m:r>
          <m:rPr>
            <m:sty m:val="p"/>
          </m:rPr>
          <m:t>ℓ</m:t>
        </m:r>
        <m:d>
          <m:dPr>
            <m:begChr m:val="("/>
            <m:sepChr m:val=""/>
            <m:endChr m:val=")"/>
            <m:grow/>
          </m:dPr>
          <m:e>
            <m:r>
              <m:t>b</m:t>
            </m:r>
          </m:e>
        </m:d>
      </m:oMath>
      <w:r>
        <w:t xml:space="preserve">. The law of </w:t>
      </w:r>
      <m:oMath>
        <m:r>
          <m:t>ε</m:t>
        </m:r>
      </m:oMath>
      <w:r>
        <w:t xml:space="preserve"> is unchanged, so </w:t>
      </w:r>
      <m:oMath>
        <m:sSubSup>
          <m:e>
            <m:r>
              <m:t>g</m:t>
            </m:r>
          </m:e>
          <m:sub>
            <m:r>
              <m:t>b</m:t>
            </m:r>
          </m:sub>
          <m:sup>
            <m:r>
              <m:rPr>
                <m:sty m:val="p"/>
              </m:rPr>
              <m:t>⊤</m:t>
            </m:r>
          </m:sup>
        </m:sSubSup>
        <m:r>
          <m:t>ε</m:t>
        </m:r>
      </m:oMath>
      <w:r>
        <w:t xml:space="preserve"> has the law of </w:t>
      </w:r>
      <m:oMath>
        <m:sSub>
          <m:e>
            <m:r>
              <m:t>η</m:t>
            </m:r>
          </m:e>
          <m:sub>
            <m:r>
              <m:t>b</m:t>
            </m:r>
          </m:sub>
        </m:sSub>
      </m:oMath>
      <w:r>
        <w:t xml:space="preserve"> in the record.</w:t>
      </w:r>
      <w:r>
        <w:t xml:space="preserve"> □</w:t>
      </w:r>
    </w:p>
    <w:p>
      <w:pPr>
        <w:pStyle w:val="Heading2"/>
      </w:pPr>
      <w:r>
        <w:t xml:space="preserve">5.3 The certified alarm</w:t>
      </w:r>
    </w:p>
    <w:p>
      <w:pPr>
        <w:keepNext w:val="false"/>
        <w:pBdr>
          <w:left w:val="single" w:color="C2410C" w:sz="18" w:space="6"/>
        </w:pBdr>
        <w:shd w:fill="FDF2E9" w:color="auto" w:val="clear"/>
        <w:spacing w:after="100" w:before="100"/>
        <w:ind w:left="140" w:right="60"/>
        <w:jc w:val="left"/>
      </w:pPr>
      <w:r>
        <w:rPr>
          <w:b/>
          <w:bCs/>
          <w:color w:val="C2410C"/>
        </w:rPr>
        <w:t xml:space="preserve">Theorem S2 (certified alarm). </w:t>
      </w:r>
      <w:r>
        <w:t xml:space="preserve">Let </w:t>
      </w:r>
      <m:oMath>
        <m:sSub>
          <m:e>
            <m:r>
              <m:t>q</m:t>
            </m:r>
          </m:e>
          <m:sub>
            <m:r>
              <m:t>1</m:t>
            </m:r>
            <m:r>
              <m:rPr>
                <m:sty m:val="p"/>
              </m:rPr>
              <m:t>−</m:t>
            </m:r>
            <m:r>
              <m:t>α</m:t>
            </m:r>
          </m:sub>
        </m:sSub>
        <m:d>
          <m:dPr>
            <m:begChr m:val="("/>
            <m:sepChr m:val=""/>
            <m:endChr m:val=")"/>
            <m:grow/>
          </m:dPr>
          <m:e>
            <m:r>
              <m:t>b</m:t>
            </m:r>
          </m:e>
        </m:d>
      </m:oMath>
      <w:r>
        <w:t xml:space="preserve"> be the </w:t>
      </w:r>
      <m:oMath>
        <m:d>
          <m:dPr>
            <m:begChr m:val="("/>
            <m:sepChr m:val=""/>
            <m:endChr m:val=")"/>
            <m:grow/>
          </m:dPr>
          <m:e>
            <m:r>
              <m:t>1</m:t>
            </m:r>
            <m:r>
              <m:rPr>
                <m:sty m:val="p"/>
              </m:rPr>
              <m:t>−</m:t>
            </m:r>
            <m:r>
              <m:t>α</m:t>
            </m:r>
          </m:e>
        </m:d>
      </m:oMath>
      <w:r>
        <w:t xml:space="preserve">-quantile of </w:t>
      </w:r>
      <m:oMath>
        <m:r>
          <m:rPr>
            <m:sty m:val="p"/>
          </m:rPr>
          <m:t>−</m:t>
        </m:r>
        <m:sSub>
          <m:e>
            <m:r>
              <m:t>η</m:t>
            </m:r>
          </m:e>
          <m:sub>
            <m:r>
              <m:t>b</m:t>
            </m:r>
          </m:sub>
        </m:sSub>
      </m:oMath>
      <w:r>
        <w:t xml:space="preserve"> and </w:t>
      </w:r>
      <m:oMath>
        <m:r>
          <m:t>m</m:t>
        </m:r>
        <m:d>
          <m:dPr>
            <m:begChr m:val="("/>
            <m:sepChr m:val=""/>
            <m:endChr m:val=")"/>
            <m:grow/>
          </m:dPr>
          <m:e>
            <m:r>
              <m:t>b</m:t>
            </m:r>
          </m:e>
        </m:d>
        <m:r>
          <m:rPr>
            <m:sty m:val="p"/>
          </m:rPr>
          <m:t>=</m:t>
        </m:r>
        <m:sSub>
          <m:e>
            <m:r>
              <m:t>q</m:t>
            </m:r>
          </m:e>
          <m:sub>
            <m:r>
              <m:t>1</m:t>
            </m:r>
            <m:r>
              <m:rPr>
                <m:sty m:val="p"/>
              </m:rPr>
              <m:t>−</m:t>
            </m:r>
            <m:r>
              <m:t>α</m:t>
            </m:r>
          </m:sub>
        </m:sSub>
        <m:d>
          <m:dPr>
            <m:begChr m:val="("/>
            <m:sepChr m:val=""/>
            <m:endChr m:val=")"/>
            <m:grow/>
          </m:dPr>
          <m:e>
            <m:r>
              <m:t>b</m:t>
            </m:r>
          </m:e>
        </m:d>
        <m:r>
          <m:rPr>
            <m:sty m:val="p"/>
          </m:rPr>
          <m:t>+</m:t>
        </m:r>
        <m:acc>
          <m:accPr>
            <m:chr m:val="‾"/>
          </m:accPr>
          <m:e>
            <m:r>
              <m:t>δ</m:t>
            </m:r>
          </m:e>
        </m:acc>
        <m:r>
          <m:rPr>
            <m:sty m:val="p"/>
          </m:rPr>
          <m:t>max</m:t>
        </m:r>
        <m:r>
          <m:rPr>
            <m:sty m:val="p"/>
          </m:rPr>
          <m:t>{</m:t>
        </m:r>
        <m:r>
          <m:t>0</m:t>
        </m:r>
        <m:r>
          <m:rPr>
            <m:sty m:val="p"/>
          </m:rPr>
          <m:t>,</m:t>
        </m:r>
        <m:r>
          <m:rPr>
            <m:sty m:val="p"/>
          </m:rPr>
          <m:t>ℓ</m:t>
        </m:r>
        <m:d>
          <m:dPr>
            <m:begChr m:val="("/>
            <m:sepChr m:val=""/>
            <m:endChr m:val=")"/>
            <m:grow/>
          </m:dPr>
          <m:e>
            <m:r>
              <m:t>b</m:t>
            </m:r>
          </m:e>
        </m:d>
        <m:r>
          <m:rPr>
            <m:sty m:val="p"/>
          </m:rPr>
          <m:t>}</m:t>
        </m:r>
      </m:oMath>
      <w:r>
        <w:t xml:space="preserve">. For every </w:t>
      </w:r>
      <m:oMath>
        <m:r>
          <m:t>δ</m:t>
        </m:r>
        <m:r>
          <m:rPr>
            <m:sty m:val="p"/>
          </m:rPr>
          <m:t>∈</m:t>
        </m:r>
        <m:d>
          <m:dPr>
            <m:begChr m:val="["/>
            <m:sepChr m:val=""/>
            <m:endChr m:val="]"/>
            <m:grow/>
          </m:dPr>
          <m:e>
            <m:r>
              <m:t>0</m:t>
            </m:r>
            <m:r>
              <m:rPr>
                <m:sty m:val="p"/>
              </m:rPr>
              <m:t>,</m:t>
            </m:r>
            <m:acc>
              <m:accPr>
                <m:chr m:val="‾"/>
              </m:accPr>
              <m:e>
                <m:r>
                  <m:t>δ</m:t>
                </m:r>
              </m:e>
            </m:acc>
          </m:e>
        </m:d>
      </m:oMath>
      <w:r>
        <w:t xml:space="preserve">, </w:t>
      </w:r>
      <m:oMath>
        <m:sSub>
          <m:e>
            <m:r>
              <m:rPr>
                <m:sty m:val="p"/>
              </m:rPr>
              <m:t>Pr</m:t>
            </m:r>
          </m:e>
          <m:sub>
            <m:r>
              <m:t>F</m:t>
            </m:r>
            <m:d>
              <m:dPr>
                <m:begChr m:val="("/>
                <m:sepChr m:val=""/>
                <m:endChr m:val=")"/>
                <m:grow/>
              </m:dPr>
              <m:e>
                <m:r>
                  <m:t>δ</m:t>
                </m:r>
              </m:e>
            </m:d>
          </m:sub>
        </m:sSub>
        <m:r>
          <m:rPr>
            <m:sty m:val="p"/>
          </m:rPr>
          <m:t>{</m:t>
        </m:r>
        <m:sSub>
          <m:e>
            <m:acc>
              <m:accPr>
                <m:chr m:val="̂"/>
              </m:accPr>
              <m:e>
                <m:r>
                  <m:t>Y</m:t>
                </m:r>
              </m:e>
            </m:acc>
          </m:e>
          <m:sub>
            <m:r>
              <m:t>b</m:t>
            </m:r>
          </m:sub>
        </m:sSub>
        <m:r>
          <m:rPr>
            <m:sty m:val="p"/>
          </m:rPr>
          <m:t>−</m:t>
        </m:r>
        <m:r>
          <m:t>Y</m:t>
        </m:r>
        <m:r>
          <m:rPr>
            <m:sty m:val="p"/>
          </m:rPr>
          <m:t>&gt;</m:t>
        </m:r>
        <m:r>
          <m:t>m</m:t>
        </m:r>
        <m:d>
          <m:dPr>
            <m:begChr m:val="("/>
            <m:sepChr m:val=""/>
            <m:endChr m:val=")"/>
            <m:grow/>
          </m:dPr>
          <m:e>
            <m:r>
              <m:t>b</m:t>
            </m:r>
          </m:e>
        </m:d>
        <m:r>
          <m:rPr>
            <m:sty m:val="p"/>
          </m:rPr>
          <m:t>}</m:t>
        </m:r>
        <m:r>
          <m:rPr>
            <m:sty m:val="p"/>
          </m:rPr>
          <m:t>≤</m:t>
        </m:r>
        <m:r>
          <m:t>α</m:t>
        </m:r>
      </m:oMath>
      <w:r>
        <w:t xml:space="preserve">, so the alarm </w:t>
      </w:r>
      <m:oMath>
        <m:sSub>
          <m:e>
            <m:acc>
              <m:accPr>
                <m:chr m:val="̂"/>
              </m:accPr>
              <m:e>
                <m:r>
                  <m:t>Y</m:t>
                </m:r>
              </m:e>
            </m:acc>
          </m:e>
          <m:sub>
            <m:r>
              <m:t>b</m:t>
            </m:r>
          </m:sub>
        </m:sSub>
        <m:r>
          <m:rPr>
            <m:sty m:val="p"/>
          </m:rPr>
          <m:t>≤</m:t>
        </m:r>
        <m:sSup>
          <m:e>
            <m:r>
              <m:t>y</m:t>
            </m:r>
          </m:e>
          <m:sup>
            <m:r>
              <m:rPr>
                <m:sty m:val="p"/>
              </m:rPr>
              <m:t>⋆</m:t>
            </m:r>
          </m:sup>
        </m:sSup>
        <m:r>
          <m:rPr>
            <m:sty m:val="p"/>
          </m:rPr>
          <m:t>+</m:t>
        </m:r>
        <m:r>
          <m:t>m</m:t>
        </m:r>
        <m:d>
          <m:dPr>
            <m:begChr m:val="("/>
            <m:sepChr m:val=""/>
            <m:endChr m:val=")"/>
            <m:grow/>
          </m:dPr>
          <m:e>
            <m:r>
              <m:t>b</m:t>
            </m:r>
          </m:e>
        </m:d>
      </m:oMath>
      <w:r>
        <w:t xml:space="preserve"> misses an exceedance </w:t>
      </w:r>
      <m:oMath>
        <m:r>
          <m:t>Y</m:t>
        </m:r>
        <m:r>
          <m:rPr>
            <m:sty m:val="p"/>
          </m:rPr>
          <m:t>&lt;</m:t>
        </m:r>
        <m:sSup>
          <m:e>
            <m:r>
              <m:t>y</m:t>
            </m:r>
          </m:e>
          <m:sup>
            <m:r>
              <m:rPr>
                <m:sty m:val="p"/>
              </m:rPr>
              <m:t>⋆</m:t>
            </m:r>
          </m:sup>
        </m:sSup>
      </m:oMath>
      <w:r>
        <w:t xml:space="preserve"> with probability at most </w:t>
      </w:r>
      <m:oMath>
        <m:r>
          <m:t>α</m:t>
        </m:r>
      </m:oMath>
      <w:r>
        <w:t xml:space="preserve"> in every future of the family. No smaller constant has this property when </w:t>
      </w:r>
      <m:oMath>
        <m:sSub>
          <m:e>
            <m:r>
              <m:t>η</m:t>
            </m:r>
          </m:e>
          <m:sub>
            <m:r>
              <m:t>b</m:t>
            </m:r>
          </m:sub>
        </m:sSub>
      </m:oMath>
      <w:r>
        <w:t xml:space="preserve"> is continuous.</w:t>
      </w:r>
    </w:p>
    <w:p>
      <w:pPr>
        <w:spacing w:after="110"/>
        <w:jc w:val="both"/>
      </w:pPr>
      <w:r>
        <w:rPr>
          <w:i/>
          <w:iCs/>
        </w:rPr>
        <w:t xml:space="preserve">Proof. </w:t>
      </w:r>
      <w:r>
        <w:t xml:space="preserve">By Proposition S1, </w:t>
      </w:r>
      <m:oMath>
        <m:sSub>
          <m:e>
            <m:acc>
              <m:accPr>
                <m:chr m:val="̂"/>
              </m:accPr>
              <m:e>
                <m:r>
                  <m:t>Y</m:t>
                </m:r>
              </m:e>
            </m:acc>
          </m:e>
          <m:sub>
            <m:r>
              <m:t>b</m:t>
            </m:r>
          </m:sub>
        </m:sSub>
        <m:r>
          <m:rPr>
            <m:sty m:val="p"/>
          </m:rPr>
          <m:t>−</m:t>
        </m:r>
        <m:r>
          <m:t>Y</m:t>
        </m:r>
        <m:r>
          <m:rPr>
            <m:sty m:val="p"/>
          </m:rPr>
          <m:t>=</m:t>
        </m:r>
        <m:r>
          <m:rPr>
            <m:sty m:val="p"/>
          </m:rPr>
          <m:t>−</m:t>
        </m:r>
        <m:sSub>
          <m:e>
            <m:r>
              <m:t>η</m:t>
            </m:r>
          </m:e>
          <m:sub>
            <m:r>
              <m:t>b</m:t>
            </m:r>
          </m:sub>
        </m:sSub>
        <m:r>
          <m:rPr>
            <m:sty m:val="p"/>
          </m:rPr>
          <m:t>+</m:t>
        </m:r>
        <m:r>
          <m:t>δ</m:t>
        </m:r>
        <m:r>
          <m:rPr>
            <m:sty m:val="p"/>
          </m:rPr>
          <m:t>ℓ</m:t>
        </m:r>
        <m:d>
          <m:dPr>
            <m:begChr m:val="("/>
            <m:sepChr m:val=""/>
            <m:endChr m:val=")"/>
            <m:grow/>
          </m:dPr>
          <m:e>
            <m:r>
              <m:t>b</m:t>
            </m:r>
          </m:e>
        </m:d>
        <m:r>
          <m:rPr>
            <m:sty m:val="p"/>
          </m:rPr>
          <m:t>≤</m:t>
        </m:r>
        <m:r>
          <m:rPr>
            <m:sty m:val="p"/>
          </m:rPr>
          <m:t>−</m:t>
        </m:r>
        <m:sSub>
          <m:e>
            <m:r>
              <m:t>η</m:t>
            </m:r>
          </m:e>
          <m:sub>
            <m:r>
              <m:t>b</m:t>
            </m:r>
          </m:sub>
        </m:sSub>
        <m:r>
          <m:rPr>
            <m:sty m:val="p"/>
          </m:rPr>
          <m:t>+</m:t>
        </m:r>
        <m:acc>
          <m:accPr>
            <m:chr m:val="‾"/>
          </m:accPr>
          <m:e>
            <m:r>
              <m:t>δ</m:t>
            </m:r>
          </m:e>
        </m:acc>
        <m:r>
          <m:rPr>
            <m:sty m:val="p"/>
          </m:rPr>
          <m:t>max</m:t>
        </m:r>
        <m:r>
          <m:rPr>
            <m:sty m:val="p"/>
          </m:rPr>
          <m:t>{</m:t>
        </m:r>
        <m:r>
          <m:t>0</m:t>
        </m:r>
        <m:r>
          <m:rPr>
            <m:sty m:val="p"/>
          </m:rPr>
          <m:t>,</m:t>
        </m:r>
        <m:r>
          <m:rPr>
            <m:sty m:val="p"/>
          </m:rPr>
          <m:t>ℓ</m:t>
        </m:r>
        <m:d>
          <m:dPr>
            <m:begChr m:val="("/>
            <m:sepChr m:val=""/>
            <m:endChr m:val=")"/>
            <m:grow/>
          </m:dPr>
          <m:e>
            <m:r>
              <m:t>b</m:t>
            </m:r>
          </m:e>
        </m:d>
        <m:r>
          <m:rPr>
            <m:sty m:val="p"/>
          </m:rPr>
          <m:t>}</m:t>
        </m:r>
      </m:oMath>
      <w:r>
        <w:t xml:space="preserve">, and </w:t>
      </w:r>
      <m:oMath>
        <m:r>
          <m:rPr>
            <m:sty m:val="p"/>
          </m:rPr>
          <m:t>Pr</m:t>
        </m:r>
        <m:r>
          <m:rPr>
            <m:sty m:val="p"/>
          </m:rPr>
          <m:t>{</m:t>
        </m:r>
        <m:r>
          <m:rPr>
            <m:sty m:val="p"/>
          </m:rPr>
          <m:t>−</m:t>
        </m:r>
        <m:sSub>
          <m:e>
            <m:r>
              <m:t>η</m:t>
            </m:r>
          </m:e>
          <m:sub>
            <m:r>
              <m:t>b</m:t>
            </m:r>
          </m:sub>
        </m:sSub>
        <m:r>
          <m:rPr>
            <m:sty m:val="p"/>
          </m:rPr>
          <m:t>&gt;</m:t>
        </m:r>
        <m:sSub>
          <m:e>
            <m:r>
              <m:t>q</m:t>
            </m:r>
          </m:e>
          <m:sub>
            <m:r>
              <m:t>1</m:t>
            </m:r>
            <m:r>
              <m:rPr>
                <m:sty m:val="p"/>
              </m:rPr>
              <m:t>−</m:t>
            </m:r>
            <m:r>
              <m:t>α</m:t>
            </m:r>
          </m:sub>
        </m:sSub>
        <m:r>
          <m:rPr>
            <m:sty m:val="p"/>
          </m:rPr>
          <m:t>}</m:t>
        </m:r>
        <m:r>
          <m:rPr>
            <m:sty m:val="p"/>
          </m:rPr>
          <m:t>≤</m:t>
        </m:r>
        <m:r>
          <m:t>α</m:t>
        </m:r>
      </m:oMath>
      <w:r>
        <w:t xml:space="preserve">. A miss needs </w:t>
      </w:r>
      <m:oMath>
        <m:r>
          <m:t>Y</m:t>
        </m:r>
        <m:r>
          <m:rPr>
            <m:sty m:val="p"/>
          </m:rPr>
          <m:t>&lt;</m:t>
        </m:r>
        <m:sSup>
          <m:e>
            <m:r>
              <m:t>y</m:t>
            </m:r>
          </m:e>
          <m:sup>
            <m:r>
              <m:rPr>
                <m:sty m:val="p"/>
              </m:rPr>
              <m:t>⋆</m:t>
            </m:r>
          </m:sup>
        </m:sSup>
      </m:oMath>
      <w:r>
        <w:t xml:space="preserve"> and </w:t>
      </w:r>
      <m:oMath>
        <m:sSub>
          <m:e>
            <m:acc>
              <m:accPr>
                <m:chr m:val="̂"/>
              </m:accPr>
              <m:e>
                <m:r>
                  <m:t>Y</m:t>
                </m:r>
              </m:e>
            </m:acc>
          </m:e>
          <m:sub>
            <m:r>
              <m:t>b</m:t>
            </m:r>
          </m:sub>
        </m:sSub>
        <m:r>
          <m:rPr>
            <m:sty m:val="p"/>
          </m:rPr>
          <m:t>&gt;</m:t>
        </m:r>
        <m:sSup>
          <m:e>
            <m:r>
              <m:t>y</m:t>
            </m:r>
          </m:e>
          <m:sup>
            <m:r>
              <m:rPr>
                <m:sty m:val="p"/>
              </m:rPr>
              <m:t>⋆</m:t>
            </m:r>
          </m:sup>
        </m:sSup>
        <m:r>
          <m:rPr>
            <m:sty m:val="p"/>
          </m:rPr>
          <m:t>+</m:t>
        </m:r>
        <m:r>
          <m:t>m</m:t>
        </m:r>
        <m:d>
          <m:dPr>
            <m:begChr m:val="("/>
            <m:sepChr m:val=""/>
            <m:endChr m:val=")"/>
            <m:grow/>
          </m:dPr>
          <m:e>
            <m:r>
              <m:t>b</m:t>
            </m:r>
          </m:e>
        </m:d>
      </m:oMath>
      <w:r>
        <w:t xml:space="preserve">, hence </w:t>
      </w:r>
      <m:oMath>
        <m:sSub>
          <m:e>
            <m:acc>
              <m:accPr>
                <m:chr m:val="̂"/>
              </m:accPr>
              <m:e>
                <m:r>
                  <m:t>Y</m:t>
                </m:r>
              </m:e>
            </m:acc>
          </m:e>
          <m:sub>
            <m:r>
              <m:t>b</m:t>
            </m:r>
          </m:sub>
        </m:sSub>
        <m:r>
          <m:rPr>
            <m:sty m:val="p"/>
          </m:rPr>
          <m:t>−</m:t>
        </m:r>
        <m:r>
          <m:t>Y</m:t>
        </m:r>
        <m:r>
          <m:rPr>
            <m:sty m:val="p"/>
          </m:rPr>
          <m:t>&gt;</m:t>
        </m:r>
        <m:r>
          <m:t>m</m:t>
        </m:r>
        <m:d>
          <m:dPr>
            <m:begChr m:val="("/>
            <m:sepChr m:val=""/>
            <m:endChr m:val=")"/>
            <m:grow/>
          </m:dPr>
          <m:e>
            <m:r>
              <m:t>b</m:t>
            </m:r>
          </m:e>
        </m:d>
      </m:oMath>
      <w:r>
        <w:t xml:space="preserve">. The bound is attained at </w:t>
      </w:r>
      <m:oMath>
        <m:r>
          <m:t>δ</m:t>
        </m:r>
        <m:r>
          <m:rPr>
            <m:sty m:val="p"/>
          </m:rPr>
          <m:t>=</m:t>
        </m:r>
        <m:acc>
          <m:accPr>
            <m:chr m:val="‾"/>
          </m:accPr>
          <m:e>
            <m:r>
              <m:t>δ</m:t>
            </m:r>
          </m:e>
        </m:acc>
      </m:oMath>
      <w:r>
        <w:t xml:space="preserve"> if </w:t>
      </w:r>
      <m:oMath>
        <m:r>
          <m:rPr>
            <m:sty m:val="p"/>
          </m:rPr>
          <m:t>ℓ</m:t>
        </m:r>
        <m:d>
          <m:dPr>
            <m:begChr m:val="("/>
            <m:sepChr m:val=""/>
            <m:endChr m:val=")"/>
            <m:grow/>
          </m:dPr>
          <m:e>
            <m:r>
              <m:t>b</m:t>
            </m:r>
          </m:e>
        </m:d>
        <m:r>
          <m:rPr>
            <m:sty m:val="p"/>
          </m:rPr>
          <m:t>&gt;</m:t>
        </m:r>
        <m:r>
          <m:t>0</m:t>
        </m:r>
      </m:oMath>
      <w:r>
        <w:t xml:space="preserve"> and at </w:t>
      </w:r>
      <m:oMath>
        <m:r>
          <m:t>δ</m:t>
        </m:r>
        <m:r>
          <m:rPr>
            <m:sty m:val="p"/>
          </m:rPr>
          <m:t>=</m:t>
        </m:r>
        <m:r>
          <m:t>0</m:t>
        </m:r>
      </m:oMath>
      <w:r>
        <w:t xml:space="preserve"> otherwise.</w:t>
      </w:r>
      <w:r>
        <w:t xml:space="preserve"> □</w:t>
      </w:r>
    </w:p>
    <w:p>
      <w:pPr>
        <w:spacing w:after="100"/>
        <w:jc w:val="both"/>
      </w:pPr>
      <w:r>
        <w:t xml:space="preserve">The certificate is one-sided: a warming that makes the alarm sound earlier costs nothing, and only </w:t>
      </w:r>
      <m:oMath>
        <m:r>
          <m:rPr>
            <m:sty m:val="p"/>
          </m:rPr>
          <m:t>ℓ</m:t>
        </m:r>
        <m:d>
          <m:dPr>
            <m:begChr m:val="("/>
            <m:sepChr m:val=""/>
            <m:endChr m:val=")"/>
            <m:grow/>
          </m:dPr>
          <m:e>
            <m:r>
              <m:t>b</m:t>
            </m:r>
          </m:e>
        </m:d>
        <m:r>
          <m:rPr>
            <m:sty m:val="p"/>
          </m:rPr>
          <m:t>&gt;</m:t>
        </m:r>
        <m:r>
          <m:t>0</m:t>
        </m:r>
      </m:oMath>
      <w:r>
        <w:t xml:space="preserve"> is paid for. Replacing the one-sided interval by a symmetric one and the quantile by the second moment gives </w:t>
      </w:r>
      <m:oMath>
        <m:r>
          <m:rPr>
            <m:scr m:val="double-struck"/>
            <m:sty m:val="p"/>
          </m:rPr>
          <m:t>E</m:t>
        </m:r>
        <m:d>
          <m:dPr>
            <m:begChr m:val="["/>
            <m:sepChr m:val=""/>
            <m:endChr m:val="]"/>
            <m:grow/>
          </m:dPr>
          <m:e>
            <m:sSubSup>
              <m:e>
                <m:r>
                  <m:t>η</m:t>
                </m:r>
              </m:e>
              <m:sub>
                <m:r>
                  <m:t>b</m:t>
                </m:r>
              </m:sub>
              <m:sup>
                <m:r>
                  <m:t>2</m:t>
                </m:r>
              </m:sup>
            </m:sSubSup>
          </m:e>
        </m:d>
        <m:r>
          <m:rPr>
            <m:sty m:val="p"/>
          </m:rPr>
          <m:t>+</m:t>
        </m:r>
        <m:sSup>
          <m:e>
            <m:acc>
              <m:accPr>
                <m:chr m:val="‾"/>
              </m:accPr>
              <m:e>
                <m:r>
                  <m:t>δ</m:t>
                </m:r>
              </m:e>
            </m:acc>
          </m:e>
          <m:sup>
            <m:r>
              <m:t>2</m:t>
            </m:r>
          </m:sup>
        </m:sSup>
        <m:r>
          <m:rPr>
            <m:sty m:val="p"/>
          </m:rPr>
          <m:t>ℓ</m:t>
        </m:r>
        <m:sSup>
          <m:e>
            <m:d>
              <m:dPr>
                <m:begChr m:val="("/>
                <m:sepChr m:val=""/>
                <m:endChr m:val=")"/>
                <m:grow/>
              </m:dPr>
              <m:e>
                <m:r>
                  <m:t>b</m:t>
                </m:r>
              </m:e>
            </m:d>
          </m:e>
          <m:sup>
            <m:r>
              <m:t>2</m:t>
            </m:r>
          </m:sup>
        </m:sSup>
      </m:oMath>
      <w:r>
        <w:t xml:space="preserve">, the anchor objective (5) restricted to the rainfall direction after the recorded anchors are partialled out. SPIRANCA-GO is therefore anchor regression with three changes: the known part of the shift is corrected, the unknown part is one-sided and set by the scenario, and the loss is the quantile the decision needs.</w:t>
      </w:r>
    </w:p>
    <w:p>
      <w:pPr>
        <w:spacing w:after="100"/>
        <w:jc w:val="both"/>
      </w:pPr>
      <w:r>
        <w:t xml:space="preserve">In practice </w:t>
      </w:r>
      <m:oMath>
        <m:sSub>
          <m:e>
            <m:r>
              <m:t>q</m:t>
            </m:r>
          </m:e>
          <m:sub>
            <m:r>
              <m:t>1</m:t>
            </m:r>
            <m:r>
              <m:rPr>
                <m:sty m:val="p"/>
              </m:rPr>
              <m:t>−</m:t>
            </m:r>
            <m:r>
              <m:t>α</m:t>
            </m:r>
          </m:sub>
        </m:sSub>
      </m:oMath>
      <w:r>
        <w:t xml:space="preserve">, </w:t>
      </w:r>
      <m:oMath>
        <m:sSub>
          <m:e>
            <m:r>
              <m:t>w</m:t>
            </m:r>
          </m:e>
          <m:sub>
            <m:r>
              <m:t>b</m:t>
            </m:r>
          </m:sub>
        </m:sSub>
      </m:oMath>
      <w:r>
        <w:t xml:space="preserve"> and </w:t>
      </w:r>
      <m:oMath>
        <m:r>
          <m:rPr>
            <m:sty m:val="p"/>
          </m:rPr>
          <m:t>ℓ</m:t>
        </m:r>
        <m:d>
          <m:dPr>
            <m:begChr m:val="("/>
            <m:sepChr m:val=""/>
            <m:endChr m:val=")"/>
            <m:grow/>
          </m:dPr>
          <m:e>
            <m:r>
              <m:t>b</m:t>
            </m:r>
          </m:e>
        </m:d>
      </m:oMath>
      <w:r>
        <w:t xml:space="preserve"> are estimated. The test uses a split: the first 120 seasons of the record fit </w:t>
      </w:r>
      <m:oMath>
        <m:r>
          <m:t>b</m:t>
        </m:r>
      </m:oMath>
      <w:r>
        <w:t xml:space="preserve"> and the anchor coefficients, and the last 40 calibrate the quantile in the split-conformal way [26]. One-sided 95% bounds are added for the two estimated shifts, so the margin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acc>
                  <m:accPr>
                    <m:chr m:val="̂"/>
                  </m:accPr>
                  <m:e>
                    <m:r>
                      <m:t>m</m:t>
                    </m:r>
                  </m:e>
                </m:acc>
                <m:d>
                  <m:dPr>
                    <m:begChr m:val="("/>
                    <m:sepChr m:val=""/>
                    <m:endChr m:val=")"/>
                    <m:grow/>
                  </m:dPr>
                  <m:e>
                    <m:r>
                      <m:t>b</m:t>
                    </m:r>
                  </m:e>
                </m:d>
                <m:r>
                  <m:rPr>
                    <m:sty m:val="p"/>
                  </m:rPr>
                  <m:t>=</m:t>
                </m:r>
                <m:sSubSup>
                  <m:e>
                    <m:acc>
                      <m:accPr>
                        <m:chr m:val="̂"/>
                      </m:accPr>
                      <m:e>
                        <m:r>
                          <m:t>q</m:t>
                        </m:r>
                      </m:e>
                    </m:acc>
                  </m:e>
                  <m:sub>
                    <m:r>
                      <m:t>1</m:t>
                    </m:r>
                    <m:r>
                      <m:rPr>
                        <m:sty m:val="p"/>
                      </m:rPr>
                      <m:t>−</m:t>
                    </m:r>
                    <m:r>
                      <m:t>α</m:t>
                    </m:r>
                  </m:sub>
                  <m:sup>
                    <m:r>
                      <m:t> </m:t>
                    </m:r>
                    <m:r>
                      <m:rPr>
                        <m:sty m:val="p"/>
                      </m:rPr>
                      <m:t>c</m:t>
                    </m:r>
                    <m:r>
                      <m:rPr>
                        <m:sty m:val="p"/>
                      </m:rPr>
                      <m:t>o</m:t>
                    </m:r>
                    <m:r>
                      <m:rPr>
                        <m:sty m:val="p"/>
                      </m:rPr>
                      <m:t>n</m:t>
                    </m:r>
                    <m:r>
                      <m:rPr>
                        <m:sty m:val="p"/>
                      </m:rPr>
                      <m:t>f</m:t>
                    </m:r>
                  </m:sup>
                </m:sSubSup>
                <m:d>
                  <m:dPr>
                    <m:begChr m:val="("/>
                    <m:sepChr m:val=""/>
                    <m:endChr m:val=")"/>
                    <m:grow/>
                  </m:dPr>
                  <m:e>
                    <m:r>
                      <m:t>b</m:t>
                    </m:r>
                  </m:e>
                </m:d>
                <m:r>
                  <m:rPr>
                    <m:sty m:val="p"/>
                  </m:rPr>
                  <m:t>+</m:t>
                </m:r>
                <m:r>
                  <m:t>κ</m:t>
                </m:r>
                <m:r>
                  <m:t> </m:t>
                </m:r>
                <m:sSub>
                  <m:e>
                    <m:r>
                      <m:t>c</m:t>
                    </m:r>
                  </m:e>
                  <m:sub>
                    <m:r>
                      <m:t>d</m:t>
                    </m:r>
                  </m:sub>
                </m:sSub>
                <m:r>
                  <m:t> </m:t>
                </m:r>
                <m:sSub>
                  <m:e>
                    <m:acc>
                      <m:accPr>
                        <m:chr m:val="̂"/>
                      </m:accPr>
                      <m:e>
                        <m:r>
                          <m:t>s</m:t>
                        </m:r>
                      </m:e>
                    </m:acc>
                  </m:e>
                  <m:sub>
                    <m:r>
                      <m:t>b</m:t>
                    </m:r>
                  </m:sub>
                </m:sSub>
                <m:r>
                  <m:rPr>
                    <m:sty m:val="p"/>
                  </m:rPr>
                  <m:t>+</m:t>
                </m:r>
                <m:acc>
                  <m:accPr>
                    <m:chr m:val="‾"/>
                  </m:accPr>
                  <m:e>
                    <m:r>
                      <m:t>δ</m:t>
                    </m:r>
                  </m:e>
                </m:acc>
                <m:r>
                  <m:rPr>
                    <m:sty m:val="p"/>
                  </m:rPr>
                  <m:t>max</m:t>
                </m:r>
                <m:r>
                  <m:rPr>
                    <m:sty m:val="p"/>
                  </m:rPr>
                  <m:t>{</m:t>
                </m:r>
                <m:r>
                  <m:t>0</m:t>
                </m:r>
                <m:r>
                  <m:rPr>
                    <m:sty m:val="p"/>
                  </m:rPr>
                  <m:t>,</m:t>
                </m:r>
                <m:r>
                  <m:t> </m:t>
                </m:r>
                <m:acc>
                  <m:accPr>
                    <m:chr m:val="̂"/>
                  </m:accPr>
                  <m:e>
                    <m:r>
                      <m:rPr>
                        <m:sty m:val="p"/>
                      </m:rPr>
                      <m:t>ℓ</m:t>
                    </m:r>
                  </m:e>
                </m:acc>
                <m:d>
                  <m:dPr>
                    <m:begChr m:val="("/>
                    <m:sepChr m:val=""/>
                    <m:endChr m:val=")"/>
                    <m:grow/>
                  </m:dPr>
                  <m:e>
                    <m:r>
                      <m:t>b</m:t>
                    </m:r>
                  </m:e>
                </m:d>
                <m:r>
                  <m:rPr>
                    <m:sty m:val="p"/>
                  </m:rPr>
                  <m:t>+</m:t>
                </m:r>
                <m:r>
                  <m:t>κ</m:t>
                </m:r>
                <m:r>
                  <m:t> </m:t>
                </m:r>
                <m:sSub>
                  <m:e>
                    <m:r>
                      <m:t>c</m:t>
                    </m:r>
                  </m:e>
                  <m:sub>
                    <m:r>
                      <m:t>r</m:t>
                    </m:r>
                  </m:sub>
                </m:sSub>
                <m:r>
                  <m:t> </m:t>
                </m:r>
                <m:sSub>
                  <m:e>
                    <m:acc>
                      <m:accPr>
                        <m:chr m:val="̂"/>
                      </m:accPr>
                      <m:e>
                        <m:r>
                          <m:t>s</m:t>
                        </m:r>
                      </m:e>
                    </m:acc>
                  </m:e>
                  <m:sub>
                    <m:r>
                      <m:t>b</m:t>
                    </m:r>
                  </m:sub>
                </m:sSub>
                <m:r>
                  <m:rPr>
                    <m:sty m:val="p"/>
                  </m:rPr>
                  <m:t>}</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20" w:before="20"/>
        <w:ind w:left="284"/>
        <w:jc w:val="left"/>
      </w:pPr>
      <w:r>
        <w:rPr>
          <w:i/>
          <w:iCs/>
          <w:color w:val="3A4350"/>
          <w:sz w:val="19"/>
          <w:szCs w:val="19"/>
        </w:rPr>
        <w:t xml:space="preserve">where </w:t>
      </w:r>
      <m:oMath>
        <m:sSub>
          <m:e>
            <m:acc>
              <m:accPr>
                <m:chr m:val="̂"/>
              </m:accPr>
              <m:e>
                <m:r>
                  <m:t>s</m:t>
                </m:r>
              </m:e>
            </m:acc>
          </m:e>
          <m:sub>
            <m:r>
              <m:t>b</m:t>
            </m:r>
          </m:sub>
        </m:sSub>
      </m:oMath>
      <w:r>
        <w:rPr>
          <w:color w:val="3A4350"/>
          <w:sz w:val="19"/>
          <w:szCs w:val="19"/>
        </w:rPr>
        <w:t xml:space="preserve"> is the standard deviation of the anchor-free residual, </w:t>
      </w:r>
      <m:oMath>
        <m:sSub>
          <m:e>
            <m:r>
              <m:t>c</m:t>
            </m:r>
          </m:e>
          <m:sub>
            <m:r>
              <m:t>d</m:t>
            </m:r>
          </m:sub>
        </m:sSub>
        <m:sSub>
          <m:e>
            <m:acc>
              <m:accPr>
                <m:chr m:val="̂"/>
              </m:accPr>
              <m:e>
                <m:r>
                  <m:t>s</m:t>
                </m:r>
              </m:e>
            </m:acc>
          </m:e>
          <m:sub>
            <m:r>
              <m:t>b</m:t>
            </m:r>
          </m:sub>
        </m:sSub>
      </m:oMath>
      <w:r>
        <w:rPr>
          <w:color w:val="3A4350"/>
          <w:sz w:val="19"/>
          <w:szCs w:val="19"/>
        </w:rPr>
        <w:t xml:space="preserve"> and </w:t>
      </w:r>
      <m:oMath>
        <m:sSub>
          <m:e>
            <m:r>
              <m:t>c</m:t>
            </m:r>
          </m:e>
          <m:sub>
            <m:r>
              <m:t>r</m:t>
            </m:r>
          </m:sub>
        </m:sSub>
        <m:sSub>
          <m:e>
            <m:acc>
              <m:accPr>
                <m:chr m:val="̂"/>
              </m:accPr>
              <m:e>
                <m:r>
                  <m:t>s</m:t>
                </m:r>
              </m:e>
            </m:acc>
          </m:e>
          <m:sub>
            <m:r>
              <m:t>b</m:t>
            </m:r>
          </m:sub>
        </m:sSub>
      </m:oMath>
      <w:r>
        <w:rPr>
          <w:color w:val="3A4350"/>
          <w:sz w:val="19"/>
          <w:szCs w:val="19"/>
        </w:rPr>
        <w:t xml:space="preserve"> are the standard errors of the anchor correction at the decision and of </w:t>
      </w:r>
      <m:oMath>
        <m:acc>
          <m:accPr>
            <m:chr m:val="̂"/>
          </m:accPr>
          <m:e>
            <m:r>
              <m:rPr>
                <m:sty m:val="p"/>
              </m:rPr>
              <m:t>ℓ</m:t>
            </m:r>
          </m:e>
        </m:acc>
        <m:d>
          <m:dPr>
            <m:begChr m:val="("/>
            <m:sepChr m:val=""/>
            <m:endChr m:val=")"/>
            <m:grow/>
          </m:dPr>
          <m:e>
            <m:r>
              <m:t>b</m:t>
            </m:r>
          </m:e>
        </m:d>
      </m:oMath>
      <w:r>
        <w:rPr>
          <w:color w:val="3A4350"/>
          <w:sz w:val="19"/>
          <w:szCs w:val="19"/>
        </w:rPr>
        <w:t xml:space="preserve"> from the regression on the anchors, and </w:t>
      </w:r>
      <m:oMath>
        <m:r>
          <m:t>κ</m:t>
        </m:r>
        <m:r>
          <m:rPr>
            <m:sty m:val="p"/>
          </m:rPr>
          <m:t>=</m:t>
        </m:r>
        <m:sSub>
          <m:e>
            <m:r>
              <m:t>z</m:t>
            </m:r>
          </m:e>
          <m:sub>
            <m:r>
              <m:t>0.95</m:t>
            </m:r>
          </m:sub>
        </m:sSub>
      </m:oMath>
      <w:r>
        <w:rPr>
          <w:color w:val="3A4350"/>
          <w:sz w:val="19"/>
          <w:szCs w:val="19"/>
        </w:rPr>
        <w:t xml:space="preserve">. The first term carries the finite-sample guarantee of conformal prediction; the other two are confidence bounds, so (8) is a practical certificate rather than an exact one.</w:t>
      </w:r>
    </w:p>
    <w:p>
      <w:pPr>
        <w:pStyle w:val="Heading2"/>
      </w:pPr>
      <w:r>
        <w:t xml:space="preserve">5.4 The weights</w:t>
      </w:r>
    </w:p>
    <w:p>
      <w:pPr>
        <w:keepNext w:val="false"/>
        <w:pBdr>
          <w:left w:val="single" w:color="C2410C" w:sz="18" w:space="6"/>
        </w:pBdr>
        <w:shd w:fill="FDF2E9" w:color="auto" w:val="clear"/>
        <w:spacing w:after="100" w:before="100"/>
        <w:ind w:left="140" w:right="60"/>
        <w:jc w:val="left"/>
      </w:pPr>
      <w:r>
        <w:rPr>
          <w:b/>
          <w:bCs/>
          <w:color w:val="C2410C"/>
        </w:rPr>
        <w:t xml:space="preserve">Proposition S3 (the goal-oriented weights lie on a line). </w:t>
      </w:r>
      <w:r>
        <w:t xml:space="preserve">With the Gaussian quantile </w:t>
      </w:r>
      <m:oMath>
        <m:sSub>
          <m:e>
            <m:r>
              <m:t>q</m:t>
            </m:r>
          </m:e>
          <m:sub>
            <m:r>
              <m:t>1</m:t>
            </m:r>
            <m:r>
              <m:rPr>
                <m:sty m:val="p"/>
              </m:rPr>
              <m:t>−</m:t>
            </m:r>
            <m:r>
              <m:t>α</m:t>
            </m:r>
          </m:sub>
        </m:sSub>
        <m:d>
          <m:dPr>
            <m:begChr m:val="("/>
            <m:sepChr m:val=""/>
            <m:endChr m:val=")"/>
            <m:grow/>
          </m:dPr>
          <m:e>
            <m:r>
              <m:t>b</m:t>
            </m:r>
          </m:e>
        </m:d>
        <m:r>
          <m:rPr>
            <m:sty m:val="p"/>
          </m:rPr>
          <m:t>=</m:t>
        </m:r>
        <m:sSub>
          <m:e>
            <m:r>
              <m:t>z</m:t>
            </m:r>
          </m:e>
          <m:sub>
            <m:r>
              <m:t>1</m:t>
            </m:r>
            <m:r>
              <m:rPr>
                <m:sty m:val="p"/>
              </m:rPr>
              <m:t>−</m:t>
            </m:r>
            <m:r>
              <m:t>α</m:t>
            </m:r>
          </m:sub>
        </m:sSub>
        <m:r>
          <m:t> </m:t>
        </m:r>
        <m:r>
          <m:rPr>
            <m:sty m:val="p"/>
          </m:rPr>
          <m:t>s</m:t>
        </m:r>
        <m:r>
          <m:rPr>
            <m:sty m:val="p"/>
          </m:rPr>
          <m:t>d</m:t>
        </m:r>
        <m:d>
          <m:dPr>
            <m:begChr m:val="("/>
            <m:sepChr m:val=""/>
            <m:endChr m:val=")"/>
            <m:grow/>
          </m:dPr>
          <m:e>
            <m:sSub>
              <m:e>
                <m:r>
                  <m:t>η</m:t>
                </m:r>
              </m:e>
              <m:sub>
                <m:r>
                  <m:t>b</m:t>
                </m:r>
              </m:sub>
            </m:sSub>
          </m:e>
        </m:d>
      </m:oMath>
      <w:r>
        <w:t xml:space="preserve">, the problem </w:t>
      </w:r>
      <m:oMath>
        <m:sSub>
          <m:e>
            <m:r>
              <m:rPr>
                <m:sty m:val="p"/>
              </m:rPr>
              <m:t>min</m:t>
            </m:r>
          </m:e>
          <m:sub>
            <m:r>
              <m:t>b</m:t>
            </m:r>
          </m:sub>
        </m:sSub>
        <m:r>
          <m:t>m</m:t>
        </m:r>
        <m:d>
          <m:dPr>
            <m:begChr m:val="("/>
            <m:sepChr m:val=""/>
            <m:endChr m:val=")"/>
            <m:grow/>
          </m:dPr>
          <m:e>
            <m:r>
              <m:t>b</m:t>
            </m:r>
          </m:e>
        </m:d>
      </m:oMath>
      <w:r>
        <w:t xml:space="preserve"> is convex and its solution lies on the line </w:t>
      </w:r>
      <m:oMath>
        <m:r>
          <m:t>b</m:t>
        </m:r>
        <m:d>
          <m:dPr>
            <m:begChr m:val="("/>
            <m:sepChr m:val=""/>
            <m:endChr m:val=")"/>
            <m:grow/>
          </m:dPr>
          <m:e>
            <m:r>
              <m:t>τ</m:t>
            </m:r>
          </m:e>
        </m:d>
        <m:r>
          <m:rPr>
            <m:sty m:val="p"/>
          </m:rPr>
          <m:t>=</m:t>
        </m:r>
        <m:sSub>
          <m:e>
            <m:r>
              <m:t>b</m:t>
            </m:r>
          </m:e>
          <m:sub>
            <m:r>
              <m:t>0</m:t>
            </m:r>
          </m:sub>
        </m:sSub>
        <m:r>
          <m:rPr>
            <m:sty m:val="p"/>
          </m:rPr>
          <m:t>+</m:t>
        </m:r>
        <m:r>
          <m:t>τ</m:t>
        </m:r>
        <m:r>
          <m:t> </m:t>
        </m:r>
        <m:sSup>
          <m:e>
            <m:r>
              <m:rPr>
                <m:sty m:val="b"/>
              </m:rPr>
              <m:t>S</m:t>
            </m:r>
          </m:e>
          <m:sup>
            <m:r>
              <m:rPr>
                <m:sty m:val="p"/>
              </m:rPr>
              <m:t>−</m:t>
            </m:r>
            <m:r>
              <m:t>1</m:t>
            </m:r>
          </m:sup>
        </m:sSup>
        <m:r>
          <m:t>g</m:t>
        </m:r>
        <m:r>
          <m:rPr>
            <m:sty m:val="p"/>
          </m:rPr>
          <m:t>/</m:t>
        </m:r>
        <m:d>
          <m:dPr>
            <m:begChr m:val="|"/>
            <m:sepChr m:val=""/>
            <m:endChr m:val="|"/>
            <m:grow/>
          </m:dPr>
          <m:e>
            <m:r>
              <m:t>h</m:t>
            </m:r>
          </m:e>
        </m:d>
      </m:oMath>
      <w:r>
        <w:t xml:space="preserve">, where </w:t>
      </w:r>
      <m:oMath>
        <m:sSub>
          <m:e>
            <m:r>
              <m:t>b</m:t>
            </m:r>
          </m:e>
          <m:sub>
            <m:r>
              <m:t>0</m:t>
            </m:r>
          </m:sub>
        </m:sSub>
      </m:oMath>
      <w:r>
        <w:t xml:space="preserve"> is the partialling-out solution, </w:t>
      </w:r>
      <m:oMath>
        <m:r>
          <m:rPr>
            <m:sty m:val="b"/>
          </m:rPr>
          <m:t>S</m:t>
        </m:r>
      </m:oMath>
      <w:r>
        <w:t xml:space="preserve"> the covariance of the anchor-free heads, </w:t>
      </w:r>
      <m:oMath>
        <m:r>
          <m:t>g</m:t>
        </m:r>
        <m:r>
          <m:rPr>
            <m:sty m:val="p"/>
          </m:rPr>
          <m:t>=</m:t>
        </m:r>
        <m:sSubSup>
          <m:e>
            <m:r>
              <m:rPr>
                <m:sty m:val="b"/>
              </m:rPr>
              <m:t>W</m:t>
            </m:r>
          </m:e>
          <m:sub>
            <m:r>
              <m:t>X</m:t>
            </m:r>
            <m:r>
              <m:rPr>
                <m:sty m:val="p"/>
              </m:rPr>
              <m:t>,</m:t>
            </m:r>
            <m:r>
              <m:t>r</m:t>
            </m:r>
          </m:sub>
          <m:sup>
            <m:r>
              <m:rPr>
                <m:sty m:val="p"/>
              </m:rPr>
              <m:t>⊤</m:t>
            </m:r>
          </m:sup>
        </m:sSubSup>
      </m:oMath>
      <w:r>
        <w:t xml:space="preserve"> and </w:t>
      </w:r>
      <m:oMath>
        <m:d>
          <m:dPr>
            <m:begChr m:val="|"/>
            <m:sepChr m:val=""/>
            <m:endChr m:val="|"/>
            <m:grow/>
          </m:dPr>
          <m:e>
            <m:r>
              <m:t>h</m:t>
            </m:r>
          </m:e>
        </m:d>
        <m:r>
          <m:rPr>
            <m:sty m:val="p"/>
          </m:rPr>
          <m:t>=</m:t>
        </m:r>
        <m:sSup>
          <m:e>
            <m:d>
              <m:dPr>
                <m:begChr m:val="("/>
                <m:sepChr m:val=""/>
                <m:endChr m:val=")"/>
                <m:grow/>
              </m:dPr>
              <m:e>
                <m:sSup>
                  <m:e>
                    <m:r>
                      <m:t>g</m:t>
                    </m:r>
                  </m:e>
                  <m:sup>
                    <m:r>
                      <m:rPr>
                        <m:sty m:val="p"/>
                      </m:rPr>
                      <m:t>⊤</m:t>
                    </m:r>
                  </m:sup>
                </m:sSup>
                <m:sSup>
                  <m:e>
                    <m:r>
                      <m:rPr>
                        <m:sty m:val="b"/>
                      </m:rPr>
                      <m:t>S</m:t>
                    </m:r>
                  </m:e>
                  <m:sup>
                    <m:r>
                      <m:rPr>
                        <m:sty m:val="p"/>
                      </m:rPr>
                      <m:t>−</m:t>
                    </m:r>
                    <m:r>
                      <m:t>1</m:t>
                    </m:r>
                  </m:sup>
                </m:sSup>
                <m:r>
                  <m:t>g</m:t>
                </m:r>
              </m:e>
            </m:d>
          </m:e>
          <m:sup>
            <m:r>
              <m:t>1</m:t>
            </m:r>
            <m:r>
              <m:rPr>
                <m:sty m:val="p"/>
              </m:rPr>
              <m:t>/</m:t>
            </m:r>
            <m:r>
              <m:t>2</m:t>
            </m:r>
          </m:sup>
        </m:sSup>
      </m:oMath>
      <w:r>
        <w:t xml:space="preserve">. Along it </w:t>
      </w:r>
      <m:oMath>
        <m:r>
          <m:rPr>
            <m:sty m:val="p"/>
          </m:rPr>
          <m:t>s</m:t>
        </m:r>
        <m:r>
          <m:rPr>
            <m:sty m:val="p"/>
          </m:rPr>
          <m:t>d</m:t>
        </m:r>
        <m:d>
          <m:dPr>
            <m:begChr m:val="("/>
            <m:sepChr m:val=""/>
            <m:endChr m:val=")"/>
            <m:grow/>
          </m:dPr>
          <m:e>
            <m:sSub>
              <m:e>
                <m:r>
                  <m:t>η</m:t>
                </m:r>
              </m:e>
              <m:sub>
                <m:r>
                  <m:t>b</m:t>
                </m:r>
              </m:sub>
            </m:sSub>
          </m:e>
        </m:d>
        <m:r>
          <m:rPr>
            <m:sty m:val="p"/>
          </m:rPr>
          <m:t>=</m:t>
        </m:r>
        <m:sSup>
          <m:e>
            <m:d>
              <m:dPr>
                <m:begChr m:val="("/>
                <m:sepChr m:val=""/>
                <m:endChr m:val=")"/>
                <m:grow/>
              </m:dPr>
              <m:e>
                <m:sSub>
                  <m:e>
                    <m:r>
                      <m:t>q</m:t>
                    </m:r>
                  </m:e>
                  <m:sub>
                    <m:r>
                      <m:t>0</m:t>
                    </m:r>
                  </m:sub>
                </m:sSub>
                <m:r>
                  <m:rPr>
                    <m:sty m:val="p"/>
                  </m:rPr>
                  <m:t>+</m:t>
                </m:r>
                <m:sSup>
                  <m:e>
                    <m:r>
                      <m:t>τ</m:t>
                    </m:r>
                  </m:e>
                  <m:sup>
                    <m:r>
                      <m:t>2</m:t>
                    </m:r>
                  </m:sup>
                </m:sSup>
              </m:e>
            </m:d>
          </m:e>
          <m:sup>
            <m:r>
              <m:t>1</m:t>
            </m:r>
            <m:r>
              <m:rPr>
                <m:sty m:val="p"/>
              </m:rPr>
              <m:t>/</m:t>
            </m:r>
            <m:r>
              <m:t>2</m:t>
            </m:r>
          </m:sup>
        </m:sSup>
      </m:oMath>
      <w:r>
        <w:t xml:space="preserve"> and </w:t>
      </w:r>
      <m:oMath>
        <m:r>
          <m:rPr>
            <m:sty m:val="p"/>
          </m:rPr>
          <m:t>ℓ</m:t>
        </m:r>
        <m:r>
          <m:rPr>
            <m:sty m:val="p"/>
          </m:rPr>
          <m:t>=</m:t>
        </m:r>
        <m:sSub>
          <m:e>
            <m:r>
              <m:rPr>
                <m:sty m:val="p"/>
              </m:rPr>
              <m:t>ℓ</m:t>
            </m:r>
          </m:e>
          <m:sub>
            <m:r>
              <m:t>0</m:t>
            </m:r>
          </m:sub>
        </m:sSub>
        <m:r>
          <m:rPr>
            <m:sty m:val="p"/>
          </m:rPr>
          <m:t>−</m:t>
        </m:r>
        <m:r>
          <m:t>τ</m:t>
        </m:r>
        <m:d>
          <m:dPr>
            <m:begChr m:val="|"/>
            <m:sepChr m:val=""/>
            <m:endChr m:val="|"/>
            <m:grow/>
          </m:dPr>
          <m:e>
            <m:r>
              <m:t>h</m:t>
            </m:r>
          </m:e>
        </m:d>
      </m:oMath>
      <w:r>
        <w:t xml:space="preserve">. If </w:t>
      </w:r>
      <m:oMath>
        <m:sSub>
          <m:e>
            <m:r>
              <m:rPr>
                <m:sty m:val="p"/>
              </m:rPr>
              <m:t>ℓ</m:t>
            </m:r>
          </m:e>
          <m:sub>
            <m:r>
              <m:t>0</m:t>
            </m:r>
          </m:sub>
        </m:sSub>
        <m:r>
          <m:rPr>
            <m:sty m:val="p"/>
          </m:rPr>
          <m:t>≤</m:t>
        </m:r>
        <m:r>
          <m:t>0</m:t>
        </m:r>
      </m:oMath>
      <w:r>
        <w:t xml:space="preserve"> the solution is </w:t>
      </w:r>
      <m:oMath>
        <m:sSub>
          <m:e>
            <m:r>
              <m:t>b</m:t>
            </m:r>
          </m:e>
          <m:sub>
            <m:r>
              <m:t>0</m:t>
            </m:r>
          </m:sub>
        </m:sSub>
      </m:oMath>
      <w:r>
        <w:t xml:space="preserve">. Otherwise it is </w:t>
      </w:r>
      <m:oMath>
        <m:sSup>
          <m:e>
            <m:r>
              <m:t>τ</m:t>
            </m:r>
          </m:e>
          <m:sup>
            <m:r>
              <m:rPr>
                <m:sty m:val="p"/>
              </m:rPr>
              <m:t>⋆</m:t>
            </m:r>
          </m:sup>
        </m:sSup>
        <m:r>
          <m:rPr>
            <m:sty m:val="p"/>
          </m:rPr>
          <m:t>=</m:t>
        </m:r>
        <m:acc>
          <m:accPr>
            <m:chr m:val="‾"/>
          </m:accPr>
          <m:e>
            <m:r>
              <m:t>δ</m:t>
            </m:r>
          </m:e>
        </m:acc>
        <m:d>
          <m:dPr>
            <m:begChr m:val="|"/>
            <m:sepChr m:val=""/>
            <m:endChr m:val="|"/>
            <m:grow/>
          </m:dPr>
          <m:e>
            <m:r>
              <m:t>h</m:t>
            </m:r>
          </m:e>
        </m:d>
        <m:r>
          <m:t> </m:t>
        </m:r>
        <m:sSubSup>
          <m:e>
            <m:r>
              <m:t>q</m:t>
            </m:r>
          </m:e>
          <m:sub>
            <m:r>
              <m:t>0</m:t>
            </m:r>
          </m:sub>
          <m:sup>
            <m:r>
              <m:t>1</m:t>
            </m:r>
            <m:r>
              <m:rPr>
                <m:sty m:val="p"/>
              </m:rPr>
              <m:t>/</m:t>
            </m:r>
            <m:r>
              <m:t>2</m:t>
            </m:r>
          </m:sup>
        </m:sSubSup>
        <m:r>
          <m:rPr>
            <m:sty m:val="p"/>
          </m:rPr>
          <m:t>/</m:t>
        </m:r>
        <m:sSup>
          <m:e>
            <m:d>
              <m:dPr>
                <m:begChr m:val="("/>
                <m:sepChr m:val=""/>
                <m:endChr m:val=")"/>
                <m:grow/>
              </m:dPr>
              <m:e>
                <m:sSup>
                  <m:e>
                    <m:r>
                      <m:t>z</m:t>
                    </m:r>
                  </m:e>
                  <m:sup>
                    <m:r>
                      <m:t>2</m:t>
                    </m:r>
                  </m:sup>
                </m:sSup>
                <m:r>
                  <m:rPr>
                    <m:sty m:val="p"/>
                  </m:rPr>
                  <m:t>−</m:t>
                </m:r>
                <m:sSup>
                  <m:e>
                    <m:acc>
                      <m:accPr>
                        <m:chr m:val="‾"/>
                      </m:accPr>
                      <m:e>
                        <m:r>
                          <m:t>δ</m:t>
                        </m:r>
                      </m:e>
                    </m:acc>
                  </m:e>
                  <m:sup>
                    <m:r>
                      <m:t>2</m:t>
                    </m:r>
                  </m:sup>
                </m:sSup>
                <m:sSup>
                  <m:e>
                    <m:d>
                      <m:dPr>
                        <m:begChr m:val="|"/>
                        <m:sepChr m:val=""/>
                        <m:endChr m:val="|"/>
                        <m:grow/>
                      </m:dPr>
                      <m:e>
                        <m:r>
                          <m:t>h</m:t>
                        </m:r>
                      </m:e>
                    </m:d>
                  </m:e>
                  <m:sup>
                    <m:r>
                      <m:t>2</m:t>
                    </m:r>
                  </m:sup>
                </m:sSup>
              </m:e>
            </m:d>
          </m:e>
          <m:sup>
            <m:r>
              <m:t>1</m:t>
            </m:r>
            <m:r>
              <m:rPr>
                <m:sty m:val="p"/>
              </m:rPr>
              <m:t>/</m:t>
            </m:r>
            <m:r>
              <m:t>2</m:t>
            </m:r>
          </m:sup>
        </m:sSup>
      </m:oMath>
      <w:r>
        <w:t xml:space="preserve"> if </w:t>
      </w:r>
      <m:oMath>
        <m:acc>
          <m:accPr>
            <m:chr m:val="‾"/>
          </m:accPr>
          <m:e>
            <m:r>
              <m:t>δ</m:t>
            </m:r>
          </m:e>
        </m:acc>
        <m:d>
          <m:dPr>
            <m:begChr m:val="|"/>
            <m:sepChr m:val=""/>
            <m:endChr m:val="|"/>
            <m:grow/>
          </m:dPr>
          <m:e>
            <m:r>
              <m:t>h</m:t>
            </m:r>
          </m:e>
        </m:d>
        <m:r>
          <m:rPr>
            <m:sty m:val="p"/>
          </m:rPr>
          <m:t>&lt;</m:t>
        </m:r>
        <m:r>
          <m:t>z</m:t>
        </m:r>
      </m:oMath>
      <w:r>
        <w:t xml:space="preserve"> and </w:t>
      </w:r>
      <m:oMath>
        <m:sSub>
          <m:e>
            <m:r>
              <m:rPr>
                <m:sty m:val="p"/>
              </m:rPr>
              <m:t>ℓ</m:t>
            </m:r>
          </m:e>
          <m:sub>
            <m:r>
              <m:t>0</m:t>
            </m:r>
          </m:sub>
        </m:sSub>
        <m:r>
          <m:rPr>
            <m:sty m:val="p"/>
          </m:rPr>
          <m:t>−</m:t>
        </m:r>
        <m:sSup>
          <m:e>
            <m:r>
              <m:t>τ</m:t>
            </m:r>
          </m:e>
          <m:sup>
            <m:r>
              <m:rPr>
                <m:sty m:val="p"/>
              </m:rPr>
              <m:t>⋆</m:t>
            </m:r>
          </m:sup>
        </m:sSup>
        <m:d>
          <m:dPr>
            <m:begChr m:val="|"/>
            <m:sepChr m:val=""/>
            <m:endChr m:val="|"/>
            <m:grow/>
          </m:dPr>
          <m:e>
            <m:r>
              <m:t>h</m:t>
            </m:r>
          </m:e>
        </m:d>
        <m:r>
          <m:rPr>
            <m:sty m:val="p"/>
          </m:rPr>
          <m:t>&gt;</m:t>
        </m:r>
        <m:r>
          <m:t>0</m:t>
        </m:r>
      </m:oMath>
      <w:r>
        <w:t xml:space="preserve">, and </w:t>
      </w:r>
      <m:oMath>
        <m:r>
          <m:t>τ</m:t>
        </m:r>
        <m:r>
          <m:rPr>
            <m:sty m:val="p"/>
          </m:rPr>
          <m:t>=</m:t>
        </m:r>
        <m:sSub>
          <m:e>
            <m:r>
              <m:rPr>
                <m:sty m:val="p"/>
              </m:rPr>
              <m:t>ℓ</m:t>
            </m:r>
          </m:e>
          <m:sub>
            <m:r>
              <m:t>0</m:t>
            </m:r>
          </m:sub>
        </m:sSub>
        <m:r>
          <m:rPr>
            <m:sty m:val="p"/>
          </m:rPr>
          <m:t>/</m:t>
        </m:r>
        <m:d>
          <m:dPr>
            <m:begChr m:val="|"/>
            <m:sepChr m:val=""/>
            <m:endChr m:val="|"/>
            <m:grow/>
          </m:dPr>
          <m:e>
            <m:r>
              <m:t>h</m:t>
            </m:r>
          </m:e>
        </m:d>
      </m:oMath>
      <w:r>
        <w:t xml:space="preserve"> (no response to the warming) otherwise.</w:t>
      </w:r>
    </w:p>
    <w:p>
      <w:pPr>
        <w:spacing w:after="110"/>
        <w:jc w:val="both"/>
      </w:pPr>
      <w:r>
        <w:rPr>
          <w:i/>
          <w:iCs/>
        </w:rPr>
        <w:t xml:space="preserve">Proof. </w:t>
      </w:r>
      <w:r>
        <w:t xml:space="preserve">For fixed </w:t>
      </w:r>
      <m:oMath>
        <m:r>
          <m:rPr>
            <m:sty m:val="p"/>
          </m:rPr>
          <m:t>ℓ</m:t>
        </m:r>
        <m:d>
          <m:dPr>
            <m:begChr m:val="("/>
            <m:sepChr m:val=""/>
            <m:endChr m:val=")"/>
            <m:grow/>
          </m:dPr>
          <m:e>
            <m:r>
              <m:t>b</m:t>
            </m:r>
          </m:e>
        </m:d>
        <m:r>
          <m:rPr>
            <m:sty m:val="p"/>
          </m:rPr>
          <m:t>=</m:t>
        </m:r>
        <m:r>
          <m:rPr>
            <m:sty m:val="p"/>
          </m:rPr>
          <m:t>ℓ</m:t>
        </m:r>
      </m:oMath>
      <w:r>
        <w:t xml:space="preserve">, minimising </w:t>
      </w:r>
      <m:oMath>
        <m:r>
          <m:rPr>
            <m:sty m:val="p"/>
          </m:rPr>
          <m:t>s</m:t>
        </m:r>
        <m:r>
          <m:rPr>
            <m:sty m:val="p"/>
          </m:rPr>
          <m:t>d</m:t>
        </m:r>
        <m:d>
          <m:dPr>
            <m:begChr m:val="("/>
            <m:sepChr m:val=""/>
            <m:endChr m:val=")"/>
            <m:grow/>
          </m:dPr>
          <m:e>
            <m:sSub>
              <m:e>
                <m:r>
                  <m:t>η</m:t>
                </m:r>
              </m:e>
              <m:sub>
                <m:r>
                  <m:t>b</m:t>
                </m:r>
              </m:sub>
            </m:sSub>
          </m:e>
        </m:d>
      </m:oMath>
      <w:r>
        <w:t xml:space="preserve"> is a quadratic problem with one linear constraint; its solutions form the line above, on which </w:t>
      </w:r>
      <m:oMath>
        <m:sSub>
          <m:e>
            <m:r>
              <m:t>q</m:t>
            </m:r>
          </m:e>
          <m:sub>
            <m:r>
              <m:t>0</m:t>
            </m:r>
          </m:sub>
        </m:sSub>
      </m:oMath>
      <w:r>
        <w:t xml:space="preserve"> is the smallest anchor-free variance. On the line </w:t>
      </w:r>
      <m:oMath>
        <m:r>
          <m:t>m</m:t>
        </m:r>
        <m:r>
          <m:rPr>
            <m:sty m:val="p"/>
          </m:rPr>
          <m:t>=</m:t>
        </m:r>
        <m:r>
          <m:t>z</m:t>
        </m:r>
        <m:sSup>
          <m:e>
            <m:d>
              <m:dPr>
                <m:begChr m:val="("/>
                <m:sepChr m:val=""/>
                <m:endChr m:val=")"/>
                <m:grow/>
              </m:dPr>
              <m:e>
                <m:sSub>
                  <m:e>
                    <m:r>
                      <m:t>q</m:t>
                    </m:r>
                  </m:e>
                  <m:sub>
                    <m:r>
                      <m:t>0</m:t>
                    </m:r>
                  </m:sub>
                </m:sSub>
                <m:r>
                  <m:rPr>
                    <m:sty m:val="p"/>
                  </m:rPr>
                  <m:t>+</m:t>
                </m:r>
                <m:sSup>
                  <m:e>
                    <m:r>
                      <m:t>τ</m:t>
                    </m:r>
                  </m:e>
                  <m:sup>
                    <m:r>
                      <m:t>2</m:t>
                    </m:r>
                  </m:sup>
                </m:sSup>
              </m:e>
            </m:d>
          </m:e>
          <m:sup>
            <m:r>
              <m:t>1</m:t>
            </m:r>
            <m:r>
              <m:rPr>
                <m:sty m:val="p"/>
              </m:rPr>
              <m:t>/</m:t>
            </m:r>
            <m:r>
              <m:t>2</m:t>
            </m:r>
          </m:sup>
        </m:sSup>
        <m:r>
          <m:rPr>
            <m:sty m:val="p"/>
          </m:rPr>
          <m:t>+</m:t>
        </m:r>
        <m:acc>
          <m:accPr>
            <m:chr m:val="‾"/>
          </m:accPr>
          <m:e>
            <m:r>
              <m:t>δ</m:t>
            </m:r>
          </m:e>
        </m:acc>
        <m:r>
          <m:rPr>
            <m:sty m:val="p"/>
          </m:rPr>
          <m:t>max</m:t>
        </m:r>
        <m:r>
          <m:rPr>
            <m:sty m:val="p"/>
          </m:rPr>
          <m:t>{</m:t>
        </m:r>
        <m:r>
          <m:t>0</m:t>
        </m:r>
        <m:r>
          <m:rPr>
            <m:sty m:val="p"/>
          </m:rPr>
          <m:t>,</m:t>
        </m:r>
        <m:sSub>
          <m:e>
            <m:r>
              <m:rPr>
                <m:sty m:val="p"/>
              </m:rPr>
              <m:t>ℓ</m:t>
            </m:r>
          </m:e>
          <m:sub>
            <m:r>
              <m:t>0</m:t>
            </m:r>
          </m:sub>
        </m:sSub>
        <m:r>
          <m:rPr>
            <m:sty m:val="p"/>
          </m:rPr>
          <m:t>−</m:t>
        </m:r>
        <m:r>
          <m:t>τ</m:t>
        </m:r>
        <m:d>
          <m:dPr>
            <m:begChr m:val="|"/>
            <m:sepChr m:val=""/>
            <m:endChr m:val="|"/>
            <m:grow/>
          </m:dPr>
          <m:e>
            <m:r>
              <m:t>h</m:t>
            </m:r>
          </m:e>
        </m:d>
        <m:r>
          <m:rPr>
            <m:sty m:val="p"/>
          </m:rPr>
          <m:t>}</m:t>
        </m:r>
      </m:oMath>
      <w:r>
        <w:t xml:space="preserve"> is convex in </w:t>
      </w:r>
      <m:oMath>
        <m:r>
          <m:t>τ</m:t>
        </m:r>
      </m:oMath>
      <w:r>
        <w:t xml:space="preserve">; setting the derivative of the smooth branch to zero gives </w:t>
      </w:r>
      <m:oMath>
        <m:sSup>
          <m:e>
            <m:r>
              <m:t>τ</m:t>
            </m:r>
          </m:e>
          <m:sup>
            <m:r>
              <m:rPr>
                <m:sty m:val="p"/>
              </m:rPr>
              <m:t>⋆</m:t>
            </m:r>
          </m:sup>
        </m:sSup>
      </m:oMath>
      <w:r>
        <w:t xml:space="preserve">, and the kink at </w:t>
      </w:r>
      <m:oMath>
        <m:r>
          <m:rPr>
            <m:sty m:val="p"/>
          </m:rPr>
          <m:t>ℓ</m:t>
        </m:r>
        <m:r>
          <m:rPr>
            <m:sty m:val="p"/>
          </m:rPr>
          <m:t>=</m:t>
        </m:r>
        <m:r>
          <m:t>0</m:t>
        </m:r>
      </m:oMath>
      <w:r>
        <w:t xml:space="preserve"> is the other candidate.</w:t>
      </w:r>
      <w:r>
        <w:t xml:space="preserve"> □</w:t>
      </w:r>
    </w:p>
    <w:p>
      <w:pPr>
        <w:spacing w:after="100"/>
        <w:jc w:val="both"/>
      </w:pPr>
      <w:r>
        <w:t xml:space="preserve">The two ends are familiar. With </w:t>
      </w:r>
      <m:oMath>
        <m:acc>
          <m:accPr>
            <m:chr m:val="‾"/>
          </m:accPr>
          <m:e>
            <m:r>
              <m:t>δ</m:t>
            </m:r>
          </m:e>
        </m:acc>
        <m:r>
          <m:rPr>
            <m:sty m:val="p"/>
          </m:rPr>
          <m:t>=</m:t>
        </m:r>
        <m:r>
          <m:t>0</m:t>
        </m:r>
      </m:oMath>
      <w:r>
        <w:t xml:space="preserve"> the weights are those of partialling out, which by the Frisch–Waugh–Lovell theorem are the weights of least squares on heads and anchors. When the warming is large compared with the noise, the weights make the alarm blind to rainfall, the two-stage least-squares end of anchor regression, but only in the one direction that can shift unseen. In between, Proposition S3 trades noise against invariance by the goal's own measure. The test solves the version with the confidence bounds of (8) in the same way, along the same line.</w:t>
      </w:r>
    </w:p>
    <w:p>
      <w:pPr>
        <w:pStyle w:val="Heading2"/>
      </w:pPr>
      <w:r>
        <w:t xml:space="preserve">5.5 The piezometers</w:t>
      </w:r>
    </w:p>
    <w:p>
      <w:pPr>
        <w:keepNext w:val="false"/>
        <w:pBdr>
          <w:left w:val="single" w:color="C2410C" w:sz="18" w:space="6"/>
        </w:pBdr>
        <w:shd w:fill="FDF2E9" w:color="auto" w:val="clear"/>
        <w:spacing w:after="100" w:before="100"/>
        <w:ind w:left="140" w:right="60"/>
        <w:jc w:val="left"/>
      </w:pPr>
      <w:r>
        <w:rPr>
          <w:b/>
          <w:bCs/>
          <w:color w:val="C2410C"/>
        </w:rPr>
        <w:t xml:space="preserve">Proposition S4 (which piezometers make the alarm shift-proof). </w:t>
      </w:r>
      <w:r>
        <w:t xml:space="preserve">For a set </w:t>
      </w:r>
      <m:oMath>
        <m:r>
          <m:rPr>
            <m:scr m:val="script"/>
            <m:sty m:val="p"/>
          </m:rPr>
          <m:t>S</m:t>
        </m:r>
      </m:oMath>
      <w:r>
        <w:t xml:space="preserve"> of monitoring wells let </w:t>
      </w:r>
      <m:oMath>
        <m:sSup>
          <m:e>
            <m:r>
              <m:t>m</m:t>
            </m:r>
          </m:e>
          <m:sup>
            <m:r>
              <m:rPr>
                <m:sty m:val="p"/>
              </m:rPr>
              <m:t>⋆</m:t>
            </m:r>
          </m:sup>
        </m:sSup>
        <m:d>
          <m:dPr>
            <m:begChr m:val="("/>
            <m:sepChr m:val=""/>
            <m:endChr m:val=")"/>
            <m:grow/>
          </m:dPr>
          <m:e>
            <m:r>
              <m:rPr>
                <m:scr m:val="script"/>
                <m:sty m:val="p"/>
              </m:rPr>
              <m:t>S</m:t>
            </m:r>
          </m:e>
        </m:d>
        <m:r>
          <m:rPr>
            <m:sty m:val="p"/>
          </m:rPr>
          <m:t>=</m:t>
        </m:r>
        <m:sSub>
          <m:e>
            <m:r>
              <m:rPr>
                <m:sty m:val="p"/>
              </m:rPr>
              <m:t>min</m:t>
            </m:r>
          </m:e>
          <m:sub>
            <m:r>
              <m:t>b</m:t>
            </m:r>
          </m:sub>
        </m:sSub>
        <m:r>
          <m:t>m</m:t>
        </m:r>
        <m:d>
          <m:dPr>
            <m:begChr m:val="("/>
            <m:sepChr m:val=""/>
            <m:endChr m:val=")"/>
            <m:grow/>
          </m:dPr>
          <m:e>
            <m:r>
              <m:t>b</m:t>
            </m:r>
          </m:e>
        </m:d>
      </m:oMath>
      <w:r>
        <w:t xml:space="preserve"> with </w:t>
      </w:r>
      <m:oMath>
        <m:r>
          <m:t>b</m:t>
        </m:r>
      </m:oMath>
      <w:r>
        <w:t xml:space="preserve"> supported on </w:t>
      </w:r>
      <m:oMath>
        <m:r>
          <m:rPr>
            <m:scr m:val="script"/>
            <m:sty m:val="p"/>
          </m:rPr>
          <m:t>S</m:t>
        </m:r>
      </m:oMath>
      <w:r>
        <w:t xml:space="preserve">. Then </w:t>
      </w:r>
      <m:oMath>
        <m:sSup>
          <m:e>
            <m:r>
              <m:t>m</m:t>
            </m:r>
          </m:e>
          <m:sup>
            <m:r>
              <m:rPr>
                <m:sty m:val="p"/>
              </m:rPr>
              <m:t>⋆</m:t>
            </m:r>
          </m:sup>
        </m:sSup>
      </m:oMath>
      <w:r>
        <w:t xml:space="preserve"> does not increase when a well is added. The warming term can be removed, </w:t>
      </w:r>
      <m:oMath>
        <m:r>
          <m:rPr>
            <m:sty m:val="p"/>
          </m:rPr>
          <m:t>ℓ</m:t>
        </m:r>
        <m:d>
          <m:dPr>
            <m:begChr m:val="("/>
            <m:sepChr m:val=""/>
            <m:endChr m:val=")"/>
            <m:grow/>
          </m:dPr>
          <m:e>
            <m:r>
              <m:t>b</m:t>
            </m:r>
          </m:e>
        </m:d>
        <m:r>
          <m:rPr>
            <m:sty m:val="p"/>
          </m:rPr>
          <m:t>=</m:t>
        </m:r>
        <m:r>
          <m:t>0</m:t>
        </m:r>
      </m:oMath>
      <w:r>
        <w:t xml:space="preserve">, if and only if </w:t>
      </w:r>
      <m:oMath>
        <m:sSub>
          <m:e>
            <m:r>
              <m:rPr>
                <m:sty m:val="b"/>
              </m:rPr>
              <m:t>W</m:t>
            </m:r>
          </m:e>
          <m:sub>
            <m:sSub>
              <m:e>
                <m:r>
                  <m:t>X</m:t>
                </m:r>
              </m:e>
              <m:sub>
                <m:r>
                  <m:rPr>
                    <m:scr m:val="script"/>
                    <m:sty m:val="p"/>
                  </m:rPr>
                  <m:t>S</m:t>
                </m:r>
              </m:sub>
            </m:sSub>
            <m:r>
              <m:rPr>
                <m:sty m:val="p"/>
              </m:rPr>
              <m:t>,</m:t>
            </m:r>
            <m:r>
              <m:t>r</m:t>
            </m:r>
          </m:sub>
        </m:sSub>
        <m:r>
          <m:rPr>
            <m:sty m:val="p"/>
          </m:rPr>
          <m:t>≠</m:t>
        </m:r>
        <m:r>
          <m:t>0</m:t>
        </m:r>
      </m:oMath>
      <w:r>
        <w:t xml:space="preserve"> or </w:t>
      </w:r>
      <m:oMath>
        <m:sSub>
          <m:e>
            <m:r>
              <m:t>w</m:t>
            </m:r>
          </m:e>
          <m:sub>
            <m:r>
              <m:t>Y</m:t>
            </m:r>
            <m:r>
              <m:rPr>
                <m:sty m:val="p"/>
              </m:rPr>
              <m:t>,</m:t>
            </m:r>
            <m:r>
              <m:t>r</m:t>
            </m:r>
          </m:sub>
        </m:sSub>
        <m:r>
          <m:rPr>
            <m:sty m:val="p"/>
          </m:rPr>
          <m:t>=</m:t>
        </m:r>
        <m:r>
          <m:t>0</m:t>
        </m:r>
      </m:oMath>
      <w:r>
        <w:t xml:space="preserve">: at least one well of </w:t>
      </w:r>
      <m:oMath>
        <m:r>
          <m:rPr>
            <m:scr m:val="script"/>
            <m:sty m:val="p"/>
          </m:rPr>
          <m:t>S</m:t>
        </m:r>
      </m:oMath>
      <w:r>
        <w:t xml:space="preserve"> must respond to rainfall once the pumping is held fixed. This is the projectability condition of anchor regression [5] restricted to the anchor whose effect can shift unseen. The price is the noise amplification </w:t>
      </w:r>
      <m:oMath>
        <m:r>
          <m:t>τ</m:t>
        </m:r>
      </m:oMath>
      <w:r>
        <w:t xml:space="preserve"> of Proposition S3, which is small when the well's response to rainfall is large compared with its noise.</w:t>
      </w:r>
    </w:p>
    <w:p>
      <w:pPr>
        <w:spacing w:after="110"/>
        <w:jc w:val="both"/>
      </w:pPr>
      <w:r>
        <w:rPr>
          <w:i/>
          <w:iCs/>
        </w:rPr>
        <w:t xml:space="preserve">Proof. </w:t>
      </w:r>
      <w:r>
        <w:t xml:space="preserve">Zero weights on added wells reproduce any smaller design. </w:t>
      </w:r>
      <m:oMath>
        <m:r>
          <m:rPr>
            <m:sty m:val="p"/>
          </m:rPr>
          <m:t>ℓ</m:t>
        </m:r>
        <m:d>
          <m:dPr>
            <m:begChr m:val="("/>
            <m:sepChr m:val=""/>
            <m:endChr m:val=")"/>
            <m:grow/>
          </m:dPr>
          <m:e>
            <m:r>
              <m:t>b</m:t>
            </m:r>
          </m:e>
        </m:d>
        <m:r>
          <m:rPr>
            <m:sty m:val="p"/>
          </m:rPr>
          <m:t>=</m:t>
        </m:r>
        <m:sSub>
          <m:e>
            <m:r>
              <m:t>w</m:t>
            </m:r>
          </m:e>
          <m:sub>
            <m:r>
              <m:t>Y</m:t>
            </m:r>
            <m:r>
              <m:rPr>
                <m:sty m:val="p"/>
              </m:rPr>
              <m:t>,</m:t>
            </m:r>
            <m:r>
              <m:t>r</m:t>
            </m:r>
          </m:sub>
        </m:sSub>
        <m:r>
          <m:rPr>
            <m:sty m:val="p"/>
          </m:rPr>
          <m:t>−</m:t>
        </m:r>
        <m:sSub>
          <m:e>
            <m:r>
              <m:rPr>
                <m:sty m:val="b"/>
              </m:rPr>
              <m:t>W</m:t>
            </m:r>
          </m:e>
          <m:sub>
            <m:sSub>
              <m:e>
                <m:r>
                  <m:t>X</m:t>
                </m:r>
              </m:e>
              <m:sub>
                <m:r>
                  <m:rPr>
                    <m:scr m:val="script"/>
                    <m:sty m:val="p"/>
                  </m:rPr>
                  <m:t>S</m:t>
                </m:r>
              </m:sub>
            </m:sSub>
            <m:r>
              <m:rPr>
                <m:sty m:val="p"/>
              </m:rPr>
              <m:t>,</m:t>
            </m:r>
            <m:r>
              <m:t>r</m:t>
            </m:r>
          </m:sub>
        </m:sSub>
        <m:r>
          <m:t>b</m:t>
        </m:r>
        <m:r>
          <m:rPr>
            <m:sty m:val="p"/>
          </m:rPr>
          <m:t>=</m:t>
        </m:r>
        <m:r>
          <m:t>0</m:t>
        </m:r>
      </m:oMath>
      <w:r>
        <w:t xml:space="preserve"> has a solution if and only if the row </w:t>
      </w:r>
      <m:oMath>
        <m:sSub>
          <m:e>
            <m:r>
              <m:rPr>
                <m:sty m:val="b"/>
              </m:rPr>
              <m:t>W</m:t>
            </m:r>
          </m:e>
          <m:sub>
            <m:sSub>
              <m:e>
                <m:r>
                  <m:t>X</m:t>
                </m:r>
              </m:e>
              <m:sub>
                <m:r>
                  <m:rPr>
                    <m:scr m:val="script"/>
                    <m:sty m:val="p"/>
                  </m:rPr>
                  <m:t>S</m:t>
                </m:r>
              </m:sub>
            </m:sSub>
            <m:r>
              <m:rPr>
                <m:sty m:val="p"/>
              </m:rPr>
              <m:t>,</m:t>
            </m:r>
            <m:r>
              <m:t>r</m:t>
            </m:r>
          </m:sub>
        </m:sSub>
      </m:oMath>
      <w:r>
        <w:t xml:space="preserve"> is not zero or </w:t>
      </w:r>
      <m:oMath>
        <m:sSub>
          <m:e>
            <m:r>
              <m:t>w</m:t>
            </m:r>
          </m:e>
          <m:sub>
            <m:r>
              <m:t>Y</m:t>
            </m:r>
            <m:r>
              <m:rPr>
                <m:sty m:val="p"/>
              </m:rPr>
              <m:t>,</m:t>
            </m:r>
            <m:r>
              <m:t>r</m:t>
            </m:r>
          </m:sub>
        </m:sSub>
        <m:r>
          <m:rPr>
            <m:sty m:val="p"/>
          </m:rPr>
          <m:t>=</m:t>
        </m:r>
        <m:r>
          <m:t>0</m:t>
        </m:r>
      </m:oMath>
      <w:r>
        <w:t xml:space="preserve">. The amplification follows from Proposition S3 with </w:t>
      </w:r>
      <m:oMath>
        <m:d>
          <m:dPr>
            <m:begChr m:val="|"/>
            <m:sepChr m:val=""/>
            <m:endChr m:val="|"/>
            <m:grow/>
          </m:dPr>
          <m:e>
            <m:r>
              <m:t>h</m:t>
            </m:r>
          </m:e>
        </m:d>
      </m:oMath>
      <w:r>
        <w:t xml:space="preserve"> computed on </w:t>
      </w:r>
      <m:oMath>
        <m:r>
          <m:rPr>
            <m:scr m:val="script"/>
            <m:sty m:val="p"/>
          </m:rPr>
          <m:t>S</m:t>
        </m:r>
      </m:oMath>
      <w:r>
        <w:t xml:space="preserve">.</w:t>
      </w:r>
      <w:r>
        <w:t xml:space="preserve"> □</w:t>
      </w:r>
    </w:p>
    <w:p>
      <w:pPr>
        <w:spacing w:after="100"/>
        <w:jc w:val="both"/>
      </w:pPr>
      <w:r>
        <w:t xml:space="preserve">The physical reading is direct. A well next to the supply well mostly records the supply well's own drawdown, which the anchor correction already knows. A well far inland records the recharge and the private abstraction, which are exactly what a warming changes and the gauge may miss. SPIRANCA-GO therefore chooses piezometers by their response to the unrecorded part of the forcing, not by their distance to the screen or by how well they fit the record.</w:t>
      </w:r>
    </w:p>
    <w:p>
      <w:pPr>
        <w:pStyle w:val="Heading1"/>
      </w:pPr>
      <w:r>
        <w:t xml:space="preserve">6. The test on the Fushë-Kuqe sector model</w:t>
      </w:r>
    </w:p>
    <w:p>
      <w:pPr>
        <w:spacing w:after="100"/>
        <w:jc w:val="both"/>
      </w:pPr>
      <w:r>
        <w:t xml:space="preserve">The test uses the areal model of the chloride study [1]: steady Strack potential with recharge on the coastal sector north of y = 24 km, the hydraulic conductivity, geometry, mixing width and sea chloride drawn from the study's prior (fresh end-member from well 193 of [27]), and the two supply wells of PRAG-GO, A1 and P10 [28]. The potential is linear in the sources, so each season is a combination of four unit responses (recharge, the two wells, and a private abstraction spread over the coastal plain between 0.5 and 4 km from the shoreline). The goal is the chloride of the upper screen of A1, the first aquifer of the study. Table 4 lists the rest. Figure 2 shows the sector and the causal picture.</w:t>
      </w:r>
    </w:p>
    <w:p>
      <w:pPr>
        <w:keepNext/>
        <w:spacing w:after="60" w:before="120"/>
        <w:jc w:val="both"/>
      </w:pPr>
      <w:r>
        <w:rPr>
          <w:b/>
          <w:bCs/>
          <w:color w:val="1F3864"/>
          <w:sz w:val="18"/>
          <w:szCs w:val="18"/>
        </w:rPr>
        <w:t xml:space="preserve">Table 4. </w:t>
      </w:r>
      <w:r>
        <w:rPr>
          <w:color w:val="3A4350"/>
          <w:sz w:val="18"/>
          <w:szCs w:val="18"/>
        </w:rPr>
        <w:t xml:space="preserve">The SPIRANCA-GO test (code: experiments/spiranca_go, sg_model.py and sg_run.py; 100 aquifers in about a minute on two cores).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7238"/>
      </w:tblGrid>
      <w:tr>
        <w:trPr>
          <w:cantSplit/>
          <w:tblHeader/>
        </w:trPr>
        <w:tc>
          <w:tcPr>
            <w:tcW w:type="dxa" w:w="24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Item</w:t>
            </w:r>
          </w:p>
        </w:tc>
        <w:tc>
          <w:tcPr>
            <w:tcW w:type="dxa" w:w="72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Choice</w:t>
            </w:r>
          </w:p>
        </w:tc>
      </w:tr>
      <w:tr>
        <w:trPr>
          <w:cantSplit/>
        </w:trPr>
        <w:tc>
          <w:tcPr>
            <w:tcW w:type="dxa" w:w="2400"/>
            <w:tcMar>
              <w:top w:type="dxa" w:w="40"/>
              <w:left w:type="dxa" w:w="80"/>
              <w:bottom w:type="dxa" w:w="40"/>
              <w:right w:type="dxa" w:w="80"/>
            </w:tcMar>
            <w:vAlign w:val="top"/>
          </w:tcPr>
          <w:p>
            <w:r>
              <w:rPr>
                <w:sz w:val="16"/>
                <w:szCs w:val="16"/>
              </w:rPr>
              <w:t xml:space="preserve">Aquifers</w:t>
            </w:r>
          </w:p>
        </w:tc>
        <w:tc>
          <w:tcPr>
            <w:tcW w:type="dxa" w:w="7238"/>
            <w:tcMar>
              <w:top w:type="dxa" w:w="40"/>
              <w:left w:type="dxa" w:w="80"/>
              <w:bottom w:type="dxa" w:w="40"/>
              <w:right w:type="dxa" w:w="80"/>
            </w:tcMar>
            <w:vAlign w:val="top"/>
          </w:tcPr>
          <w:p>
            <w:r>
              <w:rPr>
                <w:sz w:val="16"/>
                <w:szCs w:val="16"/>
              </w:rPr>
              <w:t xml:space="preserve">100 draws of the chloride study's prior, the first that pass two filters out of 155 tried (35% skipped): the upper screen of A1 is fresh without utility pumping, and natural variation alone does not exceed the standard in more than 15% of the seasons. The pumping scale of each is set so that 15% of the seasons after the decision exceed 250 mg/L without warming</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Anchors (recorded)</w:t>
            </w:r>
          </w:p>
        </w:tc>
        <w:tc>
          <w:tcPr>
            <w:tcW w:type="dxa" w:w="7238"/>
            <w:shd w:fill="F7F9FC" w:color="auto" w:val="clear"/>
            <w:tcMar>
              <w:top w:type="dxa" w:w="40"/>
              <w:left w:type="dxa" w:w="80"/>
              <w:bottom w:type="dxa" w:w="40"/>
              <w:right w:type="dxa" w:w="80"/>
            </w:tcMar>
            <w:vAlign w:val="top"/>
          </w:tcPr>
          <w:p>
            <w:r>
              <w:rPr>
                <w:sz w:val="16"/>
                <w:szCs w:val="16"/>
              </w:rPr>
              <w:t xml:space="preserve">rainfall anomaly r ~ N(0, 1); operator pumping anomalies of A1 and P10, 0.25·U(−1, 1) − 0.08 r</w:t>
            </w:r>
          </w:p>
        </w:tc>
      </w:tr>
      <w:tr>
        <w:trPr>
          <w:cantSplit/>
        </w:trPr>
        <w:tc>
          <w:tcPr>
            <w:tcW w:type="dxa" w:w="2400"/>
            <w:tcMar>
              <w:top w:type="dxa" w:w="40"/>
              <w:left w:type="dxa" w:w="80"/>
              <w:bottom w:type="dxa" w:w="40"/>
              <w:right w:type="dxa" w:w="80"/>
            </w:tcMar>
            <w:vAlign w:val="top"/>
          </w:tcPr>
          <w:p>
            <w:r>
              <w:rPr>
                <w:sz w:val="16"/>
                <w:szCs w:val="16"/>
              </w:rPr>
              <w:t xml:space="preserve">Hidden</w:t>
            </w:r>
          </w:p>
        </w:tc>
        <w:tc>
          <w:tcPr>
            <w:tcW w:type="dxa" w:w="7238"/>
            <w:tcMar>
              <w:top w:type="dxa" w:w="40"/>
              <w:left w:type="dxa" w:w="80"/>
              <w:bottom w:type="dxa" w:w="40"/>
              <w:right w:type="dxa" w:w="80"/>
            </w:tcMar>
            <w:vAlign w:val="top"/>
          </w:tcPr>
          <w:p>
            <w:r>
              <w:rPr>
                <w:sz w:val="16"/>
                <w:szCs w:val="16"/>
              </w:rPr>
              <w:t xml:space="preserve">recharge R₀(1 + 0.25 r + 0.10 e_R); private abstraction 0.4 of the utility pumping × (1 − 0.25 r + 0.15 e_H); e_R, e_H unrecorded</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Record</w:t>
            </w:r>
          </w:p>
        </w:tc>
        <w:tc>
          <w:tcPr>
            <w:tcW w:type="dxa" w:w="7238"/>
            <w:shd w:fill="F7F9FC" w:color="auto" w:val="clear"/>
            <w:tcMar>
              <w:top w:type="dxa" w:w="40"/>
              <w:left w:type="dxa" w:w="80"/>
              <w:bottom w:type="dxa" w:w="40"/>
              <w:right w:type="dxa" w:w="80"/>
            </w:tcMar>
            <w:vAlign w:val="top"/>
          </w:tcPr>
          <w:p>
            <w:r>
              <w:rPr>
                <w:sz w:val="16"/>
                <w:szCs w:val="16"/>
              </w:rPr>
              <w:t xml:space="preserve">160 seasons (40 years × 4): 120 fit the alarm, 40 calibrate its margin</w:t>
            </w:r>
          </w:p>
        </w:tc>
      </w:tr>
      <w:tr>
        <w:trPr>
          <w:cantSplit/>
        </w:trPr>
        <w:tc>
          <w:tcPr>
            <w:tcW w:type="dxa" w:w="2400"/>
            <w:tcMar>
              <w:top w:type="dxa" w:w="40"/>
              <w:left w:type="dxa" w:w="80"/>
              <w:bottom w:type="dxa" w:w="40"/>
              <w:right w:type="dxa" w:w="80"/>
            </w:tcMar>
            <w:vAlign w:val="top"/>
          </w:tcPr>
          <w:p>
            <w:r>
              <w:rPr>
                <w:sz w:val="16"/>
                <w:szCs w:val="16"/>
              </w:rPr>
              <w:t xml:space="preserve">Heads</w:t>
            </w:r>
          </w:p>
        </w:tc>
        <w:tc>
          <w:tcPr>
            <w:tcW w:type="dxa" w:w="7238"/>
            <w:tcMar>
              <w:top w:type="dxa" w:w="40"/>
              <w:left w:type="dxa" w:w="80"/>
              <w:bottom w:type="dxa" w:w="40"/>
              <w:right w:type="dxa" w:w="80"/>
            </w:tcMar>
            <w:vAlign w:val="top"/>
          </w:tcPr>
          <w:p>
            <w:r>
              <w:rPr>
                <w:sz w:val="16"/>
                <w:szCs w:val="16"/>
              </w:rPr>
              <w:t xml:space="preserve">the 16 other sector wells, 0.1 m of head noise converted to potential at the mean state</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Decision (known)</w:t>
            </w:r>
          </w:p>
        </w:tc>
        <w:tc>
          <w:tcPr>
            <w:tcW w:type="dxa" w:w="7238"/>
            <w:shd w:fill="F7F9FC" w:color="auto" w:val="clear"/>
            <w:tcMar>
              <w:top w:type="dxa" w:w="40"/>
              <w:left w:type="dxa" w:w="80"/>
              <w:bottom w:type="dxa" w:w="40"/>
              <w:right w:type="dxa" w:w="80"/>
            </w:tcMar>
            <w:vAlign w:val="top"/>
          </w:tcPr>
          <w:p>
            <w:r>
              <w:rPr>
                <w:sz w:val="16"/>
                <w:szCs w:val="16"/>
              </w:rPr>
              <w:t xml:space="preserve">pumping anomalies of A1 and P10 set to +0.6 and +0.3: A1 beyond every recorded season (recorded anomalies stay within about ±0.45), P10 at the edge of the record</w:t>
            </w:r>
          </w:p>
        </w:tc>
      </w:tr>
      <w:tr>
        <w:trPr>
          <w:cantSplit/>
        </w:trPr>
        <w:tc>
          <w:tcPr>
            <w:tcW w:type="dxa" w:w="2400"/>
            <w:tcMar>
              <w:top w:type="dxa" w:w="40"/>
              <w:left w:type="dxa" w:w="80"/>
              <w:bottom w:type="dxa" w:w="40"/>
              <w:right w:type="dxa" w:w="80"/>
            </w:tcMar>
            <w:vAlign w:val="top"/>
          </w:tcPr>
          <w:p>
            <w:r>
              <w:rPr>
                <w:sz w:val="16"/>
                <w:szCs w:val="16"/>
              </w:rPr>
              <w:t xml:space="preserve">Warming (unseen)</w:t>
            </w:r>
          </w:p>
        </w:tc>
        <w:tc>
          <w:tcPr>
            <w:tcW w:type="dxa" w:w="7238"/>
            <w:tcMar>
              <w:top w:type="dxa" w:w="40"/>
              <w:left w:type="dxa" w:w="80"/>
              <w:bottom w:type="dxa" w:w="40"/>
              <w:right w:type="dxa" w:w="80"/>
            </w:tcMar>
            <w:vAlign w:val="top"/>
          </w:tcPr>
          <w:p>
            <w:r>
              <w:rPr>
                <w:sz w:val="16"/>
                <w:szCs w:val="16"/>
              </w:rPr>
              <w:t xml:space="preserve">recharge −0.25 R₀ δ and private abstraction +0.25 H δ, δ ∈ [0, 1.5]: a drought of up to 1.5 standard deviations the gauge does not record</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Scenarios</w:t>
            </w:r>
          </w:p>
        </w:tc>
        <w:tc>
          <w:tcPr>
            <w:tcW w:type="dxa" w:w="7238"/>
            <w:shd w:fill="F7F9FC" w:color="auto" w:val="clear"/>
            <w:tcMar>
              <w:top w:type="dxa" w:w="40"/>
              <w:left w:type="dxa" w:w="80"/>
              <w:bottom w:type="dxa" w:w="40"/>
              <w:right w:type="dxa" w:w="80"/>
            </w:tcMar>
            <w:vAlign w:val="top"/>
          </w:tcPr>
          <w:p>
            <w:r>
              <w:rPr>
                <w:sz w:val="16"/>
                <w:szCs w:val="16"/>
              </w:rPr>
              <w:t xml:space="preserve">no warming; worst warming (δ = 1.5); warming δ ~ U(0, 1.5); off-span stress (private abstraction +30% with no change of recharge, outside the span of the anchors). Exceedance frequencies 15%, 64%, 38%, 16%</w:t>
            </w:r>
          </w:p>
        </w:tc>
      </w:tr>
      <w:tr>
        <w:trPr>
          <w:cantSplit/>
        </w:trPr>
        <w:tc>
          <w:tcPr>
            <w:tcW w:type="dxa" w:w="2400"/>
            <w:tcMar>
              <w:top w:type="dxa" w:w="40"/>
              <w:left w:type="dxa" w:w="80"/>
              <w:bottom w:type="dxa" w:w="40"/>
              <w:right w:type="dxa" w:w="80"/>
            </w:tcMar>
            <w:vAlign w:val="top"/>
          </w:tcPr>
          <w:p>
            <w:r>
              <w:rPr>
                <w:sz w:val="16"/>
                <w:szCs w:val="16"/>
              </w:rPr>
              <w:t xml:space="preserve">Alarm and score</w:t>
            </w:r>
          </w:p>
        </w:tc>
        <w:tc>
          <w:tcPr>
            <w:tcW w:type="dxa" w:w="7238"/>
            <w:tcMar>
              <w:top w:type="dxa" w:w="40"/>
              <w:left w:type="dxa" w:w="80"/>
              <w:bottom w:type="dxa" w:w="40"/>
              <w:right w:type="dxa" w:w="80"/>
            </w:tcMar>
            <w:vAlign w:val="top"/>
          </w:tcPr>
          <w:p>
            <w:r>
              <w:rPr>
                <w:sz w:val="16"/>
                <w:szCs w:val="16"/>
              </w:rPr>
              <w:t xml:space="preserve">4 000 future seasons per scenario; the alarm sounds when the proxy is at most y* plus its margin; scored by the share of seasons in which the proxy over-predicts by more than its margin (the certified quantity, target α = 10%), by the false alarms among safe seasons and by the missed exceedances</w:t>
            </w:r>
          </w:p>
        </w:tc>
      </w:tr>
    </w:tbl>
    <w:p>
      <w:pPr>
        <w:spacing w:after="120"/>
      </w:pPr>
    </w:p>
    <w:p>
      <w:pPr>
        <w:keepNext/>
        <w:spacing w:after="40" w:before="120"/>
        <w:jc w:val="center"/>
      </w:pPr>
      <w:r>
        <w:drawing>
          <wp:inline distT="0" distB="0" distL="0" distR="0">
            <wp:extent cx="6124575" cy="3114675"/>
            <wp:effectExtent t="0" r="0" b="0" l="0"/>
            <wp:docPr id="1" name="Sector map and causal picture" descr="Sector map and causal picture" title="Sector map and causal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114675"/>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(a) The coastal sector of the chloride study: model cells (blue), the band of private abstraction (beige), the shoreline (green), the supply wells A1 and P10 (stars) and the sixteen candidate monitoring wells; the disc size is the share of the 100 aquifers in which the SPIRANCA-GO design of three wells picks the well, and the orange rings mark the three wells nearest A1. (b) What is recorded (anchors), decided (the new pumping) and shifted unseen (the warming), and how they reach the heads and the goal.</w:t>
      </w:r>
    </w:p>
    <w:p>
      <w:pPr>
        <w:pStyle w:val="Heading2"/>
      </w:pPr>
      <w:r>
        <w:t xml:space="preserve">6.1 Which alarms stay valid</w:t>
      </w:r>
    </w:p>
    <w:p>
      <w:pPr>
        <w:keepNext/>
        <w:spacing w:after="60" w:before="120"/>
        <w:jc w:val="both"/>
      </w:pPr>
      <w:r>
        <w:rPr>
          <w:b/>
          <w:bCs/>
          <w:color w:val="1F3864"/>
          <w:sz w:val="18"/>
          <w:szCs w:val="18"/>
        </w:rPr>
        <w:t xml:space="preserve">Table 5. </w:t>
      </w:r>
      <w:r>
        <w:rPr>
          <w:color w:val="3A4350"/>
          <w:sz w:val="18"/>
          <w:szCs w:val="18"/>
        </w:rPr>
        <w:t xml:space="preserve">Share of future seasons in which each alarm over-predicts by more than its margin, mean over 100 aquifers (in brackets: number of aquifers above 10%), with all sixteen wells; false alarms under the worst warming; median margin over the aquifers in units of the seasonal standard deviation of </w:t>
      </w:r>
      <m:oMath>
        <m:r>
          <m:t>Y</m:t>
        </m:r>
      </m:oMath>
      <w:r>
        <w:rPr>
          <w:color w:val="3A4350"/>
          <w:sz w:val="18"/>
          <w:szCs w:val="18"/>
        </w:rPr>
        <w:t xml:space="preserve">. The guarantee of SPIRANCA-GO covers the first three columns, not the off-span stress.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00"/>
        <w:gridCol w:w="1100"/>
        <w:gridCol w:w="1100"/>
        <w:gridCol w:w="1150"/>
        <w:gridCol w:w="1100"/>
        <w:gridCol w:w="1250"/>
        <w:gridCol w:w="1238"/>
      </w:tblGrid>
      <w:tr>
        <w:trPr>
          <w:cantSplit/>
          <w:tblHeader/>
        </w:trPr>
        <w:tc>
          <w:tcPr>
            <w:tcW w:type="dxa" w:w="27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Method</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No warming</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Worst warming</w:t>
            </w:r>
          </w:p>
        </w:tc>
        <w:tc>
          <w:tcPr>
            <w:tcW w:type="dxa" w:w="11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Warming U(0, max)</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Off-span stress</w:t>
            </w:r>
          </w:p>
        </w:tc>
        <w:tc>
          <w:tcPr>
            <w:tcW w:type="dxa" w:w="12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False alarms (worst)</w:t>
            </w:r>
          </w:p>
        </w:tc>
        <w:tc>
          <w:tcPr>
            <w:tcW w:type="dxa" w:w="12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Margin / sd(Y)</w:t>
            </w:r>
          </w:p>
        </w:tc>
      </w:tr>
      <w:tr>
        <w:trPr>
          <w:cantSplit/>
        </w:trPr>
        <w:tc>
          <w:tcPr>
            <w:tcW w:type="dxa" w:w="2700"/>
            <w:tcMar>
              <w:top w:type="dxa" w:w="40"/>
              <w:left w:type="dxa" w:w="80"/>
              <w:bottom w:type="dxa" w:w="40"/>
              <w:right w:type="dxa" w:w="80"/>
            </w:tcMar>
            <w:vAlign w:val="top"/>
          </w:tcPr>
          <w:p>
            <w:r>
              <w:rPr>
                <w:sz w:val="15"/>
                <w:szCs w:val="15"/>
              </w:rPr>
              <w:t xml:space="preserve">Least squares on the heads</w:t>
            </w:r>
          </w:p>
        </w:tc>
        <w:tc>
          <w:tcPr>
            <w:tcW w:type="dxa" w:w="1100"/>
            <w:tcMar>
              <w:top w:type="dxa" w:w="40"/>
              <w:left w:type="dxa" w:w="80"/>
              <w:bottom w:type="dxa" w:w="40"/>
              <w:right w:type="dxa" w:w="80"/>
            </w:tcMar>
            <w:vAlign w:val="top"/>
          </w:tcPr>
          <w:p>
            <w:r>
              <w:rPr>
                <w:sz w:val="15"/>
                <w:szCs w:val="15"/>
              </w:rPr>
              <w:t xml:space="preserve">93.9% (99)</w:t>
            </w:r>
          </w:p>
        </w:tc>
        <w:tc>
          <w:tcPr>
            <w:tcW w:type="dxa" w:w="1100"/>
            <w:tcMar>
              <w:top w:type="dxa" w:w="40"/>
              <w:left w:type="dxa" w:w="80"/>
              <w:bottom w:type="dxa" w:w="40"/>
              <w:right w:type="dxa" w:w="80"/>
            </w:tcMar>
            <w:vAlign w:val="top"/>
          </w:tcPr>
          <w:p>
            <w:r>
              <w:rPr>
                <w:sz w:val="15"/>
                <w:szCs w:val="15"/>
              </w:rPr>
              <w:t xml:space="preserve">90.8% (98)</w:t>
            </w:r>
          </w:p>
        </w:tc>
        <w:tc>
          <w:tcPr>
            <w:tcW w:type="dxa" w:w="1150"/>
            <w:tcMar>
              <w:top w:type="dxa" w:w="40"/>
              <w:left w:type="dxa" w:w="80"/>
              <w:bottom w:type="dxa" w:w="40"/>
              <w:right w:type="dxa" w:w="80"/>
            </w:tcMar>
            <w:vAlign w:val="top"/>
          </w:tcPr>
          <w:p>
            <w:r>
              <w:rPr>
                <w:sz w:val="15"/>
                <w:szCs w:val="15"/>
              </w:rPr>
              <w:t xml:space="preserve">92.7% (99)</w:t>
            </w:r>
          </w:p>
        </w:tc>
        <w:tc>
          <w:tcPr>
            <w:tcW w:type="dxa" w:w="1100"/>
            <w:tcMar>
              <w:top w:type="dxa" w:w="40"/>
              <w:left w:type="dxa" w:w="80"/>
              <w:bottom w:type="dxa" w:w="40"/>
              <w:right w:type="dxa" w:w="80"/>
            </w:tcMar>
            <w:vAlign w:val="top"/>
          </w:tcPr>
          <w:p>
            <w:r>
              <w:rPr>
                <w:sz w:val="15"/>
                <w:szCs w:val="15"/>
              </w:rPr>
              <w:t xml:space="preserve">94.1% (99)</w:t>
            </w:r>
          </w:p>
        </w:tc>
        <w:tc>
          <w:tcPr>
            <w:tcW w:type="dxa" w:w="1250"/>
            <w:tcMar>
              <w:top w:type="dxa" w:w="40"/>
              <w:left w:type="dxa" w:w="80"/>
              <w:bottom w:type="dxa" w:w="40"/>
              <w:right w:type="dxa" w:w="80"/>
            </w:tcMar>
            <w:vAlign w:val="top"/>
          </w:tcPr>
          <w:p>
            <w:r>
              <w:rPr>
                <w:sz w:val="15"/>
                <w:szCs w:val="15"/>
              </w:rPr>
              <w:t xml:space="preserve">0.4%</w:t>
            </w:r>
          </w:p>
        </w:tc>
        <w:tc>
          <w:tcPr>
            <w:tcW w:type="dxa" w:w="1238"/>
            <w:tcMar>
              <w:top w:type="dxa" w:w="40"/>
              <w:left w:type="dxa" w:w="80"/>
              <w:bottom w:type="dxa" w:w="40"/>
              <w:right w:type="dxa" w:w="80"/>
            </w:tcMar>
            <w:vAlign w:val="top"/>
          </w:tcPr>
          <w:p>
            <w:r>
              <w:rPr>
                <w:sz w:val="15"/>
                <w:szCs w:val="15"/>
              </w:rPr>
              <w:t xml:space="preserve">0.107</w:t>
            </w:r>
          </w:p>
        </w:tc>
      </w:tr>
      <w:tr>
        <w:trPr>
          <w:cantSplit/>
        </w:trPr>
        <w:tc>
          <w:tcPr>
            <w:tcW w:type="dxa" w:w="2700"/>
            <w:shd w:fill="F7F9FC" w:color="auto" w:val="clear"/>
            <w:tcMar>
              <w:top w:type="dxa" w:w="40"/>
              <w:left w:type="dxa" w:w="80"/>
              <w:bottom w:type="dxa" w:w="40"/>
              <w:right w:type="dxa" w:w="80"/>
            </w:tcMar>
            <w:vAlign w:val="top"/>
          </w:tcPr>
          <w:p>
            <w:r>
              <w:rPr>
                <w:sz w:val="15"/>
                <w:szCs w:val="15"/>
              </w:rPr>
              <w:t xml:space="preserve">Anchor regression, γ by cross-validation</w:t>
            </w:r>
          </w:p>
        </w:tc>
        <w:tc>
          <w:tcPr>
            <w:tcW w:type="dxa" w:w="1100"/>
            <w:shd w:fill="F7F9FC" w:color="auto" w:val="clear"/>
            <w:tcMar>
              <w:top w:type="dxa" w:w="40"/>
              <w:left w:type="dxa" w:w="80"/>
              <w:bottom w:type="dxa" w:w="40"/>
              <w:right w:type="dxa" w:w="80"/>
            </w:tcMar>
            <w:vAlign w:val="top"/>
          </w:tcPr>
          <w:p>
            <w:r>
              <w:rPr>
                <w:sz w:val="15"/>
                <w:szCs w:val="15"/>
              </w:rPr>
              <w:t xml:space="preserve">94.2% (99)</w:t>
            </w:r>
          </w:p>
        </w:tc>
        <w:tc>
          <w:tcPr>
            <w:tcW w:type="dxa" w:w="1100"/>
            <w:shd w:fill="F7F9FC" w:color="auto" w:val="clear"/>
            <w:tcMar>
              <w:top w:type="dxa" w:w="40"/>
              <w:left w:type="dxa" w:w="80"/>
              <w:bottom w:type="dxa" w:w="40"/>
              <w:right w:type="dxa" w:w="80"/>
            </w:tcMar>
            <w:vAlign w:val="top"/>
          </w:tcPr>
          <w:p>
            <w:r>
              <w:rPr>
                <w:sz w:val="15"/>
                <w:szCs w:val="15"/>
              </w:rPr>
              <w:t xml:space="preserve">93.1% (99)</w:t>
            </w:r>
          </w:p>
        </w:tc>
        <w:tc>
          <w:tcPr>
            <w:tcW w:type="dxa" w:w="1150"/>
            <w:shd w:fill="F7F9FC" w:color="auto" w:val="clear"/>
            <w:tcMar>
              <w:top w:type="dxa" w:w="40"/>
              <w:left w:type="dxa" w:w="80"/>
              <w:bottom w:type="dxa" w:w="40"/>
              <w:right w:type="dxa" w:w="80"/>
            </w:tcMar>
            <w:vAlign w:val="top"/>
          </w:tcPr>
          <w:p>
            <w:r>
              <w:rPr>
                <w:sz w:val="15"/>
                <w:szCs w:val="15"/>
              </w:rPr>
              <w:t xml:space="preserve">93.7% (99)</w:t>
            </w:r>
          </w:p>
        </w:tc>
        <w:tc>
          <w:tcPr>
            <w:tcW w:type="dxa" w:w="1100"/>
            <w:shd w:fill="F7F9FC" w:color="auto" w:val="clear"/>
            <w:tcMar>
              <w:top w:type="dxa" w:w="40"/>
              <w:left w:type="dxa" w:w="80"/>
              <w:bottom w:type="dxa" w:w="40"/>
              <w:right w:type="dxa" w:w="80"/>
            </w:tcMar>
            <w:vAlign w:val="top"/>
          </w:tcPr>
          <w:p>
            <w:r>
              <w:rPr>
                <w:sz w:val="15"/>
                <w:szCs w:val="15"/>
              </w:rPr>
              <w:t xml:space="preserve">94.4% (99)</w:t>
            </w:r>
          </w:p>
        </w:tc>
        <w:tc>
          <w:tcPr>
            <w:tcW w:type="dxa" w:w="1250"/>
            <w:shd w:fill="F7F9FC" w:color="auto" w:val="clear"/>
            <w:tcMar>
              <w:top w:type="dxa" w:w="40"/>
              <w:left w:type="dxa" w:w="80"/>
              <w:bottom w:type="dxa" w:w="40"/>
              <w:right w:type="dxa" w:w="80"/>
            </w:tcMar>
            <w:vAlign w:val="top"/>
          </w:tcPr>
          <w:p>
            <w:r>
              <w:rPr>
                <w:sz w:val="15"/>
                <w:szCs w:val="15"/>
              </w:rPr>
              <w:t xml:space="preserve">0.4%</w:t>
            </w:r>
          </w:p>
        </w:tc>
        <w:tc>
          <w:tcPr>
            <w:tcW w:type="dxa" w:w="1238"/>
            <w:shd w:fill="F7F9FC" w:color="auto" w:val="clear"/>
            <w:tcMar>
              <w:top w:type="dxa" w:w="40"/>
              <w:left w:type="dxa" w:w="80"/>
              <w:bottom w:type="dxa" w:w="40"/>
              <w:right w:type="dxa" w:w="80"/>
            </w:tcMar>
            <w:vAlign w:val="top"/>
          </w:tcPr>
          <w:p>
            <w:r>
              <w:rPr>
                <w:sz w:val="15"/>
                <w:szCs w:val="15"/>
              </w:rPr>
              <w:t xml:space="preserve">0.107</w:t>
            </w:r>
          </w:p>
        </w:tc>
      </w:tr>
      <w:tr>
        <w:trPr>
          <w:cantSplit/>
        </w:trPr>
        <w:tc>
          <w:tcPr>
            <w:tcW w:type="dxa" w:w="2700"/>
            <w:tcMar>
              <w:top w:type="dxa" w:w="40"/>
              <w:left w:type="dxa" w:w="80"/>
              <w:bottom w:type="dxa" w:w="40"/>
              <w:right w:type="dxa" w:w="80"/>
            </w:tcMar>
            <w:vAlign w:val="top"/>
          </w:tcPr>
          <w:p>
            <w:r>
              <w:rPr>
                <w:sz w:val="15"/>
                <w:szCs w:val="15"/>
              </w:rPr>
              <w:t xml:space="preserve">Anchor regression, γ of the decision</w:t>
            </w:r>
          </w:p>
        </w:tc>
        <w:tc>
          <w:tcPr>
            <w:tcW w:type="dxa" w:w="1100"/>
            <w:tcMar>
              <w:top w:type="dxa" w:w="40"/>
              <w:left w:type="dxa" w:w="80"/>
              <w:bottom w:type="dxa" w:w="40"/>
              <w:right w:type="dxa" w:w="80"/>
            </w:tcMar>
            <w:vAlign w:val="top"/>
          </w:tcPr>
          <w:p>
            <w:r>
              <w:rPr>
                <w:sz w:val="15"/>
                <w:szCs w:val="15"/>
              </w:rPr>
              <w:t xml:space="preserve">55.6% (99)</w:t>
            </w:r>
          </w:p>
        </w:tc>
        <w:tc>
          <w:tcPr>
            <w:tcW w:type="dxa" w:w="1100"/>
            <w:tcMar>
              <w:top w:type="dxa" w:w="40"/>
              <w:left w:type="dxa" w:w="80"/>
              <w:bottom w:type="dxa" w:w="40"/>
              <w:right w:type="dxa" w:w="80"/>
            </w:tcMar>
            <w:vAlign w:val="top"/>
          </w:tcPr>
          <w:p>
            <w:r>
              <w:rPr>
                <w:sz w:val="15"/>
                <w:szCs w:val="15"/>
              </w:rPr>
              <w:t xml:space="preserve">43.9% (97)</w:t>
            </w:r>
          </w:p>
        </w:tc>
        <w:tc>
          <w:tcPr>
            <w:tcW w:type="dxa" w:w="1150"/>
            <w:tcMar>
              <w:top w:type="dxa" w:w="40"/>
              <w:left w:type="dxa" w:w="80"/>
              <w:bottom w:type="dxa" w:w="40"/>
              <w:right w:type="dxa" w:w="80"/>
            </w:tcMar>
            <w:vAlign w:val="top"/>
          </w:tcPr>
          <w:p>
            <w:r>
              <w:rPr>
                <w:sz w:val="15"/>
                <w:szCs w:val="15"/>
              </w:rPr>
              <w:t xml:space="preserve">49.8% (98)</w:t>
            </w:r>
          </w:p>
        </w:tc>
        <w:tc>
          <w:tcPr>
            <w:tcW w:type="dxa" w:w="1100"/>
            <w:tcMar>
              <w:top w:type="dxa" w:w="40"/>
              <w:left w:type="dxa" w:w="80"/>
              <w:bottom w:type="dxa" w:w="40"/>
              <w:right w:type="dxa" w:w="80"/>
            </w:tcMar>
            <w:vAlign w:val="top"/>
          </w:tcPr>
          <w:p>
            <w:r>
              <w:rPr>
                <w:sz w:val="15"/>
                <w:szCs w:val="15"/>
              </w:rPr>
              <w:t xml:space="preserve">55.5% (99)</w:t>
            </w:r>
          </w:p>
        </w:tc>
        <w:tc>
          <w:tcPr>
            <w:tcW w:type="dxa" w:w="1250"/>
            <w:tcMar>
              <w:top w:type="dxa" w:w="40"/>
              <w:left w:type="dxa" w:w="80"/>
              <w:bottom w:type="dxa" w:w="40"/>
              <w:right w:type="dxa" w:w="80"/>
            </w:tcMar>
            <w:vAlign w:val="top"/>
          </w:tcPr>
          <w:p>
            <w:r>
              <w:rPr>
                <w:sz w:val="15"/>
                <w:szCs w:val="15"/>
              </w:rPr>
              <w:t xml:space="preserve">7.1%</w:t>
            </w:r>
          </w:p>
        </w:tc>
        <w:tc>
          <w:tcPr>
            <w:tcW w:type="dxa" w:w="1238"/>
            <w:tcMar>
              <w:top w:type="dxa" w:w="40"/>
              <w:left w:type="dxa" w:w="80"/>
              <w:bottom w:type="dxa" w:w="40"/>
              <w:right w:type="dxa" w:w="80"/>
            </w:tcMar>
            <w:vAlign w:val="top"/>
          </w:tcPr>
          <w:p>
            <w:r>
              <w:rPr>
                <w:sz w:val="15"/>
                <w:szCs w:val="15"/>
              </w:rPr>
              <w:t xml:space="preserve">0.207</w:t>
            </w:r>
          </w:p>
        </w:tc>
      </w:tr>
      <w:tr>
        <w:trPr>
          <w:cantSplit/>
        </w:trPr>
        <w:tc>
          <w:tcPr>
            <w:tcW w:type="dxa" w:w="2700"/>
            <w:shd w:fill="F7F9FC" w:color="auto" w:val="clear"/>
            <w:tcMar>
              <w:top w:type="dxa" w:w="40"/>
              <w:left w:type="dxa" w:w="80"/>
              <w:bottom w:type="dxa" w:w="40"/>
              <w:right w:type="dxa" w:w="80"/>
            </w:tcMar>
            <w:vAlign w:val="top"/>
          </w:tcPr>
          <w:p>
            <w:r>
              <w:rPr>
                <w:sz w:val="15"/>
                <w:szCs w:val="15"/>
              </w:rPr>
              <w:t xml:space="preserve">Anchor regression, γ → ∞ (IV)</w:t>
            </w:r>
          </w:p>
        </w:tc>
        <w:tc>
          <w:tcPr>
            <w:tcW w:type="dxa" w:w="1100"/>
            <w:shd w:fill="F7F9FC" w:color="auto" w:val="clear"/>
            <w:tcMar>
              <w:top w:type="dxa" w:w="40"/>
              <w:left w:type="dxa" w:w="80"/>
              <w:bottom w:type="dxa" w:w="40"/>
              <w:right w:type="dxa" w:w="80"/>
            </w:tcMar>
            <w:vAlign w:val="top"/>
          </w:tcPr>
          <w:p>
            <w:r>
              <w:rPr>
                <w:sz w:val="15"/>
                <w:szCs w:val="15"/>
              </w:rPr>
              <w:t xml:space="preserve">43.8% (97)</w:t>
            </w:r>
          </w:p>
        </w:tc>
        <w:tc>
          <w:tcPr>
            <w:tcW w:type="dxa" w:w="1100"/>
            <w:shd w:fill="F7F9FC" w:color="auto" w:val="clear"/>
            <w:tcMar>
              <w:top w:type="dxa" w:w="40"/>
              <w:left w:type="dxa" w:w="80"/>
              <w:bottom w:type="dxa" w:w="40"/>
              <w:right w:type="dxa" w:w="80"/>
            </w:tcMar>
            <w:vAlign w:val="top"/>
          </w:tcPr>
          <w:p>
            <w:r>
              <w:rPr>
                <w:sz w:val="15"/>
                <w:szCs w:val="15"/>
              </w:rPr>
              <w:t xml:space="preserve">34.6% (96)</w:t>
            </w:r>
          </w:p>
        </w:tc>
        <w:tc>
          <w:tcPr>
            <w:tcW w:type="dxa" w:w="1150"/>
            <w:shd w:fill="F7F9FC" w:color="auto" w:val="clear"/>
            <w:tcMar>
              <w:top w:type="dxa" w:w="40"/>
              <w:left w:type="dxa" w:w="80"/>
              <w:bottom w:type="dxa" w:w="40"/>
              <w:right w:type="dxa" w:w="80"/>
            </w:tcMar>
            <w:vAlign w:val="top"/>
          </w:tcPr>
          <w:p>
            <w:r>
              <w:rPr>
                <w:sz w:val="15"/>
                <w:szCs w:val="15"/>
              </w:rPr>
              <w:t xml:space="preserve">39.4% (98)</w:t>
            </w:r>
          </w:p>
        </w:tc>
        <w:tc>
          <w:tcPr>
            <w:tcW w:type="dxa" w:w="1100"/>
            <w:shd w:fill="F7F9FC" w:color="auto" w:val="clear"/>
            <w:tcMar>
              <w:top w:type="dxa" w:w="40"/>
              <w:left w:type="dxa" w:w="80"/>
              <w:bottom w:type="dxa" w:w="40"/>
              <w:right w:type="dxa" w:w="80"/>
            </w:tcMar>
            <w:vAlign w:val="top"/>
          </w:tcPr>
          <w:p>
            <w:r>
              <w:rPr>
                <w:sz w:val="15"/>
                <w:szCs w:val="15"/>
              </w:rPr>
              <w:t xml:space="preserve">43.7% (97)</w:t>
            </w:r>
          </w:p>
        </w:tc>
        <w:tc>
          <w:tcPr>
            <w:tcW w:type="dxa" w:w="1250"/>
            <w:shd w:fill="F7F9FC" w:color="auto" w:val="clear"/>
            <w:tcMar>
              <w:top w:type="dxa" w:w="40"/>
              <w:left w:type="dxa" w:w="80"/>
              <w:bottom w:type="dxa" w:w="40"/>
              <w:right w:type="dxa" w:w="80"/>
            </w:tcMar>
            <w:vAlign w:val="top"/>
          </w:tcPr>
          <w:p>
            <w:r>
              <w:rPr>
                <w:sz w:val="15"/>
                <w:szCs w:val="15"/>
              </w:rPr>
              <w:t xml:space="preserve">12.0%</w:t>
            </w:r>
          </w:p>
        </w:tc>
        <w:tc>
          <w:tcPr>
            <w:tcW w:type="dxa" w:w="1238"/>
            <w:shd w:fill="F7F9FC" w:color="auto" w:val="clear"/>
            <w:tcMar>
              <w:top w:type="dxa" w:w="40"/>
              <w:left w:type="dxa" w:w="80"/>
              <w:bottom w:type="dxa" w:w="40"/>
              <w:right w:type="dxa" w:w="80"/>
            </w:tcMar>
            <w:vAlign w:val="top"/>
          </w:tcPr>
          <w:p>
            <w:r>
              <w:rPr>
                <w:sz w:val="15"/>
                <w:szCs w:val="15"/>
              </w:rPr>
              <w:t xml:space="preserve">0.252</w:t>
            </w:r>
          </w:p>
        </w:tc>
      </w:tr>
      <w:tr>
        <w:trPr>
          <w:cantSplit/>
        </w:trPr>
        <w:tc>
          <w:tcPr>
            <w:tcW w:type="dxa" w:w="2700"/>
            <w:tcMar>
              <w:top w:type="dxa" w:w="40"/>
              <w:left w:type="dxa" w:w="80"/>
              <w:bottom w:type="dxa" w:w="40"/>
              <w:right w:type="dxa" w:w="80"/>
            </w:tcMar>
            <w:vAlign w:val="top"/>
          </w:tcPr>
          <w:p>
            <w:r>
              <w:rPr>
                <w:sz w:val="15"/>
                <w:szCs w:val="15"/>
              </w:rPr>
              <w:t xml:space="preserve">Least squares on heads and anchors</w:t>
            </w:r>
          </w:p>
        </w:tc>
        <w:tc>
          <w:tcPr>
            <w:tcW w:type="dxa" w:w="1100"/>
            <w:tcMar>
              <w:top w:type="dxa" w:w="40"/>
              <w:left w:type="dxa" w:w="80"/>
              <w:bottom w:type="dxa" w:w="40"/>
              <w:right w:type="dxa" w:w="80"/>
            </w:tcMar>
            <w:vAlign w:val="top"/>
          </w:tcPr>
          <w:p>
            <w:r>
              <w:rPr>
                <w:sz w:val="15"/>
                <w:szCs w:val="15"/>
              </w:rPr>
              <w:t xml:space="preserve">12.5% (48)</w:t>
            </w:r>
          </w:p>
        </w:tc>
        <w:tc>
          <w:tcPr>
            <w:tcW w:type="dxa" w:w="1100"/>
            <w:tcMar>
              <w:top w:type="dxa" w:w="40"/>
              <w:left w:type="dxa" w:w="80"/>
              <w:bottom w:type="dxa" w:w="40"/>
              <w:right w:type="dxa" w:w="80"/>
            </w:tcMar>
            <w:vAlign w:val="top"/>
          </w:tcPr>
          <w:p>
            <w:r>
              <w:rPr>
                <w:sz w:val="15"/>
                <w:szCs w:val="15"/>
              </w:rPr>
              <w:t xml:space="preserve">36.0% (83)</w:t>
            </w:r>
          </w:p>
        </w:tc>
        <w:tc>
          <w:tcPr>
            <w:tcW w:type="dxa" w:w="1150"/>
            <w:tcMar>
              <w:top w:type="dxa" w:w="40"/>
              <w:left w:type="dxa" w:w="80"/>
              <w:bottom w:type="dxa" w:w="40"/>
              <w:right w:type="dxa" w:w="80"/>
            </w:tcMar>
            <w:vAlign w:val="top"/>
          </w:tcPr>
          <w:p>
            <w:r>
              <w:rPr>
                <w:sz w:val="15"/>
                <w:szCs w:val="15"/>
              </w:rPr>
              <w:t xml:space="preserve">23.2% (75)</w:t>
            </w:r>
          </w:p>
        </w:tc>
        <w:tc>
          <w:tcPr>
            <w:tcW w:type="dxa" w:w="1100"/>
            <w:tcMar>
              <w:top w:type="dxa" w:w="40"/>
              <w:left w:type="dxa" w:w="80"/>
              <w:bottom w:type="dxa" w:w="40"/>
              <w:right w:type="dxa" w:w="80"/>
            </w:tcMar>
            <w:vAlign w:val="top"/>
          </w:tcPr>
          <w:p>
            <w:r>
              <w:rPr>
                <w:sz w:val="15"/>
                <w:szCs w:val="15"/>
              </w:rPr>
              <w:t xml:space="preserve">26.2% (76)</w:t>
            </w:r>
          </w:p>
        </w:tc>
        <w:tc>
          <w:tcPr>
            <w:tcW w:type="dxa" w:w="1250"/>
            <w:tcMar>
              <w:top w:type="dxa" w:w="40"/>
              <w:left w:type="dxa" w:w="80"/>
              <w:bottom w:type="dxa" w:w="40"/>
              <w:right w:type="dxa" w:w="80"/>
            </w:tcMar>
            <w:vAlign w:val="top"/>
          </w:tcPr>
          <w:p>
            <w:r>
              <w:rPr>
                <w:sz w:val="15"/>
                <w:szCs w:val="15"/>
              </w:rPr>
              <w:t xml:space="preserve">2.3%</w:t>
            </w:r>
          </w:p>
        </w:tc>
        <w:tc>
          <w:tcPr>
            <w:tcW w:type="dxa" w:w="1238"/>
            <w:tcMar>
              <w:top w:type="dxa" w:w="40"/>
              <w:left w:type="dxa" w:w="80"/>
              <w:bottom w:type="dxa" w:w="40"/>
              <w:right w:type="dxa" w:w="80"/>
            </w:tcMar>
            <w:vAlign w:val="top"/>
          </w:tcPr>
          <w:p>
            <w:r>
              <w:rPr>
                <w:sz w:val="15"/>
                <w:szCs w:val="15"/>
              </w:rPr>
              <w:t xml:space="preserve">0.029</w:t>
            </w:r>
          </w:p>
        </w:tc>
      </w:tr>
      <w:tr>
        <w:trPr>
          <w:cantSplit/>
        </w:trPr>
        <w:tc>
          <w:tcPr>
            <w:tcW w:type="dxa" w:w="2700"/>
            <w:shd w:fill="F7F9FC" w:color="auto" w:val="clear"/>
            <w:tcMar>
              <w:top w:type="dxa" w:w="40"/>
              <w:left w:type="dxa" w:w="80"/>
              <w:bottom w:type="dxa" w:w="40"/>
              <w:right w:type="dxa" w:w="80"/>
            </w:tcMar>
            <w:vAlign w:val="top"/>
          </w:tcPr>
          <w:p>
            <w:r>
              <w:rPr>
                <w:sz w:val="15"/>
                <w:szCs w:val="15"/>
              </w:rPr>
              <w:t xml:space="preserve">Same, plus the SPIRANCA-GO certificate</w:t>
            </w:r>
          </w:p>
        </w:tc>
        <w:tc>
          <w:tcPr>
            <w:tcW w:type="dxa" w:w="1100"/>
            <w:shd w:fill="F7F9FC" w:color="auto" w:val="clear"/>
            <w:tcMar>
              <w:top w:type="dxa" w:w="40"/>
              <w:left w:type="dxa" w:w="80"/>
              <w:bottom w:type="dxa" w:w="40"/>
              <w:right w:type="dxa" w:w="80"/>
            </w:tcMar>
            <w:vAlign w:val="top"/>
          </w:tcPr>
          <w:p>
            <w:r>
              <w:rPr>
                <w:sz w:val="15"/>
                <w:szCs w:val="15"/>
              </w:rPr>
              <w:t xml:space="preserve">0.5% (0)</w:t>
            </w:r>
          </w:p>
        </w:tc>
        <w:tc>
          <w:tcPr>
            <w:tcW w:type="dxa" w:w="1100"/>
            <w:shd w:fill="F7F9FC" w:color="auto" w:val="clear"/>
            <w:tcMar>
              <w:top w:type="dxa" w:w="40"/>
              <w:left w:type="dxa" w:w="80"/>
              <w:bottom w:type="dxa" w:w="40"/>
              <w:right w:type="dxa" w:w="80"/>
            </w:tcMar>
            <w:vAlign w:val="top"/>
          </w:tcPr>
          <w:p>
            <w:r>
              <w:rPr>
                <w:sz w:val="15"/>
                <w:szCs w:val="15"/>
              </w:rPr>
              <w:t xml:space="preserve">2.6% (3)</w:t>
            </w:r>
          </w:p>
        </w:tc>
        <w:tc>
          <w:tcPr>
            <w:tcW w:type="dxa" w:w="1150"/>
            <w:shd w:fill="F7F9FC" w:color="auto" w:val="clear"/>
            <w:tcMar>
              <w:top w:type="dxa" w:w="40"/>
              <w:left w:type="dxa" w:w="80"/>
              <w:bottom w:type="dxa" w:w="40"/>
              <w:right w:type="dxa" w:w="80"/>
            </w:tcMar>
            <w:vAlign w:val="top"/>
          </w:tcPr>
          <w:p>
            <w:r>
              <w:rPr>
                <w:sz w:val="15"/>
                <w:szCs w:val="15"/>
              </w:rPr>
              <w:t xml:space="preserve">1.2% (0)</w:t>
            </w:r>
          </w:p>
        </w:tc>
        <w:tc>
          <w:tcPr>
            <w:tcW w:type="dxa" w:w="1100"/>
            <w:shd w:fill="F7F9FC" w:color="auto" w:val="clear"/>
            <w:tcMar>
              <w:top w:type="dxa" w:w="40"/>
              <w:left w:type="dxa" w:w="80"/>
              <w:bottom w:type="dxa" w:w="40"/>
              <w:right w:type="dxa" w:w="80"/>
            </w:tcMar>
            <w:vAlign w:val="top"/>
          </w:tcPr>
          <w:p>
            <w:r>
              <w:rPr>
                <w:sz w:val="15"/>
                <w:szCs w:val="15"/>
              </w:rPr>
              <w:t xml:space="preserve">1.6% (1)</w:t>
            </w:r>
          </w:p>
        </w:tc>
        <w:tc>
          <w:tcPr>
            <w:tcW w:type="dxa" w:w="1250"/>
            <w:shd w:fill="F7F9FC" w:color="auto" w:val="clear"/>
            <w:tcMar>
              <w:top w:type="dxa" w:w="40"/>
              <w:left w:type="dxa" w:w="80"/>
              <w:bottom w:type="dxa" w:w="40"/>
              <w:right w:type="dxa" w:w="80"/>
            </w:tcMar>
            <w:vAlign w:val="top"/>
          </w:tcPr>
          <w:p>
            <w:r>
              <w:rPr>
                <w:sz w:val="15"/>
                <w:szCs w:val="15"/>
              </w:rPr>
              <w:t xml:space="preserve">5.7%</w:t>
            </w:r>
          </w:p>
        </w:tc>
        <w:tc>
          <w:tcPr>
            <w:tcW w:type="dxa" w:w="1238"/>
            <w:shd w:fill="F7F9FC" w:color="auto" w:val="clear"/>
            <w:tcMar>
              <w:top w:type="dxa" w:w="40"/>
              <w:left w:type="dxa" w:w="80"/>
              <w:bottom w:type="dxa" w:w="40"/>
              <w:right w:type="dxa" w:w="80"/>
            </w:tcMar>
            <w:vAlign w:val="top"/>
          </w:tcPr>
          <w:p>
            <w:r>
              <w:rPr>
                <w:sz w:val="15"/>
                <w:szCs w:val="15"/>
              </w:rPr>
              <w:t xml:space="preserve">0.063</w:t>
            </w:r>
          </w:p>
        </w:tc>
      </w:tr>
      <w:tr>
        <w:trPr>
          <w:cantSplit/>
        </w:trPr>
        <w:tc>
          <w:tcPr>
            <w:tcW w:type="dxa" w:w="2700"/>
            <w:tcMar>
              <w:top w:type="dxa" w:w="40"/>
              <w:left w:type="dxa" w:w="80"/>
              <w:bottom w:type="dxa" w:w="40"/>
              <w:right w:type="dxa" w:w="80"/>
            </w:tcMar>
            <w:vAlign w:val="top"/>
          </w:tcPr>
          <w:p>
            <w:r>
              <w:rPr>
                <w:sz w:val="15"/>
                <w:szCs w:val="15"/>
              </w:rPr>
              <w:t xml:space="preserve">SPIRANCA-GO</w:t>
            </w:r>
          </w:p>
        </w:tc>
        <w:tc>
          <w:tcPr>
            <w:tcW w:type="dxa" w:w="1100"/>
            <w:tcMar>
              <w:top w:type="dxa" w:w="40"/>
              <w:left w:type="dxa" w:w="80"/>
              <w:bottom w:type="dxa" w:w="40"/>
              <w:right w:type="dxa" w:w="80"/>
            </w:tcMar>
            <w:vAlign w:val="top"/>
          </w:tcPr>
          <w:p>
            <w:r>
              <w:rPr>
                <w:sz w:val="15"/>
                <w:szCs w:val="15"/>
              </w:rPr>
              <w:t xml:space="preserve">4.2% (12)</w:t>
            </w:r>
          </w:p>
        </w:tc>
        <w:tc>
          <w:tcPr>
            <w:tcW w:type="dxa" w:w="1100"/>
            <w:tcMar>
              <w:top w:type="dxa" w:w="40"/>
              <w:left w:type="dxa" w:w="80"/>
              <w:bottom w:type="dxa" w:w="40"/>
              <w:right w:type="dxa" w:w="80"/>
            </w:tcMar>
            <w:vAlign w:val="top"/>
          </w:tcPr>
          <w:p>
            <w:r>
              <w:rPr>
                <w:sz w:val="15"/>
                <w:szCs w:val="15"/>
              </w:rPr>
              <w:t xml:space="preserve">2.4% (2)</w:t>
            </w:r>
          </w:p>
        </w:tc>
        <w:tc>
          <w:tcPr>
            <w:tcW w:type="dxa" w:w="1150"/>
            <w:tcMar>
              <w:top w:type="dxa" w:w="40"/>
              <w:left w:type="dxa" w:w="80"/>
              <w:bottom w:type="dxa" w:w="40"/>
              <w:right w:type="dxa" w:w="80"/>
            </w:tcMar>
            <w:vAlign w:val="top"/>
          </w:tcPr>
          <w:p>
            <w:r>
              <w:rPr>
                <w:sz w:val="15"/>
                <w:szCs w:val="15"/>
              </w:rPr>
              <w:t xml:space="preserve">3.2% (7)</w:t>
            </w:r>
          </w:p>
        </w:tc>
        <w:tc>
          <w:tcPr>
            <w:tcW w:type="dxa" w:w="1100"/>
            <w:tcMar>
              <w:top w:type="dxa" w:w="40"/>
              <w:left w:type="dxa" w:w="80"/>
              <w:bottom w:type="dxa" w:w="40"/>
              <w:right w:type="dxa" w:w="80"/>
            </w:tcMar>
            <w:vAlign w:val="top"/>
          </w:tcPr>
          <w:p>
            <w:r>
              <w:rPr>
                <w:sz w:val="15"/>
                <w:szCs w:val="15"/>
              </w:rPr>
              <w:t xml:space="preserve">10.2% (39)</w:t>
            </w:r>
          </w:p>
        </w:tc>
        <w:tc>
          <w:tcPr>
            <w:tcW w:type="dxa" w:w="1250"/>
            <w:tcMar>
              <w:top w:type="dxa" w:w="40"/>
              <w:left w:type="dxa" w:w="80"/>
              <w:bottom w:type="dxa" w:w="40"/>
              <w:right w:type="dxa" w:w="80"/>
            </w:tcMar>
            <w:vAlign w:val="top"/>
          </w:tcPr>
          <w:p>
            <w:r>
              <w:rPr>
                <w:sz w:val="15"/>
                <w:szCs w:val="15"/>
              </w:rPr>
              <w:t xml:space="preserve">5.9%</w:t>
            </w:r>
          </w:p>
        </w:tc>
        <w:tc>
          <w:tcPr>
            <w:tcW w:type="dxa" w:w="1238"/>
            <w:tcMar>
              <w:top w:type="dxa" w:w="40"/>
              <w:left w:type="dxa" w:w="80"/>
              <w:bottom w:type="dxa" w:w="40"/>
              <w:right w:type="dxa" w:w="80"/>
            </w:tcMar>
            <w:vAlign w:val="top"/>
          </w:tcPr>
          <w:p>
            <w:r>
              <w:rPr>
                <w:sz w:val="15"/>
                <w:szCs w:val="15"/>
              </w:rPr>
              <w:t xml:space="preserve">0.044</w:t>
            </w:r>
          </w:p>
        </w:tc>
      </w:tr>
    </w:tbl>
    <w:p>
      <w:pPr>
        <w:spacing w:after="120"/>
      </w:pPr>
    </w:p>
    <w:p>
      <w:pPr>
        <w:spacing w:after="100"/>
        <w:jc w:val="both"/>
      </w:pPr>
      <w:r>
        <w:t xml:space="preserve">Table 5 and Figure 3a give the answer. Alarms that use only the heads fail as soon as the decision starts: least squares and anchor regression with cross-validated </w:t>
      </w:r>
      <m:oMath>
        <m:r>
          <m:t>γ</m:t>
        </m:r>
      </m:oMath>
      <w:r>
        <w:t xml:space="preserve"> over-predict in 94% of the seasons and miss 19% of the exceedances, because the new pumping at A1 changes the potential at the screen far more than at any monitoring well. Anchor regression with the </w:t>
      </w:r>
      <m:oMath>
        <m:r>
          <m:t>γ</m:t>
        </m:r>
      </m:oMath>
      <w:r>
        <w:t xml:space="preserve"> the decision needs, or with </w:t>
      </w:r>
      <m:oMath>
        <m:r>
          <m:t>γ</m:t>
        </m:r>
        <m:r>
          <m:rPr>
            <m:sty m:val="p"/>
          </m:rPr>
          <m:t>→</m:t>
        </m:r>
        <m:r>
          <m:rPr>
            <m:sty m:val="p"/>
          </m:rPr>
          <m:t>∞</m:t>
        </m:r>
      </m:oMath>
      <w:r>
        <w:t xml:space="preserve">, is closer but still fails in 56% and 44% of the seasons: Theorem 1 bounds the mean-square error, not the quantile, and the margin calibrated on the record does not cover the decision. Least squares on heads and anchors corrects the decision and is close to the target without warming (12.5%), but an unseen warming takes it to 36.0%, above 10% in 83 of the 100 aquifers.</w:t>
      </w:r>
    </w:p>
    <w:p>
      <w:pPr>
        <w:spacing w:after="100"/>
        <w:jc w:val="both"/>
      </w:pPr>
      <w:r>
        <w:t xml:space="preserve">SPIRANCA-GO stays at 4.2%, 2.4% and 3.2% in the three scenarios its certificate covers, with false alarms of 1.5%–5.9% and almost no missed exceedances (0.02%). Adding the same certificate to least squares on heads and anchors also keeps the rate down, but its margin is larger: SPIRANCA-GO's median margin is 68% of it. Choosing the weights by the certified margin, not only bounding them afterwards, is what makes the alarm both safe and sharp. In 12 of the 100 aquifers the rate without warming exceeds 10%; with 40 calibration seasons a conformal margin is exact only on average over the record, and this spread is what that implies.</w:t>
      </w:r>
    </w:p>
    <w:p>
      <w:pPr>
        <w:spacing w:after="100"/>
        <w:jc w:val="both"/>
      </w:pPr>
      <w:r>
        <w:t xml:space="preserve">The off-span stress shows the limit. When private abstraction grows by 30% with no change of recharge, the shift leaves the span of the anchors, and SPIRANCA-GO's rate rises to 10.2%, above 10% in 39 of the aquifers. Anchors protect only against the kinds of change they have moved in the record. A record of private abstraction, even a rough one such as the number of irrigation permits per year, would be a further anchor and would bring this shift into the span.</w:t>
      </w:r>
    </w:p>
    <w:p>
      <w:pPr>
        <w:keepNext/>
        <w:spacing w:after="40" w:before="120"/>
        <w:jc w:val="center"/>
      </w:pPr>
      <w:r>
        <w:drawing>
          <wp:inline distT="0" distB="0" distL="0" distR="0">
            <wp:extent cx="6124575" cy="2428875"/>
            <wp:effectExtent t="0" r="0" b="0" l="0"/>
            <wp:docPr id="1" name="Alarm validity by method and scenario; piezometer designs" descr="Alarm validity by method and scenario; piezometer designs" title="Alarm validity by method and scenario; piezometer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428875"/>
                    </a:xfrm>
                    <a:prstGeom prst="rect">
                      <a:avLst/>
                    </a:prstGeom>
                  </pic:spPr>
                </pic:pic>
              </a:graphicData>
            </a:graphic>
          </wp:inline>
        </w:drawing>
      </w:r>
    </w:p>
    <w:p>
      <w:pPr>
        <w:spacing w:after="180"/>
        <w:jc w:val="both"/>
      </w:pPr>
      <w:r>
        <w:rPr>
          <w:b/>
          <w:bCs/>
          <w:color w:val="1F3864"/>
          <w:sz w:val="18"/>
          <w:szCs w:val="18"/>
        </w:rPr>
        <w:t xml:space="preserve">Figure 3. </w:t>
      </w:r>
      <w:r>
        <w:rPr>
          <w:color w:val="3A4350"/>
          <w:sz w:val="18"/>
          <w:szCs w:val="18"/>
        </w:rPr>
        <w:t xml:space="preserve">(a) Share of future seasons in which each alarm over-predicts by more than its margin (dot: mean over 100 aquifers; line: 10–90% range across aquifers) in four scenarios; dashed: α = 10%. (b) The SPIRANCA-GO alarm on three wells chosen in three ways: certified margin against false alarms under the worst warming, one small dot per aquifer, large dots at the median margin and mean false-alarm rate.</w:t>
      </w:r>
    </w:p>
    <w:p>
      <w:pPr>
        <w:pStyle w:val="Heading2"/>
      </w:pPr>
      <w:r>
        <w:t xml:space="preserve">6.2 Which piezometers</w:t>
      </w:r>
    </w:p>
    <w:p>
      <w:pPr>
        <w:keepNext/>
        <w:spacing w:after="60" w:before="120"/>
        <w:jc w:val="both"/>
      </w:pPr>
      <w:r>
        <w:rPr>
          <w:b/>
          <w:bCs/>
          <w:color w:val="1F3864"/>
          <w:sz w:val="18"/>
          <w:szCs w:val="18"/>
        </w:rPr>
        <w:t xml:space="preserve">Table 6. </w:t>
      </w:r>
      <w:r>
        <w:rPr>
          <w:color w:val="3A4350"/>
          <w:sz w:val="18"/>
          <w:szCs w:val="18"/>
        </w:rPr>
        <w:t xml:space="preserve">Three monitoring wells out of sixteen, chosen as the three nearest to A1, by the largest record </w:t>
      </w:r>
      <m:oMath>
        <m:sSup>
          <m:e>
            <m:r>
              <m:t>R</m:t>
            </m:r>
          </m:e>
          <m:sup>
            <m:r>
              <m:t>2</m:t>
            </m:r>
          </m:sup>
        </m:sSup>
      </m:oMath>
      <w:r>
        <w:rPr>
          <w:color w:val="3A4350"/>
          <w:sz w:val="18"/>
          <w:szCs w:val="18"/>
        </w:rPr>
        <w:t xml:space="preserve"> (information only, as a design that ignores shifts would choose) or by the smallest SPIRANCA-GO margin estimated on the fitting seasons. Scores under the worst warming with the SPIRANCA-GO alarm; last column: the over-prediction rate of least squares on heads and anchors on the same wells.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2500"/>
        <w:gridCol w:w="1000"/>
        <w:gridCol w:w="1000"/>
        <w:gridCol w:w="1000"/>
        <w:gridCol w:w="1000"/>
        <w:gridCol w:w="1438"/>
      </w:tblGrid>
      <w:tr>
        <w:trPr>
          <w:cantSplit/>
          <w:tblHeader/>
        </w:trPr>
        <w:tc>
          <w:tcPr>
            <w:tcW w:type="dxa" w:w="17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Design of three wells</w:t>
            </w:r>
          </w:p>
        </w:tc>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Wells (share of aquifers)</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Over-prediction</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Aquifers above 10%</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False alarms</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Margin / sd(Y)</w:t>
            </w:r>
          </w:p>
        </w:tc>
        <w:tc>
          <w:tcPr>
            <w:tcW w:type="dxa" w:w="14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Least squares on heads and anchors</w:t>
            </w:r>
          </w:p>
        </w:tc>
      </w:tr>
      <w:tr>
        <w:trPr>
          <w:cantSplit/>
        </w:trPr>
        <w:tc>
          <w:tcPr>
            <w:tcW w:type="dxa" w:w="1700"/>
            <w:tcMar>
              <w:top w:type="dxa" w:w="40"/>
              <w:left w:type="dxa" w:w="80"/>
              <w:bottom w:type="dxa" w:w="40"/>
              <w:right w:type="dxa" w:w="80"/>
            </w:tcMar>
            <w:vAlign w:val="top"/>
          </w:tcPr>
          <w:p>
            <w:r>
              <w:rPr>
                <w:sz w:val="15"/>
                <w:szCs w:val="15"/>
              </w:rPr>
              <w:t xml:space="preserve">Three nearest to A1</w:t>
            </w:r>
          </w:p>
        </w:tc>
        <w:tc>
          <w:tcPr>
            <w:tcW w:type="dxa" w:w="2500"/>
            <w:tcMar>
              <w:top w:type="dxa" w:w="40"/>
              <w:left w:type="dxa" w:w="80"/>
              <w:bottom w:type="dxa" w:w="40"/>
              <w:right w:type="dxa" w:w="80"/>
            </w:tcMar>
            <w:vAlign w:val="top"/>
          </w:tcPr>
          <w:p>
            <w:r>
              <w:rPr>
                <w:sz w:val="15"/>
                <w:szCs w:val="15"/>
              </w:rPr>
              <w:t xml:space="preserve">A30, P4, A9</w:t>
            </w:r>
          </w:p>
        </w:tc>
        <w:tc>
          <w:tcPr>
            <w:tcW w:type="dxa" w:w="1000"/>
            <w:tcMar>
              <w:top w:type="dxa" w:w="40"/>
              <w:left w:type="dxa" w:w="80"/>
              <w:bottom w:type="dxa" w:w="40"/>
              <w:right w:type="dxa" w:w="80"/>
            </w:tcMar>
            <w:vAlign w:val="top"/>
          </w:tcPr>
          <w:p>
            <w:r>
              <w:rPr>
                <w:sz w:val="15"/>
                <w:szCs w:val="15"/>
              </w:rPr>
              <w:t xml:space="preserve">1.8%</w:t>
            </w:r>
          </w:p>
        </w:tc>
        <w:tc>
          <w:tcPr>
            <w:tcW w:type="dxa" w:w="1000"/>
            <w:tcMar>
              <w:top w:type="dxa" w:w="40"/>
              <w:left w:type="dxa" w:w="80"/>
              <w:bottom w:type="dxa" w:w="40"/>
              <w:right w:type="dxa" w:w="80"/>
            </w:tcMar>
            <w:vAlign w:val="top"/>
          </w:tcPr>
          <w:p>
            <w:r>
              <w:rPr>
                <w:sz w:val="15"/>
                <w:szCs w:val="15"/>
              </w:rPr>
              <w:t xml:space="preserve">2</w:t>
            </w:r>
          </w:p>
        </w:tc>
        <w:tc>
          <w:tcPr>
            <w:tcW w:type="dxa" w:w="1000"/>
            <w:tcMar>
              <w:top w:type="dxa" w:w="40"/>
              <w:left w:type="dxa" w:w="80"/>
              <w:bottom w:type="dxa" w:w="40"/>
              <w:right w:type="dxa" w:w="80"/>
            </w:tcMar>
            <w:vAlign w:val="top"/>
          </w:tcPr>
          <w:p>
            <w:r>
              <w:rPr>
                <w:sz w:val="15"/>
                <w:szCs w:val="15"/>
              </w:rPr>
              <w:t xml:space="preserve">22.1%</w:t>
            </w:r>
          </w:p>
        </w:tc>
        <w:tc>
          <w:tcPr>
            <w:tcW w:type="dxa" w:w="1000"/>
            <w:tcMar>
              <w:top w:type="dxa" w:w="40"/>
              <w:left w:type="dxa" w:w="80"/>
              <w:bottom w:type="dxa" w:w="40"/>
              <w:right w:type="dxa" w:w="80"/>
            </w:tcMar>
            <w:vAlign w:val="top"/>
          </w:tcPr>
          <w:p>
            <w:r>
              <w:rPr>
                <w:sz w:val="15"/>
                <w:szCs w:val="15"/>
              </w:rPr>
              <w:t xml:space="preserve">0.198</w:t>
            </w:r>
          </w:p>
        </w:tc>
        <w:tc>
          <w:tcPr>
            <w:tcW w:type="dxa" w:w="1438"/>
            <w:tcMar>
              <w:top w:type="dxa" w:w="40"/>
              <w:left w:type="dxa" w:w="80"/>
              <w:bottom w:type="dxa" w:w="40"/>
              <w:right w:type="dxa" w:w="80"/>
            </w:tcMar>
            <w:vAlign w:val="top"/>
          </w:tcPr>
          <w:p>
            <w:r>
              <w:rPr>
                <w:sz w:val="15"/>
                <w:szCs w:val="15"/>
              </w:rPr>
              <w:t xml:space="preserve">38.0%</w:t>
            </w:r>
          </w:p>
        </w:tc>
      </w:tr>
      <w:tr>
        <w:trPr>
          <w:cantSplit/>
        </w:trPr>
        <w:tc>
          <w:tcPr>
            <w:tcW w:type="dxa" w:w="1700"/>
            <w:shd w:fill="F7F9FC" w:color="auto" w:val="clear"/>
            <w:tcMar>
              <w:top w:type="dxa" w:w="40"/>
              <w:left w:type="dxa" w:w="80"/>
              <w:bottom w:type="dxa" w:w="40"/>
              <w:right w:type="dxa" w:w="80"/>
            </w:tcMar>
            <w:vAlign w:val="top"/>
          </w:tcPr>
          <w:p>
            <w:r>
              <w:rPr>
                <w:sz w:val="15"/>
                <w:szCs w:val="15"/>
              </w:rPr>
              <w:t xml:space="preserve">Largest record R²</w:t>
            </w:r>
          </w:p>
        </w:tc>
        <w:tc>
          <w:tcPr>
            <w:tcW w:type="dxa" w:w="2500"/>
            <w:shd w:fill="F7F9FC" w:color="auto" w:val="clear"/>
            <w:tcMar>
              <w:top w:type="dxa" w:w="40"/>
              <w:left w:type="dxa" w:w="80"/>
              <w:bottom w:type="dxa" w:w="40"/>
              <w:right w:type="dxa" w:w="80"/>
            </w:tcMar>
            <w:vAlign w:val="top"/>
          </w:tcPr>
          <w:p>
            <w:r>
              <w:rPr>
                <w:sz w:val="15"/>
                <w:szCs w:val="15"/>
              </w:rPr>
              <w:t xml:space="preserve">A13 58%, A30 28%, A10 27%, A25 26%</w:t>
            </w:r>
          </w:p>
        </w:tc>
        <w:tc>
          <w:tcPr>
            <w:tcW w:type="dxa" w:w="1000"/>
            <w:shd w:fill="F7F9FC" w:color="auto" w:val="clear"/>
            <w:tcMar>
              <w:top w:type="dxa" w:w="40"/>
              <w:left w:type="dxa" w:w="80"/>
              <w:bottom w:type="dxa" w:w="40"/>
              <w:right w:type="dxa" w:w="80"/>
            </w:tcMar>
            <w:vAlign w:val="top"/>
          </w:tcPr>
          <w:p>
            <w:r>
              <w:rPr>
                <w:sz w:val="15"/>
                <w:szCs w:val="15"/>
              </w:rPr>
              <w:t xml:space="preserve">4.4%</w:t>
            </w:r>
          </w:p>
        </w:tc>
        <w:tc>
          <w:tcPr>
            <w:tcW w:type="dxa" w:w="1000"/>
            <w:shd w:fill="F7F9FC" w:color="auto" w:val="clear"/>
            <w:tcMar>
              <w:top w:type="dxa" w:w="40"/>
              <w:left w:type="dxa" w:w="80"/>
              <w:bottom w:type="dxa" w:w="40"/>
              <w:right w:type="dxa" w:w="80"/>
            </w:tcMar>
            <w:vAlign w:val="top"/>
          </w:tcPr>
          <w:p>
            <w:r>
              <w:rPr>
                <w:sz w:val="15"/>
                <w:szCs w:val="15"/>
              </w:rPr>
              <w:t xml:space="preserve">10</w:t>
            </w:r>
          </w:p>
        </w:tc>
        <w:tc>
          <w:tcPr>
            <w:tcW w:type="dxa" w:w="1000"/>
            <w:shd w:fill="F7F9FC" w:color="auto" w:val="clear"/>
            <w:tcMar>
              <w:top w:type="dxa" w:w="40"/>
              <w:left w:type="dxa" w:w="80"/>
              <w:bottom w:type="dxa" w:w="40"/>
              <w:right w:type="dxa" w:w="80"/>
            </w:tcMar>
            <w:vAlign w:val="top"/>
          </w:tcPr>
          <w:p>
            <w:r>
              <w:rPr>
                <w:sz w:val="15"/>
                <w:szCs w:val="15"/>
              </w:rPr>
              <w:t xml:space="preserve">8.4%</w:t>
            </w:r>
          </w:p>
        </w:tc>
        <w:tc>
          <w:tcPr>
            <w:tcW w:type="dxa" w:w="1000"/>
            <w:shd w:fill="F7F9FC" w:color="auto" w:val="clear"/>
            <w:tcMar>
              <w:top w:type="dxa" w:w="40"/>
              <w:left w:type="dxa" w:w="80"/>
              <w:bottom w:type="dxa" w:w="40"/>
              <w:right w:type="dxa" w:w="80"/>
            </w:tcMar>
            <w:vAlign w:val="top"/>
          </w:tcPr>
          <w:p>
            <w:r>
              <w:rPr>
                <w:sz w:val="15"/>
                <w:szCs w:val="15"/>
              </w:rPr>
              <w:t xml:space="preserve">0.080</w:t>
            </w:r>
          </w:p>
        </w:tc>
        <w:tc>
          <w:tcPr>
            <w:tcW w:type="dxa" w:w="1438"/>
            <w:shd w:fill="F7F9FC" w:color="auto" w:val="clear"/>
            <w:tcMar>
              <w:top w:type="dxa" w:w="40"/>
              <w:left w:type="dxa" w:w="80"/>
              <w:bottom w:type="dxa" w:w="40"/>
              <w:right w:type="dxa" w:w="80"/>
            </w:tcMar>
            <w:vAlign w:val="top"/>
          </w:tcPr>
          <w:p>
            <w:r>
              <w:rPr>
                <w:sz w:val="15"/>
                <w:szCs w:val="15"/>
              </w:rPr>
              <w:t xml:space="preserve">42.0%</w:t>
            </w:r>
          </w:p>
        </w:tc>
      </w:tr>
      <w:tr>
        <w:trPr>
          <w:cantSplit/>
        </w:trPr>
        <w:tc>
          <w:tcPr>
            <w:tcW w:type="dxa" w:w="1700"/>
            <w:tcMar>
              <w:top w:type="dxa" w:w="40"/>
              <w:left w:type="dxa" w:w="80"/>
              <w:bottom w:type="dxa" w:w="40"/>
              <w:right w:type="dxa" w:w="80"/>
            </w:tcMar>
            <w:vAlign w:val="top"/>
          </w:tcPr>
          <w:p>
            <w:r>
              <w:rPr>
                <w:sz w:val="15"/>
                <w:szCs w:val="15"/>
              </w:rPr>
              <w:t xml:space="preserve">SPIRANCA-GO design</w:t>
            </w:r>
          </w:p>
        </w:tc>
        <w:tc>
          <w:tcPr>
            <w:tcW w:type="dxa" w:w="2500"/>
            <w:tcMar>
              <w:top w:type="dxa" w:w="40"/>
              <w:left w:type="dxa" w:w="80"/>
              <w:bottom w:type="dxa" w:w="40"/>
              <w:right w:type="dxa" w:w="80"/>
            </w:tcMar>
            <w:vAlign w:val="top"/>
          </w:tcPr>
          <w:p>
            <w:r>
              <w:rPr>
                <w:sz w:val="15"/>
                <w:szCs w:val="15"/>
              </w:rPr>
              <w:t xml:space="preserve">A13 94%, A25 40%, P13 30%, A24 28%</w:t>
            </w:r>
          </w:p>
        </w:tc>
        <w:tc>
          <w:tcPr>
            <w:tcW w:type="dxa" w:w="1000"/>
            <w:tcMar>
              <w:top w:type="dxa" w:w="40"/>
              <w:left w:type="dxa" w:w="80"/>
              <w:bottom w:type="dxa" w:w="40"/>
              <w:right w:type="dxa" w:w="80"/>
            </w:tcMar>
            <w:vAlign w:val="top"/>
          </w:tcPr>
          <w:p>
            <w:r>
              <w:rPr>
                <w:sz w:val="15"/>
                <w:szCs w:val="15"/>
              </w:rPr>
              <w:t xml:space="preserve">2.3%</w:t>
            </w:r>
          </w:p>
        </w:tc>
        <w:tc>
          <w:tcPr>
            <w:tcW w:type="dxa" w:w="1000"/>
            <w:tcMar>
              <w:top w:type="dxa" w:w="40"/>
              <w:left w:type="dxa" w:w="80"/>
              <w:bottom w:type="dxa" w:w="40"/>
              <w:right w:type="dxa" w:w="80"/>
            </w:tcMar>
            <w:vAlign w:val="top"/>
          </w:tcPr>
          <w:p>
            <w:r>
              <w:rPr>
                <w:sz w:val="15"/>
                <w:szCs w:val="15"/>
              </w:rPr>
              <w:t xml:space="preserve">3</w:t>
            </w:r>
          </w:p>
        </w:tc>
        <w:tc>
          <w:tcPr>
            <w:tcW w:type="dxa" w:w="1000"/>
            <w:tcMar>
              <w:top w:type="dxa" w:w="40"/>
              <w:left w:type="dxa" w:w="80"/>
              <w:bottom w:type="dxa" w:w="40"/>
              <w:right w:type="dxa" w:w="80"/>
            </w:tcMar>
            <w:vAlign w:val="top"/>
          </w:tcPr>
          <w:p>
            <w:r>
              <w:rPr>
                <w:sz w:val="15"/>
                <w:szCs w:val="15"/>
              </w:rPr>
              <w:t xml:space="preserve">8.2%</w:t>
            </w:r>
          </w:p>
        </w:tc>
        <w:tc>
          <w:tcPr>
            <w:tcW w:type="dxa" w:w="1000"/>
            <w:tcMar>
              <w:top w:type="dxa" w:w="40"/>
              <w:left w:type="dxa" w:w="80"/>
              <w:bottom w:type="dxa" w:w="40"/>
              <w:right w:type="dxa" w:w="80"/>
            </w:tcMar>
            <w:vAlign w:val="top"/>
          </w:tcPr>
          <w:p>
            <w:r>
              <w:rPr>
                <w:sz w:val="15"/>
                <w:szCs w:val="15"/>
              </w:rPr>
              <w:t xml:space="preserve">0.059</w:t>
            </w:r>
          </w:p>
        </w:tc>
        <w:tc>
          <w:tcPr>
            <w:tcW w:type="dxa" w:w="1438"/>
            <w:tcMar>
              <w:top w:type="dxa" w:w="40"/>
              <w:left w:type="dxa" w:w="80"/>
              <w:bottom w:type="dxa" w:w="40"/>
              <w:right w:type="dxa" w:w="80"/>
            </w:tcMar>
            <w:vAlign w:val="top"/>
          </w:tcPr>
          <w:p>
            <w:r>
              <w:rPr>
                <w:sz w:val="15"/>
                <w:szCs w:val="15"/>
              </w:rPr>
              <w:t xml:space="preserve">32.8%</w:t>
            </w:r>
          </w:p>
        </w:tc>
      </w:tr>
    </w:tbl>
    <w:p>
      <w:pPr>
        <w:spacing w:after="120"/>
      </w:pPr>
    </w:p>
    <w:p>
      <w:pPr>
        <w:spacing w:after="100"/>
        <w:jc w:val="both"/>
      </w:pPr>
      <w:r>
        <w:t xml:space="preserve">Table 6 and Figure 3b compare three ways to choose three of the sixteen wells. The three wells nearest the supply well (A30, P4, A9) are the usual choice and the worst here: with the SPIRANCA-GO weights the alarm is valid (1.8%) but its margin is 3.4 times that of the SPIRANCA-GO design and it raises 22% false alarms. These wells mostly record A1's own drawdown, which the anchor correction already knows (Proposition S4). The design of largest record </w:t>
      </w:r>
      <m:oMath>
        <m:sSup>
          <m:e>
            <m:r>
              <m:t>R</m:t>
            </m:r>
          </m:e>
          <m:sup>
            <m:r>
              <m:t>2</m:t>
            </m:r>
          </m:sup>
        </m:sSup>
      </m:oMath>
      <w:r>
        <w:t xml:space="preserve"> has a margin 36% larger than the SPIRANCA-GO design and fails in 10 of the aquifers against 3. The SPIRANCA-GO design picks the inland well A13, 8.9 km from the shoreline at the southern end of the sector, in 94 of the 100 aquifers, followed by A25 (40), P13 (30), A24 (28), all 4.5–5.2 km inland. Whatever the design, least squares on heads and anchors fails under the warming (33%–42%): the weights matter as much as the wells.</w:t>
      </w:r>
    </w:p>
    <w:p>
      <w:pPr>
        <w:pStyle w:val="Heading2"/>
      </w:pPr>
      <w:r>
        <w:t xml:space="preserve">6.3 Limits of the test</w:t>
      </w:r>
    </w:p>
    <w:p>
      <w:pPr>
        <w:spacing w:after="100"/>
        <w:jc w:val="both"/>
      </w:pPr>
      <w:r>
        <w:t xml:space="preserve">The model is steady: the interface follows the heads at once, while at Fushë-Kuqe it lags them by years and the immobile zones add memory (the assembled-system note). With memory, the anchors act through their history, and lagged anchors (the pumping and rainfall of the previous seasons) must enter </w:t>
      </w:r>
      <m:oMath>
        <m:r>
          <m:t>A</m:t>
        </m:r>
      </m:oMath>
      <w:r>
        <w:t xml:space="preserve">; the propositions hold unchanged for any linear functional of the anchor history. The heads were converted to potential exactly, so the structural model is linear by construction; real heads are a nonlinear function of the potential near the interface, and a test on the variable-density section of the assembled-system note is the next step. The warming was placed in the span of the rainfall anchor by assumption; the off-span stress shows what happens when it is not. The aquifers come from one prior and one sector; the 16 candidate wells are the K-wells of the survey, not a designed network.</w:t>
      </w:r>
    </w:p>
    <w:p>
      <w:pPr>
        <w:pStyle w:val="Heading1"/>
      </w:pPr>
      <w:r>
        <w:t xml:space="preserve">7. What to do next</w:t>
      </w:r>
    </w:p>
    <w:p>
      <w:pPr>
        <w:pStyle w:val="ListParagraph"/>
        <w:numPr>
          <w:ilvl w:val="0"/>
          <w:numId w:val="2"/>
        </w:numPr>
        <w:spacing w:after="50"/>
        <w:jc w:val="both"/>
      </w:pPr>
      <w:r>
        <w:rPr>
          <w:b/>
          <w:bCs/>
        </w:rPr>
        <w:t xml:space="preserve">In the chloride manuscript.</w:t>
      </w:r>
      <w:r>
        <w:t xml:space="preserve"> Cite the anchor-regression paper [5] in §5.4 for the stability of relations across pumping regimes, and add SPIRANCA-GO as a short paragraph on the monitoring that must follow the decision. In §3.3 report </w:t>
      </w:r>
      <m:oMath>
        <m:sSup>
          <m:e>
            <m:acc>
              <m:accPr>
                <m:chr m:val="̂"/>
              </m:accPr>
              <m:e>
                <m:r>
                  <m:t>D</m:t>
                </m:r>
              </m:e>
            </m:acc>
          </m:e>
          <m:sup>
            <m:r>
              <m:rPr>
                <m:sty m:val="p"/>
              </m:rPr>
              <m:t>⋆</m:t>
            </m:r>
          </m:sup>
        </m:sSup>
      </m:oMath>
      <w:r>
        <w:t xml:space="preserve"> of N1 with its bootstrap band and treat </w:t>
      </w:r>
      <m:oMath>
        <m:acc>
          <m:accPr>
            <m:chr m:val="̂"/>
          </m:accPr>
          <m:e>
            <m:r>
              <m:t>m</m:t>
            </m:r>
          </m:e>
        </m:acc>
      </m:oMath>
      <w:r>
        <w:t xml:space="preserve"> only as a check for redundant facts. In Table 4 report the N3 bracket as a bracket, not as a pruning device.</w:t>
      </w:r>
    </w:p>
    <w:p>
      <w:pPr>
        <w:pStyle w:val="ListParagraph"/>
        <w:numPr>
          <w:ilvl w:val="0"/>
          <w:numId w:val="2"/>
        </w:numPr>
        <w:spacing w:after="50"/>
        <w:jc w:val="both"/>
      </w:pPr>
      <w:r>
        <w:rPr>
          <w:b/>
          <w:bCs/>
        </w:rPr>
        <w:t xml:space="preserve">In the assembled-system note.</w:t>
      </w:r>
      <w:r>
        <w:t xml:space="preserve"> State that the safe yield is an order statistic on 25 draws and that a certificate at </w:t>
      </w:r>
      <m:oMath>
        <m:d>
          <m:dPr>
            <m:begChr m:val="("/>
            <m:sepChr m:val=""/>
            <m:endChr m:val=")"/>
            <m:grow/>
          </m:dPr>
          <m:e>
            <m:r>
              <m:t>α</m:t>
            </m:r>
            <m:r>
              <m:rPr>
                <m:sty m:val="p"/>
              </m:rPr>
              <m:t>,</m:t>
            </m:r>
            <m:r>
              <m:t>δ</m:t>
            </m:r>
          </m:e>
        </m:d>
        <m:r>
          <m:rPr>
            <m:sty m:val="p"/>
          </m:rPr>
          <m:t>=</m:t>
        </m:r>
        <m:d>
          <m:dPr>
            <m:begChr m:val="("/>
            <m:sepChr m:val=""/>
            <m:endChr m:val=")"/>
            <m:grow/>
          </m:dPr>
          <m:e>
            <m:r>
              <m:t>10</m:t>
            </m:r>
            <m:r>
              <m:rPr>
                <m:sty m:val="p"/>
              </m:rPr>
              <m:t>%</m:t>
            </m:r>
            <m:r>
              <m:rPr>
                <m:sty m:val="p"/>
              </m:rPr>
              <m:t>,</m:t>
            </m:r>
            <m:r>
              <m:t>10</m:t>
            </m:r>
            <m:r>
              <m:rPr>
                <m:sty m:val="p"/>
              </m:rPr>
              <m:t>%</m:t>
            </m:r>
          </m:e>
        </m:d>
      </m:oMath>
      <w:r>
        <w:t xml:space="preserve"> would cost 11.6% of the value (Section 3.2); with 50 draws it would allow 1 exceedance and with 100 draws 5. After the wells are placed, the alarm that watches them is SPIRANCA-GO's.</w:t>
      </w:r>
    </w:p>
    <w:p>
      <w:pPr>
        <w:pStyle w:val="ListParagraph"/>
        <w:numPr>
          <w:ilvl w:val="0"/>
          <w:numId w:val="2"/>
        </w:numPr>
        <w:spacing w:after="50"/>
        <w:jc w:val="both"/>
      </w:pPr>
      <w:r>
        <w:rPr>
          <w:b/>
          <w:bCs/>
        </w:rPr>
        <w:t xml:space="preserve">In the field.</w:t>
      </w:r>
      <w:r>
        <w:t xml:space="preserve"> Keep the pumping of every supply well and the gauge rainfall as season-by-season records: they are the anchors, and without them the decision cannot be corrected. Put the first new piezometer inland, where recharge and private abstraction show, not next to the supply wells. Keep a rough yearly index of private abstraction (irrigation permits or cropped area): it brings the most dangerous unseen shift into the span of the anchors.</w:t>
      </w:r>
    </w:p>
    <w:p>
      <w:pPr>
        <w:pStyle w:val="ListParagraph"/>
        <w:numPr>
          <w:ilvl w:val="0"/>
          <w:numId w:val="2"/>
        </w:numPr>
        <w:spacing w:after="50"/>
        <w:jc w:val="both"/>
      </w:pPr>
      <w:r>
        <w:rPr>
          <w:b/>
          <w:bCs/>
        </w:rPr>
        <w:t xml:space="preserve">Next test.</w:t>
      </w:r>
      <w:r>
        <w:t xml:space="preserve"> Repeat Section 6 on the variable-density section of the assembled-system note with lagged anchors, where the interface has memory and heads are nonlinear in the potential.</w:t>
      </w:r>
    </w:p>
    <w:p>
      <w:pPr>
        <w:spacing w:after="100"/>
        <w:jc w:val="both"/>
      </w:pPr>
      <w:r>
        <w:t xml:space="preserve">Prepared on 27 October 2026 from the two uploaded documents and from experiments/spiranca_go in the author's repository (sg_model.py, sg_run.py, sg_checks.py, sg_ltt.py, sg_figs.py); every number about the tests is read from experiments/spiranca_go/res and checked when the document is built. The twenty papers are cited with the details of the twenty-paper note, which checked them; they were not re-checked here. The propositions S1–S4 are ours; they were not found in the papers read, but the search was not systematic.</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(in preparation). From sparse hydrochemistry to decision-relevant information: probabilistic chloride mapping and goal-oriented monitoring design for seawater intrusion in the Fushë-Kuqe coastal aquifer, Albania. Code: chloride_fk in the author's repository.</w:t>
      </w:r>
    </w:p>
    <w:p>
      <w:pPr>
        <w:tabs>
          <w:tab w:val="left" w:pos="454"/>
        </w:tabs>
        <w:spacing w:after="50"/>
        <w:ind w:left="454" w:hanging="454"/>
      </w:pPr>
      <w:r>
        <w:rPr>
          <w:b/>
          <w:bCs/>
          <w:color w:val="1F3864"/>
          <w:sz w:val="17"/>
          <w:szCs w:val="17"/>
        </w:rPr>
        <w:t xml:space="preserve">[2]	</w:t>
      </w:r>
      <w:r>
        <w:rPr>
          <w:sz w:val="17"/>
          <w:szCs w:val="17"/>
        </w:rPr>
        <w:t xml:space="preserve">Zeqiraj, D. (2026). Goal-oriented Bayesian experimental design for variable-density seawater intrusion: adjoint expected information gain for joint monitoring and managed-aquifer-recharge placement. </w:t>
      </w:r>
      <w:r>
        <w:rPr>
          <w:i/>
          <w:iCs/>
          <w:sz w:val="17"/>
          <w:szCs w:val="17"/>
        </w:rPr>
        <w:t xml:space="preserve">Journal of Hydrology</w:t>
      </w:r>
      <w:r>
        <w:rPr>
          <w:sz w:val="17"/>
          <w:szCs w:val="17"/>
        </w:rPr>
        <w:t xml:space="preserve">, 680, 136559.</w:t>
      </w:r>
      <w:r>
        <w:rPr>
          <w:sz w:val="17"/>
          <w:szCs w:val="17"/>
        </w:rPr>
        <w:t xml:space="preserve"> </w:t>
      </w:r>
      <w:hyperlink w:history="1" r:id="rId7qasxbtdo2amu7zu3ju5y">
        <w:r>
          <w:rPr>
            <w:color w:val="1D4ED8"/>
            <w:sz w:val="17"/>
            <w:szCs w:val="17"/>
            <w:u w:val="single"/>
          </w:rPr>
          <w:t xml:space="preserve">https://doi.org/10.1016/j.jhydrol.2026.136559</w:t>
        </w:r>
      </w:hyperlink>
    </w:p>
    <w:p>
      <w:pPr>
        <w:tabs>
          <w:tab w:val="left" w:pos="454"/>
        </w:tabs>
        <w:spacing w:after="50"/>
        <w:ind w:left="454" w:hanging="454"/>
      </w:pPr>
      <w:r>
        <w:rPr>
          <w:b/>
          <w:bCs/>
          <w:color w:val="1F3864"/>
          <w:sz w:val="17"/>
          <w:szCs w:val="17"/>
        </w:rPr>
        <w:t xml:space="preserve">[3]	</w:t>
      </w:r>
      <w:r>
        <w:rPr>
          <w:sz w:val="17"/>
          <w:szCs w:val="17"/>
        </w:rPr>
        <w:t xml:space="preserve">Zeqiraj, D. (2026). </w:t>
      </w:r>
      <w:r>
        <w:rPr>
          <w:i/>
          <w:iCs/>
          <w:sz w:val="17"/>
          <w:szCs w:val="17"/>
        </w:rPr>
        <w:t xml:space="preserve">Assembling the equations of a coastal aquifer, with the placement of recharge and pumping wells as the final goal</w:t>
      </w:r>
      <w:r>
        <w:rPr>
          <w:sz w:val="17"/>
          <w:szCs w:val="17"/>
        </w:rPr>
        <w:t xml:space="preserve">. Technical note of the author's series (in preparation, October 2026), with the experiment MONTIMI-GO (experiments/montimi_go).</w:t>
      </w:r>
    </w:p>
    <w:p>
      <w:pPr>
        <w:tabs>
          <w:tab w:val="left" w:pos="454"/>
        </w:tabs>
        <w:spacing w:after="50"/>
        <w:ind w:left="454" w:hanging="454"/>
      </w:pPr>
      <w:r>
        <w:rPr>
          <w:b/>
          <w:bCs/>
          <w:color w:val="1F3864"/>
          <w:sz w:val="17"/>
          <w:szCs w:val="17"/>
        </w:rPr>
        <w:t xml:space="preserve">[4]	</w:t>
      </w:r>
      <w:r>
        <w:rPr>
          <w:sz w:val="17"/>
          <w:szCs w:val="17"/>
        </w:rPr>
        <w:t xml:space="preserve">Twenty papers 2020–2026 from Oxford, ETH Zürich, Berkeley, Harvard and Princeton, related directly or indirectly to the manuscript for the </w:t>
      </w:r>
      <w:r>
        <w:rPr>
          <w:i/>
          <w:iCs/>
          <w:sz w:val="17"/>
          <w:szCs w:val="17"/>
        </w:rPr>
        <w:t xml:space="preserve">Journal of Hydrology</w:t>
      </w:r>
      <w:r>
        <w:rPr>
          <w:sz w:val="17"/>
          <w:szCs w:val="17"/>
        </w:rPr>
        <w:t xml:space="preserve">: calibration under misspecification, goal-oriented design, certified thresholds, causality and dynamics with side information. Unpublished note in Albanian prepared for D. Zeqiraj, 19 October 2026.</w:t>
      </w:r>
    </w:p>
    <w:p>
      <w:pPr>
        <w:tabs>
          <w:tab w:val="left" w:pos="454"/>
        </w:tabs>
        <w:spacing w:after="50"/>
        <w:ind w:left="454" w:hanging="454"/>
      </w:pPr>
      <w:r>
        <w:rPr>
          <w:b/>
          <w:bCs/>
          <w:color w:val="1F3864"/>
          <w:sz w:val="17"/>
          <w:szCs w:val="17"/>
        </w:rPr>
        <w:t xml:space="preserve">[5]	</w:t>
      </w:r>
      <w:r>
        <w:rPr>
          <w:sz w:val="17"/>
          <w:szCs w:val="17"/>
        </w:rPr>
        <w:t xml:space="preserve">Rothenhäusler, D., Meinshausen, N., Bühlmann, P. &amp; Peters, J. (2021). Anchor regression: heterogeneous data meet causality. </w:t>
      </w:r>
      <w:r>
        <w:rPr>
          <w:i/>
          <w:iCs/>
          <w:sz w:val="17"/>
          <w:szCs w:val="17"/>
        </w:rPr>
        <w:t xml:space="preserve">Journal of the Royal Statistical Society Series B</w:t>
      </w:r>
      <w:r>
        <w:rPr>
          <w:sz w:val="17"/>
          <w:szCs w:val="17"/>
        </w:rPr>
        <w:t xml:space="preserve">, 83(2), 215–246.</w:t>
      </w:r>
      <w:r>
        <w:rPr>
          <w:sz w:val="17"/>
          <w:szCs w:val="17"/>
        </w:rPr>
        <w:t xml:space="preserve"> </w:t>
      </w:r>
      <w:hyperlink w:history="1" r:id="rId5tqr0ec60p_35gcgvvesw">
        <w:r>
          <w:rPr>
            <w:color w:val="1D4ED8"/>
            <w:sz w:val="17"/>
            <w:szCs w:val="17"/>
            <w:u w:val="single"/>
          </w:rPr>
          <w:t xml:space="preserve">https://doi.org/10.1111/rssb.12398</w:t>
        </w:r>
      </w:hyperlink>
    </w:p>
    <w:p>
      <w:pPr>
        <w:tabs>
          <w:tab w:val="left" w:pos="454"/>
        </w:tabs>
        <w:spacing w:after="50"/>
        <w:ind w:left="454" w:hanging="454"/>
      </w:pPr>
      <w:r>
        <w:rPr>
          <w:b/>
          <w:bCs/>
          <w:color w:val="1F3864"/>
          <w:sz w:val="17"/>
          <w:szCs w:val="17"/>
        </w:rPr>
        <w:t xml:space="preserve">[6]	</w:t>
      </w:r>
      <w:r>
        <w:rPr>
          <w:sz w:val="17"/>
          <w:szCs w:val="17"/>
        </w:rPr>
        <w:t xml:space="preserve">Angelopoulos, A. N., Bates, S., Candès, E. J., Jordan, M. I. &amp; Lei, L. (2025). Learn then test: calibrating predictive algorithms to achieve risk control. </w:t>
      </w:r>
      <w:r>
        <w:rPr>
          <w:i/>
          <w:iCs/>
          <w:sz w:val="17"/>
          <w:szCs w:val="17"/>
        </w:rPr>
        <w:t xml:space="preserve">Annals of Applied Statistics</w:t>
      </w:r>
      <w:r>
        <w:rPr>
          <w:sz w:val="17"/>
          <w:szCs w:val="17"/>
        </w:rPr>
        <w:t xml:space="preserve">, 19(2), 1641–1662 (details as given in the twenty-paper note; not re-checked here).</w:t>
      </w:r>
      <w:r>
        <w:rPr>
          <w:sz w:val="17"/>
          <w:szCs w:val="17"/>
        </w:rPr>
        <w:t xml:space="preserve"> </w:t>
      </w:r>
      <w:hyperlink w:history="1" r:id="rIdw178tkp1hl2qjjyxd8zxm">
        <w:r>
          <w:rPr>
            <w:color w:val="1D4ED8"/>
            <w:sz w:val="17"/>
            <w:szCs w:val="17"/>
            <w:u w:val="single"/>
          </w:rPr>
          <w:t xml:space="preserve">https://doi.org/10.1214/24-AOAS1998</w:t>
        </w:r>
      </w:hyperlink>
    </w:p>
    <w:p>
      <w:pPr>
        <w:tabs>
          <w:tab w:val="left" w:pos="454"/>
        </w:tabs>
        <w:spacing w:after="50"/>
        <w:ind w:left="454" w:hanging="454"/>
      </w:pPr>
      <w:r>
        <w:rPr>
          <w:b/>
          <w:bCs/>
          <w:color w:val="1F3864"/>
          <w:sz w:val="17"/>
          <w:szCs w:val="17"/>
        </w:rPr>
        <w:t xml:space="preserve">[7]	</w:t>
      </w:r>
      <w:r>
        <w:rPr>
          <w:sz w:val="17"/>
          <w:szCs w:val="17"/>
        </w:rPr>
        <w:t xml:space="preserve">Frazier, D. T., Robert, C. P. &amp; Rousseau, J. (2020). Model misspecification in approximate Bayesian computation: consequences and diagnostics. </w:t>
      </w:r>
      <w:r>
        <w:rPr>
          <w:i/>
          <w:iCs/>
          <w:sz w:val="17"/>
          <w:szCs w:val="17"/>
        </w:rPr>
        <w:t xml:space="preserve">Journal of the Royal Statistical Society Series B</w:t>
      </w:r>
      <w:r>
        <w:rPr>
          <w:sz w:val="17"/>
          <w:szCs w:val="17"/>
        </w:rPr>
        <w:t xml:space="preserve">, 82(2), 421–444 (details as given in the twenty-paper note; not re-checked here).</w:t>
      </w:r>
      <w:r>
        <w:rPr>
          <w:sz w:val="17"/>
          <w:szCs w:val="17"/>
        </w:rPr>
        <w:t xml:space="preserve"> </w:t>
      </w:r>
      <w:hyperlink w:history="1" r:id="rIdc8clbshexife77lewsxem">
        <w:r>
          <w:rPr>
            <w:color w:val="1D4ED8"/>
            <w:sz w:val="17"/>
            <w:szCs w:val="17"/>
            <w:u w:val="single"/>
          </w:rPr>
          <w:t xml:space="preserve">https://doi.org/10.1111/rssb.12356</w:t>
        </w:r>
      </w:hyperlink>
    </w:p>
    <w:p>
      <w:pPr>
        <w:tabs>
          <w:tab w:val="left" w:pos="454"/>
        </w:tabs>
        <w:spacing w:after="50"/>
        <w:ind w:left="454" w:hanging="454"/>
      </w:pPr>
      <w:r>
        <w:rPr>
          <w:b/>
          <w:bCs/>
          <w:color w:val="1F3864"/>
          <w:sz w:val="17"/>
          <w:szCs w:val="17"/>
        </w:rPr>
        <w:t xml:space="preserve">[8]	</w:t>
      </w:r>
      <w:r>
        <w:rPr>
          <w:sz w:val="17"/>
          <w:szCs w:val="17"/>
        </w:rPr>
        <w:t xml:space="preserve">Fong, E. &amp; Holmes, C. C. (2020). On the marginal likelihood and cross-validation. </w:t>
      </w:r>
      <w:r>
        <w:rPr>
          <w:i/>
          <w:iCs/>
          <w:sz w:val="17"/>
          <w:szCs w:val="17"/>
        </w:rPr>
        <w:t xml:space="preserve">Biometrika</w:t>
      </w:r>
      <w:r>
        <w:rPr>
          <w:sz w:val="17"/>
          <w:szCs w:val="17"/>
        </w:rPr>
        <w:t xml:space="preserve">, 107(2), 489–496 (details as given in the twenty-paper note; not re-checked here).</w:t>
      </w:r>
      <w:r>
        <w:rPr>
          <w:sz w:val="17"/>
          <w:szCs w:val="17"/>
        </w:rPr>
        <w:t xml:space="preserve"> </w:t>
      </w:r>
      <w:hyperlink w:history="1" r:id="rIdzogjnun-r-4gfrpgs_ng2">
        <w:r>
          <w:rPr>
            <w:color w:val="1D4ED8"/>
            <w:sz w:val="17"/>
            <w:szCs w:val="17"/>
            <w:u w:val="single"/>
          </w:rPr>
          <w:t xml:space="preserve">https://doi.org/10.1093/biomet/asz077</w:t>
        </w:r>
      </w:hyperlink>
    </w:p>
    <w:p>
      <w:pPr>
        <w:tabs>
          <w:tab w:val="left" w:pos="454"/>
        </w:tabs>
        <w:spacing w:after="50"/>
        <w:ind w:left="454" w:hanging="454"/>
      </w:pPr>
      <w:r>
        <w:rPr>
          <w:b/>
          <w:bCs/>
          <w:color w:val="1F3864"/>
          <w:sz w:val="17"/>
          <w:szCs w:val="17"/>
        </w:rPr>
        <w:t xml:space="preserve">[9]	</w:t>
      </w:r>
      <w:r>
        <w:rPr>
          <w:sz w:val="17"/>
          <w:szCs w:val="17"/>
        </w:rPr>
        <w:t xml:space="preserve">Miller, J. W. (2021). Asymptotic normality, concentration, and coverage of generalized posteriors. </w:t>
      </w:r>
      <w:r>
        <w:rPr>
          <w:i/>
          <w:iCs/>
          <w:sz w:val="17"/>
          <w:szCs w:val="17"/>
        </w:rPr>
        <w:t xml:space="preserve">Journal of Machine Learning Research</w:t>
      </w:r>
      <w:r>
        <w:rPr>
          <w:sz w:val="17"/>
          <w:szCs w:val="17"/>
        </w:rPr>
        <w:t xml:space="preserve">, 22(168), 1–53 (details as given in the twenty-paper note; not re-checked here).</w:t>
      </w:r>
      <w:r>
        <w:rPr>
          <w:sz w:val="17"/>
          <w:szCs w:val="17"/>
        </w:rPr>
        <w:t xml:space="preserve"> </w:t>
      </w:r>
      <w:hyperlink w:history="1" r:id="rId6pt7carnpjfa0rolnotsb">
        <w:r>
          <w:rPr>
            <w:color w:val="1D4ED8"/>
            <w:sz w:val="17"/>
            <w:szCs w:val="17"/>
            <w:u w:val="single"/>
          </w:rPr>
          <w:t xml:space="preserve">https://jmlr.org/papers/v22/20-469.html</w:t>
        </w:r>
      </w:hyperlink>
    </w:p>
    <w:p>
      <w:pPr>
        <w:tabs>
          <w:tab w:val="left" w:pos="454"/>
        </w:tabs>
        <w:spacing w:after="50"/>
        <w:ind w:left="454" w:hanging="454"/>
      </w:pPr>
      <w:r>
        <w:rPr>
          <w:b/>
          <w:bCs/>
          <w:color w:val="1F3864"/>
          <w:sz w:val="17"/>
          <w:szCs w:val="17"/>
        </w:rPr>
        <w:t xml:space="preserve">[10]	</w:t>
      </w:r>
      <w:r>
        <w:rPr>
          <w:sz w:val="17"/>
          <w:szCs w:val="17"/>
        </w:rPr>
        <w:t xml:space="preserve">Wagner, P.-R., Marelli, S. &amp; Sudret, B. (2021). Bayesian model inversion using stochastic spectral embedding. </w:t>
      </w:r>
      <w:r>
        <w:rPr>
          <w:i/>
          <w:iCs/>
          <w:sz w:val="17"/>
          <w:szCs w:val="17"/>
        </w:rPr>
        <w:t xml:space="preserve">Journal of Computational Physics</w:t>
      </w:r>
      <w:r>
        <w:rPr>
          <w:sz w:val="17"/>
          <w:szCs w:val="17"/>
        </w:rPr>
        <w:t xml:space="preserve">, 436, 110141 (details as given in the twenty-paper note; not re-checked here).</w:t>
      </w:r>
      <w:r>
        <w:rPr>
          <w:sz w:val="17"/>
          <w:szCs w:val="17"/>
        </w:rPr>
        <w:t xml:space="preserve"> </w:t>
      </w:r>
      <w:hyperlink w:history="1" r:id="rId3nnsekytckoazkbmaj0j4">
        <w:r>
          <w:rPr>
            <w:color w:val="1D4ED8"/>
            <w:sz w:val="17"/>
            <w:szCs w:val="17"/>
            <w:u w:val="single"/>
          </w:rPr>
          <w:t xml:space="preserve">https://doi.org/10.1016/j.jcp.2021.110141</w:t>
        </w:r>
      </w:hyperlink>
    </w:p>
    <w:p>
      <w:pPr>
        <w:tabs>
          <w:tab w:val="left" w:pos="454"/>
        </w:tabs>
        <w:spacing w:after="50"/>
        <w:ind w:left="454" w:hanging="454"/>
      </w:pPr>
      <w:r>
        <w:rPr>
          <w:b/>
          <w:bCs/>
          <w:color w:val="1F3864"/>
          <w:sz w:val="17"/>
          <w:szCs w:val="17"/>
        </w:rPr>
        <w:t xml:space="preserve">[11]	</w:t>
      </w:r>
      <w:r>
        <w:rPr>
          <w:sz w:val="17"/>
          <w:szCs w:val="17"/>
        </w:rPr>
        <w:t xml:space="preserve">Foster, A., Jankowiak, M., O'Meara, M., Teh, Y. W. &amp; Rainforth, T. (2020). A unified stochastic gradient approach to designing Bayesian-optimal experiments. </w:t>
      </w:r>
      <w:r>
        <w:rPr>
          <w:i/>
          <w:iCs/>
          <w:sz w:val="17"/>
          <w:szCs w:val="17"/>
        </w:rPr>
        <w:t xml:space="preserve">Proceedings of AISTATS 2020</w:t>
      </w:r>
      <w:r>
        <w:rPr>
          <w:sz w:val="17"/>
          <w:szCs w:val="17"/>
        </w:rPr>
        <w:t xml:space="preserve">, PMLR 108, 2959–2969 (details as given in the twenty-paper note; not re-checked here).</w:t>
      </w:r>
      <w:r>
        <w:rPr>
          <w:sz w:val="17"/>
          <w:szCs w:val="17"/>
        </w:rPr>
        <w:t xml:space="preserve"> </w:t>
      </w:r>
      <w:hyperlink w:history="1" r:id="rIdoochothsaasc2lefl8v4h">
        <w:r>
          <w:rPr>
            <w:color w:val="1D4ED8"/>
            <w:sz w:val="17"/>
            <w:szCs w:val="17"/>
            <w:u w:val="single"/>
          </w:rPr>
          <w:t xml:space="preserve">https://proceedings.mlr.press/v108/foster20a.html</w:t>
        </w:r>
      </w:hyperlink>
    </w:p>
    <w:p>
      <w:pPr>
        <w:tabs>
          <w:tab w:val="left" w:pos="454"/>
        </w:tabs>
        <w:spacing w:after="50"/>
        <w:ind w:left="454" w:hanging="454"/>
      </w:pPr>
      <w:r>
        <w:rPr>
          <w:b/>
          <w:bCs/>
          <w:color w:val="1F3864"/>
          <w:sz w:val="17"/>
          <w:szCs w:val="17"/>
        </w:rPr>
        <w:t xml:space="preserve">[12]	</w:t>
      </w:r>
      <w:r>
        <w:rPr>
          <w:sz w:val="17"/>
          <w:szCs w:val="17"/>
        </w:rPr>
        <w:t xml:space="preserve">Bickford Smith, F., Kirsch, A., Farquhar, S., Gal, Y., Foster, A. &amp; Rainforth, T. (2023). Prediction-oriented Bayesian active learning. </w:t>
      </w:r>
      <w:r>
        <w:rPr>
          <w:i/>
          <w:iCs/>
          <w:sz w:val="17"/>
          <w:szCs w:val="17"/>
        </w:rPr>
        <w:t xml:space="preserve">Proceedings of AISTATS 2023</w:t>
      </w:r>
      <w:r>
        <w:rPr>
          <w:sz w:val="17"/>
          <w:szCs w:val="17"/>
        </w:rPr>
        <w:t xml:space="preserve">, PMLR 206, 7331–7348 (details as given in the twenty-paper note; not re-checked here).</w:t>
      </w:r>
      <w:r>
        <w:rPr>
          <w:sz w:val="17"/>
          <w:szCs w:val="17"/>
        </w:rPr>
        <w:t xml:space="preserve"> </w:t>
      </w:r>
      <w:hyperlink w:history="1" r:id="rIdnrfvw2wbv53qf3wzh7use">
        <w:r>
          <w:rPr>
            <w:color w:val="1D4ED8"/>
            <w:sz w:val="17"/>
            <w:szCs w:val="17"/>
            <w:u w:val="single"/>
          </w:rPr>
          <w:t xml:space="preserve">https://proceedings.mlr.press/v206/bickfordsmith23a.html</w:t>
        </w:r>
      </w:hyperlink>
    </w:p>
    <w:p>
      <w:pPr>
        <w:tabs>
          <w:tab w:val="left" w:pos="454"/>
        </w:tabs>
        <w:spacing w:after="50"/>
        <w:ind w:left="454" w:hanging="454"/>
      </w:pPr>
      <w:r>
        <w:rPr>
          <w:b/>
          <w:bCs/>
          <w:color w:val="1F3864"/>
          <w:sz w:val="17"/>
          <w:szCs w:val="17"/>
        </w:rPr>
        <w:t xml:space="preserve">[13]	</w:t>
      </w:r>
      <w:r>
        <w:rPr>
          <w:sz w:val="17"/>
          <w:szCs w:val="17"/>
        </w:rPr>
        <w:t xml:space="preserve">Foster, A., Ivanova, D. R., Malik, I. &amp; Rainforth, T. (2021). Deep adaptive design: amortizing sequential Bayesian experimental design. </w:t>
      </w:r>
      <w:r>
        <w:rPr>
          <w:i/>
          <w:iCs/>
          <w:sz w:val="17"/>
          <w:szCs w:val="17"/>
        </w:rPr>
        <w:t xml:space="preserve">Proceedings of the 38th ICML</w:t>
      </w:r>
      <w:r>
        <w:rPr>
          <w:sz w:val="17"/>
          <w:szCs w:val="17"/>
        </w:rPr>
        <w:t xml:space="preserve">, PMLR 139, 3384–3395 (details as given in the twenty-paper note; not re-checked here).</w:t>
      </w:r>
      <w:r>
        <w:rPr>
          <w:sz w:val="17"/>
          <w:szCs w:val="17"/>
        </w:rPr>
        <w:t xml:space="preserve"> </w:t>
      </w:r>
      <w:hyperlink w:history="1" r:id="rIdrahm5tthqr4lco8afocie">
        <w:r>
          <w:rPr>
            <w:color w:val="1D4ED8"/>
            <w:sz w:val="17"/>
            <w:szCs w:val="17"/>
            <w:u w:val="single"/>
          </w:rPr>
          <w:t xml:space="preserve">https://proceedings.mlr.press/v139/foster21a.html</w:t>
        </w:r>
      </w:hyperlink>
    </w:p>
    <w:p>
      <w:pPr>
        <w:tabs>
          <w:tab w:val="left" w:pos="454"/>
        </w:tabs>
        <w:spacing w:after="50"/>
        <w:ind w:left="454" w:hanging="454"/>
      </w:pPr>
      <w:r>
        <w:rPr>
          <w:b/>
          <w:bCs/>
          <w:color w:val="1F3864"/>
          <w:sz w:val="17"/>
          <w:szCs w:val="17"/>
        </w:rPr>
        <w:t xml:space="preserve">[14]	</w:t>
      </w:r>
      <w:r>
        <w:rPr>
          <w:sz w:val="17"/>
          <w:szCs w:val="17"/>
        </w:rPr>
        <w:t xml:space="preserve">Hübotter, J., Sukhija, B., Treven, L., As, Y. &amp; Krause, A. (2024). Transductive active learning: theory and applications. </w:t>
      </w:r>
      <w:r>
        <w:rPr>
          <w:i/>
          <w:iCs/>
          <w:sz w:val="17"/>
          <w:szCs w:val="17"/>
        </w:rPr>
        <w:t xml:space="preserve">Advances in Neural Information Processing Systems</w:t>
      </w:r>
      <w:r>
        <w:rPr>
          <w:sz w:val="17"/>
          <w:szCs w:val="17"/>
        </w:rPr>
        <w:t xml:space="preserve">, 37, 124686–124755 (details as given in the twenty-paper note; not re-checked here).</w:t>
      </w:r>
      <w:r>
        <w:rPr>
          <w:sz w:val="17"/>
          <w:szCs w:val="17"/>
        </w:rPr>
        <w:t xml:space="preserve"> </w:t>
      </w:r>
      <w:hyperlink w:history="1" r:id="rIdd8x5piofpcnev1vav3ivs">
        <w:r>
          <w:rPr>
            <w:color w:val="1D4ED8"/>
            <w:sz w:val="17"/>
            <w:szCs w:val="17"/>
            <w:u w:val="single"/>
          </w:rPr>
          <w:t xml:space="preserve">https://arxiv.org/abs/2402.15898</w:t>
        </w:r>
      </w:hyperlink>
    </w:p>
    <w:p>
      <w:pPr>
        <w:tabs>
          <w:tab w:val="left" w:pos="454"/>
        </w:tabs>
        <w:spacing w:after="50"/>
        <w:ind w:left="454" w:hanging="454"/>
      </w:pPr>
      <w:r>
        <w:rPr>
          <w:b/>
          <w:bCs/>
          <w:color w:val="1F3864"/>
          <w:sz w:val="17"/>
          <w:szCs w:val="17"/>
        </w:rPr>
        <w:t xml:space="preserve">[15]	</w:t>
      </w:r>
      <w:r>
        <w:rPr>
          <w:sz w:val="17"/>
          <w:szCs w:val="17"/>
        </w:rPr>
        <w:t xml:space="preserve">Mutný, M. &amp; Krause, A. (2022). Experimental design for linear functionals in reproducing kernel Hilbert spaces. </w:t>
      </w:r>
      <w:r>
        <w:rPr>
          <w:i/>
          <w:iCs/>
          <w:sz w:val="17"/>
          <w:szCs w:val="17"/>
        </w:rPr>
        <w:t xml:space="preserve">Advances in Neural Information Processing Systems</w:t>
      </w:r>
      <w:r>
        <w:rPr>
          <w:sz w:val="17"/>
          <w:szCs w:val="17"/>
        </w:rPr>
        <w:t xml:space="preserve">, 35, 20175–20188 (details as given in the twenty-paper note; not re-checked here).</w:t>
      </w:r>
    </w:p>
    <w:p>
      <w:pPr>
        <w:tabs>
          <w:tab w:val="left" w:pos="454"/>
        </w:tabs>
        <w:spacing w:after="50"/>
        <w:ind w:left="454" w:hanging="454"/>
      </w:pPr>
      <w:r>
        <w:rPr>
          <w:b/>
          <w:bCs/>
          <w:color w:val="1F3864"/>
          <w:sz w:val="17"/>
          <w:szCs w:val="17"/>
        </w:rPr>
        <w:t xml:space="preserve">[16]	</w:t>
      </w:r>
      <w:r>
        <w:rPr>
          <w:sz w:val="17"/>
          <w:szCs w:val="17"/>
        </w:rPr>
        <w:t xml:space="preserve">Bates, S., Angelopoulos, A., Lei, L., Malik, J. &amp; Jordan, M. I. (2021). Distribution-free, risk-controlling prediction sets. </w:t>
      </w:r>
      <w:r>
        <w:rPr>
          <w:i/>
          <w:iCs/>
          <w:sz w:val="17"/>
          <w:szCs w:val="17"/>
        </w:rPr>
        <w:t xml:space="preserve">Journal of the ACM</w:t>
      </w:r>
      <w:r>
        <w:rPr>
          <w:sz w:val="17"/>
          <w:szCs w:val="17"/>
        </w:rPr>
        <w:t xml:space="preserve">, 68(6), 1–34 (details as given in the twenty-paper note; not re-checked here).</w:t>
      </w:r>
      <w:r>
        <w:rPr>
          <w:sz w:val="17"/>
          <w:szCs w:val="17"/>
        </w:rPr>
        <w:t xml:space="preserve"> </w:t>
      </w:r>
      <w:hyperlink w:history="1" r:id="rIdjo9kbvvwfcbwb85hzvafd">
        <w:r>
          <w:rPr>
            <w:color w:val="1D4ED8"/>
            <w:sz w:val="17"/>
            <w:szCs w:val="17"/>
            <w:u w:val="single"/>
          </w:rPr>
          <w:t xml:space="preserve">https://doi.org/10.1145/3478535</w:t>
        </w:r>
      </w:hyperlink>
    </w:p>
    <w:p>
      <w:pPr>
        <w:tabs>
          <w:tab w:val="left" w:pos="454"/>
        </w:tabs>
        <w:spacing w:after="50"/>
        <w:ind w:left="454" w:hanging="454"/>
      </w:pPr>
      <w:r>
        <w:rPr>
          <w:b/>
          <w:bCs/>
          <w:color w:val="1F3864"/>
          <w:sz w:val="17"/>
          <w:szCs w:val="17"/>
        </w:rPr>
        <w:t xml:space="preserve">[17]	</w:t>
      </w:r>
      <w:r>
        <w:rPr>
          <w:sz w:val="17"/>
          <w:szCs w:val="17"/>
        </w:rPr>
        <w:t xml:space="preserve">Wu, X., Mealli, F., Kioumourtzoglou, M.-A., Dominici, F. &amp; Braun, D. (2024). Matching on generalized propensity scores with continuous exposures. </w:t>
      </w:r>
      <w:r>
        <w:rPr>
          <w:i/>
          <w:iCs/>
          <w:sz w:val="17"/>
          <w:szCs w:val="17"/>
        </w:rPr>
        <w:t xml:space="preserve">Journal of the American Statistical Association</w:t>
      </w:r>
      <w:r>
        <w:rPr>
          <w:sz w:val="17"/>
          <w:szCs w:val="17"/>
        </w:rPr>
        <w:t xml:space="preserve">, 119(545), 757–772 (details as given in the twenty-paper note; not re-checked here).</w:t>
      </w:r>
      <w:r>
        <w:rPr>
          <w:sz w:val="17"/>
          <w:szCs w:val="17"/>
        </w:rPr>
        <w:t xml:space="preserve"> </w:t>
      </w:r>
      <w:hyperlink w:history="1" r:id="rIdq7v8ruh_rlmarybi_yuet">
        <w:r>
          <w:rPr>
            <w:color w:val="1D4ED8"/>
            <w:sz w:val="17"/>
            <w:szCs w:val="17"/>
            <w:u w:val="single"/>
          </w:rPr>
          <w:t xml:space="preserve">https://doi.org/10.1080/01621459.2022.2144737</w:t>
        </w:r>
      </w:hyperlink>
    </w:p>
    <w:p>
      <w:pPr>
        <w:tabs>
          <w:tab w:val="left" w:pos="454"/>
        </w:tabs>
        <w:spacing w:after="50"/>
        <w:ind w:left="454" w:hanging="454"/>
      </w:pPr>
      <w:r>
        <w:rPr>
          <w:b/>
          <w:bCs/>
          <w:color w:val="1F3864"/>
          <w:sz w:val="17"/>
          <w:szCs w:val="17"/>
        </w:rPr>
        <w:t xml:space="preserve">[18]	</w:t>
      </w:r>
      <w:r>
        <w:rPr>
          <w:sz w:val="17"/>
          <w:szCs w:val="17"/>
        </w:rPr>
        <w:t xml:space="preserve">Rytgaard, H. C. W. &amp; van der Laan, M. J. (2024). One-step targeted maximum likelihood estimation for targeting cause-specific absolute risks and survival curves. </w:t>
      </w:r>
      <w:r>
        <w:rPr>
          <w:i/>
          <w:iCs/>
          <w:sz w:val="17"/>
          <w:szCs w:val="17"/>
        </w:rPr>
        <w:t xml:space="preserve">Biometrika</w:t>
      </w:r>
      <w:r>
        <w:rPr>
          <w:sz w:val="17"/>
          <w:szCs w:val="17"/>
        </w:rPr>
        <w:t xml:space="preserve">, 111(1), 129–145 (details as given in the twenty-paper note; not re-checked here).</w:t>
      </w:r>
      <w:r>
        <w:rPr>
          <w:sz w:val="17"/>
          <w:szCs w:val="17"/>
        </w:rPr>
        <w:t xml:space="preserve"> </w:t>
      </w:r>
      <w:hyperlink w:history="1" r:id="rIddhgtan5j1c2vyhy9tpbje">
        <w:r>
          <w:rPr>
            <w:color w:val="1D4ED8"/>
            <w:sz w:val="17"/>
            <w:szCs w:val="17"/>
            <w:u w:val="single"/>
          </w:rPr>
          <w:t xml:space="preserve">https://doi.org/10.1093/biomet/asad033</w:t>
        </w:r>
      </w:hyperlink>
    </w:p>
    <w:p>
      <w:pPr>
        <w:tabs>
          <w:tab w:val="left" w:pos="454"/>
        </w:tabs>
        <w:spacing w:after="50"/>
        <w:ind w:left="454" w:hanging="454"/>
      </w:pPr>
      <w:r>
        <w:rPr>
          <w:b/>
          <w:bCs/>
          <w:color w:val="1F3864"/>
          <w:sz w:val="17"/>
          <w:szCs w:val="17"/>
        </w:rPr>
        <w:t xml:space="preserve">[19]	</w:t>
      </w:r>
      <w:r>
        <w:rPr>
          <w:sz w:val="17"/>
          <w:szCs w:val="17"/>
        </w:rPr>
        <w:t xml:space="preserve">Zhang, Geng, Li &amp; Ding, P. (2025). Identifying and bounding the probability of necessity for causes of effects with ordinal outcomes. </w:t>
      </w:r>
      <w:r>
        <w:rPr>
          <w:i/>
          <w:iCs/>
          <w:sz w:val="17"/>
          <w:szCs w:val="17"/>
        </w:rPr>
        <w:t xml:space="preserve">Biometrika</w:t>
      </w:r>
      <w:r>
        <w:rPr>
          <w:sz w:val="17"/>
          <w:szCs w:val="17"/>
        </w:rPr>
        <w:t xml:space="preserve">, 112(3), asaf049 (details as given in the twenty-paper note; not re-checked here); initials of the first and third authors not verified there.</w:t>
      </w:r>
      <w:r>
        <w:rPr>
          <w:sz w:val="17"/>
          <w:szCs w:val="17"/>
        </w:rPr>
        <w:t xml:space="preserve"> </w:t>
      </w:r>
      <w:hyperlink w:history="1" r:id="rIdiut7f-gsjoyjtahynstfd">
        <w:r>
          <w:rPr>
            <w:color w:val="1D4ED8"/>
            <w:sz w:val="17"/>
            <w:szCs w:val="17"/>
            <w:u w:val="single"/>
          </w:rPr>
          <w:t xml:space="preserve">https://doi.org/10.1093/biomet/asaf049</w:t>
        </w:r>
      </w:hyperlink>
    </w:p>
    <w:p>
      <w:pPr>
        <w:tabs>
          <w:tab w:val="left" w:pos="454"/>
        </w:tabs>
        <w:spacing w:after="50"/>
        <w:ind w:left="454" w:hanging="454"/>
      </w:pPr>
      <w:r>
        <w:rPr>
          <w:b/>
          <w:bCs/>
          <w:color w:val="1F3864"/>
          <w:sz w:val="17"/>
          <w:szCs w:val="17"/>
        </w:rPr>
        <w:t xml:space="preserve">[20]	</w:t>
      </w:r>
      <w:r>
        <w:rPr>
          <w:sz w:val="17"/>
          <w:szCs w:val="17"/>
        </w:rPr>
        <w:t xml:space="preserve">Liao, P., Klasnja, P. &amp; Murphy, S. A. (2021). Off-policy estimation of long-term average outcomes with applications to mobile health. </w:t>
      </w:r>
      <w:r>
        <w:rPr>
          <w:i/>
          <w:iCs/>
          <w:sz w:val="17"/>
          <w:szCs w:val="17"/>
        </w:rPr>
        <w:t xml:space="preserve">Journal of the American Statistical Association</w:t>
      </w:r>
      <w:r>
        <w:rPr>
          <w:sz w:val="17"/>
          <w:szCs w:val="17"/>
        </w:rPr>
        <w:t xml:space="preserve">, 116(533), 382–391 (details as given in the twenty-paper note; not re-checked here).</w:t>
      </w:r>
      <w:r>
        <w:rPr>
          <w:sz w:val="17"/>
          <w:szCs w:val="17"/>
        </w:rPr>
        <w:t xml:space="preserve"> </w:t>
      </w:r>
      <w:hyperlink w:history="1" r:id="rIdrpwcg0k2mey9tkjbnp647">
        <w:r>
          <w:rPr>
            <w:color w:val="1D4ED8"/>
            <w:sz w:val="17"/>
            <w:szCs w:val="17"/>
            <w:u w:val="single"/>
          </w:rPr>
          <w:t xml:space="preserve">https://doi.org/10.1080/01621459.2020.1807993</w:t>
        </w:r>
      </w:hyperlink>
    </w:p>
    <w:p>
      <w:pPr>
        <w:tabs>
          <w:tab w:val="left" w:pos="454"/>
        </w:tabs>
        <w:spacing w:after="50"/>
        <w:ind w:left="454" w:hanging="454"/>
      </w:pPr>
      <w:r>
        <w:rPr>
          <w:b/>
          <w:bCs/>
          <w:color w:val="1F3864"/>
          <w:sz w:val="17"/>
          <w:szCs w:val="17"/>
        </w:rPr>
        <w:t xml:space="preserve">[21]	</w:t>
      </w:r>
      <w:r>
        <w:rPr>
          <w:sz w:val="17"/>
          <w:szCs w:val="17"/>
        </w:rPr>
        <w:t xml:space="preserve">Elmachtoub, A. N. &amp; Grigas, P. (2022). Smart "predict, then optimize". </w:t>
      </w:r>
      <w:r>
        <w:rPr>
          <w:i/>
          <w:iCs/>
          <w:sz w:val="17"/>
          <w:szCs w:val="17"/>
        </w:rPr>
        <w:t xml:space="preserve">Management Science</w:t>
      </w:r>
      <w:r>
        <w:rPr>
          <w:sz w:val="17"/>
          <w:szCs w:val="17"/>
        </w:rPr>
        <w:t xml:space="preserve">, 68(1), 9–26 (details as given in the twenty-paper note; not re-checked here).</w:t>
      </w:r>
      <w:r>
        <w:rPr>
          <w:sz w:val="17"/>
          <w:szCs w:val="17"/>
        </w:rPr>
        <w:t xml:space="preserve"> </w:t>
      </w:r>
      <w:hyperlink w:history="1" r:id="rIdby7ir6klvcq9eiohk4d-j">
        <w:r>
          <w:rPr>
            <w:color w:val="1D4ED8"/>
            <w:sz w:val="17"/>
            <w:szCs w:val="17"/>
            <w:u w:val="single"/>
          </w:rPr>
          <w:t xml:space="preserve">https://doi.org/10.1287/mnsc.2020.3922</w:t>
        </w:r>
      </w:hyperlink>
    </w:p>
    <w:p>
      <w:pPr>
        <w:tabs>
          <w:tab w:val="left" w:pos="454"/>
        </w:tabs>
        <w:spacing w:after="50"/>
        <w:ind w:left="454" w:hanging="454"/>
      </w:pPr>
      <w:r>
        <w:rPr>
          <w:b/>
          <w:bCs/>
          <w:color w:val="1F3864"/>
          <w:sz w:val="17"/>
          <w:szCs w:val="17"/>
        </w:rPr>
        <w:t xml:space="preserve">[22]	</w:t>
      </w:r>
      <w:r>
        <w:rPr>
          <w:sz w:val="17"/>
          <w:szCs w:val="17"/>
        </w:rPr>
        <w:t xml:space="preserve">Ahmadi, A. A. &amp; El Khadir, B. (2023). Learning dynamical systems with side information. </w:t>
      </w:r>
      <w:r>
        <w:rPr>
          <w:i/>
          <w:iCs/>
          <w:sz w:val="17"/>
          <w:szCs w:val="17"/>
        </w:rPr>
        <w:t xml:space="preserve">SIAM Review</w:t>
      </w:r>
      <w:r>
        <w:rPr>
          <w:sz w:val="17"/>
          <w:szCs w:val="17"/>
        </w:rPr>
        <w:t xml:space="preserve">, 65(1), 183–223 (details as given in the twenty-paper note; not re-checked here).</w:t>
      </w:r>
      <w:r>
        <w:rPr>
          <w:sz w:val="17"/>
          <w:szCs w:val="17"/>
        </w:rPr>
        <w:t xml:space="preserve"> </w:t>
      </w:r>
      <w:hyperlink w:history="1" r:id="rIdttqzotvast1xnranou43_">
        <w:r>
          <w:rPr>
            <w:color w:val="1D4ED8"/>
            <w:sz w:val="17"/>
            <w:szCs w:val="17"/>
            <w:u w:val="single"/>
          </w:rPr>
          <w:t xml:space="preserve">https://doi.org/10.1137/20M1388644</w:t>
        </w:r>
      </w:hyperlink>
    </w:p>
    <w:p>
      <w:pPr>
        <w:tabs>
          <w:tab w:val="left" w:pos="454"/>
        </w:tabs>
        <w:spacing w:after="50"/>
        <w:ind w:left="454" w:hanging="454"/>
      </w:pPr>
      <w:r>
        <w:rPr>
          <w:b/>
          <w:bCs/>
          <w:color w:val="1F3864"/>
          <w:sz w:val="17"/>
          <w:szCs w:val="17"/>
        </w:rPr>
        <w:t xml:space="preserve">[23]	</w:t>
      </w:r>
      <w:r>
        <w:rPr>
          <w:sz w:val="17"/>
          <w:szCs w:val="17"/>
        </w:rPr>
        <w:t xml:space="preserve">Ahmadi, A. A., Chaudhry, A., Sindhwani, V. &amp; Tu, S. (2026). Safely learning dynamical systems. </w:t>
      </w:r>
      <w:r>
        <w:rPr>
          <w:i/>
          <w:iCs/>
          <w:sz w:val="17"/>
          <w:szCs w:val="17"/>
        </w:rPr>
        <w:t xml:space="preserve">Foundations of Computational Mathematics</w:t>
      </w:r>
      <w:r>
        <w:rPr>
          <w:sz w:val="17"/>
          <w:szCs w:val="17"/>
        </w:rPr>
        <w:t xml:space="preserve">, 26(2), 999–1068 (details as given in the twenty-paper note; not re-checked here).</w:t>
      </w:r>
      <w:r>
        <w:rPr>
          <w:sz w:val="17"/>
          <w:szCs w:val="17"/>
        </w:rPr>
        <w:t xml:space="preserve"> </w:t>
      </w:r>
      <w:hyperlink w:history="1" r:id="rIdov9nkyr82jownacepikw_">
        <w:r>
          <w:rPr>
            <w:color w:val="1D4ED8"/>
            <w:sz w:val="17"/>
            <w:szCs w:val="17"/>
            <w:u w:val="single"/>
          </w:rPr>
          <w:t xml:space="preserve">https://doi.org/10.1007/s10208-025-09689-8</w:t>
        </w:r>
      </w:hyperlink>
    </w:p>
    <w:p>
      <w:pPr>
        <w:tabs>
          <w:tab w:val="left" w:pos="454"/>
        </w:tabs>
        <w:spacing w:after="50"/>
        <w:ind w:left="454" w:hanging="454"/>
      </w:pPr>
      <w:r>
        <w:rPr>
          <w:b/>
          <w:bCs/>
          <w:color w:val="1F3864"/>
          <w:sz w:val="17"/>
          <w:szCs w:val="17"/>
        </w:rPr>
        <w:t xml:space="preserve">[24]	</w:t>
      </w:r>
      <w:r>
        <w:rPr>
          <w:sz w:val="17"/>
          <w:szCs w:val="17"/>
        </w:rPr>
        <w:t xml:space="preserve">Perri, S. &amp; Porporato, A. (2022). Environmental concentrations as ratios of random variables. </w:t>
      </w:r>
      <w:r>
        <w:rPr>
          <w:i/>
          <w:iCs/>
          <w:sz w:val="17"/>
          <w:szCs w:val="17"/>
        </w:rPr>
        <w:t xml:space="preserve">Environmental Research Letters</w:t>
      </w:r>
      <w:r>
        <w:rPr>
          <w:sz w:val="17"/>
          <w:szCs w:val="17"/>
        </w:rPr>
        <w:t xml:space="preserve">, 17(2), 024011 (details as given in the twenty-paper note; not re-checked here); its full text was not read there either.</w:t>
      </w:r>
      <w:r>
        <w:rPr>
          <w:sz w:val="17"/>
          <w:szCs w:val="17"/>
        </w:rPr>
        <w:t xml:space="preserve"> </w:t>
      </w:r>
      <w:hyperlink w:history="1" r:id="rIde5jibwhw-tnkf1zma0hn2">
        <w:r>
          <w:rPr>
            <w:color w:val="1D4ED8"/>
            <w:sz w:val="17"/>
            <w:szCs w:val="17"/>
            <w:u w:val="single"/>
          </w:rPr>
          <w:t xml:space="preserve">https://doi.org/10.1088/1748-9326/ac4a9f</w:t>
        </w:r>
      </w:hyperlink>
    </w:p>
    <w:p>
      <w:pPr>
        <w:tabs>
          <w:tab w:val="left" w:pos="454"/>
        </w:tabs>
        <w:spacing w:after="50"/>
        <w:ind w:left="454" w:hanging="454"/>
      </w:pPr>
      <w:r>
        <w:rPr>
          <w:b/>
          <w:bCs/>
          <w:color w:val="1F3864"/>
          <w:sz w:val="17"/>
          <w:szCs w:val="17"/>
        </w:rPr>
        <w:t xml:space="preserve">[25]	</w:t>
      </w:r>
      <w:r>
        <w:rPr>
          <w:sz w:val="17"/>
          <w:szCs w:val="17"/>
        </w:rPr>
        <w:t xml:space="preserve">Strack, O. D. L. (1976). A single-potential solution for regional interface problems in coastal aquifers. </w:t>
      </w:r>
      <w:r>
        <w:rPr>
          <w:i/>
          <w:iCs/>
          <w:sz w:val="17"/>
          <w:szCs w:val="17"/>
        </w:rPr>
        <w:t xml:space="preserve">Water Resources Research</w:t>
      </w:r>
      <w:r>
        <w:rPr>
          <w:sz w:val="17"/>
          <w:szCs w:val="17"/>
        </w:rPr>
        <w:t xml:space="preserve">, 12(6), 1165–1174 (not re-checked against the publisher).</w:t>
      </w:r>
    </w:p>
    <w:p>
      <w:pPr>
        <w:tabs>
          <w:tab w:val="left" w:pos="454"/>
        </w:tabs>
        <w:spacing w:after="50"/>
        <w:ind w:left="454" w:hanging="454"/>
      </w:pPr>
      <w:r>
        <w:rPr>
          <w:b/>
          <w:bCs/>
          <w:color w:val="1F3864"/>
          <w:sz w:val="17"/>
          <w:szCs w:val="17"/>
        </w:rPr>
        <w:t xml:space="preserve">[26]	</w:t>
      </w:r>
      <w:r>
        <w:rPr>
          <w:sz w:val="17"/>
          <w:szCs w:val="17"/>
        </w:rPr>
        <w:t xml:space="preserve">Lei, J., G'Sell, M., Rinaldo, A., Tibshirani, R. J. &amp; Wasserman, L. (2018). Distribution-free predictive inference for regression. </w:t>
      </w:r>
      <w:r>
        <w:rPr>
          <w:i/>
          <w:iCs/>
          <w:sz w:val="17"/>
          <w:szCs w:val="17"/>
        </w:rPr>
        <w:t xml:space="preserve">Journal of the American Statistical Association</w:t>
      </w:r>
      <w:r>
        <w:rPr>
          <w:sz w:val="17"/>
          <w:szCs w:val="17"/>
        </w:rPr>
        <w:t xml:space="preserve">, 113(523), 1094–1111 (not verified against the publisher).</w:t>
      </w:r>
    </w:p>
    <w:p>
      <w:pPr>
        <w:tabs>
          <w:tab w:val="left" w:pos="454"/>
        </w:tabs>
        <w:spacing w:after="50"/>
        <w:ind w:left="454" w:hanging="454"/>
      </w:pPr>
      <w:r>
        <w:rPr>
          <w:b/>
          <w:bCs/>
          <w:color w:val="1F3864"/>
          <w:sz w:val="17"/>
          <w:szCs w:val="17"/>
        </w:rPr>
        <w:t xml:space="preserve">[27]	</w:t>
      </w:r>
      <w:r>
        <w:rPr>
          <w:sz w:val="17"/>
          <w:szCs w:val="17"/>
        </w:rPr>
        <w:t xml:space="preserve">Cenameri, S. &amp; Beqiraj, A. (2016). Assessment of seawater intrusion in Fushë-Kuqe aquifer, Albania. </w:t>
      </w:r>
      <w:r>
        <w:rPr>
          <w:i/>
          <w:iCs/>
          <w:sz w:val="17"/>
          <w:szCs w:val="17"/>
        </w:rPr>
        <w:t xml:space="preserve">Bulletin of the Geological Society of Greece</w:t>
      </w:r>
      <w:r>
        <w:rPr>
          <w:sz w:val="17"/>
          <w:szCs w:val="17"/>
        </w:rPr>
        <w:t xml:space="preserve">, 50(2), 665–670.</w:t>
      </w:r>
      <w:r>
        <w:rPr>
          <w:sz w:val="17"/>
          <w:szCs w:val="17"/>
        </w:rPr>
        <w:t xml:space="preserve"> </w:t>
      </w:r>
      <w:hyperlink w:history="1" r:id="rId2suo3av7ius6mfoho8lxr">
        <w:r>
          <w:rPr>
            <w:color w:val="1D4ED8"/>
            <w:sz w:val="17"/>
            <w:szCs w:val="17"/>
            <w:u w:val="single"/>
          </w:rPr>
          <w:t xml:space="preserve">https://doi.org/10.12681/bgsg.11772</w:t>
        </w:r>
      </w:hyperlink>
    </w:p>
    <w:p>
      <w:pPr>
        <w:tabs>
          <w:tab w:val="left" w:pos="454"/>
        </w:tabs>
        <w:spacing w:after="50"/>
        <w:ind w:left="454" w:hanging="454"/>
      </w:pPr>
      <w:r>
        <w:rPr>
          <w:b/>
          <w:bCs/>
          <w:color w:val="1F3864"/>
          <w:sz w:val="17"/>
          <w:szCs w:val="17"/>
        </w:rPr>
        <w:t xml:space="preserve">[28]	</w:t>
      </w:r>
      <w:r>
        <w:rPr>
          <w:sz w:val="17"/>
          <w:szCs w:val="17"/>
        </w:rPr>
        <w:t xml:space="preserve">Zeqiraj, D. (2026). </w:t>
      </w:r>
      <w:r>
        <w:rPr>
          <w:i/>
          <w:iCs/>
          <w:sz w:val="17"/>
          <w:szCs w:val="17"/>
        </w:rPr>
        <w:t xml:space="preserve">PRAG-GO and PRAG-MAR at Fushë-Kuqe: monitoring and managed aquifer recharge oriented to the intrusion risk of supply wells, recomputed with the geolocated sea boundary</w:t>
      </w:r>
      <w:r>
        <w:rPr>
          <w:sz w:val="17"/>
          <w:szCs w:val="17"/>
        </w:rPr>
        <w:t xml:space="preserve">. Research note of the author's series.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Twenty chloride papers and anchor regression · SPIRANCA-GO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qasxbtdo2amu7zu3ju5y" Type="http://schemas.openxmlformats.org/officeDocument/2006/relationships/hyperlink" Target="https://doi.org/10.1016/j.jhydrol.2026.136559" TargetMode="External"/><Relationship Id="rId5tqr0ec60p_35gcgvvesw" Type="http://schemas.openxmlformats.org/officeDocument/2006/relationships/hyperlink" Target="https://doi.org/10.1111/rssb.12398" TargetMode="External"/><Relationship Id="rIdw178tkp1hl2qjjyxd8zxm" Type="http://schemas.openxmlformats.org/officeDocument/2006/relationships/hyperlink" Target="https://doi.org/10.1214/24-AOAS1998" TargetMode="External"/><Relationship Id="rIdc8clbshexife77lewsxem" Type="http://schemas.openxmlformats.org/officeDocument/2006/relationships/hyperlink" Target="https://doi.org/10.1111/rssb.12356" TargetMode="External"/><Relationship Id="rIdzogjnun-r-4gfrpgs_ng2" Type="http://schemas.openxmlformats.org/officeDocument/2006/relationships/hyperlink" Target="https://doi.org/10.1093/biomet/asz077" TargetMode="External"/><Relationship Id="rId6pt7carnpjfa0rolnotsb" Type="http://schemas.openxmlformats.org/officeDocument/2006/relationships/hyperlink" Target="https://jmlr.org/papers/v22/20-469.html" TargetMode="External"/><Relationship Id="rId3nnsekytckoazkbmaj0j4" Type="http://schemas.openxmlformats.org/officeDocument/2006/relationships/hyperlink" Target="https://doi.org/10.1016/j.jcp.2021.110141" TargetMode="External"/><Relationship Id="rIdoochothsaasc2lefl8v4h" Type="http://schemas.openxmlformats.org/officeDocument/2006/relationships/hyperlink" Target="https://proceedings.mlr.press/v108/foster20a.html" TargetMode="External"/><Relationship Id="rIdnrfvw2wbv53qf3wzh7use" Type="http://schemas.openxmlformats.org/officeDocument/2006/relationships/hyperlink" Target="https://proceedings.mlr.press/v206/bickfordsmith23a.html" TargetMode="External"/><Relationship Id="rIdrahm5tthqr4lco8afocie" Type="http://schemas.openxmlformats.org/officeDocument/2006/relationships/hyperlink" Target="https://proceedings.mlr.press/v139/foster21a.html" TargetMode="External"/><Relationship Id="rIdd8x5piofpcnev1vav3ivs" Type="http://schemas.openxmlformats.org/officeDocument/2006/relationships/hyperlink" Target="https://arxiv.org/abs/2402.15898" TargetMode="External"/><Relationship Id="rIdjo9kbvvwfcbwb85hzvafd" Type="http://schemas.openxmlformats.org/officeDocument/2006/relationships/hyperlink" Target="https://doi.org/10.1145/3478535" TargetMode="External"/><Relationship Id="rIdq7v8ruh_rlmarybi_yuet" Type="http://schemas.openxmlformats.org/officeDocument/2006/relationships/hyperlink" Target="https://doi.org/10.1080/01621459.2022.2144737" TargetMode="External"/><Relationship Id="rIddhgtan5j1c2vyhy9tpbje" Type="http://schemas.openxmlformats.org/officeDocument/2006/relationships/hyperlink" Target="https://doi.org/10.1093/biomet/asad033" TargetMode="External"/><Relationship Id="rIdiut7f-gsjoyjtahynstfd" Type="http://schemas.openxmlformats.org/officeDocument/2006/relationships/hyperlink" Target="https://doi.org/10.1093/biomet/asaf049" TargetMode="External"/><Relationship Id="rIdrpwcg0k2mey9tkjbnp647" Type="http://schemas.openxmlformats.org/officeDocument/2006/relationships/hyperlink" Target="https://doi.org/10.1080/01621459.2020.1807993" TargetMode="External"/><Relationship Id="rIdby7ir6klvcq9eiohk4d-j" Type="http://schemas.openxmlformats.org/officeDocument/2006/relationships/hyperlink" Target="https://doi.org/10.1287/mnsc.2020.3922" TargetMode="External"/><Relationship Id="rIdttqzotvast1xnranou43_" Type="http://schemas.openxmlformats.org/officeDocument/2006/relationships/hyperlink" Target="https://doi.org/10.1137/20M1388644" TargetMode="External"/><Relationship Id="rIdov9nkyr82jownacepikw_" Type="http://schemas.openxmlformats.org/officeDocument/2006/relationships/hyperlink" Target="https://doi.org/10.1007/s10208-025-09689-8" TargetMode="External"/><Relationship Id="rIde5jibwhw-tnkf1zma0hn2" Type="http://schemas.openxmlformats.org/officeDocument/2006/relationships/hyperlink" Target="https://doi.org/10.1088/1748-9326/ac4a9f" TargetMode="External"/><Relationship Id="rId2suo3av7ius6mfoho8lxr" Type="http://schemas.openxmlformats.org/officeDocument/2006/relationships/hyperlink" Target="https://doi.org/10.12681/bgsg.11772" TargetMode="External"/><Relationship Id="rId11" Type="http://schemas.openxmlformats.org/officeDocument/2006/relationships/image" Target="media/bc8c0c5d954cc73553064a529b768cdcd0a28f88.png"/><Relationship Id="rId12" Type="http://schemas.openxmlformats.org/officeDocument/2006/relationships/image" Target="media/57a414715a99bc61d1e71837ddcebf6b933a03d1.png"/><Relationship Id="rId13" Type="http://schemas.openxmlformats.org/officeDocument/2006/relationships/image" Target="media/13d9c8fc5dfd9f57cd0930b9d8fe5e405e5c71b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twenty chloride papers and anchor regression give the Fushë-Kuqe work: checks, extractions and a chloride alarm that survives the decision</dc:title>
  <dc:subject>Checks and extractions from twenty papers for the Fushë-Kuqe chloride manuscript, and SPIRANCA-GO: a chloride alarm built from heads that stays certified after the pumping decision and under an unrecorded warming</dc:subject>
  <dc:creator>D. Zeqiraj</dc:creator>
  <dc:description>Checks and extractions from twenty papers for the Fushë-Kuqe chloride manuscript, and SPIRANCA-GO: a chloride alarm built from heads that stays certified after the pumping decision and under an unrecorded warming</dc:description>
  <cp:lastModifiedBy>D. Zeqiraj</cp:lastModifiedBy>
  <cp:revision>1</cp:revision>
  <dcterms:created xsi:type="dcterms:W3CDTF">2026-10-27T19:15:30.513Z</dcterms:created>
  <dcterms:modified xsi:type="dcterms:W3CDTF">2026-10-27T19:15:30.513Z</dcterms:modified>
</cp:coreProperties>
</file>

<file path=docProps/custom.xml><?xml version="1.0" encoding="utf-8"?>
<Properties xmlns="http://schemas.openxmlformats.org/officeDocument/2006/custom-properties" xmlns:vt="http://schemas.openxmlformats.org/officeDocument/2006/docPropsVTypes"/>
</file>