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/>
          <w:b/>
          <w:i w:val="0"/>
          <w:color w:val="1F3864"/>
          <w:sz w:val="36"/>
        </w:rPr>
        <w:t>CERTAIN-COAST — References</w:t>
      </w:r>
    </w:p>
    <w:p>
      <w:pPr>
        <w:spacing w:after="200" w:before="0"/>
        <w:jc w:val="center"/>
      </w:pPr>
      <w:r>
        <w:rPr>
          <w:rFonts w:ascii="Arial" w:hAnsi="Arial" w:eastAsia="Arial"/>
          <w:b/>
          <w:i w:val="0"/>
          <w:color w:val="1F3864"/>
          <w:sz w:val="24"/>
        </w:rPr>
        <w:t>Certified early warning for seawater intrusion, liquefaction and extreme sea levels at the wellfields, port and energy landfall of a subsiding Adriatic coast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This list brings together the </w:t>
      </w:r>
      <w:r>
        <w:rPr>
          <w:rFonts w:ascii="Arial" w:hAnsi="Arial" w:eastAsia="Arial"/>
          <w:b/>
          <w:i w:val="0"/>
          <w:sz w:val="22"/>
        </w:rPr>
        <w:t>67 sources</w:t>
      </w:r>
      <w:r>
        <w:rPr>
          <w:rFonts w:ascii="Arial" w:hAnsi="Arial" w:eastAsia="Arial"/>
          <w:b w:val="0"/>
          <w:i w:val="0"/>
          <w:sz w:val="22"/>
        </w:rPr>
        <w:t xml:space="preserve"> cited in the CERTAIN-COAST documents, in six groups with their own codes: the 30 papers of the State of the Art [1]–[30] and the local study [L1]; the classic method references of the Methodology [C]; NATO and SPS documents [N]; policy, legal and ethics frameworks [F]; and data standards and repositories [D]. Each entry says where it is used. A map links each innovation of the project to the references it builds on, and a compact key list is given for form fields with a word limit.</w:t>
      </w:r>
    </w:p>
    <w:p>
      <w:pPr>
        <w:spacing w:after="160" w:before="0"/>
      </w:pPr>
      <w:r>
        <w:rPr>
          <w:rFonts w:ascii="Arial" w:hAnsi="Arial" w:eastAsia="Arial"/>
          <w:b/>
          <w:i w:val="0"/>
          <w:color w:val="52606D"/>
          <w:sz w:val="19"/>
        </w:rPr>
        <w:t xml:space="preserve">Verification. </w:t>
      </w:r>
      <w:r>
        <w:rPr>
          <w:rFonts w:ascii="Arial" w:hAnsi="Arial" w:eastAsia="Arial"/>
          <w:b w:val="0"/>
          <w:i/>
          <w:color w:val="52606D"/>
          <w:sz w:val="19"/>
        </w:rPr>
        <w:t>Verification: each entry was checked against publisher, proceedings or institutional-repository records through web search; publisher sites could not be opened directly from this environment. Gaps are stated in the entry (the DOI of [27]). Some free links are repository records whose full text was not checked. No 2020–2026 paper on seawater intrusion with an author at the four universities was found; the intrusion state of the art rests on the preparatory work and is itself a gap. NATO, legal and policy sources were checked on the official pages through web search; one call summary is a third-party page and is marked as such.</w:t>
      </w:r>
    </w:p>
    <w:p>
      <w:pPr>
        <w:keepNext/>
        <w:spacing w:after="120" w:before="80"/>
      </w:pPr>
      <w:r>
        <w:rPr>
          <w:rFonts w:ascii="Arial" w:hAnsi="Arial" w:eastAsia="Arial"/>
          <w:b/>
          <w:i w:val="0"/>
          <w:color w:val="1F3864"/>
          <w:sz w:val="27"/>
        </w:rPr>
        <w:t>1. Innovations and the references they build 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669"/>
        <w:gridCol w:w="3288"/>
      </w:tblGrid>
      <w:tr>
        <w:trPr>
          <w:cantSplit/>
          <w:tblHeader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Innovation</w:t>
            </w:r>
          </w:p>
        </w:tc>
        <w:tc>
          <w:tcPr>
            <w:tcW w:type="dxa" w:w="328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Builds on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M1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Certified multi-hazard alarm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[19], [20], [21], [23], [27]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M2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 joint guarantee across hazards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No direct precedent found: new in CERTAIN-COAST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M3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Multi-hazard goal-oriented sensor design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[16], [30]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M4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An error-certified surrogate of the coupled model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[23], [25], [26]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M5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Nonstationary extremes with measured land motion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[4], [5], [6]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P1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One relative-sea-level boundary for all three hazards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[1], [2], [3], [4], [5]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P2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 time-varying liquefaction factor of safety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[10], [12], [16], [17], [18]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P3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The pumping lever made explicit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No direct precedent found: new in CERTAIN-COAST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P4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The compaction tipping point as a warning in itself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[2], [3]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P5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Seismic velocity as a pore-pressure sensor in saturated coastal sediments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[11], [16], [17], [18]</w:t>
            </w:r>
          </w:p>
        </w:tc>
      </w:tr>
    </w:tbl>
    <w:p>
      <w:pPr>
        <w:spacing w:after="120" w:before="60"/>
      </w:pPr>
      <w:r>
        <w:rPr>
          <w:rFonts w:ascii="Arial" w:hAnsi="Arial" w:eastAsia="Arial"/>
          <w:b w:val="0"/>
          <w:i/>
          <w:color w:val="52606D"/>
          <w:sz w:val="19"/>
        </w:rPr>
        <w:t>M: mathematical innovations; P: physical innovations (State of the Art, Section 4). References are those cited in each statement and those whose "beyond" note names the innovation.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2. Scientific literature (State of the Art)</w:t>
      </w:r>
    </w:p>
    <w:p>
      <w:pPr>
        <w:keepNext/>
        <w:spacing w:after="60" w:before="80"/>
      </w:pPr>
      <w:r>
        <w:rPr>
          <w:rFonts w:ascii="Arial" w:hAnsi="Arial" w:eastAsia="Arial"/>
          <w:b/>
          <w:i w:val="0"/>
          <w:color w:val="2E6DB4"/>
          <w:sz w:val="22"/>
        </w:rPr>
        <w:t>A. Subsidence and relative sea level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[1]  </w:t>
      </w:r>
      <w:r>
        <w:rPr>
          <w:rFonts w:ascii="Arial" w:hAnsi="Arial" w:eastAsia="Arial"/>
          <w:b w:val="0"/>
          <w:i w:val="0"/>
          <w:sz w:val="20"/>
        </w:rPr>
        <w:t xml:space="preserve">Zheng, Y. and Simons, M. (2025). Integrating long-term InSAR monitoring into local groundwater management: insights from the Hollywood Basin, California. Water Resources Research 61(11), e2024WR039161. </w:t>
      </w:r>
      <w:hyperlink r:id="rId9">
        <w:r>
          <w:rPr>
            <w:rFonts w:ascii="Arial" w:hAnsi="Arial"/>
            <w:color w:val="1F5FBF"/>
            <w:u w:val="single"/>
            <w:sz w:val="19"/>
          </w:rPr>
          <w:t xml:space="preserve">doi.org/10.1029/2024WR039161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Caltech; free copy: essopenarchive.org/doi/full/10.22541/essoar.173046635.57543794/v1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[2]  </w:t>
      </w:r>
      <w:r>
        <w:rPr>
          <w:rFonts w:ascii="Arial" w:hAnsi="Arial" w:eastAsia="Arial"/>
          <w:b w:val="0"/>
          <w:i w:val="0"/>
          <w:sz w:val="20"/>
        </w:rPr>
        <w:t xml:space="preserve">Larochelle, S., Chanard, K., Dalaison, M., Fortin, J., et al., including Avouac, J.-P. (2026). Abrupt transition to irreversible damage in the overdrafted Sacramento Valley aquifer system. PNAS 123(31), e2526041123. </w:t>
      </w:r>
      <w:hyperlink r:id="rId10">
        <w:r>
          <w:rPr>
            <w:rFonts w:ascii="Arial" w:hAnsi="Arial"/>
            <w:color w:val="1F5FBF"/>
            <w:u w:val="single"/>
            <w:sz w:val="19"/>
          </w:rPr>
          <w:t xml:space="preserve">doi.org/10.1073/pnas.2526041123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Caltech; free copy: authors.library.caltech.edu/records/hjp15-k0645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P4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[3]  </w:t>
      </w:r>
      <w:r>
        <w:rPr>
          <w:rFonts w:ascii="Arial" w:hAnsi="Arial" w:eastAsia="Arial"/>
          <w:b w:val="0"/>
          <w:i w:val="0"/>
          <w:sz w:val="20"/>
        </w:rPr>
        <w:t xml:space="preserve">Li, Y., Acosta, M., Sirorattanakul, K., Bourne, S. and Avouac, J.-P. (2025). Geodetic monitoring of elastic and inelastic deformation in compacting reservoirs due to subsurface operations. Journal of Geophysical Research: Solid Earth 130(3), e2024JB030794. </w:t>
      </w:r>
      <w:hyperlink r:id="rId11">
        <w:r>
          <w:rPr>
            <w:rFonts w:ascii="Arial" w:hAnsi="Arial"/>
            <w:color w:val="1F5FBF"/>
            <w:u w:val="single"/>
            <w:sz w:val="19"/>
          </w:rPr>
          <w:t xml:space="preserve">doi.org/10.1029/2024JB030794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Caltech; free copy: authors.library.caltech.edu/records/vbhry-09e90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[4]  </w:t>
      </w:r>
      <w:r>
        <w:rPr>
          <w:rFonts w:ascii="Arial" w:hAnsi="Arial" w:eastAsia="Arial"/>
          <w:b w:val="0"/>
          <w:i w:val="0"/>
          <w:sz w:val="20"/>
        </w:rPr>
        <w:t xml:space="preserve">Dangendorf, S., Oelsmann, J., Mitrovica, J.X., Törnqvist, T.E., Piecuch, C.G., Creel, R., Coronel, W., Thompson, P.R., Ebinger, C. and Wahl, T. (2026). Variable contributions of vertical land motion to sea-level change inferred at tide gauges. Nature Geoscience 19, 814–821. </w:t>
      </w:r>
      <w:hyperlink r:id="rId12">
        <w:r>
          <w:rPr>
            <w:rFonts w:ascii="Arial" w:hAnsi="Arial"/>
            <w:color w:val="1F5FBF"/>
            <w:u w:val="single"/>
            <w:sz w:val="19"/>
          </w:rPr>
          <w:t xml:space="preserve">doi.org/10.1038/s41561-026-02005-1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Harvard; paywalled; free copy due at par.nsf.gov in June 2027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M5, P1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[5]  </w:t>
      </w:r>
      <w:r>
        <w:rPr>
          <w:rFonts w:ascii="Arial" w:hAnsi="Arial" w:eastAsia="Arial"/>
          <w:b w:val="0"/>
          <w:i w:val="0"/>
          <w:sz w:val="20"/>
        </w:rPr>
        <w:t xml:space="preserve">Dangendorf, S., Sun, Q., Wahl, T., Thompson, P., Mitrovica, J.X. and Hamlington, B. (2024). Probabilistic reconstruction of sea-level changes and their causes since 1900. Earth System Science Data 16, 3471–3494. </w:t>
      </w:r>
      <w:hyperlink r:id="rId13">
        <w:r>
          <w:rPr>
            <w:rFonts w:ascii="Arial" w:hAnsi="Arial"/>
            <w:color w:val="1F5FBF"/>
            <w:u w:val="single"/>
            <w:sz w:val="19"/>
          </w:rPr>
          <w:t xml:space="preserve">doi.org/10.5194/essd-16-3471-2024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Harvard; free copy: essd.copernicus.org/articles/16/3471/2024/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keepNext/>
        <w:spacing w:after="60" w:before="80"/>
      </w:pPr>
      <w:r>
        <w:rPr>
          <w:rFonts w:ascii="Arial" w:hAnsi="Arial" w:eastAsia="Arial"/>
          <w:b/>
          <w:i w:val="0"/>
          <w:color w:val="2E6DB4"/>
          <w:sz w:val="22"/>
        </w:rPr>
        <w:t>B. Extreme sea levels, compound flooding and ports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[6]  </w:t>
      </w:r>
      <w:r>
        <w:rPr>
          <w:rFonts w:ascii="Arial" w:hAnsi="Arial" w:eastAsia="Arial"/>
          <w:b w:val="0"/>
          <w:i w:val="0"/>
          <w:sz w:val="20"/>
        </w:rPr>
        <w:t xml:space="preserve">Dangendorf, S., Sun, Q., Maduwantha, P., Wahl, T., Marcos, M., Marzeion, B., Slangen, A.B.A. and Mitrovica, J.X. (2026). Human-driven sea-level rise has quadrupled the frequency of coastal sea-level extremes since 1900. Nature Climate Change 16(7), 796–803. </w:t>
      </w:r>
      <w:hyperlink r:id="rId14">
        <w:r>
          <w:rPr>
            <w:rFonts w:ascii="Arial" w:hAnsi="Arial"/>
            <w:color w:val="1F5FBF"/>
            <w:u w:val="single"/>
            <w:sz w:val="19"/>
          </w:rPr>
          <w:t xml:space="preserve">doi.org/10.1038/s41558-026-02659-0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Harvard (Mitrovica); free copy: publications.marum.de/5800/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M5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[7]  </w:t>
      </w:r>
      <w:r>
        <w:rPr>
          <w:rFonts w:ascii="Arial" w:hAnsi="Arial" w:eastAsia="Arial"/>
          <w:b w:val="0"/>
          <w:i w:val="0"/>
          <w:sz w:val="20"/>
        </w:rPr>
        <w:t xml:space="preserve">Sarhadi, A., Rousseau-Rizzi, R., Mandli, K., Neal, J., Wiper, M.P., Feldmann, M. and Emanuel, K. (2024). Climate change contributions to increasing compound flooding risk in New York City. Bulletin of the American Meteorological Society 105(2), E337–E356. </w:t>
      </w:r>
      <w:hyperlink r:id="rId15">
        <w:r>
          <w:rPr>
            <w:rFonts w:ascii="Arial" w:hAnsi="Arial"/>
            <w:color w:val="1F5FBF"/>
            <w:u w:val="single"/>
            <w:sz w:val="19"/>
          </w:rPr>
          <w:t xml:space="preserve">doi.org/10.1175/BAMS-D-23-0177.1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MIT (Emanuel); free copy: dspace.mit.edu/handle/1721.1/169800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[8]  </w:t>
      </w:r>
      <w:r>
        <w:rPr>
          <w:rFonts w:ascii="Arial" w:hAnsi="Arial" w:eastAsia="Arial"/>
          <w:b w:val="0"/>
          <w:i w:val="0"/>
          <w:sz w:val="20"/>
        </w:rPr>
        <w:t xml:space="preserve">Fernandez-Perez, A., Verschuur, J., Lara, J.L., Losada, I.J. and Hall, J.W. (2025). Compound climate risks to European ports. Environmental Research: Climate 5(1), 015005. </w:t>
      </w:r>
      <w:hyperlink r:id="rId16">
        <w:r>
          <w:rPr>
            <w:rFonts w:ascii="Arial" w:hAnsi="Arial"/>
            <w:color w:val="1F5FBF"/>
            <w:u w:val="single"/>
            <w:sz w:val="19"/>
          </w:rPr>
          <w:t xml:space="preserve">doi.org/10.1088/2752-5295/ae26bc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Oxford (Hall); free copy: ora.ox.ac.uk/objects/uuid:d97b8693-4357-416e-aa2b-6e12136d97ae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[9]  </w:t>
      </w:r>
      <w:r>
        <w:rPr>
          <w:rFonts w:ascii="Arial" w:hAnsi="Arial" w:eastAsia="Arial"/>
          <w:b w:val="0"/>
          <w:i w:val="0"/>
          <w:sz w:val="20"/>
        </w:rPr>
        <w:t xml:space="preserve">Verschuur, J., Koks, E.E., Li, S. and Hall, J.W. (2023). Multi-hazard risk to global port infrastructure and resulting trade and logistics losses. Communications Earth &amp; Environment 4, 5. </w:t>
      </w:r>
      <w:hyperlink r:id="rId17">
        <w:r>
          <w:rPr>
            <w:rFonts w:ascii="Arial" w:hAnsi="Arial"/>
            <w:color w:val="1F5FBF"/>
            <w:u w:val="single"/>
            <w:sz w:val="19"/>
          </w:rPr>
          <w:t xml:space="preserve">doi.org/10.1038/s43247-022-00656-7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Oxford (Hall)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keepNext/>
        <w:spacing w:after="60" w:before="80"/>
      </w:pPr>
      <w:r>
        <w:rPr>
          <w:rFonts w:ascii="Arial" w:hAnsi="Arial" w:eastAsia="Arial"/>
          <w:b/>
          <w:i w:val="0"/>
          <w:color w:val="2E6DB4"/>
          <w:sz w:val="22"/>
        </w:rPr>
        <w:t>C. Liquefaction and the foundations of port and landfall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[10]  </w:t>
      </w:r>
      <w:r>
        <w:rPr>
          <w:rFonts w:ascii="Arial" w:hAnsi="Arial" w:eastAsia="Arial"/>
          <w:b w:val="0"/>
          <w:i w:val="0"/>
          <w:sz w:val="20"/>
        </w:rPr>
        <w:t xml:space="preserve">Bullock, Z., Zimmaro, P., Lavrentiadis, G., Wang, P., Ojomo, O., Asimaki, D., Rathje, E.M. and Stewart, J.P. (2023). A latent Gaussian process model for the spatial distribution of liquefaction manifestation. Earthquake Spectra 39(2), 1189–1213. </w:t>
      </w:r>
      <w:hyperlink r:id="rId18">
        <w:r>
          <w:rPr>
            <w:rFonts w:ascii="Arial" w:hAnsi="Arial"/>
            <w:color w:val="1F5FBF"/>
            <w:u w:val="single"/>
            <w:sz w:val="19"/>
          </w:rPr>
          <w:t xml:space="preserve">doi.org/10.1177/87552930231163894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(Asimaki); free copy: escholarship.org/uc/item/2f93p946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P2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[11]  </w:t>
      </w:r>
      <w:r>
        <w:rPr>
          <w:rFonts w:ascii="Arial" w:hAnsi="Arial" w:eastAsia="Arial"/>
          <w:b w:val="0"/>
          <w:i w:val="0"/>
          <w:sz w:val="20"/>
        </w:rPr>
        <w:t xml:space="preserve">Yang, Y., Atterholt, J.W., Shen, Z., Muir, J.B., Williams, E.F. and Zhan, Z. (2022). Sub-kilometer correlation between near-surface structure and ground motion measured with distributed acoustic sensing. Geophysical Research Letters 49(1), e2021GL096503. </w:t>
      </w:r>
      <w:hyperlink r:id="rId19">
        <w:r>
          <w:rPr>
            <w:rFonts w:ascii="Arial" w:hAnsi="Arial"/>
            <w:color w:val="1F5FBF"/>
            <w:u w:val="single"/>
            <w:sz w:val="19"/>
          </w:rPr>
          <w:t xml:space="preserve">doi.org/10.1029/2021GL096503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(Zhan); free copy: resolver.caltech.edu/CaltechAUTHORS:20220120-890594000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P5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[12]  </w:t>
      </w:r>
      <w:r>
        <w:rPr>
          <w:rFonts w:ascii="Arial" w:hAnsi="Arial" w:eastAsia="Arial"/>
          <w:b w:val="0"/>
          <w:i w:val="0"/>
          <w:sz w:val="20"/>
        </w:rPr>
        <w:t xml:space="preserve">Qin, L., Steidl, J.H., Qiu, H., Nakata, N. and Ben-Zion, Y. (2022). Monitoring seasonal shear wave velocity changes in the top 6 m at Garner Valley in Southern California with borehole data. Geophysical Research Letters 49, e2022GL101189. </w:t>
      </w:r>
      <w:hyperlink r:id="rId20">
        <w:r>
          <w:rPr>
            <w:rFonts w:ascii="Arial" w:hAnsi="Arial"/>
            <w:color w:val="1F5FBF"/>
            <w:u w:val="single"/>
            <w:sz w:val="19"/>
          </w:rPr>
          <w:t xml:space="preserve">doi.org/10.1029/2022GL101189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MIT (Nakata); free copy: www.osti.gov/pages/biblio/1903071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[13]  </w:t>
      </w:r>
      <w:r>
        <w:rPr>
          <w:rFonts w:ascii="Arial" w:hAnsi="Arial" w:eastAsia="Arial"/>
          <w:b w:val="0"/>
          <w:i w:val="0"/>
          <w:sz w:val="20"/>
        </w:rPr>
        <w:t xml:space="preserve">Byrne, B.W., Houlsby, G.T., Burd, H.J., Gavin, K.G., Igoe, D.J.P., Jardine, R.J., et al. (2020). PISA design model for monopiles for offshore wind turbines: application to a stiff glacial clay till. Géotechnique 70(11), 1030–1047. </w:t>
      </w:r>
      <w:hyperlink r:id="rId21">
        <w:r>
          <w:rPr>
            <w:rFonts w:ascii="Arial" w:hAnsi="Arial"/>
            <w:color w:val="1F5FBF"/>
            <w:u w:val="single"/>
            <w:sz w:val="19"/>
          </w:rPr>
          <w:t xml:space="preserve">doi.org/10.1680/jgeot.18.P.255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Oxford (Byrne, Houlsby, Burd, Martin); free copy: research.tudelft.nl/en/publications/pisa-design-model-for-monopiles-for-offshore-wind-turbines-applic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[14]  </w:t>
      </w:r>
      <w:r>
        <w:rPr>
          <w:rFonts w:ascii="Arial" w:hAnsi="Arial" w:eastAsia="Arial"/>
          <w:b w:val="0"/>
          <w:i w:val="0"/>
          <w:sz w:val="20"/>
        </w:rPr>
        <w:t xml:space="preserve">Burd, H.J., Abadie, C.N., Byrne, B.W., Houlsby, G.T., Martin, C.M., McAdam, R.A., et al. (2020). Application of the PISA design model to monopiles embedded in layered soils. Géotechnique 70(11), 1067–1082. </w:t>
      </w:r>
      <w:hyperlink r:id="rId22">
        <w:r>
          <w:rPr>
            <w:rFonts w:ascii="Arial" w:hAnsi="Arial"/>
            <w:color w:val="1F5FBF"/>
            <w:u w:val="single"/>
            <w:sz w:val="19"/>
          </w:rPr>
          <w:t xml:space="preserve">doi.org/10.1680/jgeot.20.PISA.009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Oxford; free copy: spiral.imperial.ac.uk/entities/publication/ae22661c-46e4-4710-ac7a-7b44a602fa47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[15]  </w:t>
      </w:r>
      <w:r>
        <w:rPr>
          <w:rFonts w:ascii="Arial" w:hAnsi="Arial" w:eastAsia="Arial"/>
          <w:b w:val="0"/>
          <w:i w:val="0"/>
          <w:sz w:val="20"/>
        </w:rPr>
        <w:t xml:space="preserve">Abadie, C.N., Beuckelaers, W.J.A.P., Byrne, B.W., Burd, H.J. and McAdam, R.A. (2023). Modeling lifetime performance of monopile foundations for offshore wind applications. Journal of Geotechnical and Geoenvironmental Engineering 149(8), 04023051. </w:t>
      </w:r>
      <w:hyperlink r:id="rId23">
        <w:r>
          <w:rPr>
            <w:rFonts w:ascii="Arial" w:hAnsi="Arial"/>
            <w:color w:val="1F5FBF"/>
            <w:u w:val="single"/>
            <w:sz w:val="19"/>
          </w:rPr>
          <w:t xml:space="preserve">doi.org/10.1061/JGGEFK.GTENG-9833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Oxford; free copy: ora.ox.ac.uk/objects/uuid:5077c91e-daec-48a8-ad24-de711938f81d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keepNext/>
        <w:spacing w:after="60" w:before="80"/>
      </w:pPr>
      <w:r>
        <w:rPr>
          <w:rFonts w:ascii="Arial" w:hAnsi="Arial" w:eastAsia="Arial"/>
          <w:b/>
          <w:i w:val="0"/>
          <w:color w:val="2E6DB4"/>
          <w:sz w:val="22"/>
        </w:rPr>
        <w:t>D. Continuous sensing of groundwater and soil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[16]  </w:t>
      </w:r>
      <w:r>
        <w:rPr>
          <w:rFonts w:ascii="Arial" w:hAnsi="Arial" w:eastAsia="Arial"/>
          <w:b w:val="0"/>
          <w:i w:val="0"/>
          <w:sz w:val="20"/>
        </w:rPr>
        <w:t xml:space="preserve">Mao, S., Lecointre, A., van der Hilst, R.D. and Campillo, M. (2022). Space-time monitoring of groundwater fluctuations with passive seismic interferometry. Nature Communications 13, 4643. </w:t>
      </w:r>
      <w:hyperlink r:id="rId24">
        <w:r>
          <w:rPr>
            <w:rFonts w:ascii="Arial" w:hAnsi="Arial"/>
            <w:color w:val="1F5FBF"/>
            <w:u w:val="single"/>
            <w:sz w:val="19"/>
          </w:rPr>
          <w:t xml:space="preserve">doi.org/10.1038/s41467-022-32194-3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MIT; free copy: www.ncbi.nlm.nih.gov/pmc/articles/PMC9360030/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M3, P5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[17]  </w:t>
      </w:r>
      <w:r>
        <w:rPr>
          <w:rFonts w:ascii="Arial" w:hAnsi="Arial" w:eastAsia="Arial"/>
          <w:b w:val="0"/>
          <w:i w:val="0"/>
          <w:sz w:val="20"/>
        </w:rPr>
        <w:t xml:space="preserve">Shen, Z., Yang, Y., Fu, X., Adams, K.H., Biondi, E. and Zhan, Z. (2024). Fiber-optic seismic sensing of vadose zone soil moisture dynamics. Nature Communications 15, 6432. </w:t>
      </w:r>
      <w:hyperlink r:id="rId25">
        <w:r>
          <w:rPr>
            <w:rFonts w:ascii="Arial" w:hAnsi="Arial"/>
            <w:color w:val="1F5FBF"/>
            <w:u w:val="single"/>
            <w:sz w:val="19"/>
          </w:rPr>
          <w:t xml:space="preserve">doi.org/10.1038/s41467-024-50690-6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(Zhan, Fu); free copy: www.nature.com/articles/s41467-024-50690-6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[18]  </w:t>
      </w:r>
      <w:r>
        <w:rPr>
          <w:rFonts w:ascii="Arial" w:hAnsi="Arial" w:eastAsia="Arial"/>
          <w:b w:val="0"/>
          <w:i w:val="0"/>
          <w:sz w:val="20"/>
        </w:rPr>
        <w:t xml:space="preserve">Clements, T. and Denolle, M.A. (2023). The seismic signature of California's earthquakes, droughts, and floods. Journal of Geophysical Research: Solid Earth 128(1), e2022JB025553. </w:t>
      </w:r>
      <w:hyperlink r:id="rId26">
        <w:r>
          <w:rPr>
            <w:rFonts w:ascii="Arial" w:hAnsi="Arial"/>
            <w:color w:val="1F5FBF"/>
            <w:u w:val="single"/>
            <w:sz w:val="19"/>
          </w:rPr>
          <w:t xml:space="preserve">doi.org/10.1029/2022JB025553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Harvard; free copy: eartharxiv.org/repository/view/4658/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keepNext/>
        <w:spacing w:after="60" w:before="80"/>
      </w:pPr>
      <w:r>
        <w:rPr>
          <w:rFonts w:ascii="Arial" w:hAnsi="Arial" w:eastAsia="Arial"/>
          <w:b/>
          <w:i w:val="0"/>
          <w:color w:val="2E6DB4"/>
          <w:sz w:val="22"/>
        </w:rPr>
        <w:t>E. Mathematics of certified warning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[19]  </w:t>
      </w:r>
      <w:r>
        <w:rPr>
          <w:rFonts w:ascii="Arial" w:hAnsi="Arial" w:eastAsia="Arial"/>
          <w:b w:val="0"/>
          <w:i w:val="0"/>
          <w:sz w:val="20"/>
        </w:rPr>
        <w:t xml:space="preserve">Angelopoulos, A.N., Bates, S., Fisch, A., Lei, L. and Schuster, T. (2024). Conformal risk control. International Conference on Learning Representations (ICLR 2024). </w:t>
      </w:r>
      <w:hyperlink r:id="rId27">
        <w:r>
          <w:rPr>
            <w:rFonts w:ascii="Arial" w:hAnsi="Arial"/>
            <w:color w:val="1F5FBF"/>
            <w:u w:val="single"/>
            <w:sz w:val="19"/>
          </w:rPr>
          <w:t xml:space="preserve">proceedings.iclr.cc/paper_files/paper/2024/hash/f3549ef9b5ff520a7e41ff3cc306ab2b-Abstract-Conference.html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MIT (Bates, Fisch); free copy: arxiv.org/abs/2208.02814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M1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[20]  </w:t>
      </w:r>
      <w:r>
        <w:rPr>
          <w:rFonts w:ascii="Arial" w:hAnsi="Arial" w:eastAsia="Arial"/>
          <w:b w:val="0"/>
          <w:i w:val="0"/>
          <w:sz w:val="20"/>
        </w:rPr>
        <w:t xml:space="preserve">Angelopoulos, A.N., Barber, R.F. and Bates, S. (2024). Online conformal prediction with decaying step sizes. Proceedings of the 41st International Conference on Machine Learning, PMLR 235, 1616–1630. </w:t>
      </w:r>
      <w:hyperlink r:id="rId28">
        <w:r>
          <w:rPr>
            <w:rFonts w:ascii="Arial" w:hAnsi="Arial"/>
            <w:color w:val="1F5FBF"/>
            <w:u w:val="single"/>
            <w:sz w:val="19"/>
          </w:rPr>
          <w:t xml:space="preserve">proceedings.mlr.press/v235/angelopoulos24a.html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MIT (Bates); free copy: arxiv.org/abs/2402.01139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[21]  </w:t>
      </w:r>
      <w:r>
        <w:rPr>
          <w:rFonts w:ascii="Arial" w:hAnsi="Arial" w:eastAsia="Arial"/>
          <w:b w:val="0"/>
          <w:i w:val="0"/>
          <w:sz w:val="20"/>
        </w:rPr>
        <w:t xml:space="preserve">Zhang, Z., Bombara, D. and Yang, H. (2024). Discounted adaptive online learning: towards better regularization. Proceedings of the 41st International Conference on Machine Learning, PMLR 235, 58631–58661. </w:t>
      </w:r>
      <w:hyperlink r:id="rId29">
        <w:r>
          <w:rPr>
            <w:rFonts w:ascii="Arial" w:hAnsi="Arial"/>
            <w:color w:val="1F5FBF"/>
            <w:u w:val="single"/>
            <w:sz w:val="19"/>
          </w:rPr>
          <w:t xml:space="preserve">proceedings.mlr.press/v235/zhang24e.html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Harvard (Yang); free copy: arxiv.org/abs/2402.02720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[22]  </w:t>
      </w:r>
      <w:r>
        <w:rPr>
          <w:rFonts w:ascii="Arial" w:hAnsi="Arial" w:eastAsia="Arial"/>
          <w:b w:val="0"/>
          <w:i w:val="0"/>
          <w:sz w:val="20"/>
        </w:rPr>
        <w:t xml:space="preserve">Dixit, A., Lindemann, L., Wei, S.X., Cleaveland, M., Pappas, G.J. and Burdick, J.W. (2023). Adaptive conformal prediction for motion planning among dynamic agents. Proceedings of the 5th Learning for Dynamics and Control Conference, PMLR 211, 300–314. </w:t>
      </w:r>
      <w:hyperlink r:id="rId30">
        <w:r>
          <w:rPr>
            <w:rFonts w:ascii="Arial" w:hAnsi="Arial"/>
            <w:color w:val="1F5FBF"/>
            <w:u w:val="single"/>
            <w:sz w:val="19"/>
          </w:rPr>
          <w:t xml:space="preserve">proceedings.mlr.press/v211/dixit23a.html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(Burdick); free copy: arxiv.org/abs/2212.00278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[23]  </w:t>
      </w:r>
      <w:r>
        <w:rPr>
          <w:rFonts w:ascii="Arial" w:hAnsi="Arial" w:eastAsia="Arial"/>
          <w:b w:val="0"/>
          <w:i w:val="0"/>
          <w:sz w:val="20"/>
        </w:rPr>
        <w:t xml:space="preserve">Ma, Z., Pitt, D., Azizzadenesheli, K. and Anandkumar, A. (2024). Calibrated uncertainty quantification for operator learning via conformal prediction. Transactions on Machine Learning Research, August 2024. </w:t>
      </w:r>
      <w:hyperlink r:id="rId31">
        <w:r>
          <w:rPr>
            <w:rFonts w:ascii="Arial" w:hAnsi="Arial"/>
            <w:color w:val="1F5FBF"/>
            <w:u w:val="single"/>
            <w:sz w:val="19"/>
          </w:rPr>
          <w:t xml:space="preserve">openreview.net/forum?id=cGpegxy12T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(Anandkumar); free copy: arxiv.org/abs/2402.01960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M1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[24]  </w:t>
      </w:r>
      <w:r>
        <w:rPr>
          <w:rFonts w:ascii="Arial" w:hAnsi="Arial" w:eastAsia="Arial"/>
          <w:b w:val="0"/>
          <w:i w:val="0"/>
          <w:sz w:val="20"/>
        </w:rPr>
        <w:t xml:space="preserve">Fong, E. and Holmes, C. (2021). Conformal Bayesian computation. Advances in Neural Information Processing Systems 34 (NeurIPS 2021). </w:t>
      </w:r>
      <w:hyperlink r:id="rId32">
        <w:r>
          <w:rPr>
            <w:rFonts w:ascii="Arial" w:hAnsi="Arial"/>
            <w:color w:val="1F5FBF"/>
            <w:u w:val="single"/>
            <w:sz w:val="19"/>
          </w:rPr>
          <w:t xml:space="preserve">proceedings.neurips.cc/paper/2021/hash/97785e0500ad16c18574c64189ccf4b4-Abstract.html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Oxford (Holmes); free copy: proceedings.nips.cc/paper_files/paper/2021/file/97785e0500ad16c18574c64189ccf4b4-Paper.pdf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[25]  </w:t>
      </w:r>
      <w:r>
        <w:rPr>
          <w:rFonts w:ascii="Arial" w:hAnsi="Arial" w:eastAsia="Arial"/>
          <w:b w:val="0"/>
          <w:i w:val="0"/>
          <w:sz w:val="20"/>
        </w:rPr>
        <w:t xml:space="preserve">Kovachki, N., Li, Z., Liu, B., Azizzadenesheli, K., Bhattacharya, K., Stuart, A. and Anandkumar, A. (2023). Neural operator: learning maps between function spaces with applications to PDEs. Journal of Machine Learning Research 24(89), 1–97. </w:t>
      </w:r>
      <w:hyperlink r:id="rId33">
        <w:r>
          <w:rPr>
            <w:rFonts w:ascii="Arial" w:hAnsi="Arial"/>
            <w:color w:val="1F5FBF"/>
            <w:u w:val="single"/>
            <w:sz w:val="19"/>
          </w:rPr>
          <w:t xml:space="preserve">www.jmlr.org/papers/v24/21-1524.html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(Stuart, Anandkumar); free copy: arxiv.org/abs/2108.08481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[26]  </w:t>
      </w:r>
      <w:r>
        <w:rPr>
          <w:rFonts w:ascii="Arial" w:hAnsi="Arial" w:eastAsia="Arial"/>
          <w:b w:val="0"/>
          <w:i w:val="0"/>
          <w:sz w:val="20"/>
        </w:rPr>
        <w:t xml:space="preserve">Chen, Y., Hosseini, B., Owhadi, H. and Stuart, A.M. (2021). Solving and learning nonlinear PDEs with Gaussian processes. Journal of Computational Physics 447, 110668. </w:t>
      </w:r>
      <w:hyperlink r:id="rId34">
        <w:r>
          <w:rPr>
            <w:rFonts w:ascii="Arial" w:hAnsi="Arial"/>
            <w:color w:val="1F5FBF"/>
            <w:u w:val="single"/>
            <w:sz w:val="19"/>
          </w:rPr>
          <w:t xml:space="preserve">doi.org/10.1016/j.jcp.2021.110668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(Owhadi, Stuart); free copy: arxiv.org/abs/2103.12959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[27]  </w:t>
      </w:r>
      <w:r>
        <w:rPr>
          <w:rFonts w:ascii="Arial" w:hAnsi="Arial" w:eastAsia="Arial"/>
          <w:b w:val="0"/>
          <w:i w:val="0"/>
          <w:sz w:val="20"/>
        </w:rPr>
        <w:t xml:space="preserve">Hamze Bajgiran, H., Batlle, P., Owhadi, H., Samir, M., Scovel, C., Shirdel, M., Stanley, M. and Tavallali, P. (2022). Uncertainty quantification of the 4th kind; optimal posterior accuracy-uncertainty tradeoff with the minimum enclosing ball. Journal of Computational Physics 471, 111608. (DOI not confirmed.) </w:t>
      </w:r>
      <w:hyperlink r:id="rId35">
        <w:r>
          <w:rPr>
            <w:rFonts w:ascii="Arial" w:hAnsi="Arial"/>
            <w:color w:val="1F5FBF"/>
            <w:u w:val="single"/>
            <w:sz w:val="19"/>
          </w:rPr>
          <w:t xml:space="preserve">arxiv.org/abs/2108.10517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(Owhadi, Scovel); free copy: authors.library.caltech.edu/records/v0cp5-ykc35/preview/2108.10517.pdf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[28]  </w:t>
      </w:r>
      <w:r>
        <w:rPr>
          <w:rFonts w:ascii="Arial" w:hAnsi="Arial" w:eastAsia="Arial"/>
          <w:b w:val="0"/>
          <w:i w:val="0"/>
          <w:sz w:val="20"/>
        </w:rPr>
        <w:t xml:space="preserve">Calvello, E., Reich, S. and Stuart, A.M. (2025). Ensemble Kalman methods: a mean-field perspective. Acta Numerica 34, 123–291. </w:t>
      </w:r>
      <w:hyperlink r:id="rId36">
        <w:r>
          <w:rPr>
            <w:rFonts w:ascii="Arial" w:hAnsi="Arial"/>
            <w:color w:val="1F5FBF"/>
            <w:u w:val="single"/>
            <w:sz w:val="19"/>
          </w:rPr>
          <w:t xml:space="preserve">doi.org/10.1017/S0962492924000060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Caltech (Stuart); free copy: arxiv.org/abs/2209.11371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[29]  </w:t>
      </w:r>
      <w:r>
        <w:rPr>
          <w:rFonts w:ascii="Arial" w:hAnsi="Arial" w:eastAsia="Arial"/>
          <w:b w:val="0"/>
          <w:i w:val="0"/>
          <w:sz w:val="20"/>
        </w:rPr>
        <w:t xml:space="preserve">Zahm, O., Cui, T., Law, K., Spantini, A. and Marzouk, Y. (2022). Certified dimension reduction in nonlinear Bayesian inverse problems. Mathematics of Computation 91(336), 1789–1835. </w:t>
      </w:r>
      <w:hyperlink r:id="rId37">
        <w:r>
          <w:rPr>
            <w:rFonts w:ascii="Arial" w:hAnsi="Arial"/>
            <w:color w:val="1F5FBF"/>
            <w:u w:val="single"/>
            <w:sz w:val="19"/>
          </w:rPr>
          <w:t xml:space="preserve">www.ams.org/journals/mcom/2022-91-336/S0025-5718-2022-03737-6/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MIT (Marzouk); free copy: arxiv.org/abs/1807.03712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[30]  </w:t>
      </w:r>
      <w:r>
        <w:rPr>
          <w:rFonts w:ascii="Arial" w:hAnsi="Arial" w:eastAsia="Arial"/>
          <w:b w:val="0"/>
          <w:i w:val="0"/>
          <w:sz w:val="20"/>
        </w:rPr>
        <w:t xml:space="preserve">Huan, X., Jagalur, J. and Marzouk, Y. (2024). Optimal experimental design: formulations and computations. Acta Numerica 33, 715–840. </w:t>
      </w:r>
      <w:hyperlink r:id="rId38">
        <w:r>
          <w:rPr>
            <w:rFonts w:ascii="Arial" w:hAnsi="Arial"/>
            <w:color w:val="1F5FBF"/>
            <w:u w:val="single"/>
            <w:sz w:val="19"/>
          </w:rPr>
          <w:t xml:space="preserve">doi.org/10.1017/S0962492924000023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MIT (Marzouk); free version: check the authors' pages or arXiv   </w:t>
      </w:r>
      <w:r>
        <w:rPr>
          <w:rFonts w:ascii="Arial" w:hAnsi="Arial" w:eastAsia="Arial"/>
          <w:b w:val="0"/>
          <w:i/>
          <w:color w:val="1E8A5A"/>
          <w:sz w:val="18"/>
        </w:rPr>
        <w:t>Used in: State of the Art; innovations M3</w:t>
      </w:r>
    </w:p>
    <w:p>
      <w:pPr>
        <w:keepNext/>
        <w:spacing w:after="60" w:before="80"/>
      </w:pPr>
      <w:r>
        <w:rPr>
          <w:rFonts w:ascii="Arial" w:hAnsi="Arial" w:eastAsia="Arial"/>
          <w:b/>
          <w:i w:val="0"/>
          <w:color w:val="2E6DB4"/>
          <w:sz w:val="22"/>
        </w:rPr>
        <w:t>Local study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[L1]  </w:t>
      </w:r>
      <w:r>
        <w:rPr>
          <w:rFonts w:ascii="Arial" w:hAnsi="Arial" w:eastAsia="Arial"/>
          <w:b w:val="0"/>
          <w:i w:val="0"/>
          <w:sz w:val="20"/>
        </w:rPr>
        <w:t xml:space="preserve">Mavroulis, S., Lekkas, E. and Carydis, P. (2021). Liquefaction phenomena induced by the 26 November 2019, Mw = 6.4 Durrës (Albania) earthquake and liquefaction susceptibility assessment in the affected area. Geosciences 11(5), 215. </w:t>
      </w:r>
      <w:hyperlink r:id="rId39">
        <w:r>
          <w:rPr>
            <w:rFonts w:ascii="Arial" w:hAnsi="Arial"/>
            <w:color w:val="1F5FBF"/>
            <w:u w:val="single"/>
            <w:sz w:val="19"/>
          </w:rPr>
          <w:t xml:space="preserve">doi.org/10.3390/geosciences11050215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State of the Art; Security Relevance (2019 liquefaction at Durrës)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3. Classic method references (Methodology)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[C1]  </w:t>
      </w:r>
      <w:r>
        <w:rPr>
          <w:rFonts w:ascii="Arial" w:hAnsi="Arial" w:eastAsia="Arial"/>
          <w:b w:val="0"/>
          <w:i w:val="0"/>
          <w:sz w:val="20"/>
        </w:rPr>
        <w:t xml:space="preserve">Angelopoulos, A.N., Candès, E.J., Tibshirani, R.J. (2023). Conformal PID control for time series prediction. NeurIPS 36.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[C2]  </w:t>
      </w:r>
      <w:r>
        <w:rPr>
          <w:rFonts w:ascii="Arial" w:hAnsi="Arial" w:eastAsia="Arial"/>
          <w:b w:val="0"/>
          <w:i w:val="0"/>
          <w:sz w:val="20"/>
        </w:rPr>
        <w:t xml:space="preserve">Becker, R., Rannacher, R. (2001). An optimal control approach to a posteriori error estimation in finite element methods. Acta Numerica 10, 1–102.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[C3]  </w:t>
      </w:r>
      <w:r>
        <w:rPr>
          <w:rFonts w:ascii="Arial" w:hAnsi="Arial" w:eastAsia="Arial"/>
          <w:b w:val="0"/>
          <w:i w:val="0"/>
          <w:sz w:val="20"/>
        </w:rPr>
        <w:t xml:space="preserve">Boulanger, R.W., Idriss, I.M. (2014). CPT and SPT based liquefaction triggering procedures. Report UCD/CGM-14/01, University of California, Davis.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[C4]  </w:t>
      </w:r>
      <w:r>
        <w:rPr>
          <w:rFonts w:ascii="Arial" w:hAnsi="Arial" w:eastAsia="Arial"/>
          <w:b w:val="0"/>
          <w:i w:val="0"/>
          <w:sz w:val="20"/>
        </w:rPr>
        <w:t xml:space="preserve">Coles, S. (2001). An Introduction to Statistical Modeling of Extreme Values. Springer.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[C5]  </w:t>
      </w:r>
      <w:r>
        <w:rPr>
          <w:rFonts w:ascii="Arial" w:hAnsi="Arial" w:eastAsia="Arial"/>
          <w:b w:val="0"/>
          <w:i w:val="0"/>
          <w:sz w:val="20"/>
        </w:rPr>
        <w:t xml:space="preserve">Emerick, A.A., Reynolds, A.C. (2013). Ensemble smoother with multiple data assimilation. Computers &amp; Geosciences 55, 3–15.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[C6]  </w:t>
      </w:r>
      <w:r>
        <w:rPr>
          <w:rFonts w:ascii="Arial" w:hAnsi="Arial" w:eastAsia="Arial"/>
          <w:b w:val="0"/>
          <w:i w:val="0"/>
          <w:sz w:val="20"/>
        </w:rPr>
        <w:t xml:space="preserve">Gibbs, I., Candès, E. (2021). Adaptive conformal inference under distribution shift. NeurIPS 34.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[C7]  </w:t>
      </w:r>
      <w:r>
        <w:rPr>
          <w:rFonts w:ascii="Arial" w:hAnsi="Arial" w:eastAsia="Arial"/>
          <w:b w:val="0"/>
          <w:i w:val="0"/>
          <w:sz w:val="20"/>
        </w:rPr>
        <w:t xml:space="preserve">Iwasaki, T., Tatsuoka, F., Tokida, K., Yasuda, S. (1978). A practical method for assessing soil liquefaction potential based on case studies at various sites in Japan. Proc. 2nd Int. Conf. on Microzonation, San Francisco.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[C8]  </w:t>
      </w:r>
      <w:r>
        <w:rPr>
          <w:rFonts w:ascii="Arial" w:hAnsi="Arial" w:eastAsia="Arial"/>
          <w:b w:val="0"/>
          <w:i w:val="0"/>
          <w:sz w:val="20"/>
        </w:rPr>
        <w:t xml:space="preserve">Riley, F.S. (1969). Analysis of borehole extensometer data from central California. IASH Publication 89, 423–431.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[C9]  </w:t>
      </w:r>
      <w:r>
        <w:rPr>
          <w:rFonts w:ascii="Arial" w:hAnsi="Arial" w:eastAsia="Arial"/>
          <w:b w:val="0"/>
          <w:i w:val="0"/>
          <w:sz w:val="20"/>
        </w:rPr>
        <w:t xml:space="preserve">Seed, H.B., Idriss, I.M. (1971). Simplified procedure for evaluating soil liquefaction potential. Journal of the Soil Mechanics and Foundations Division, ASCE 97(SM9), 1249–1273.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[C10]  </w:t>
      </w:r>
      <w:r>
        <w:rPr>
          <w:rFonts w:ascii="Arial" w:hAnsi="Arial" w:eastAsia="Arial"/>
          <w:b w:val="0"/>
          <w:i w:val="0"/>
          <w:sz w:val="20"/>
        </w:rPr>
        <w:t xml:space="preserve">Sens-Schönfelder, C., Wegler, U. (2006). Passive image interferometry and seasonal variations of seismic velocities at Merapi Volcano, Indonesia. Geophysical Research Letters 33, L21302.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4. NATO and SPS documents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[N1]  </w:t>
      </w:r>
      <w:r>
        <w:rPr>
          <w:rFonts w:ascii="Arial" w:hAnsi="Arial" w:eastAsia="Arial"/>
          <w:b w:val="0"/>
          <w:i w:val="0"/>
          <w:sz w:val="20"/>
        </w:rPr>
        <w:t xml:space="preserve">NATO (2024). Science for Peace and Security Programme: overview and Key Priorities. </w:t>
      </w:r>
      <w:hyperlink r:id="rId40">
        <w:r>
          <w:rPr>
            <w:rFonts w:ascii="Arial" w:hAnsi="Arial"/>
            <w:color w:val="1F5FBF"/>
            <w:u w:val="single"/>
            <w:sz w:val="19"/>
          </w:rPr>
          <w:t xml:space="preserve">www.nato.int/cps/en/natohq/85291.htm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Security Relevance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[N2]  </w:t>
      </w:r>
      <w:r>
        <w:rPr>
          <w:rFonts w:ascii="Arial" w:hAnsi="Arial" w:eastAsia="Arial"/>
          <w:b w:val="0"/>
          <w:i w:val="0"/>
          <w:sz w:val="20"/>
        </w:rPr>
        <w:t xml:space="preserve">NATO. Resilience, civil preparedness and Article 3 (baseline requirements for national resilience). </w:t>
      </w:r>
      <w:hyperlink r:id="rId41">
        <w:r>
          <w:rPr>
            <w:rFonts w:ascii="Arial" w:hAnsi="Arial"/>
            <w:color w:val="1F5FBF"/>
            <w:u w:val="single"/>
            <w:sz w:val="19"/>
          </w:rPr>
          <w:t xml:space="preserve">www.nato.int/cps/en/natohq/topics_132722.htm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Security Relevance; Sustainability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[N3]  </w:t>
      </w:r>
      <w:r>
        <w:rPr>
          <w:rFonts w:ascii="Arial" w:hAnsi="Arial" w:eastAsia="Arial"/>
          <w:b w:val="0"/>
          <w:i w:val="0"/>
          <w:sz w:val="20"/>
        </w:rPr>
        <w:t xml:space="preserve">NATO Allied Maritime Command (2024). NATO officially launches new Maritime Centre for Security of Critical Undersea Infrastructure. </w:t>
      </w:r>
      <w:hyperlink r:id="rId42">
        <w:r>
          <w:rPr>
            <w:rFonts w:ascii="Arial" w:hAnsi="Arial"/>
            <w:color w:val="1F5FBF"/>
            <w:u w:val="single"/>
            <w:sz w:val="19"/>
          </w:rPr>
          <w:t xml:space="preserve">mc.nato.int/media-centre/news/2024/nato-officially-launches-new-nmcscui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Security Relevance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[N4]  </w:t>
      </w:r>
      <w:r>
        <w:rPr>
          <w:rFonts w:ascii="Arial" w:hAnsi="Arial" w:eastAsia="Arial"/>
          <w:b w:val="0"/>
          <w:i w:val="0"/>
          <w:sz w:val="20"/>
        </w:rPr>
        <w:t xml:space="preserve">NATO SPS (2023). Multi-Year Project Handbook. </w:t>
      </w:r>
      <w:hyperlink r:id="rId43">
        <w:r>
          <w:rPr>
            <w:rFonts w:ascii="Arial" w:hAnsi="Arial"/>
            <w:color w:val="1F5FBF"/>
            <w:u w:val="single"/>
            <w:sz w:val="19"/>
          </w:rPr>
          <w:t xml:space="preserve">www.nato.int/content/dam/nato/webready/documents/sps/grants/2023/SPS_MYP_Handbook.pdf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Budget; Partnership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[N5]  </w:t>
      </w:r>
      <w:r>
        <w:rPr>
          <w:rFonts w:ascii="Arial" w:hAnsi="Arial" w:eastAsia="Arial"/>
          <w:b w:val="0"/>
          <w:i w:val="0"/>
          <w:sz w:val="20"/>
        </w:rPr>
        <w:t xml:space="preserve">NATO SPS (2020). Multi-Year Project Handbook. </w:t>
      </w:r>
      <w:hyperlink r:id="rId44">
        <w:r>
          <w:rPr>
            <w:rFonts w:ascii="Arial" w:hAnsi="Arial"/>
            <w:color w:val="1F5FBF"/>
            <w:u w:val="single"/>
            <w:sz w:val="19"/>
          </w:rPr>
          <w:t xml:space="preserve">nato.int/content/dam/nato/webready/documents/sps/grants/2020/2020-sps-myp-handbook.pdf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Budget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[N6]  </w:t>
      </w:r>
      <w:r>
        <w:rPr>
          <w:rFonts w:ascii="Arial" w:hAnsi="Arial" w:eastAsia="Arial"/>
          <w:b w:val="0"/>
          <w:i w:val="0"/>
          <w:sz w:val="20"/>
        </w:rPr>
        <w:t xml:space="preserve">NATO SPS (2017). Multi-Year Project Handbook. </w:t>
      </w:r>
      <w:hyperlink r:id="rId45">
        <w:r>
          <w:rPr>
            <w:rFonts w:ascii="Arial" w:hAnsi="Arial"/>
            <w:color w:val="1F5FBF"/>
            <w:u w:val="single"/>
            <w:sz w:val="19"/>
          </w:rPr>
          <w:t xml:space="preserve">nato.int/content/dam/nato/webready/documents/sps/grants/2017/1705_SPS_MYP_Handbook.pdf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Budget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[N7]  </w:t>
      </w:r>
      <w:r>
        <w:rPr>
          <w:rFonts w:ascii="Arial" w:hAnsi="Arial" w:eastAsia="Arial"/>
          <w:b w:val="0"/>
          <w:i w:val="0"/>
          <w:sz w:val="20"/>
        </w:rPr>
        <w:t xml:space="preserve">NATO SPS. Call for proposals 2027-1. </w:t>
      </w:r>
      <w:hyperlink r:id="rId46">
        <w:r>
          <w:rPr>
            <w:rFonts w:ascii="Arial" w:hAnsi="Arial"/>
            <w:color w:val="1F5FBF"/>
            <w:u w:val="single"/>
            <w:sz w:val="19"/>
          </w:rPr>
          <w:t xml:space="preserve">www.nato.int/content/dam/nato/webready/documents/sps/grants/SPS-Call4proposals-2027-1.pdf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Partnership; Letters; CVs; Timeline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[N8]  </w:t>
      </w:r>
      <w:r>
        <w:rPr>
          <w:rFonts w:ascii="Arial" w:hAnsi="Arial" w:eastAsia="Arial"/>
          <w:b w:val="0"/>
          <w:i w:val="0"/>
          <w:sz w:val="20"/>
        </w:rPr>
        <w:t xml:space="preserve">NATO SPS (2023). Sample application form, Multi-Year Project. </w:t>
      </w:r>
      <w:hyperlink r:id="rId47">
        <w:r>
          <w:rPr>
            <w:rFonts w:ascii="Arial" w:hAnsi="Arial"/>
            <w:color w:val="1F5FBF"/>
            <w:u w:val="single"/>
            <w:sz w:val="19"/>
          </w:rPr>
          <w:t xml:space="preserve">nato.int/content/dam/nato/webready/documents/sps/grants/2023/sps-myp-sample-application-form.pdf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Abstract; Sustainability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[N9]  </w:t>
      </w:r>
      <w:r>
        <w:rPr>
          <w:rFonts w:ascii="Arial" w:hAnsi="Arial" w:eastAsia="Arial"/>
          <w:b w:val="0"/>
          <w:i w:val="0"/>
          <w:sz w:val="20"/>
        </w:rPr>
        <w:t xml:space="preserve">NATO SPS (2023). Sample application form, Multi-Year Project, Phase 1. </w:t>
      </w:r>
      <w:hyperlink r:id="rId48">
        <w:r>
          <w:rPr>
            <w:rFonts w:ascii="Arial" w:hAnsi="Arial"/>
            <w:color w:val="1F5FBF"/>
            <w:u w:val="single"/>
            <w:sz w:val="19"/>
          </w:rPr>
          <w:t xml:space="preserve">nato.int/content/dam/nato/webready/documents/sps/grants/2023/Sample-Application-Form-for-MYP-Phase-1.pdf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Abstract; Partnership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[N10]  </w:t>
      </w:r>
      <w:r>
        <w:rPr>
          <w:rFonts w:ascii="Arial" w:hAnsi="Arial" w:eastAsia="Arial"/>
          <w:b w:val="0"/>
          <w:i w:val="0"/>
          <w:sz w:val="20"/>
        </w:rPr>
        <w:t xml:space="preserve">NATO SPS. Grant mechanisms. </w:t>
      </w:r>
      <w:hyperlink r:id="rId49">
        <w:r>
          <w:rPr>
            <w:rFonts w:ascii="Arial" w:hAnsi="Arial"/>
            <w:color w:val="1F5FBF"/>
            <w:u w:val="single"/>
            <w:sz w:val="19"/>
          </w:rPr>
          <w:t xml:space="preserve">www.nato.int/en/about-us/organization/nato-structure/science-for-peace-and-security-hub/grant-mechanisms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Budget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[N11]  </w:t>
      </w:r>
      <w:r>
        <w:rPr>
          <w:rFonts w:ascii="Arial" w:hAnsi="Arial" w:eastAsia="Arial"/>
          <w:b w:val="0"/>
          <w:i w:val="0"/>
          <w:sz w:val="20"/>
        </w:rPr>
        <w:t xml:space="preserve">NATO SPS (2012, older rules). Funding of Multi-Year Projects. </w:t>
      </w:r>
      <w:hyperlink r:id="rId50">
        <w:r>
          <w:rPr>
            <w:rFonts w:ascii="Arial" w:hAnsi="Arial"/>
            <w:color w:val="1F5FBF"/>
            <w:u w:val="single"/>
            <w:sz w:val="19"/>
          </w:rPr>
          <w:t xml:space="preserve">www.nato.int/cps/en/natohq/88198.htm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Budget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[N12]  </w:t>
      </w:r>
      <w:r>
        <w:rPr>
          <w:rFonts w:ascii="Arial" w:hAnsi="Arial" w:eastAsia="Arial"/>
          <w:b w:val="0"/>
          <w:i w:val="0"/>
          <w:sz w:val="20"/>
        </w:rPr>
        <w:t xml:space="preserve">NATO SPS (2023). Project kick-off presentation (stipend rates). </w:t>
      </w:r>
      <w:hyperlink r:id="rId51">
        <w:r>
          <w:rPr>
            <w:rFonts w:ascii="Arial" w:hAnsi="Arial"/>
            <w:color w:val="1F5FBF"/>
            <w:u w:val="single"/>
            <w:sz w:val="19"/>
          </w:rPr>
          <w:t xml:space="preserve">www.ftmc.lt/uploads/images/pages/projektai/SPS%20Presentation%20-%20KoM%20-%20Richard%20Brewin.pdf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Budget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[N13]  </w:t>
      </w:r>
      <w:r>
        <w:rPr>
          <w:rFonts w:ascii="Arial" w:hAnsi="Arial" w:eastAsia="Arial"/>
          <w:b w:val="0"/>
          <w:i w:val="0"/>
          <w:sz w:val="20"/>
        </w:rPr>
        <w:t xml:space="preserve">NATO (2024). Allies endorse a new NATO policy on Women, Peace and Security at the Summit in Washington. </w:t>
      </w:r>
      <w:hyperlink r:id="rId52">
        <w:r>
          <w:rPr>
            <w:rFonts w:ascii="Arial" w:hAnsi="Arial"/>
            <w:color w:val="1F5FBF"/>
            <w:u w:val="single"/>
            <w:sz w:val="19"/>
          </w:rPr>
          <w:t xml:space="preserve">www.nato.int/en/news-and-events/articles/news/2024/07/10/allies-endorse-a-new-nato-policy-on-women-peace-and-security-at-the-summit-in-washington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Gender Balance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[N14]  </w:t>
      </w:r>
      <w:r>
        <w:rPr>
          <w:rFonts w:ascii="Arial" w:hAnsi="Arial" w:eastAsia="Arial"/>
          <w:b w:val="0"/>
          <w:i w:val="0"/>
          <w:sz w:val="20"/>
        </w:rPr>
        <w:t xml:space="preserve">NATO (2021). NATO supports women and girls in science. </w:t>
      </w:r>
      <w:hyperlink r:id="rId53">
        <w:r>
          <w:rPr>
            <w:rFonts w:ascii="Arial" w:hAnsi="Arial"/>
            <w:color w:val="1F5FBF"/>
            <w:u w:val="single"/>
            <w:sz w:val="19"/>
          </w:rPr>
          <w:t xml:space="preserve">www.nato.int/en/news-and-events/articles/news/2021/02/11/nato-supports-women-and-girls-in-science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Gender Balance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[N15]  </w:t>
      </w:r>
      <w:r>
        <w:rPr>
          <w:rFonts w:ascii="Arial" w:hAnsi="Arial" w:eastAsia="Arial"/>
          <w:b w:val="0"/>
          <w:i w:val="0"/>
          <w:sz w:val="20"/>
        </w:rPr>
        <w:t xml:space="preserve">NATO (2021). Summary of the NATO Artificial Intelligence Strategy (Principles of Responsible Use). </w:t>
      </w:r>
      <w:hyperlink r:id="rId54">
        <w:r>
          <w:rPr>
            <w:rFonts w:ascii="Arial" w:hAnsi="Arial"/>
            <w:color w:val="1F5FBF"/>
            <w:u w:val="single"/>
            <w:sz w:val="19"/>
          </w:rPr>
          <w:t xml:space="preserve">www.nato.int/en/about-us/official-texts-and-resources/official-texts/2021/10/22/summary-of-the-nato-artificial-intelligence-strategy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Ethics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[N16]  </w:t>
      </w:r>
      <w:r>
        <w:rPr>
          <w:rFonts w:ascii="Arial" w:hAnsi="Arial" w:eastAsia="Arial"/>
          <w:b w:val="0"/>
          <w:i w:val="0"/>
          <w:sz w:val="20"/>
        </w:rPr>
        <w:t xml:space="preserve">Opportunities for Youth (2026). Summary of the NATO SPS 2027 call for proposals (third-party page). </w:t>
      </w:r>
      <w:hyperlink r:id="rId55">
        <w:r>
          <w:rPr>
            <w:rFonts w:ascii="Arial" w:hAnsi="Arial"/>
            <w:color w:val="1F5FBF"/>
            <w:u w:val="single"/>
            <w:sz w:val="19"/>
          </w:rPr>
          <w:t xml:space="preserve">opportunitiesforyouth.org/2026/09/14/nato-science-for-peace-and-security-programme-2027-call-for-proposals-funding-for-multi-year-projects-and-scientific-events/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52606D"/>
          <w:sz w:val="18"/>
        </w:rPr>
        <w:t xml:space="preserve">Third-party summary: confirm dates on nato.int   </w:t>
      </w:r>
      <w:r>
        <w:rPr>
          <w:rFonts w:ascii="Arial" w:hAnsi="Arial" w:eastAsia="Arial"/>
          <w:b w:val="0"/>
          <w:i/>
          <w:color w:val="1E8A5A"/>
          <w:sz w:val="18"/>
        </w:rPr>
        <w:t>Used in: Partnership; Timeline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5. Policy, legal and ethics frameworks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[F1]  </w:t>
      </w:r>
      <w:r>
        <w:rPr>
          <w:rFonts w:ascii="Arial" w:hAnsi="Arial" w:eastAsia="Arial"/>
          <w:b w:val="0"/>
          <w:i w:val="0"/>
          <w:sz w:val="20"/>
        </w:rPr>
        <w:t xml:space="preserve">United Nations (2015). Sendai Framework for Disaster Risk Reduction 2015–2030. UNDRR. </w:t>
      </w:r>
      <w:hyperlink r:id="rId56">
        <w:r>
          <w:rPr>
            <w:rFonts w:ascii="Arial" w:hAnsi="Arial"/>
            <w:color w:val="1F5FBF"/>
            <w:u w:val="single"/>
            <w:sz w:val="19"/>
          </w:rPr>
          <w:t xml:space="preserve">www.undrr.org/publication/sendai-framework-disaster-risk-reduction-2015-2030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Sustainability; Gender Balance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[F2]  </w:t>
      </w:r>
      <w:r>
        <w:rPr>
          <w:rFonts w:ascii="Arial" w:hAnsi="Arial" w:eastAsia="Arial"/>
          <w:b w:val="0"/>
          <w:i w:val="0"/>
          <w:sz w:val="20"/>
        </w:rPr>
        <w:t xml:space="preserve">United Nations. Sustainable Development Goals. </w:t>
      </w:r>
      <w:hyperlink r:id="rId57">
        <w:r>
          <w:rPr>
            <w:rFonts w:ascii="Arial" w:hAnsi="Arial"/>
            <w:color w:val="1F5FBF"/>
            <w:u w:val="single"/>
            <w:sz w:val="19"/>
          </w:rPr>
          <w:t xml:space="preserve">sdgs.un.org/goals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Sustainability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[F3]  </w:t>
      </w:r>
      <w:r>
        <w:rPr>
          <w:rFonts w:ascii="Arial" w:hAnsi="Arial" w:eastAsia="Arial"/>
          <w:b w:val="0"/>
          <w:i w:val="0"/>
          <w:sz w:val="20"/>
        </w:rPr>
        <w:t xml:space="preserve">United Nations. Early Warnings for All initiative. </w:t>
      </w:r>
      <w:hyperlink r:id="rId58">
        <w:r>
          <w:rPr>
            <w:rFonts w:ascii="Arial" w:hAnsi="Arial"/>
            <w:color w:val="1F5FBF"/>
            <w:u w:val="single"/>
            <w:sz w:val="19"/>
          </w:rPr>
          <w:t xml:space="preserve">www.un.org/en/climatechange/early-warnings-for-all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Sustainability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[F4]  </w:t>
      </w:r>
      <w:r>
        <w:rPr>
          <w:rFonts w:ascii="Arial" w:hAnsi="Arial" w:eastAsia="Arial"/>
          <w:b w:val="0"/>
          <w:i w:val="0"/>
          <w:sz w:val="20"/>
        </w:rPr>
        <w:t xml:space="preserve">Republic of Albania (2024). Law No. 124/2024 "On Personal Data Protection". Information and Data Protection Commissioner. </w:t>
      </w:r>
      <w:hyperlink r:id="rId59">
        <w:r>
          <w:rPr>
            <w:rFonts w:ascii="Arial" w:hAnsi="Arial"/>
            <w:color w:val="1F5FBF"/>
            <w:u w:val="single"/>
            <w:sz w:val="19"/>
          </w:rPr>
          <w:t xml:space="preserve">idp.al/wp-content/uploads/2025/03/Law-no.124-2024.pdf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Ethics; Data Management Plan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[F5]  </w:t>
      </w:r>
      <w:r>
        <w:rPr>
          <w:rFonts w:ascii="Arial" w:hAnsi="Arial" w:eastAsia="Arial"/>
          <w:b w:val="0"/>
          <w:i w:val="0"/>
          <w:sz w:val="20"/>
        </w:rPr>
        <w:t xml:space="preserve">European Union (2024). Regulation (EU) 2024/1689 laying down harmonised rules on artificial intelligence (AI Act). </w:t>
      </w:r>
      <w:hyperlink r:id="rId60">
        <w:r>
          <w:rPr>
            <w:rFonts w:ascii="Arial" w:hAnsi="Arial"/>
            <w:color w:val="1F5FBF"/>
            <w:u w:val="single"/>
            <w:sz w:val="19"/>
          </w:rPr>
          <w:t xml:space="preserve">eur-lex.europa.eu/eli/reg/2024/1689/oj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Ethics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[F6]  </w:t>
      </w:r>
      <w:r>
        <w:rPr>
          <w:rFonts w:ascii="Arial" w:hAnsi="Arial" w:eastAsia="Arial"/>
          <w:b w:val="0"/>
          <w:i w:val="0"/>
          <w:sz w:val="20"/>
        </w:rPr>
        <w:t xml:space="preserve">ALLEA (2023). The European Code of Conduct for Research Integrity, revised edition. </w:t>
      </w:r>
      <w:hyperlink r:id="rId61">
        <w:r>
          <w:rPr>
            <w:rFonts w:ascii="Arial" w:hAnsi="Arial"/>
            <w:color w:val="1F5FBF"/>
            <w:u w:val="single"/>
            <w:sz w:val="19"/>
          </w:rPr>
          <w:t xml:space="preserve">allea.org/code-of-conduct/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Ethics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6. Data standards and repositories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[D1]  </w:t>
      </w:r>
      <w:r>
        <w:rPr>
          <w:rFonts w:ascii="Arial" w:hAnsi="Arial" w:eastAsia="Arial"/>
          <w:b w:val="0"/>
          <w:i w:val="0"/>
          <w:sz w:val="20"/>
        </w:rPr>
        <w:t xml:space="preserve">Zenodo, open research repository (CERN). </w:t>
      </w:r>
      <w:hyperlink r:id="rId62">
        <w:r>
          <w:rPr>
            <w:rFonts w:ascii="Arial" w:hAnsi="Arial"/>
            <w:color w:val="1F5FBF"/>
            <w:u w:val="single"/>
            <w:sz w:val="19"/>
          </w:rPr>
          <w:t xml:space="preserve">zenodo.org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Data Management Plan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[D2]  </w:t>
      </w:r>
      <w:r>
        <w:rPr>
          <w:rFonts w:ascii="Arial" w:hAnsi="Arial" w:eastAsia="Arial"/>
          <w:b w:val="0"/>
          <w:i w:val="0"/>
          <w:sz w:val="20"/>
        </w:rPr>
        <w:t xml:space="preserve">DataCite metadata schema. </w:t>
      </w:r>
      <w:hyperlink r:id="rId63">
        <w:r>
          <w:rPr>
            <w:rFonts w:ascii="Arial" w:hAnsi="Arial"/>
            <w:color w:val="1F5FBF"/>
            <w:u w:val="single"/>
            <w:sz w:val="19"/>
          </w:rPr>
          <w:t xml:space="preserve">datacite.org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Data Management Plan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[D3]  </w:t>
      </w:r>
      <w:r>
        <w:rPr>
          <w:rFonts w:ascii="Arial" w:hAnsi="Arial" w:eastAsia="Arial"/>
          <w:b w:val="0"/>
          <w:i w:val="0"/>
          <w:sz w:val="20"/>
        </w:rPr>
        <w:t xml:space="preserve">International Federation of Digital Seismograph Networks (FDSN): miniSEED and StationXML standards. </w:t>
      </w:r>
      <w:hyperlink r:id="rId64">
        <w:r>
          <w:rPr>
            <w:rFonts w:ascii="Arial" w:hAnsi="Arial"/>
            <w:color w:val="1F5FBF"/>
            <w:u w:val="single"/>
            <w:sz w:val="19"/>
          </w:rPr>
          <w:t xml:space="preserve">www.fdsn.org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Data Management Plan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[D4]  </w:t>
      </w:r>
      <w:r>
        <w:rPr>
          <w:rFonts w:ascii="Arial" w:hAnsi="Arial" w:eastAsia="Arial"/>
          <w:b w:val="0"/>
          <w:i w:val="0"/>
          <w:sz w:val="20"/>
        </w:rPr>
        <w:t xml:space="preserve">CF (Climate and Forecast) metadata conventions for NetCDF. </w:t>
      </w:r>
      <w:hyperlink r:id="rId65">
        <w:r>
          <w:rPr>
            <w:rFonts w:ascii="Arial" w:hAnsi="Arial"/>
            <w:color w:val="1F5FBF"/>
            <w:u w:val="single"/>
            <w:sz w:val="19"/>
          </w:rPr>
          <w:t xml:space="preserve">cfconventions.org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Data Management Plan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[D5]  </w:t>
      </w:r>
      <w:r>
        <w:rPr>
          <w:rFonts w:ascii="Arial" w:hAnsi="Arial" w:eastAsia="Arial"/>
          <w:b w:val="0"/>
          <w:i w:val="0"/>
          <w:sz w:val="20"/>
        </w:rPr>
        <w:t xml:space="preserve">EPSG:25834, ETRS89 / UTM zone 34N. </w:t>
      </w:r>
      <w:hyperlink r:id="rId66">
        <w:r>
          <w:rPr>
            <w:rFonts w:ascii="Arial" w:hAnsi="Arial"/>
            <w:color w:val="1F5FBF"/>
            <w:u w:val="single"/>
            <w:sz w:val="19"/>
          </w:rPr>
          <w:t xml:space="preserve">epsg.io/25834</w:t>
        </w:r>
      </w:hyperlink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Data Management Plan</w:t>
      </w:r>
    </w:p>
    <w:p>
      <w:pPr>
        <w:spacing w:after="20" w:before="0"/>
        <w:ind w:left="567" w:hanging="567"/>
      </w:pPr>
      <w:r>
        <w:rPr>
          <w:rFonts w:ascii="Arial" w:hAnsi="Arial" w:eastAsia="Arial"/>
          <w:b/>
          <w:i w:val="0"/>
          <w:color w:val="1F3864"/>
          <w:sz w:val="20"/>
        </w:rPr>
        <w:t xml:space="preserve">[D6]  </w:t>
      </w:r>
      <w:r>
        <w:rPr>
          <w:rFonts w:ascii="Arial" w:hAnsi="Arial" w:eastAsia="Arial"/>
          <w:b w:val="0"/>
          <w:i w:val="0"/>
          <w:sz w:val="20"/>
        </w:rPr>
        <w:t xml:space="preserve">Copernicus Sentinel-1 radar mission, European Union and European Space Agency (free and open data; products carry the attribution "contains modified Copernicus Sentinel data"). </w:t>
      </w:r>
    </w:p>
    <w:p>
      <w:pPr>
        <w:spacing w:after="100" w:before="0"/>
        <w:ind w:left="567"/>
      </w:pPr>
      <w:r>
        <w:rPr>
          <w:rFonts w:ascii="Arial" w:hAnsi="Arial" w:eastAsia="Arial"/>
          <w:b w:val="0"/>
          <w:i/>
          <w:color w:val="1E8A5A"/>
          <w:sz w:val="18"/>
        </w:rPr>
        <w:t>Used in: Methodology; Data Management Plan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7. Compact key list for a form field with a word limit</w:t>
      </w:r>
    </w:p>
    <w:p>
      <w:pPr>
        <w:spacing w:after="80" w:before="0"/>
      </w:pPr>
      <w:r>
        <w:rPr>
          <w:rFonts w:ascii="Arial" w:hAnsi="Arial" w:eastAsia="Arial"/>
          <w:b w:val="0"/>
          <w:i w:val="0"/>
          <w:sz w:val="20"/>
        </w:rPr>
        <w:t xml:space="preserve">16 references, </w:t>
      </w:r>
      <w:r>
        <w:rPr>
          <w:rFonts w:ascii="Arial" w:hAnsi="Arial" w:eastAsia="Arial"/>
          <w:b/>
          <w:i w:val="0"/>
          <w:sz w:val="20"/>
        </w:rPr>
        <w:t>289 words</w:t>
      </w:r>
      <w:r>
        <w:rPr>
          <w:rFonts w:ascii="Arial" w:hAnsi="Arial" w:eastAsia="Arial"/>
          <w:b w:val="0"/>
          <w:i w:val="0"/>
          <w:sz w:val="20"/>
        </w:rPr>
        <w:t>; first author and "et al." for more than two authors, no DOIs.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1. </w:t>
      </w:r>
      <w:r>
        <w:rPr>
          <w:rFonts w:ascii="Arial" w:hAnsi="Arial" w:eastAsia="Arial"/>
          <w:b w:val="0"/>
          <w:i w:val="0"/>
          <w:sz w:val="20"/>
        </w:rPr>
        <w:t>Zheng, Y. and Simons, M. (2025). Integrating long-term InSAR monitoring into local groundwater management: insights from the Hollywood Basin, California. Water Resources Research 61(11).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2. </w:t>
      </w:r>
      <w:r>
        <w:rPr>
          <w:rFonts w:ascii="Arial" w:hAnsi="Arial" w:eastAsia="Arial"/>
          <w:b w:val="0"/>
          <w:i w:val="0"/>
          <w:sz w:val="20"/>
        </w:rPr>
        <w:t>Larochelle et al. (2026). Abrupt transition to irreversible damage in the overdrafted Sacramento Valley aquifer system. PNAS 123(31).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3. </w:t>
      </w:r>
      <w:r>
        <w:rPr>
          <w:rFonts w:ascii="Arial" w:hAnsi="Arial" w:eastAsia="Arial"/>
          <w:b w:val="0"/>
          <w:i w:val="0"/>
          <w:sz w:val="20"/>
        </w:rPr>
        <w:t>Dangendorf et al. (2026). Variable contributions of vertical land motion to sea-level change inferred at tide gauges. Nature Geoscience 19, 814–821.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4. </w:t>
      </w:r>
      <w:r>
        <w:rPr>
          <w:rFonts w:ascii="Arial" w:hAnsi="Arial" w:eastAsia="Arial"/>
          <w:b w:val="0"/>
          <w:i w:val="0"/>
          <w:sz w:val="20"/>
        </w:rPr>
        <w:t>Dangendorf et al. (2026). Human-driven sea-level rise has quadrupled the frequency of coastal sea-level extremes since 1900. Nature Climate Change 16(7), 796–803.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5. </w:t>
      </w:r>
      <w:r>
        <w:rPr>
          <w:rFonts w:ascii="Arial" w:hAnsi="Arial" w:eastAsia="Arial"/>
          <w:b w:val="0"/>
          <w:i w:val="0"/>
          <w:sz w:val="20"/>
        </w:rPr>
        <w:t>Fernandez-Perez et al. (2025). Compound climate risks to European ports. Environmental Research: Climate 5(1).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6. </w:t>
      </w:r>
      <w:r>
        <w:rPr>
          <w:rFonts w:ascii="Arial" w:hAnsi="Arial" w:eastAsia="Arial"/>
          <w:b w:val="0"/>
          <w:i w:val="0"/>
          <w:sz w:val="20"/>
        </w:rPr>
        <w:t>Bullock et al. (2023). A latent Gaussian process model for the spatial distribution of liquefaction manifestation. Earthquake Spectra 39(2), 1189–1213.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7. </w:t>
      </w:r>
      <w:r>
        <w:rPr>
          <w:rFonts w:ascii="Arial" w:hAnsi="Arial" w:eastAsia="Arial"/>
          <w:b w:val="0"/>
          <w:i w:val="0"/>
          <w:sz w:val="20"/>
        </w:rPr>
        <w:t>Mao et al. (2022). Space-time monitoring of groundwater fluctuations with passive seismic interferometry. Nature Communications 13.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8. </w:t>
      </w:r>
      <w:r>
        <w:rPr>
          <w:rFonts w:ascii="Arial" w:hAnsi="Arial" w:eastAsia="Arial"/>
          <w:b w:val="0"/>
          <w:i w:val="0"/>
          <w:sz w:val="20"/>
        </w:rPr>
        <w:t>Shen et al. (2024). Fiber-optic seismic sensing of vadose zone soil moisture dynamics. Nature Communications 15.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9. </w:t>
      </w:r>
      <w:r>
        <w:rPr>
          <w:rFonts w:ascii="Arial" w:hAnsi="Arial" w:eastAsia="Arial"/>
          <w:b w:val="0"/>
          <w:i w:val="0"/>
          <w:sz w:val="20"/>
        </w:rPr>
        <w:t>Angelopoulos et al. (2024). Conformal risk control. International Conference on Learning Representations (ICLR 2024).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10. </w:t>
      </w:r>
      <w:r>
        <w:rPr>
          <w:rFonts w:ascii="Arial" w:hAnsi="Arial" w:eastAsia="Arial"/>
          <w:b w:val="0"/>
          <w:i w:val="0"/>
          <w:sz w:val="20"/>
        </w:rPr>
        <w:t>Angelopoulos et al. (2024). Online conformal prediction with decaying step sizes. Proceedings of the 41st International Conference on Machine Learning, PMLR 235, 1616–1630.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11. </w:t>
      </w:r>
      <w:r>
        <w:rPr>
          <w:rFonts w:ascii="Arial" w:hAnsi="Arial" w:eastAsia="Arial"/>
          <w:b w:val="0"/>
          <w:i w:val="0"/>
          <w:sz w:val="20"/>
        </w:rPr>
        <w:t>Ma et al. (2024). Calibrated uncertainty quantification for operator learning via conformal prediction. Transactions on Machine Learning Research, August 2024.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12. </w:t>
      </w:r>
      <w:r>
        <w:rPr>
          <w:rFonts w:ascii="Arial" w:hAnsi="Arial" w:eastAsia="Arial"/>
          <w:b w:val="0"/>
          <w:i w:val="0"/>
          <w:sz w:val="20"/>
        </w:rPr>
        <w:t>Kovachki et al. (2023). Neural operator: learning maps between function spaces with applications to PDEs. Journal of Machine Learning Research 24(89), 1–97.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13. </w:t>
      </w:r>
      <w:r>
        <w:rPr>
          <w:rFonts w:ascii="Arial" w:hAnsi="Arial" w:eastAsia="Arial"/>
          <w:b w:val="0"/>
          <w:i w:val="0"/>
          <w:sz w:val="20"/>
        </w:rPr>
        <w:t>Zahm et al. (2022). Certified dimension reduction in nonlinear Bayesian inverse problems. Mathematics of Computation 91(336), 1789–1835.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14. </w:t>
      </w:r>
      <w:r>
        <w:rPr>
          <w:rFonts w:ascii="Arial" w:hAnsi="Arial" w:eastAsia="Arial"/>
          <w:b w:val="0"/>
          <w:i w:val="0"/>
          <w:sz w:val="20"/>
        </w:rPr>
        <w:t>Huan et al. (2024). Optimal experimental design: formulations and computations. Acta Numerica 33, 715–840.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15. </w:t>
      </w:r>
      <w:r>
        <w:rPr>
          <w:rFonts w:ascii="Arial" w:hAnsi="Arial" w:eastAsia="Arial"/>
          <w:b w:val="0"/>
          <w:i w:val="0"/>
          <w:sz w:val="20"/>
        </w:rPr>
        <w:t>Boulanger, R.W., Idriss, I.M. (2014). CPT and SPT based liquefaction triggering procedures. Report UCD/CGM-14/01, University of California, Davis.</w:t>
      </w:r>
    </w:p>
    <w:p>
      <w:pPr>
        <w:spacing w:after="40" w:before="0"/>
        <w:ind w:left="397" w:hanging="397"/>
      </w:pPr>
      <w:r>
        <w:rPr>
          <w:rFonts w:ascii="Arial" w:hAnsi="Arial" w:eastAsia="Arial"/>
          <w:b/>
          <w:i w:val="0"/>
          <w:sz w:val="20"/>
        </w:rPr>
        <w:t xml:space="preserve">16. </w:t>
      </w:r>
      <w:r>
        <w:rPr>
          <w:rFonts w:ascii="Arial" w:hAnsi="Arial" w:eastAsia="Arial"/>
          <w:b w:val="0"/>
          <w:i w:val="0"/>
          <w:sz w:val="20"/>
        </w:rPr>
        <w:t>United Nations (2015). Sendai Framework for Disaster Risk Reduction 2015–2030.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29/2024WR039161" TargetMode="External"/><Relationship Id="rId10" Type="http://schemas.openxmlformats.org/officeDocument/2006/relationships/hyperlink" Target="https://doi.org/10.1073/pnas.2526041123" TargetMode="External"/><Relationship Id="rId11" Type="http://schemas.openxmlformats.org/officeDocument/2006/relationships/hyperlink" Target="https://doi.org/10.1029/2024JB030794" TargetMode="External"/><Relationship Id="rId12" Type="http://schemas.openxmlformats.org/officeDocument/2006/relationships/hyperlink" Target="https://doi.org/10.1038/s41561-026-02005-1" TargetMode="External"/><Relationship Id="rId13" Type="http://schemas.openxmlformats.org/officeDocument/2006/relationships/hyperlink" Target="https://doi.org/10.5194/essd-16-3471-2024" TargetMode="External"/><Relationship Id="rId14" Type="http://schemas.openxmlformats.org/officeDocument/2006/relationships/hyperlink" Target="https://doi.org/10.1038/s41558-026-02659-0" TargetMode="External"/><Relationship Id="rId15" Type="http://schemas.openxmlformats.org/officeDocument/2006/relationships/hyperlink" Target="https://doi.org/10.1175/BAMS-D-23-0177.1" TargetMode="External"/><Relationship Id="rId16" Type="http://schemas.openxmlformats.org/officeDocument/2006/relationships/hyperlink" Target="https://doi.org/10.1088/2752-5295/ae26bc" TargetMode="External"/><Relationship Id="rId17" Type="http://schemas.openxmlformats.org/officeDocument/2006/relationships/hyperlink" Target="https://doi.org/10.1038/s43247-022-00656-7" TargetMode="External"/><Relationship Id="rId18" Type="http://schemas.openxmlformats.org/officeDocument/2006/relationships/hyperlink" Target="https://doi.org/10.1177/87552930231163894" TargetMode="External"/><Relationship Id="rId19" Type="http://schemas.openxmlformats.org/officeDocument/2006/relationships/hyperlink" Target="https://doi.org/10.1029/2021GL096503" TargetMode="External"/><Relationship Id="rId20" Type="http://schemas.openxmlformats.org/officeDocument/2006/relationships/hyperlink" Target="https://doi.org/10.1029/2022GL101189" TargetMode="External"/><Relationship Id="rId21" Type="http://schemas.openxmlformats.org/officeDocument/2006/relationships/hyperlink" Target="https://doi.org/10.1680/jgeot.18.P.255" TargetMode="External"/><Relationship Id="rId22" Type="http://schemas.openxmlformats.org/officeDocument/2006/relationships/hyperlink" Target="https://doi.org/10.1680/jgeot.20.PISA.009" TargetMode="External"/><Relationship Id="rId23" Type="http://schemas.openxmlformats.org/officeDocument/2006/relationships/hyperlink" Target="https://doi.org/10.1061/JGGEFK.GTENG-9833" TargetMode="External"/><Relationship Id="rId24" Type="http://schemas.openxmlformats.org/officeDocument/2006/relationships/hyperlink" Target="https://doi.org/10.1038/s41467-022-32194-3" TargetMode="External"/><Relationship Id="rId25" Type="http://schemas.openxmlformats.org/officeDocument/2006/relationships/hyperlink" Target="https://doi.org/10.1038/s41467-024-50690-6" TargetMode="External"/><Relationship Id="rId26" Type="http://schemas.openxmlformats.org/officeDocument/2006/relationships/hyperlink" Target="https://doi.org/10.1029/2022JB025553" TargetMode="External"/><Relationship Id="rId27" Type="http://schemas.openxmlformats.org/officeDocument/2006/relationships/hyperlink" Target="https://proceedings.iclr.cc/paper_files/paper/2024/hash/f3549ef9b5ff520a7e41ff3cc306ab2b-Abstract-Conference.html" TargetMode="External"/><Relationship Id="rId28" Type="http://schemas.openxmlformats.org/officeDocument/2006/relationships/hyperlink" Target="https://proceedings.mlr.press/v235/angelopoulos24a.html" TargetMode="External"/><Relationship Id="rId29" Type="http://schemas.openxmlformats.org/officeDocument/2006/relationships/hyperlink" Target="https://proceedings.mlr.press/v235/zhang24e.html" TargetMode="External"/><Relationship Id="rId30" Type="http://schemas.openxmlformats.org/officeDocument/2006/relationships/hyperlink" Target="https://proceedings.mlr.press/v211/dixit23a.html" TargetMode="External"/><Relationship Id="rId31" Type="http://schemas.openxmlformats.org/officeDocument/2006/relationships/hyperlink" Target="https://openreview.net/forum?id=cGpegxy12T" TargetMode="External"/><Relationship Id="rId32" Type="http://schemas.openxmlformats.org/officeDocument/2006/relationships/hyperlink" Target="https://proceedings.neurips.cc/paper/2021/hash/97785e0500ad16c18574c64189ccf4b4-Abstract.html" TargetMode="External"/><Relationship Id="rId33" Type="http://schemas.openxmlformats.org/officeDocument/2006/relationships/hyperlink" Target="https://www.jmlr.org/papers/v24/21-1524.html" TargetMode="External"/><Relationship Id="rId34" Type="http://schemas.openxmlformats.org/officeDocument/2006/relationships/hyperlink" Target="https://doi.org/10.1016/j.jcp.2021.110668" TargetMode="External"/><Relationship Id="rId35" Type="http://schemas.openxmlformats.org/officeDocument/2006/relationships/hyperlink" Target="https://arxiv.org/abs/2108.10517" TargetMode="External"/><Relationship Id="rId36" Type="http://schemas.openxmlformats.org/officeDocument/2006/relationships/hyperlink" Target="https://doi.org/10.1017/S0962492924000060" TargetMode="External"/><Relationship Id="rId37" Type="http://schemas.openxmlformats.org/officeDocument/2006/relationships/hyperlink" Target="https://www.ams.org/journals/mcom/2022-91-336/S0025-5718-2022-03737-6/" TargetMode="External"/><Relationship Id="rId38" Type="http://schemas.openxmlformats.org/officeDocument/2006/relationships/hyperlink" Target="https://doi.org/10.1017/S0962492924000023" TargetMode="External"/><Relationship Id="rId39" Type="http://schemas.openxmlformats.org/officeDocument/2006/relationships/hyperlink" Target="https://doi.org/10.3390/geosciences11050215" TargetMode="External"/><Relationship Id="rId40" Type="http://schemas.openxmlformats.org/officeDocument/2006/relationships/hyperlink" Target="https://www.nato.int/cps/en/natohq/85291.htm" TargetMode="External"/><Relationship Id="rId41" Type="http://schemas.openxmlformats.org/officeDocument/2006/relationships/hyperlink" Target="https://www.nato.int/cps/en/natohq/topics_132722.htm" TargetMode="External"/><Relationship Id="rId42" Type="http://schemas.openxmlformats.org/officeDocument/2006/relationships/hyperlink" Target="https://mc.nato.int/media-centre/news/2024/nato-officially-launches-new-nmcscui" TargetMode="External"/><Relationship Id="rId43" Type="http://schemas.openxmlformats.org/officeDocument/2006/relationships/hyperlink" Target="https://www.nato.int/content/dam/nato/webready/documents/sps/grants/2023/SPS_MYP_Handbook.pdf" TargetMode="External"/><Relationship Id="rId44" Type="http://schemas.openxmlformats.org/officeDocument/2006/relationships/hyperlink" Target="https://nato.int/content/dam/nato/webready/documents/sps/grants/2020/2020-sps-myp-handbook.pdf" TargetMode="External"/><Relationship Id="rId45" Type="http://schemas.openxmlformats.org/officeDocument/2006/relationships/hyperlink" Target="https://nato.int/content/dam/nato/webready/documents/sps/grants/2017/1705_SPS_MYP_Handbook.pdf" TargetMode="External"/><Relationship Id="rId46" Type="http://schemas.openxmlformats.org/officeDocument/2006/relationships/hyperlink" Target="https://www.nato.int/content/dam/nato/webready/documents/sps/grants/SPS-Call4proposals-2027-1.pdf" TargetMode="External"/><Relationship Id="rId47" Type="http://schemas.openxmlformats.org/officeDocument/2006/relationships/hyperlink" Target="https://nato.int/content/dam/nato/webready/documents/sps/grants/2023/sps-myp-sample-application-form.pdf" TargetMode="External"/><Relationship Id="rId48" Type="http://schemas.openxmlformats.org/officeDocument/2006/relationships/hyperlink" Target="https://nato.int/content/dam/nato/webready/documents/sps/grants/2023/Sample-Application-Form-for-MYP-Phase-1.pdf" TargetMode="External"/><Relationship Id="rId49" Type="http://schemas.openxmlformats.org/officeDocument/2006/relationships/hyperlink" Target="https://www.nato.int/en/about-us/organization/nato-structure/science-for-peace-and-security-hub/grant-mechanisms" TargetMode="External"/><Relationship Id="rId50" Type="http://schemas.openxmlformats.org/officeDocument/2006/relationships/hyperlink" Target="https://www.nato.int/cps/en/natohq/88198.htm" TargetMode="External"/><Relationship Id="rId51" Type="http://schemas.openxmlformats.org/officeDocument/2006/relationships/hyperlink" Target="https://www.ftmc.lt/uploads/images/pages/projektai/SPS%20Presentation%20-%20KoM%20-%20Richard%20Brewin.pdf" TargetMode="External"/><Relationship Id="rId52" Type="http://schemas.openxmlformats.org/officeDocument/2006/relationships/hyperlink" Target="https://www.nato.int/en/news-and-events/articles/news/2024/07/10/allies-endorse-a-new-nato-policy-on-women-peace-and-security-at-the-summit-in-washington" TargetMode="External"/><Relationship Id="rId53" Type="http://schemas.openxmlformats.org/officeDocument/2006/relationships/hyperlink" Target="https://www.nato.int/en/news-and-events/articles/news/2021/02/11/nato-supports-women-and-girls-in-science" TargetMode="External"/><Relationship Id="rId54" Type="http://schemas.openxmlformats.org/officeDocument/2006/relationships/hyperlink" Target="https://www.nato.int/en/about-us/official-texts-and-resources/official-texts/2021/10/22/summary-of-the-nato-artificial-intelligence-strategy" TargetMode="External"/><Relationship Id="rId55" Type="http://schemas.openxmlformats.org/officeDocument/2006/relationships/hyperlink" Target="https://opportunitiesforyouth.org/2026/09/14/nato-science-for-peace-and-security-programme-2027-call-for-proposals-funding-for-multi-year-projects-and-scientific-events/" TargetMode="External"/><Relationship Id="rId56" Type="http://schemas.openxmlformats.org/officeDocument/2006/relationships/hyperlink" Target="https://www.undrr.org/publication/sendai-framework-disaster-risk-reduction-2015-2030" TargetMode="External"/><Relationship Id="rId57" Type="http://schemas.openxmlformats.org/officeDocument/2006/relationships/hyperlink" Target="https://sdgs.un.org/goals" TargetMode="External"/><Relationship Id="rId58" Type="http://schemas.openxmlformats.org/officeDocument/2006/relationships/hyperlink" Target="https://www.un.org/en/climatechange/early-warnings-for-all" TargetMode="External"/><Relationship Id="rId59" Type="http://schemas.openxmlformats.org/officeDocument/2006/relationships/hyperlink" Target="https://idp.al/wp-content/uploads/2025/03/Law-no.124-2024.pdf" TargetMode="External"/><Relationship Id="rId60" Type="http://schemas.openxmlformats.org/officeDocument/2006/relationships/hyperlink" Target="https://eur-lex.europa.eu/eli/reg/2024/1689/oj" TargetMode="External"/><Relationship Id="rId61" Type="http://schemas.openxmlformats.org/officeDocument/2006/relationships/hyperlink" Target="https://allea.org/code-of-conduct/" TargetMode="External"/><Relationship Id="rId62" Type="http://schemas.openxmlformats.org/officeDocument/2006/relationships/hyperlink" Target="https://zenodo.org" TargetMode="External"/><Relationship Id="rId63" Type="http://schemas.openxmlformats.org/officeDocument/2006/relationships/hyperlink" Target="https://datacite.org" TargetMode="External"/><Relationship Id="rId64" Type="http://schemas.openxmlformats.org/officeDocument/2006/relationships/hyperlink" Target="https://www.fdsn.org" TargetMode="External"/><Relationship Id="rId65" Type="http://schemas.openxmlformats.org/officeDocument/2006/relationships/hyperlink" Target="https://cfconventions.org" TargetMode="External"/><Relationship Id="rId66" Type="http://schemas.openxmlformats.org/officeDocument/2006/relationships/hyperlink" Target="https://epsg.io/258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