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Work Packages</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jc w:val="both"/>
      </w:pPr>
      <w:r>
        <w:rPr>
          <w:rFonts w:ascii="Arial" w:hAnsi="Arial" w:eastAsia="Arial"/>
          <w:b w:val="0"/>
          <w:i w:val="0"/>
          <w:sz w:val="21"/>
        </w:rPr>
        <w:t>CERTAIN-COAST is organised in seven work packages over 36 months: four build the science and the system (WP1 coastal motion, WP2 coupled model and surrogate, WP3 certified alarms, WP4 monitoring network), one runs it live with the operators (WP5), one makes it last (WP6), and one manages data, access and risk (WP7). Each work package below gives its tasks, deliverables, milestones, the inputs it needs and the outputs it gives, its success criteria and risks, and what is new in it. Months count from the start of the grant.</w:t>
      </w:r>
    </w:p>
    <w:p>
      <w:pPr>
        <w:keepNext/>
        <w:spacing w:after="120" w:before="80"/>
      </w:pPr>
      <w:r>
        <w:rPr>
          <w:rFonts w:ascii="Arial" w:hAnsi="Arial" w:eastAsia="Arial"/>
          <w:b/>
          <w:i w:val="0"/>
          <w:color w:val="1F3864"/>
          <w:sz w:val="27"/>
        </w:rPr>
        <w:t>Overview</w:t>
      </w:r>
    </w:p>
    <w:tbl>
      <w:tblPr>
        <w:tblStyle w:val="TableGrid"/>
        <w:tblW w:type="auto" w:w="0"/>
        <w:jc w:val="center"/>
        <w:tblLayout w:type="fixed"/>
        <w:tblLook w:firstColumn="1" w:firstRow="1" w:lastColumn="0" w:lastRow="0" w:noHBand="0" w:noVBand="1" w:val="04A0"/>
        <w:tblLayout w:type="fixed"/>
      </w:tblPr>
      <w:tblGrid>
        <w:gridCol w:w="737"/>
        <w:gridCol w:w="2041"/>
        <w:gridCol w:w="1757"/>
        <w:gridCol w:w="1020"/>
        <w:gridCol w:w="1077"/>
        <w:gridCol w:w="2154"/>
        <w:gridCol w:w="850"/>
      </w:tblGrid>
      <w:tr>
        <w:trPr>
          <w:cantSplit/>
          <w:tblHeader/>
        </w:trPr>
        <w:tc>
          <w:tcPr>
            <w:tcW w:type="dxa" w:w="737"/>
            <w:shd w:val="clear" w:color="auto" w:fill="1F3864"/>
          </w:tcPr>
          <w:p>
            <w:r/>
            <w:r>
              <w:rPr>
                <w:rFonts w:ascii="Arial" w:hAnsi="Arial" w:eastAsia="Arial"/>
                <w:b/>
                <w:i w:val="0"/>
                <w:color w:val="FFFFFF"/>
                <w:sz w:val="18"/>
              </w:rPr>
            </w:r>
          </w:p>
        </w:tc>
        <w:tc>
          <w:tcPr>
            <w:tcW w:type="dxa" w:w="2041"/>
            <w:shd w:val="clear" w:color="auto" w:fill="1F3864"/>
          </w:tcPr>
          <w:p>
            <w:r/>
            <w:r>
              <w:rPr>
                <w:rFonts w:ascii="Arial" w:hAnsi="Arial" w:eastAsia="Arial"/>
                <w:b/>
                <w:i w:val="0"/>
                <w:color w:val="FFFFFF"/>
                <w:sz w:val="18"/>
              </w:rPr>
              <w:t>Work package</w:t>
            </w:r>
          </w:p>
        </w:tc>
        <w:tc>
          <w:tcPr>
            <w:tcW w:type="dxa" w:w="1757"/>
            <w:shd w:val="clear" w:color="auto" w:fill="1F3864"/>
          </w:tcPr>
          <w:p>
            <w:r/>
            <w:r>
              <w:rPr>
                <w:rFonts w:ascii="Arial" w:hAnsi="Arial" w:eastAsia="Arial"/>
                <w:b/>
                <w:i w:val="0"/>
                <w:color w:val="FFFFFF"/>
                <w:sz w:val="18"/>
              </w:rPr>
              <w:t>Lead</w:t>
            </w:r>
          </w:p>
        </w:tc>
        <w:tc>
          <w:tcPr>
            <w:tcW w:type="dxa" w:w="1020"/>
            <w:shd w:val="clear" w:color="auto" w:fill="1F3864"/>
          </w:tcPr>
          <w:p>
            <w:r/>
            <w:r>
              <w:rPr>
                <w:rFonts w:ascii="Arial" w:hAnsi="Arial" w:eastAsia="Arial"/>
                <w:b/>
                <w:i w:val="0"/>
                <w:color w:val="FFFFFF"/>
                <w:sz w:val="18"/>
              </w:rPr>
              <w:t>Months</w:t>
            </w:r>
          </w:p>
        </w:tc>
        <w:tc>
          <w:tcPr>
            <w:tcW w:type="dxa" w:w="1077"/>
            <w:shd w:val="clear" w:color="auto" w:fill="1F3864"/>
          </w:tcPr>
          <w:p>
            <w:r/>
            <w:r>
              <w:rPr>
                <w:rFonts w:ascii="Arial" w:hAnsi="Arial" w:eastAsia="Arial"/>
                <w:b/>
                <w:i w:val="0"/>
                <w:color w:val="FFFFFF"/>
                <w:sz w:val="18"/>
              </w:rPr>
              <w:t>Objective</w:t>
            </w:r>
          </w:p>
        </w:tc>
        <w:tc>
          <w:tcPr>
            <w:tcW w:type="dxa" w:w="2154"/>
            <w:shd w:val="clear" w:color="auto" w:fill="1F3864"/>
          </w:tcPr>
          <w:p>
            <w:r/>
            <w:r>
              <w:rPr>
                <w:rFonts w:ascii="Arial" w:hAnsi="Arial" w:eastAsia="Arial"/>
                <w:b/>
                <w:i w:val="0"/>
                <w:color w:val="FFFFFF"/>
                <w:sz w:val="18"/>
              </w:rPr>
              <w:t>Deliverables</w:t>
            </w:r>
          </w:p>
        </w:tc>
        <w:tc>
          <w:tcPr>
            <w:tcW w:type="dxa" w:w="850"/>
            <w:shd w:val="clear" w:color="auto" w:fill="1F3864"/>
          </w:tcPr>
          <w:p>
            <w:r/>
            <w:r>
              <w:rPr>
                <w:rFonts w:ascii="Arial" w:hAnsi="Arial" w:eastAsia="Arial"/>
                <w:b/>
                <w:i w:val="0"/>
                <w:color w:val="FFFFFF"/>
                <w:sz w:val="18"/>
              </w:rPr>
              <w:t>Effort</w:t>
            </w:r>
          </w:p>
        </w:tc>
      </w:tr>
      <w:tr>
        <w:trPr>
          <w:cantSplit/>
        </w:trPr>
        <w:tc>
          <w:tcPr>
            <w:tcW w:type="dxa" w:w="737"/>
          </w:tcPr>
          <w:p>
            <w:r/>
            <w:r>
              <w:rPr>
                <w:rFonts w:ascii="Arial" w:hAnsi="Arial" w:eastAsia="Arial"/>
                <w:b w:val="0"/>
                <w:i w:val="0"/>
                <w:sz w:val="18"/>
              </w:rPr>
              <w:t>WP1</w:t>
            </w:r>
          </w:p>
        </w:tc>
        <w:tc>
          <w:tcPr>
            <w:tcW w:type="dxa" w:w="2041"/>
          </w:tcPr>
          <w:p>
            <w:r/>
            <w:r>
              <w:rPr>
                <w:rFonts w:ascii="Arial" w:hAnsi="Arial" w:eastAsia="Arial"/>
                <w:b w:val="0"/>
                <w:i w:val="0"/>
                <w:sz w:val="18"/>
              </w:rPr>
              <w:t>Coastal motion and relative sea level</w:t>
            </w:r>
          </w:p>
        </w:tc>
        <w:tc>
          <w:tcPr>
            <w:tcW w:type="dxa" w:w="1757"/>
          </w:tcPr>
          <w:p>
            <w:r/>
            <w:r>
              <w:rPr>
                <w:rFonts w:ascii="Arial" w:hAnsi="Arial" w:eastAsia="Arial"/>
                <w:b w:val="0"/>
                <w:i w:val="0"/>
                <w:sz w:val="18"/>
                <w:highlight w:val="yellow"/>
              </w:rPr>
              <w:t>[NPD team] or [additional NATO co-director]</w:t>
            </w:r>
          </w:p>
        </w:tc>
        <w:tc>
          <w:tcPr>
            <w:tcW w:type="dxa" w:w="1020"/>
          </w:tcPr>
          <w:p>
            <w:r/>
            <w:r>
              <w:rPr>
                <w:rFonts w:ascii="Arial" w:hAnsi="Arial" w:eastAsia="Arial"/>
                <w:b w:val="0"/>
                <w:i w:val="0"/>
                <w:sz w:val="18"/>
              </w:rPr>
              <w:t>M1–M36</w:t>
            </w:r>
          </w:p>
        </w:tc>
        <w:tc>
          <w:tcPr>
            <w:tcW w:type="dxa" w:w="1077"/>
          </w:tcPr>
          <w:p>
            <w:r/>
            <w:r>
              <w:rPr>
                <w:rFonts w:ascii="Arial" w:hAnsi="Arial" w:eastAsia="Arial"/>
                <w:b w:val="0"/>
                <w:i w:val="0"/>
                <w:sz w:val="18"/>
              </w:rPr>
              <w:t>O1</w:t>
            </w:r>
          </w:p>
        </w:tc>
        <w:tc>
          <w:tcPr>
            <w:tcW w:type="dxa" w:w="2154"/>
          </w:tcPr>
          <w:p>
            <w:r/>
            <w:r>
              <w:rPr>
                <w:rFonts w:ascii="Arial" w:hAnsi="Arial" w:eastAsia="Arial"/>
                <w:b w:val="0"/>
                <w:i w:val="0"/>
                <w:sz w:val="18"/>
              </w:rPr>
              <w:t>D1.1 (M12)</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WP2</w:t>
            </w:r>
          </w:p>
        </w:tc>
        <w:tc>
          <w:tcPr>
            <w:tcW w:type="dxa" w:w="2041"/>
          </w:tcPr>
          <w:p>
            <w:r/>
            <w:r>
              <w:rPr>
                <w:rFonts w:ascii="Arial" w:hAnsi="Arial" w:eastAsia="Arial"/>
                <w:b w:val="0"/>
                <w:i w:val="0"/>
                <w:sz w:val="18"/>
              </w:rPr>
              <w:t>One coupled model of the coast and its certified fast copy</w:t>
            </w:r>
          </w:p>
        </w:tc>
        <w:tc>
          <w:tcPr>
            <w:tcW w:type="dxa" w:w="1757"/>
          </w:tcPr>
          <w:p>
            <w:r/>
            <w:r>
              <w:rPr>
                <w:rFonts w:ascii="Arial" w:hAnsi="Arial" w:eastAsia="Arial"/>
                <w:b w:val="0"/>
                <w:i w:val="0"/>
                <w:sz w:val="18"/>
                <w:highlight w:val="yellow"/>
              </w:rPr>
              <w:t>[PPD team]</w:t>
            </w:r>
          </w:p>
        </w:tc>
        <w:tc>
          <w:tcPr>
            <w:tcW w:type="dxa" w:w="1020"/>
          </w:tcPr>
          <w:p>
            <w:r/>
            <w:r>
              <w:rPr>
                <w:rFonts w:ascii="Arial" w:hAnsi="Arial" w:eastAsia="Arial"/>
                <w:b w:val="0"/>
                <w:i w:val="0"/>
                <w:sz w:val="18"/>
              </w:rPr>
              <w:t>M4–M24</w:t>
            </w:r>
          </w:p>
        </w:tc>
        <w:tc>
          <w:tcPr>
            <w:tcW w:type="dxa" w:w="1077"/>
          </w:tcPr>
          <w:p>
            <w:r/>
            <w:r>
              <w:rPr>
                <w:rFonts w:ascii="Arial" w:hAnsi="Arial" w:eastAsia="Arial"/>
                <w:b w:val="0"/>
                <w:i w:val="0"/>
                <w:sz w:val="18"/>
              </w:rPr>
              <w:t>O2</w:t>
            </w:r>
          </w:p>
        </w:tc>
        <w:tc>
          <w:tcPr>
            <w:tcW w:type="dxa" w:w="2154"/>
          </w:tcPr>
          <w:p>
            <w:r/>
            <w:r>
              <w:rPr>
                <w:rFonts w:ascii="Arial" w:hAnsi="Arial" w:eastAsia="Arial"/>
                <w:b w:val="0"/>
                <w:i w:val="0"/>
                <w:sz w:val="18"/>
              </w:rPr>
              <w:t>D2.1 (M18), D2.2 (M22)</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WP3</w:t>
            </w:r>
          </w:p>
        </w:tc>
        <w:tc>
          <w:tcPr>
            <w:tcW w:type="dxa" w:w="2041"/>
          </w:tcPr>
          <w:p>
            <w:r/>
            <w:r>
              <w:rPr>
                <w:rFonts w:ascii="Arial" w:hAnsi="Arial" w:eastAsia="Arial"/>
                <w:b w:val="0"/>
                <w:i w:val="0"/>
                <w:sz w:val="18"/>
              </w:rPr>
              <w:t>Certified multi-hazard alarm</w:t>
            </w:r>
          </w:p>
        </w:tc>
        <w:tc>
          <w:tcPr>
            <w:tcW w:type="dxa" w:w="1757"/>
          </w:tcPr>
          <w:p>
            <w:r/>
            <w:r>
              <w:rPr>
                <w:rFonts w:ascii="Arial" w:hAnsi="Arial" w:eastAsia="Arial"/>
                <w:b w:val="0"/>
                <w:i w:val="0"/>
                <w:sz w:val="18"/>
                <w:highlight w:val="yellow"/>
              </w:rPr>
              <w:t>[PPD team]</w:t>
            </w:r>
          </w:p>
        </w:tc>
        <w:tc>
          <w:tcPr>
            <w:tcW w:type="dxa" w:w="1020"/>
          </w:tcPr>
          <w:p>
            <w:r/>
            <w:r>
              <w:rPr>
                <w:rFonts w:ascii="Arial" w:hAnsi="Arial" w:eastAsia="Arial"/>
                <w:b w:val="0"/>
                <w:i w:val="0"/>
                <w:sz w:val="18"/>
              </w:rPr>
              <w:t>M13–M34</w:t>
            </w:r>
          </w:p>
        </w:tc>
        <w:tc>
          <w:tcPr>
            <w:tcW w:type="dxa" w:w="1077"/>
          </w:tcPr>
          <w:p>
            <w:r/>
            <w:r>
              <w:rPr>
                <w:rFonts w:ascii="Arial" w:hAnsi="Arial" w:eastAsia="Arial"/>
                <w:b w:val="0"/>
                <w:i w:val="0"/>
                <w:sz w:val="18"/>
              </w:rPr>
              <w:t>O3</w:t>
            </w:r>
          </w:p>
        </w:tc>
        <w:tc>
          <w:tcPr>
            <w:tcW w:type="dxa" w:w="2154"/>
          </w:tcPr>
          <w:p>
            <w:r/>
            <w:r>
              <w:rPr>
                <w:rFonts w:ascii="Arial" w:hAnsi="Arial" w:eastAsia="Arial"/>
                <w:b w:val="0"/>
                <w:i w:val="0"/>
                <w:sz w:val="18"/>
              </w:rPr>
              <w:t>D3.1 (M24), D3.2 (M27)</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WP4</w:t>
            </w:r>
          </w:p>
        </w:tc>
        <w:tc>
          <w:tcPr>
            <w:tcW w:type="dxa" w:w="2041"/>
          </w:tcPr>
          <w:p>
            <w:r/>
            <w:r>
              <w:rPr>
                <w:rFonts w:ascii="Arial" w:hAnsi="Arial" w:eastAsia="Arial"/>
                <w:b w:val="0"/>
                <w:i w:val="0"/>
                <w:sz w:val="18"/>
              </w:rPr>
              <w:t>Monitoring network designed for the warnings</w:t>
            </w:r>
          </w:p>
        </w:tc>
        <w:tc>
          <w:tcPr>
            <w:tcW w:type="dxa" w:w="1757"/>
          </w:tcPr>
          <w:p>
            <w:r/>
            <w:r>
              <w:rPr>
                <w:rFonts w:ascii="Arial" w:hAnsi="Arial" w:eastAsia="Arial"/>
                <w:b w:val="0"/>
                <w:i w:val="0"/>
                <w:sz w:val="18"/>
                <w:highlight w:val="yellow"/>
              </w:rPr>
              <w:t>[NPD team]</w:t>
            </w:r>
          </w:p>
        </w:tc>
        <w:tc>
          <w:tcPr>
            <w:tcW w:type="dxa" w:w="1020"/>
          </w:tcPr>
          <w:p>
            <w:r/>
            <w:r>
              <w:rPr>
                <w:rFonts w:ascii="Arial" w:hAnsi="Arial" w:eastAsia="Arial"/>
                <w:b w:val="0"/>
                <w:i w:val="0"/>
                <w:sz w:val="18"/>
              </w:rPr>
              <w:t>M1–M36</w:t>
            </w:r>
          </w:p>
        </w:tc>
        <w:tc>
          <w:tcPr>
            <w:tcW w:type="dxa" w:w="1077"/>
          </w:tcPr>
          <w:p>
            <w:r/>
            <w:r>
              <w:rPr>
                <w:rFonts w:ascii="Arial" w:hAnsi="Arial" w:eastAsia="Arial"/>
                <w:b w:val="0"/>
                <w:i w:val="0"/>
                <w:sz w:val="18"/>
              </w:rPr>
              <w:t>O4</w:t>
            </w:r>
          </w:p>
        </w:tc>
        <w:tc>
          <w:tcPr>
            <w:tcW w:type="dxa" w:w="2154"/>
          </w:tcPr>
          <w:p>
            <w:r/>
            <w:r>
              <w:rPr>
                <w:rFonts w:ascii="Arial" w:hAnsi="Arial" w:eastAsia="Arial"/>
                <w:b w:val="0"/>
                <w:i w:val="0"/>
                <w:sz w:val="18"/>
              </w:rPr>
              <w:t>D4.1 (M6), D4.2 (M12)</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WP5</w:t>
            </w:r>
          </w:p>
        </w:tc>
        <w:tc>
          <w:tcPr>
            <w:tcW w:type="dxa" w:w="2041"/>
          </w:tcPr>
          <w:p>
            <w:r/>
            <w:r>
              <w:rPr>
                <w:rFonts w:ascii="Arial" w:hAnsi="Arial" w:eastAsia="Arial"/>
                <w:b w:val="0"/>
                <w:i w:val="0"/>
                <w:sz w:val="18"/>
              </w:rPr>
              <w:t>Live demonstration at the wellfields, port and landfall</w:t>
            </w:r>
          </w:p>
        </w:tc>
        <w:tc>
          <w:tcPr>
            <w:tcW w:type="dxa" w:w="1757"/>
          </w:tcPr>
          <w:p>
            <w:r/>
            <w:r>
              <w:rPr>
                <w:rFonts w:ascii="Arial" w:hAnsi="Arial" w:eastAsia="Arial"/>
                <w:b w:val="0"/>
                <w:i w:val="0"/>
                <w:sz w:val="18"/>
                <w:highlight w:val="yellow"/>
              </w:rPr>
              <w:t>[NPD team]</w:t>
            </w:r>
          </w:p>
        </w:tc>
        <w:tc>
          <w:tcPr>
            <w:tcW w:type="dxa" w:w="1020"/>
          </w:tcPr>
          <w:p>
            <w:r/>
            <w:r>
              <w:rPr>
                <w:rFonts w:ascii="Arial" w:hAnsi="Arial" w:eastAsia="Arial"/>
                <w:b w:val="0"/>
                <w:i w:val="0"/>
                <w:sz w:val="18"/>
              </w:rPr>
              <w:t>M22–M36</w:t>
            </w:r>
          </w:p>
        </w:tc>
        <w:tc>
          <w:tcPr>
            <w:tcW w:type="dxa" w:w="1077"/>
          </w:tcPr>
          <w:p>
            <w:r/>
            <w:r>
              <w:rPr>
                <w:rFonts w:ascii="Arial" w:hAnsi="Arial" w:eastAsia="Arial"/>
                <w:b w:val="0"/>
                <w:i w:val="0"/>
                <w:sz w:val="18"/>
              </w:rPr>
              <w:t>O5</w:t>
            </w:r>
          </w:p>
        </w:tc>
        <w:tc>
          <w:tcPr>
            <w:tcW w:type="dxa" w:w="2154"/>
          </w:tcPr>
          <w:p>
            <w:r/>
            <w:r>
              <w:rPr>
                <w:rFonts w:ascii="Arial" w:hAnsi="Arial" w:eastAsia="Arial"/>
                <w:b w:val="0"/>
                <w:i w:val="0"/>
                <w:sz w:val="18"/>
              </w:rPr>
              <w:t>D5.1 (M34)</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WP6</w:t>
            </w:r>
          </w:p>
        </w:tc>
        <w:tc>
          <w:tcPr>
            <w:tcW w:type="dxa" w:w="2041"/>
          </w:tcPr>
          <w:p>
            <w:r/>
            <w:r>
              <w:rPr>
                <w:rFonts w:ascii="Arial" w:hAnsi="Arial" w:eastAsia="Arial"/>
                <w:b w:val="0"/>
                <w:i w:val="0"/>
                <w:sz w:val="18"/>
              </w:rPr>
              <w:t>Training, transfer and dissemination</w:t>
            </w:r>
          </w:p>
        </w:tc>
        <w:tc>
          <w:tcPr>
            <w:tcW w:type="dxa" w:w="1757"/>
          </w:tcPr>
          <w:p>
            <w:r/>
            <w:r>
              <w:rPr>
                <w:rFonts w:ascii="Arial" w:hAnsi="Arial" w:eastAsia="Arial"/>
                <w:b w:val="0"/>
                <w:i w:val="0"/>
                <w:sz w:val="18"/>
                <w:highlight w:val="yellow"/>
              </w:rPr>
              <w:t>[PPD team]</w:t>
            </w:r>
          </w:p>
        </w:tc>
        <w:tc>
          <w:tcPr>
            <w:tcW w:type="dxa" w:w="1020"/>
          </w:tcPr>
          <w:p>
            <w:r/>
            <w:r>
              <w:rPr>
                <w:rFonts w:ascii="Arial" w:hAnsi="Arial" w:eastAsia="Arial"/>
                <w:b w:val="0"/>
                <w:i w:val="0"/>
                <w:sz w:val="18"/>
              </w:rPr>
              <w:t>M1–M36</w:t>
            </w:r>
          </w:p>
        </w:tc>
        <w:tc>
          <w:tcPr>
            <w:tcW w:type="dxa" w:w="1077"/>
          </w:tcPr>
          <w:p>
            <w:r/>
            <w:r>
              <w:rPr>
                <w:rFonts w:ascii="Arial" w:hAnsi="Arial" w:eastAsia="Arial"/>
                <w:b w:val="0"/>
                <w:i w:val="0"/>
                <w:sz w:val="18"/>
              </w:rPr>
              <w:t>O6</w:t>
            </w:r>
          </w:p>
        </w:tc>
        <w:tc>
          <w:tcPr>
            <w:tcW w:type="dxa" w:w="2154"/>
          </w:tcPr>
          <w:p>
            <w:r/>
            <w:r>
              <w:rPr>
                <w:rFonts w:ascii="Arial" w:hAnsi="Arial" w:eastAsia="Arial"/>
                <w:b w:val="0"/>
                <w:i w:val="0"/>
                <w:sz w:val="18"/>
              </w:rPr>
              <w:t>D6.1 (M33), D6.2 (M36)</w:t>
            </w:r>
          </w:p>
        </w:tc>
        <w:tc>
          <w:tcPr>
            <w:tcW w:type="dxa" w:w="850"/>
          </w:tcPr>
          <w:p>
            <w:r/>
            <w:r>
              <w:rPr>
                <w:rFonts w:ascii="Arial" w:hAnsi="Arial" w:eastAsia="Arial"/>
                <w:b w:val="0"/>
                <w:i w:val="0"/>
                <w:sz w:val="18"/>
                <w:highlight w:val="yellow"/>
              </w:rPr>
              <w:t>[PM]</w:t>
            </w:r>
          </w:p>
        </w:tc>
      </w:tr>
      <w:tr>
        <w:trPr>
          <w:cantSplit/>
        </w:trPr>
        <w:tc>
          <w:tcPr>
            <w:tcW w:type="dxa" w:w="737"/>
          </w:tcPr>
          <w:p>
            <w:r/>
            <w:r>
              <w:rPr>
                <w:rFonts w:ascii="Arial" w:hAnsi="Arial" w:eastAsia="Arial"/>
                <w:b w:val="0"/>
                <w:i w:val="0"/>
                <w:sz w:val="18"/>
              </w:rPr>
              <w:t>WP7</w:t>
            </w:r>
          </w:p>
        </w:tc>
        <w:tc>
          <w:tcPr>
            <w:tcW w:type="dxa" w:w="2041"/>
          </w:tcPr>
          <w:p>
            <w:r/>
            <w:r>
              <w:rPr>
                <w:rFonts w:ascii="Arial" w:hAnsi="Arial" w:eastAsia="Arial"/>
                <w:b w:val="0"/>
                <w:i w:val="0"/>
                <w:sz w:val="18"/>
              </w:rPr>
              <w:t>Management, data and risk</w:t>
            </w:r>
          </w:p>
        </w:tc>
        <w:tc>
          <w:tcPr>
            <w:tcW w:type="dxa" w:w="1757"/>
          </w:tcPr>
          <w:p>
            <w:r/>
            <w:r>
              <w:rPr>
                <w:rFonts w:ascii="Arial" w:hAnsi="Arial" w:eastAsia="Arial"/>
                <w:b w:val="0"/>
                <w:i w:val="0"/>
                <w:sz w:val="18"/>
                <w:highlight w:val="yellow"/>
              </w:rPr>
              <w:t>[NPD team] (coordinator)</w:t>
            </w:r>
          </w:p>
        </w:tc>
        <w:tc>
          <w:tcPr>
            <w:tcW w:type="dxa" w:w="1020"/>
          </w:tcPr>
          <w:p>
            <w:r/>
            <w:r>
              <w:rPr>
                <w:rFonts w:ascii="Arial" w:hAnsi="Arial" w:eastAsia="Arial"/>
                <w:b w:val="0"/>
                <w:i w:val="0"/>
                <w:sz w:val="18"/>
              </w:rPr>
              <w:t>M1–M36</w:t>
            </w:r>
          </w:p>
        </w:tc>
        <w:tc>
          <w:tcPr>
            <w:tcW w:type="dxa" w:w="1077"/>
          </w:tcPr>
          <w:p>
            <w:r/>
            <w:r>
              <w:rPr>
                <w:rFonts w:ascii="Arial" w:hAnsi="Arial" w:eastAsia="Arial"/>
                <w:b w:val="0"/>
                <w:i w:val="0"/>
                <w:sz w:val="18"/>
              </w:rPr>
              <w:t>—</w:t>
            </w:r>
          </w:p>
        </w:tc>
        <w:tc>
          <w:tcPr>
            <w:tcW w:type="dxa" w:w="2154"/>
          </w:tcPr>
          <w:p>
            <w:r/>
            <w:r>
              <w:rPr>
                <w:rFonts w:ascii="Arial" w:hAnsi="Arial" w:eastAsia="Arial"/>
                <w:b w:val="0"/>
                <w:i w:val="0"/>
                <w:sz w:val="18"/>
              </w:rPr>
              <w:t>D7.1 (M3), D7.2 (M12), D7.2 (M24), D7.3 (M36)</w:t>
            </w:r>
          </w:p>
        </w:tc>
        <w:tc>
          <w:tcPr>
            <w:tcW w:type="dxa" w:w="850"/>
          </w:tcPr>
          <w:p>
            <w:r/>
            <w:r>
              <w:rPr>
                <w:rFonts w:ascii="Arial" w:hAnsi="Arial" w:eastAsia="Arial"/>
                <w:b w:val="0"/>
                <w:i w:val="0"/>
                <w:sz w:val="18"/>
                <w:highlight w:val="yellow"/>
              </w:rPr>
              <w:t>[PM]</w:t>
            </w:r>
          </w:p>
        </w:tc>
      </w:tr>
      <w:tr>
        <w:trPr>
          <w:cantSplit/>
        </w:trPr>
        <w:tc>
          <w:tcPr>
            <w:tcW w:type="dxa" w:w="737"/>
          </w:tcPr>
          <w:p>
            <w:r/>
          </w:p>
        </w:tc>
        <w:tc>
          <w:tcPr>
            <w:tcW w:type="dxa" w:w="2041"/>
          </w:tcPr>
          <w:p>
            <w:r/>
            <w:r>
              <w:rPr>
                <w:rFonts w:ascii="Arial" w:hAnsi="Arial" w:eastAsia="Arial"/>
                <w:b w:val="0"/>
                <w:i w:val="0"/>
                <w:sz w:val="18"/>
              </w:rPr>
              <w:t>Total</w:t>
            </w:r>
          </w:p>
        </w:tc>
        <w:tc>
          <w:tcPr>
            <w:tcW w:type="dxa" w:w="1757"/>
          </w:tcPr>
          <w:p>
            <w:r/>
          </w:p>
        </w:tc>
        <w:tc>
          <w:tcPr>
            <w:tcW w:type="dxa" w:w="1020"/>
          </w:tcPr>
          <w:p>
            <w:r/>
            <w:r>
              <w:rPr>
                <w:rFonts w:ascii="Arial" w:hAnsi="Arial" w:eastAsia="Arial"/>
                <w:b w:val="0"/>
                <w:i w:val="0"/>
                <w:sz w:val="18"/>
              </w:rPr>
              <w:t>M1–M36</w:t>
            </w:r>
          </w:p>
        </w:tc>
        <w:tc>
          <w:tcPr>
            <w:tcW w:type="dxa" w:w="1077"/>
          </w:tcPr>
          <w:p>
            <w:r/>
          </w:p>
        </w:tc>
        <w:tc>
          <w:tcPr>
            <w:tcW w:type="dxa" w:w="2154"/>
          </w:tcPr>
          <w:p>
            <w:r/>
            <w:r>
              <w:rPr>
                <w:rFonts w:ascii="Arial" w:hAnsi="Arial" w:eastAsia="Arial"/>
                <w:b w:val="0"/>
                <w:i w:val="0"/>
                <w:sz w:val="18"/>
              </w:rPr>
              <w:t>14 deliverables, 7 milestones</w:t>
            </w:r>
          </w:p>
        </w:tc>
        <w:tc>
          <w:tcPr>
            <w:tcW w:type="dxa" w:w="850"/>
          </w:tcPr>
          <w:p>
            <w:r/>
            <w:r>
              <w:rPr>
                <w:rFonts w:ascii="Arial" w:hAnsi="Arial" w:eastAsia="Arial"/>
                <w:b w:val="0"/>
                <w:i w:val="0"/>
                <w:sz w:val="18"/>
                <w:highlight w:val="yellow"/>
              </w:rPr>
              <w:t>[PM]</w:t>
            </w:r>
          </w:p>
        </w:tc>
      </w:tr>
    </w:tbl>
    <w:p>
      <w:pPr>
        <w:spacing w:after="80" w:before="40"/>
      </w:pPr>
      <w:r>
        <w:rPr>
          <w:rFonts w:ascii="Arial" w:hAnsi="Arial" w:eastAsia="Arial"/>
          <w:b w:val="0"/>
          <w:i/>
          <w:color w:val="52606D"/>
          <w:sz w:val="18"/>
        </w:rPr>
        <w:t>Effort in person-months is contributed in kind, because salaries are not eligible for SPS funding; the teams fill it in, also in the box of each work package.</w:t>
      </w:r>
    </w:p>
    <w:p>
      <w:pPr>
        <w:spacing w:after="40" w:before="0"/>
        <w:jc w:val="center"/>
      </w:pPr>
      <w:r>
        <w:drawing>
          <wp:inline xmlns:a="http://schemas.openxmlformats.org/drawingml/2006/main" xmlns:pic="http://schemas.openxmlformats.org/drawingml/2006/picture">
            <wp:extent cx="5760000" cy="3352836"/>
            <wp:docPr id="1" name="Picture 1"/>
            <wp:cNvGraphicFramePr>
              <a:graphicFrameLocks noChangeAspect="1"/>
            </wp:cNvGraphicFramePr>
            <a:graphic>
              <a:graphicData uri="http://schemas.openxmlformats.org/drawingml/2006/picture">
                <pic:pic>
                  <pic:nvPicPr>
                    <pic:cNvPr id="0" name="fig_wp_links.png"/>
                    <pic:cNvPicPr/>
                  </pic:nvPicPr>
                  <pic:blipFill>
                    <a:blip r:embed="rId9"/>
                    <a:stretch>
                      <a:fillRect/>
                    </a:stretch>
                  </pic:blipFill>
                  <pic:spPr>
                    <a:xfrm>
                      <a:off x="0" y="0"/>
                      <a:ext cx="5760000" cy="3352836"/>
                    </a:xfrm>
                    <a:prstGeom prst="rect"/>
                  </pic:spPr>
                </pic:pic>
              </a:graphicData>
            </a:graphic>
          </wp:inline>
        </w:drawing>
      </w:r>
    </w:p>
    <w:p>
      <w:pPr>
        <w:spacing w:after="80" w:before="0"/>
      </w:pPr>
      <w:r>
        <w:rPr>
          <w:rFonts w:ascii="Arial" w:hAnsi="Arial" w:eastAsia="Arial"/>
          <w:b w:val="0"/>
          <w:i/>
          <w:color w:val="52606D"/>
          <w:sz w:val="19"/>
        </w:rPr>
        <w:t>Figure 1. How the work packages feed each other. The live operation (WP5) feeds outcomes back to the alarms (WP3), and the alarms tell the network (WP4) which sensors are worth most.</w:t>
      </w:r>
    </w:p>
    <w:p>
      <w:r>
        <w:br w:type="page"/>
      </w:r>
    </w:p>
    <w:p>
      <w:pPr>
        <w:spacing w:after="80" w:before="0"/>
      </w:pPr>
      <w:r>
        <w:rPr>
          <w:rFonts w:ascii="Arial" w:hAnsi="Arial" w:eastAsia="Arial"/>
          <w:b/>
          <w:i w:val="0"/>
          <w:color w:val="2E6DB4"/>
          <w:sz w:val="28"/>
        </w:rPr>
        <w:t>WP1  Coastal motion and relative sea level</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[NPD team] or [additional NATO co-director]</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PPD team; Albanian research partner</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1 to Month 36</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O1: Measure the subsiding coast</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Measure the vertical motion of the land at the wellfields, the port and the landfall, separate what pumping can reverse from what it cannot, and deliver the relative sea level R(t) that drives every hazard model.</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T1.1</w:t>
            </w:r>
          </w:p>
        </w:tc>
        <w:tc>
          <w:tcPr>
            <w:tcW w:type="dxa" w:w="7483"/>
          </w:tcPr>
          <w:p>
            <w:r/>
            <w:r>
              <w:rPr>
                <w:rFonts w:ascii="Arial" w:hAnsi="Arial" w:eastAsia="Arial"/>
                <w:b w:val="0"/>
                <w:i w:val="0"/>
                <w:sz w:val="19"/>
              </w:rPr>
              <w:t>Sentinel-1 InSAR time series (2014 onwards) over the three asset areas</w:t>
            </w:r>
          </w:p>
        </w:tc>
        <w:tc>
          <w:tcPr>
            <w:tcW w:type="dxa" w:w="1361"/>
          </w:tcPr>
          <w:p>
            <w:r/>
            <w:r>
              <w:rPr>
                <w:rFonts w:ascii="Arial" w:hAnsi="Arial" w:eastAsia="Arial"/>
                <w:b w:val="0"/>
                <w:i w:val="0"/>
                <w:sz w:val="19"/>
              </w:rPr>
              <w:t>M1–M9</w:t>
            </w:r>
          </w:p>
        </w:tc>
      </w:tr>
      <w:tr>
        <w:trPr>
          <w:cantSplit/>
        </w:trPr>
        <w:tc>
          <w:tcPr>
            <w:tcW w:type="dxa" w:w="794"/>
          </w:tcPr>
          <w:p>
            <w:r/>
            <w:r>
              <w:rPr>
                <w:rFonts w:ascii="Arial" w:hAnsi="Arial" w:eastAsia="Arial"/>
                <w:b w:val="0"/>
                <w:i w:val="0"/>
                <w:sz w:val="19"/>
              </w:rPr>
              <w:t>T1.2</w:t>
            </w:r>
          </w:p>
        </w:tc>
        <w:tc>
          <w:tcPr>
            <w:tcW w:type="dxa" w:w="7483"/>
          </w:tcPr>
          <w:p>
            <w:r/>
            <w:r>
              <w:rPr>
                <w:rFonts w:ascii="Arial" w:hAnsi="Arial" w:eastAsia="Arial"/>
                <w:b w:val="0"/>
                <w:i w:val="0"/>
                <w:sz w:val="19"/>
              </w:rPr>
              <w:t>GNSS station(s) and corner reflectors at the assets; tie to the tide gauge</w:t>
            </w:r>
          </w:p>
        </w:tc>
        <w:tc>
          <w:tcPr>
            <w:tcW w:type="dxa" w:w="1361"/>
          </w:tcPr>
          <w:p>
            <w:r/>
            <w:r>
              <w:rPr>
                <w:rFonts w:ascii="Arial" w:hAnsi="Arial" w:eastAsia="Arial"/>
                <w:b w:val="0"/>
                <w:i w:val="0"/>
                <w:sz w:val="19"/>
              </w:rPr>
              <w:t>M3–M36</w:t>
            </w:r>
          </w:p>
        </w:tc>
      </w:tr>
      <w:tr>
        <w:trPr>
          <w:cantSplit/>
        </w:trPr>
        <w:tc>
          <w:tcPr>
            <w:tcW w:type="dxa" w:w="794"/>
          </w:tcPr>
          <w:p>
            <w:r/>
            <w:r>
              <w:rPr>
                <w:rFonts w:ascii="Arial" w:hAnsi="Arial" w:eastAsia="Arial"/>
                <w:b w:val="0"/>
                <w:i w:val="0"/>
                <w:sz w:val="19"/>
              </w:rPr>
              <w:t>T1.3</w:t>
            </w:r>
          </w:p>
        </w:tc>
        <w:tc>
          <w:tcPr>
            <w:tcW w:type="dxa" w:w="7483"/>
          </w:tcPr>
          <w:p>
            <w:r/>
            <w:r>
              <w:rPr>
                <w:rFonts w:ascii="Arial" w:hAnsi="Arial" w:eastAsia="Arial"/>
                <w:b w:val="0"/>
                <w:i w:val="0"/>
                <w:sz w:val="19"/>
              </w:rPr>
              <w:t>Elastic and inelastic compaction separated; pumping limit without inelastic compaction; 2019 coseismic and postseismic motion</w:t>
            </w:r>
          </w:p>
        </w:tc>
        <w:tc>
          <w:tcPr>
            <w:tcW w:type="dxa" w:w="1361"/>
          </w:tcPr>
          <w:p>
            <w:r/>
            <w:r>
              <w:rPr>
                <w:rFonts w:ascii="Arial" w:hAnsi="Arial" w:eastAsia="Arial"/>
                <w:b w:val="0"/>
                <w:i w:val="0"/>
                <w:sz w:val="19"/>
              </w:rPr>
              <w:t>M6–M12</w:t>
            </w:r>
          </w:p>
        </w:tc>
      </w:tr>
      <w:tr>
        <w:trPr>
          <w:cantSplit/>
        </w:trPr>
        <w:tc>
          <w:tcPr>
            <w:tcW w:type="dxa" w:w="794"/>
          </w:tcPr>
          <w:p>
            <w:r/>
            <w:r>
              <w:rPr>
                <w:rFonts w:ascii="Arial" w:hAnsi="Arial" w:eastAsia="Arial"/>
                <w:b w:val="0"/>
                <w:i w:val="0"/>
                <w:sz w:val="19"/>
              </w:rPr>
              <w:t>T1.4</w:t>
            </w:r>
          </w:p>
        </w:tc>
        <w:tc>
          <w:tcPr>
            <w:tcW w:type="dxa" w:w="7483"/>
          </w:tcPr>
          <w:p>
            <w:r/>
            <w:r>
              <w:rPr>
                <w:rFonts w:ascii="Arial" w:hAnsi="Arial" w:eastAsia="Arial"/>
                <w:b w:val="0"/>
                <w:i w:val="0"/>
                <w:sz w:val="19"/>
              </w:rPr>
              <w:t>R(t) series with uncertainty at each asset, updated through the demonstration</w:t>
            </w:r>
          </w:p>
        </w:tc>
        <w:tc>
          <w:tcPr>
            <w:tcW w:type="dxa" w:w="1361"/>
          </w:tcPr>
          <w:p>
            <w:r/>
            <w:r>
              <w:rPr>
                <w:rFonts w:ascii="Arial" w:hAnsi="Arial" w:eastAsia="Arial"/>
                <w:b w:val="0"/>
                <w:i w:val="0"/>
                <w:sz w:val="19"/>
              </w:rPr>
              <w:t>M10–M36</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D1.1</w:t>
            </w:r>
          </w:p>
        </w:tc>
        <w:tc>
          <w:tcPr>
            <w:tcW w:type="dxa" w:w="3402"/>
          </w:tcPr>
          <w:p>
            <w:r/>
            <w:r>
              <w:rPr>
                <w:rFonts w:ascii="Arial" w:hAnsi="Arial" w:eastAsia="Arial"/>
                <w:b w:val="0"/>
                <w:i w:val="0"/>
                <w:sz w:val="19"/>
              </w:rPr>
              <w:t>Coastal motion atlas and R(t) series</w:t>
            </w:r>
          </w:p>
        </w:tc>
        <w:tc>
          <w:tcPr>
            <w:tcW w:type="dxa" w:w="1474"/>
          </w:tcPr>
          <w:p>
            <w:r/>
            <w:r>
              <w:rPr>
                <w:rFonts w:ascii="Arial" w:hAnsi="Arial" w:eastAsia="Arial"/>
                <w:b w:val="0"/>
                <w:i w:val="0"/>
                <w:sz w:val="19"/>
              </w:rPr>
              <w:t>Data, report</w:t>
            </w:r>
          </w:p>
        </w:tc>
        <w:tc>
          <w:tcPr>
            <w:tcW w:type="dxa" w:w="3061"/>
          </w:tcPr>
          <w:p>
            <w:r/>
            <w:r>
              <w:rPr>
                <w:rFonts w:ascii="Arial" w:hAnsi="Arial" w:eastAsia="Arial"/>
                <w:b w:val="0"/>
                <w:i w:val="0"/>
                <w:sz w:val="19"/>
              </w:rPr>
              <w:t>Public (regional); restricted (asset points)</w:t>
            </w:r>
          </w:p>
        </w:tc>
        <w:tc>
          <w:tcPr>
            <w:tcW w:type="dxa" w:w="964"/>
          </w:tcPr>
          <w:p>
            <w:r/>
            <w:r>
              <w:rPr>
                <w:rFonts w:ascii="Arial" w:hAnsi="Arial" w:eastAsia="Arial"/>
                <w:b w:val="0"/>
                <w:i w:val="0"/>
                <w:sz w:val="19"/>
              </w:rPr>
              <w:t>M12</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MS2 (Month 12): Network streaming; coastal motion known</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Sentinel-1 archive; GNSS and corner reflectors (WP4); tide-gauge record</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R(t) and land motion at each asset, compaction parameters and the head limit h_pc → WP2, WP3 (extremes), WP5 (pumping rule)</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Vertical-velocity maps of the three asset areas with stated uncertainty; target uncertainty of the order of 1–2 mm/yr at asset points</w:t>
      </w:r>
    </w:p>
    <w:p>
      <w:pPr>
        <w:spacing w:after="20" w:before="0"/>
        <w:ind w:left="283"/>
      </w:pPr>
      <w:r>
        <w:rPr>
          <w:rFonts w:ascii="Arial" w:hAnsi="Arial" w:eastAsia="Arial"/>
          <w:b/>
          <w:i w:val="0"/>
          <w:sz w:val="20"/>
        </w:rPr>
        <w:t xml:space="preserve">• </w:t>
      </w:r>
      <w:r>
        <w:rPr>
          <w:rFonts w:ascii="Arial" w:hAnsi="Arial" w:eastAsia="Arial"/>
          <w:b w:val="0"/>
          <w:i w:val="0"/>
          <w:sz w:val="20"/>
        </w:rPr>
        <w:t>Elastic and inelastic compaction separated at every wellfield, and the pumping rate the land can sustain without inelastic compaction</w:t>
      </w:r>
    </w:p>
    <w:p>
      <w:pPr>
        <w:spacing w:after="20" w:before="0"/>
        <w:ind w:left="283"/>
      </w:pPr>
      <w:r>
        <w:rPr>
          <w:rFonts w:ascii="Arial" w:hAnsi="Arial" w:eastAsia="Arial"/>
          <w:b/>
          <w:i w:val="0"/>
          <w:sz w:val="20"/>
        </w:rPr>
        <w:t xml:space="preserve">• </w:t>
      </w:r>
      <w:r>
        <w:rPr>
          <w:rFonts w:ascii="Arial" w:hAnsi="Arial" w:eastAsia="Arial"/>
          <w:b w:val="0"/>
          <w:i w:val="0"/>
          <w:sz w:val="20"/>
        </w:rPr>
        <w:t>Time series R(t) with uncertainty at each asset, ready to drive the hazard models</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R4 inSAR loses coherence on vegetated plains or on new port works</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Relative sea level referred to each asset, and the switch from elastic to inelastic compaction turned into a warning (P1, P4, M5).</w:t>
      </w:r>
    </w:p>
    <w:p>
      <w:r>
        <w:br w:type="page"/>
      </w:r>
    </w:p>
    <w:p>
      <w:pPr>
        <w:spacing w:after="80" w:before="0"/>
      </w:pPr>
      <w:r>
        <w:rPr>
          <w:rFonts w:ascii="Arial" w:hAnsi="Arial" w:eastAsia="Arial"/>
          <w:b/>
          <w:i w:val="0"/>
          <w:color w:val="6A4FB3"/>
          <w:sz w:val="28"/>
        </w:rPr>
        <w:t>WP2  One coupled model of the coast and its certified fast copy</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[PPD team]</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NPD team</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4 to Month 24</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O2: Build one coupled physical model of the coast and a certified fast copy of it</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Build and calibrate one physical model that gives, from the same forcing, the chloride at the wells, the liquefaction factor of safety at the port and the landfall, and the extreme water level at all three; and a fast surrogate with an error bound on every forecast.</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T2.1</w:t>
            </w:r>
          </w:p>
        </w:tc>
        <w:tc>
          <w:tcPr>
            <w:tcW w:type="dxa" w:w="7483"/>
          </w:tcPr>
          <w:p>
            <w:r/>
            <w:r>
              <w:rPr>
                <w:rFonts w:ascii="Arial" w:hAnsi="Arial" w:eastAsia="Arial"/>
                <w:b w:val="0"/>
                <w:i w:val="0"/>
                <w:sz w:val="19"/>
              </w:rPr>
              <w:t>Conceptual model and data assembly: geology, wells, port and landfall geotechnical data</w:t>
            </w:r>
          </w:p>
        </w:tc>
        <w:tc>
          <w:tcPr>
            <w:tcW w:type="dxa" w:w="1361"/>
          </w:tcPr>
          <w:p>
            <w:r/>
            <w:r>
              <w:rPr>
                <w:rFonts w:ascii="Arial" w:hAnsi="Arial" w:eastAsia="Arial"/>
                <w:b w:val="0"/>
                <w:i w:val="0"/>
                <w:sz w:val="19"/>
              </w:rPr>
              <w:t>M4–M9</w:t>
            </w:r>
          </w:p>
        </w:tc>
      </w:tr>
      <w:tr>
        <w:trPr>
          <w:cantSplit/>
        </w:trPr>
        <w:tc>
          <w:tcPr>
            <w:tcW w:type="dxa" w:w="794"/>
          </w:tcPr>
          <w:p>
            <w:r/>
            <w:r>
              <w:rPr>
                <w:rFonts w:ascii="Arial" w:hAnsi="Arial" w:eastAsia="Arial"/>
                <w:b w:val="0"/>
                <w:i w:val="0"/>
                <w:sz w:val="19"/>
              </w:rPr>
              <w:t>T2.2</w:t>
            </w:r>
          </w:p>
        </w:tc>
        <w:tc>
          <w:tcPr>
            <w:tcW w:type="dxa" w:w="7483"/>
          </w:tcPr>
          <w:p>
            <w:r/>
            <w:r>
              <w:rPr>
                <w:rFonts w:ascii="Arial" w:hAnsi="Arial" w:eastAsia="Arial"/>
                <w:b w:val="0"/>
                <w:i w:val="0"/>
                <w:sz w:val="19"/>
              </w:rPr>
              <w:t>Coupled model: variable-density flow, salt memory, compaction, FS(x,t) = CRR/CSR(z_w), coastal water level on R(t)</w:t>
            </w:r>
          </w:p>
        </w:tc>
        <w:tc>
          <w:tcPr>
            <w:tcW w:type="dxa" w:w="1361"/>
          </w:tcPr>
          <w:p>
            <w:r/>
            <w:r>
              <w:rPr>
                <w:rFonts w:ascii="Arial" w:hAnsi="Arial" w:eastAsia="Arial"/>
                <w:b w:val="0"/>
                <w:i w:val="0"/>
                <w:sz w:val="19"/>
              </w:rPr>
              <w:t>M7–M15</w:t>
            </w:r>
          </w:p>
        </w:tc>
      </w:tr>
      <w:tr>
        <w:trPr>
          <w:cantSplit/>
        </w:trPr>
        <w:tc>
          <w:tcPr>
            <w:tcW w:type="dxa" w:w="794"/>
          </w:tcPr>
          <w:p>
            <w:r/>
            <w:r>
              <w:rPr>
                <w:rFonts w:ascii="Arial" w:hAnsi="Arial" w:eastAsia="Arial"/>
                <w:b w:val="0"/>
                <w:i w:val="0"/>
                <w:sz w:val="19"/>
              </w:rPr>
              <w:t>T2.3</w:t>
            </w:r>
          </w:p>
        </w:tc>
        <w:tc>
          <w:tcPr>
            <w:tcW w:type="dxa" w:w="7483"/>
          </w:tcPr>
          <w:p>
            <w:r/>
            <w:r>
              <w:rPr>
                <w:rFonts w:ascii="Arial" w:hAnsi="Arial" w:eastAsia="Arial"/>
                <w:b w:val="0"/>
                <w:i w:val="0"/>
                <w:sz w:val="19"/>
              </w:rPr>
              <w:t>Calibration on heads, conductivity, chloride, InSAR and seismic velocity</w:t>
            </w:r>
          </w:p>
        </w:tc>
        <w:tc>
          <w:tcPr>
            <w:tcW w:type="dxa" w:w="1361"/>
          </w:tcPr>
          <w:p>
            <w:r/>
            <w:r>
              <w:rPr>
                <w:rFonts w:ascii="Arial" w:hAnsi="Arial" w:eastAsia="Arial"/>
                <w:b w:val="0"/>
                <w:i w:val="0"/>
                <w:sz w:val="19"/>
              </w:rPr>
              <w:t>M12–M18</w:t>
            </w:r>
          </w:p>
        </w:tc>
      </w:tr>
      <w:tr>
        <w:trPr>
          <w:cantSplit/>
        </w:trPr>
        <w:tc>
          <w:tcPr>
            <w:tcW w:type="dxa" w:w="794"/>
          </w:tcPr>
          <w:p>
            <w:r/>
            <w:r>
              <w:rPr>
                <w:rFonts w:ascii="Arial" w:hAnsi="Arial" w:eastAsia="Arial"/>
                <w:b w:val="0"/>
                <w:i w:val="0"/>
                <w:sz w:val="19"/>
              </w:rPr>
              <w:t>T2.4</w:t>
            </w:r>
          </w:p>
        </w:tc>
        <w:tc>
          <w:tcPr>
            <w:tcW w:type="dxa" w:w="7483"/>
          </w:tcPr>
          <w:p>
            <w:r/>
            <w:r>
              <w:rPr>
                <w:rFonts w:ascii="Arial" w:hAnsi="Arial" w:eastAsia="Arial"/>
                <w:b w:val="0"/>
                <w:i w:val="0"/>
                <w:sz w:val="19"/>
              </w:rPr>
              <w:t>Neural or kernel operator surrogate with a-posteriori error bound</w:t>
            </w:r>
          </w:p>
        </w:tc>
        <w:tc>
          <w:tcPr>
            <w:tcW w:type="dxa" w:w="1361"/>
          </w:tcPr>
          <w:p>
            <w:r/>
            <w:r>
              <w:rPr>
                <w:rFonts w:ascii="Arial" w:hAnsi="Arial" w:eastAsia="Arial"/>
                <w:b w:val="0"/>
                <w:i w:val="0"/>
                <w:sz w:val="19"/>
              </w:rPr>
              <w:t>M15–M22</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D2.1</w:t>
            </w:r>
          </w:p>
        </w:tc>
        <w:tc>
          <w:tcPr>
            <w:tcW w:type="dxa" w:w="3402"/>
          </w:tcPr>
          <w:p>
            <w:r/>
            <w:r>
              <w:rPr>
                <w:rFonts w:ascii="Arial" w:hAnsi="Arial" w:eastAsia="Arial"/>
                <w:b w:val="0"/>
                <w:i w:val="0"/>
                <w:sz w:val="19"/>
              </w:rPr>
              <w:t>Calibrated coupled model</w:t>
            </w:r>
          </w:p>
        </w:tc>
        <w:tc>
          <w:tcPr>
            <w:tcW w:type="dxa" w:w="1474"/>
          </w:tcPr>
          <w:p>
            <w:r/>
            <w:r>
              <w:rPr>
                <w:rFonts w:ascii="Arial" w:hAnsi="Arial" w:eastAsia="Arial"/>
                <w:b w:val="0"/>
                <w:i w:val="0"/>
                <w:sz w:val="19"/>
              </w:rPr>
              <w:t>Model</w:t>
            </w:r>
          </w:p>
        </w:tc>
        <w:tc>
          <w:tcPr>
            <w:tcW w:type="dxa" w:w="3061"/>
          </w:tcPr>
          <w:p>
            <w:r/>
            <w:r>
              <w:rPr>
                <w:rFonts w:ascii="Arial" w:hAnsi="Arial" w:eastAsia="Arial"/>
                <w:b w:val="0"/>
                <w:i w:val="0"/>
                <w:sz w:val="19"/>
              </w:rPr>
              <w:t>Restricted (site); public (synthetic coast)</w:t>
            </w:r>
          </w:p>
        </w:tc>
        <w:tc>
          <w:tcPr>
            <w:tcW w:type="dxa" w:w="964"/>
          </w:tcPr>
          <w:p>
            <w:r/>
            <w:r>
              <w:rPr>
                <w:rFonts w:ascii="Arial" w:hAnsi="Arial" w:eastAsia="Arial"/>
                <w:b w:val="0"/>
                <w:i w:val="0"/>
                <w:sz w:val="19"/>
              </w:rPr>
              <w:t>M18</w:t>
            </w:r>
          </w:p>
        </w:tc>
      </w:tr>
      <w:tr>
        <w:trPr>
          <w:cantSplit/>
        </w:trPr>
        <w:tc>
          <w:tcPr>
            <w:tcW w:type="dxa" w:w="737"/>
          </w:tcPr>
          <w:p>
            <w:r/>
            <w:r>
              <w:rPr>
                <w:rFonts w:ascii="Arial" w:hAnsi="Arial" w:eastAsia="Arial"/>
                <w:b w:val="0"/>
                <w:i w:val="0"/>
                <w:sz w:val="19"/>
              </w:rPr>
              <w:t>D2.2</w:t>
            </w:r>
          </w:p>
        </w:tc>
        <w:tc>
          <w:tcPr>
            <w:tcW w:type="dxa" w:w="3402"/>
          </w:tcPr>
          <w:p>
            <w:r/>
            <w:r>
              <w:rPr>
                <w:rFonts w:ascii="Arial" w:hAnsi="Arial" w:eastAsia="Arial"/>
                <w:b w:val="0"/>
                <w:i w:val="0"/>
                <w:sz w:val="19"/>
              </w:rPr>
              <w:t>Certified surrogate</w:t>
            </w:r>
          </w:p>
        </w:tc>
        <w:tc>
          <w:tcPr>
            <w:tcW w:type="dxa" w:w="1474"/>
          </w:tcPr>
          <w:p>
            <w:r/>
            <w:r>
              <w:rPr>
                <w:rFonts w:ascii="Arial" w:hAnsi="Arial" w:eastAsia="Arial"/>
                <w:b w:val="0"/>
                <w:i w:val="0"/>
                <w:sz w:val="19"/>
              </w:rPr>
              <w:t>Software</w:t>
            </w:r>
          </w:p>
        </w:tc>
        <w:tc>
          <w:tcPr>
            <w:tcW w:type="dxa" w:w="3061"/>
          </w:tcPr>
          <w:p>
            <w:r/>
            <w:r>
              <w:rPr>
                <w:rFonts w:ascii="Arial" w:hAnsi="Arial" w:eastAsia="Arial"/>
                <w:b w:val="0"/>
                <w:i w:val="0"/>
                <w:sz w:val="19"/>
              </w:rPr>
              <w:t>Restricted (site); public (synthetic coast)</w:t>
            </w:r>
          </w:p>
        </w:tc>
        <w:tc>
          <w:tcPr>
            <w:tcW w:type="dxa" w:w="964"/>
          </w:tcPr>
          <w:p>
            <w:r/>
            <w:r>
              <w:rPr>
                <w:rFonts w:ascii="Arial" w:hAnsi="Arial" w:eastAsia="Arial"/>
                <w:b w:val="0"/>
                <w:i w:val="0"/>
                <w:sz w:val="19"/>
              </w:rPr>
              <w:t>M22</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MS3 (Month 18): Coupled model calibrated</w:t>
      </w:r>
    </w:p>
    <w:p>
      <w:pPr>
        <w:spacing w:after="20" w:before="0"/>
        <w:ind w:left="283"/>
      </w:pPr>
      <w:r>
        <w:rPr>
          <w:rFonts w:ascii="Arial" w:hAnsi="Arial" w:eastAsia="Arial"/>
          <w:b/>
          <w:i w:val="0"/>
          <w:sz w:val="20"/>
        </w:rPr>
        <w:t xml:space="preserve">• </w:t>
      </w:r>
      <w:r>
        <w:rPr>
          <w:rFonts w:ascii="Arial" w:hAnsi="Arial" w:eastAsia="Arial"/>
          <w:b w:val="0"/>
          <w:i w:val="0"/>
          <w:sz w:val="20"/>
        </w:rPr>
        <w:t>MS4 (Month 22): Go/no-go for live operation</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R(t) and compaction (WP1); heads, chloride and seismic velocity (WP4); operator records (access agreements, WP7)</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Calibrated coupled model and certified surrogate → WP3, WP5; sensitivities for the network design → WP4</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One model that outputs the three hazard indicators from one set of forcings: chloride at each production well, FS at the port and landfall, total water level at each asset</w:t>
      </w:r>
    </w:p>
    <w:p>
      <w:pPr>
        <w:spacing w:after="20" w:before="0"/>
        <w:ind w:left="283"/>
      </w:pPr>
      <w:r>
        <w:rPr>
          <w:rFonts w:ascii="Arial" w:hAnsi="Arial" w:eastAsia="Arial"/>
          <w:b/>
          <w:i w:val="0"/>
          <w:sz w:val="20"/>
        </w:rPr>
        <w:t xml:space="preserve">• </w:t>
      </w:r>
      <w:r>
        <w:rPr>
          <w:rFonts w:ascii="Arial" w:hAnsi="Arial" w:eastAsia="Arial"/>
          <w:b w:val="0"/>
          <w:i w:val="0"/>
          <w:sz w:val="20"/>
        </w:rPr>
        <w:t>Calibration reproduces held-out observations within their stated uncertainty</w:t>
      </w:r>
    </w:p>
    <w:p>
      <w:pPr>
        <w:spacing w:after="20" w:before="0"/>
        <w:ind w:left="283"/>
      </w:pPr>
      <w:r>
        <w:rPr>
          <w:rFonts w:ascii="Arial" w:hAnsi="Arial" w:eastAsia="Arial"/>
          <w:b/>
          <w:i w:val="0"/>
          <w:sz w:val="20"/>
        </w:rPr>
        <w:t xml:space="preserve">• </w:t>
      </w:r>
      <w:r>
        <w:rPr>
          <w:rFonts w:ascii="Arial" w:hAnsi="Arial" w:eastAsia="Arial"/>
          <w:b w:val="0"/>
          <w:i w:val="0"/>
          <w:sz w:val="20"/>
        </w:rPr>
        <w:t>Surrogate fast enough to run thousands of storylines per day, with an a-posteriori error bound attached to each forecast</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R3 historical head and chloride records are incomplete or of uneven quality</w:t>
      </w:r>
    </w:p>
    <w:p>
      <w:pPr>
        <w:spacing w:after="20" w:before="0"/>
        <w:ind w:left="283"/>
      </w:pPr>
      <w:r>
        <w:rPr>
          <w:rFonts w:ascii="Arial" w:hAnsi="Arial" w:eastAsia="Arial"/>
          <w:b/>
          <w:i w:val="0"/>
          <w:sz w:val="20"/>
        </w:rPr>
        <w:t xml:space="preserve">• </w:t>
      </w:r>
      <w:r>
        <w:rPr>
          <w:rFonts w:ascii="Arial" w:hAnsi="Arial" w:eastAsia="Arial"/>
          <w:b w:val="0"/>
          <w:i w:val="0"/>
          <w:sz w:val="20"/>
        </w:rPr>
        <w:t>R5 the coupled model fails its validation test on held-out data</w:t>
      </w:r>
    </w:p>
    <w:p>
      <w:pPr>
        <w:spacing w:after="20" w:before="0"/>
        <w:ind w:left="283"/>
      </w:pPr>
      <w:r>
        <w:rPr>
          <w:rFonts w:ascii="Arial" w:hAnsi="Arial" w:eastAsia="Arial"/>
          <w:b/>
          <w:i w:val="0"/>
          <w:sz w:val="20"/>
        </w:rPr>
        <w:t xml:space="preserve">• </w:t>
      </w:r>
      <w:r>
        <w:rPr>
          <w:rFonts w:ascii="Arial" w:hAnsi="Arial" w:eastAsia="Arial"/>
          <w:b w:val="0"/>
          <w:i w:val="0"/>
          <w:sz w:val="20"/>
        </w:rPr>
        <w:t>R6 the surrogate fails its error bound in part of the domain</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One model in which the same water table drives intrusion, compaction and the liquefaction factor of safety, with a certified fast copy (P2, P3, M4).</w:t>
      </w:r>
    </w:p>
    <w:p>
      <w:r>
        <w:br w:type="page"/>
      </w:r>
    </w:p>
    <w:p>
      <w:pPr>
        <w:spacing w:after="80" w:before="0"/>
      </w:pPr>
      <w:r>
        <w:rPr>
          <w:rFonts w:ascii="Arial" w:hAnsi="Arial" w:eastAsia="Arial"/>
          <w:b/>
          <w:i w:val="0"/>
          <w:color w:val="B03A3A"/>
          <w:sz w:val="28"/>
        </w:rPr>
        <w:t>WP3  Certified multi-hazard alarm</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[PPD team]</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NPD team; end-users (thresholds, T3.1)</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13 to Month 34</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O3: Certify the warnings</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Turn the forecasts into alarms whose miss rates are bounded: a margin made of the surrogate error bound, an online conformal risk-control term and an extreme-aware term; a joint guarantee over the three hazards.</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T3.1</w:t>
            </w:r>
          </w:p>
        </w:tc>
        <w:tc>
          <w:tcPr>
            <w:tcW w:type="dxa" w:w="7483"/>
          </w:tcPr>
          <w:p>
            <w:r/>
            <w:r>
              <w:rPr>
                <w:rFonts w:ascii="Arial" w:hAnsi="Arial" w:eastAsia="Arial"/>
                <w:b w:val="0"/>
                <w:i w:val="0"/>
                <w:sz w:val="19"/>
              </w:rPr>
              <w:t>Hazard indicators and thresholds agreed with the operators (chloride limit, FS &lt; 1, design water level)</w:t>
            </w:r>
          </w:p>
        </w:tc>
        <w:tc>
          <w:tcPr>
            <w:tcW w:type="dxa" w:w="1361"/>
          </w:tcPr>
          <w:p>
            <w:r/>
            <w:r>
              <w:rPr>
                <w:rFonts w:ascii="Arial" w:hAnsi="Arial" w:eastAsia="Arial"/>
                <w:b w:val="0"/>
                <w:i w:val="0"/>
                <w:sz w:val="19"/>
              </w:rPr>
              <w:t>M13–M15</w:t>
            </w:r>
          </w:p>
        </w:tc>
      </w:tr>
      <w:tr>
        <w:trPr>
          <w:cantSplit/>
        </w:trPr>
        <w:tc>
          <w:tcPr>
            <w:tcW w:type="dxa" w:w="794"/>
          </w:tcPr>
          <w:p>
            <w:r/>
            <w:r>
              <w:rPr>
                <w:rFonts w:ascii="Arial" w:hAnsi="Arial" w:eastAsia="Arial"/>
                <w:b w:val="0"/>
                <w:i w:val="0"/>
                <w:sz w:val="19"/>
              </w:rPr>
              <w:t>T3.2</w:t>
            </w:r>
          </w:p>
        </w:tc>
        <w:tc>
          <w:tcPr>
            <w:tcW w:type="dxa" w:w="7483"/>
          </w:tcPr>
          <w:p>
            <w:r/>
            <w:r>
              <w:rPr>
                <w:rFonts w:ascii="Arial" w:hAnsi="Arial" w:eastAsia="Arial"/>
                <w:b w:val="0"/>
                <w:i w:val="0"/>
                <w:sz w:val="19"/>
              </w:rPr>
              <w:t>Margin construction and proofs: error bound + online conformal risk control + extreme-aware term</w:t>
            </w:r>
          </w:p>
        </w:tc>
        <w:tc>
          <w:tcPr>
            <w:tcW w:type="dxa" w:w="1361"/>
          </w:tcPr>
          <w:p>
            <w:r/>
            <w:r>
              <w:rPr>
                <w:rFonts w:ascii="Arial" w:hAnsi="Arial" w:eastAsia="Arial"/>
                <w:b w:val="0"/>
                <w:i w:val="0"/>
                <w:sz w:val="19"/>
              </w:rPr>
              <w:t>M15–M24</w:t>
            </w:r>
          </w:p>
        </w:tc>
      </w:tr>
      <w:tr>
        <w:trPr>
          <w:cantSplit/>
        </w:trPr>
        <w:tc>
          <w:tcPr>
            <w:tcW w:type="dxa" w:w="794"/>
          </w:tcPr>
          <w:p>
            <w:r/>
            <w:r>
              <w:rPr>
                <w:rFonts w:ascii="Arial" w:hAnsi="Arial" w:eastAsia="Arial"/>
                <w:b w:val="0"/>
                <w:i w:val="0"/>
                <w:sz w:val="19"/>
              </w:rPr>
              <w:t>T3.3</w:t>
            </w:r>
          </w:p>
        </w:tc>
        <w:tc>
          <w:tcPr>
            <w:tcW w:type="dxa" w:w="7483"/>
          </w:tcPr>
          <w:p>
            <w:r/>
            <w:r>
              <w:rPr>
                <w:rFonts w:ascii="Arial" w:hAnsi="Arial" w:eastAsia="Arial"/>
                <w:b w:val="0"/>
                <w:i w:val="0"/>
                <w:sz w:val="19"/>
              </w:rPr>
              <w:t>Joint guarantee over the three alarms; tolerances α_k allocated by consequence</w:t>
            </w:r>
          </w:p>
        </w:tc>
        <w:tc>
          <w:tcPr>
            <w:tcW w:type="dxa" w:w="1361"/>
          </w:tcPr>
          <w:p>
            <w:r/>
            <w:r>
              <w:rPr>
                <w:rFonts w:ascii="Arial" w:hAnsi="Arial" w:eastAsia="Arial"/>
                <w:b w:val="0"/>
                <w:i w:val="0"/>
                <w:sz w:val="19"/>
              </w:rPr>
              <w:t>M18–M24</w:t>
            </w:r>
          </w:p>
        </w:tc>
      </w:tr>
      <w:tr>
        <w:trPr>
          <w:cantSplit/>
        </w:trPr>
        <w:tc>
          <w:tcPr>
            <w:tcW w:type="dxa" w:w="794"/>
          </w:tcPr>
          <w:p>
            <w:r/>
            <w:r>
              <w:rPr>
                <w:rFonts w:ascii="Arial" w:hAnsi="Arial" w:eastAsia="Arial"/>
                <w:b w:val="0"/>
                <w:i w:val="0"/>
                <w:sz w:val="19"/>
              </w:rPr>
              <w:t>T3.4</w:t>
            </w:r>
          </w:p>
        </w:tc>
        <w:tc>
          <w:tcPr>
            <w:tcW w:type="dxa" w:w="7483"/>
          </w:tcPr>
          <w:p>
            <w:r/>
            <w:r>
              <w:rPr>
                <w:rFonts w:ascii="Arial" w:hAnsi="Arial" w:eastAsia="Arial"/>
                <w:b w:val="0"/>
                <w:i w:val="0"/>
                <w:sz w:val="19"/>
              </w:rPr>
              <w:t>Back-testing on the historical record and on storylines beyond it</w:t>
            </w:r>
          </w:p>
        </w:tc>
        <w:tc>
          <w:tcPr>
            <w:tcW w:type="dxa" w:w="1361"/>
          </w:tcPr>
          <w:p>
            <w:r/>
            <w:r>
              <w:rPr>
                <w:rFonts w:ascii="Arial" w:hAnsi="Arial" w:eastAsia="Arial"/>
                <w:b w:val="0"/>
                <w:i w:val="0"/>
                <w:sz w:val="19"/>
              </w:rPr>
              <w:t>M22–M27</w:t>
            </w:r>
          </w:p>
        </w:tc>
      </w:tr>
      <w:tr>
        <w:trPr>
          <w:cantSplit/>
        </w:trPr>
        <w:tc>
          <w:tcPr>
            <w:tcW w:type="dxa" w:w="794"/>
          </w:tcPr>
          <w:p>
            <w:r/>
            <w:r>
              <w:rPr>
                <w:rFonts w:ascii="Arial" w:hAnsi="Arial" w:eastAsia="Arial"/>
                <w:b w:val="0"/>
                <w:i w:val="0"/>
                <w:sz w:val="19"/>
              </w:rPr>
              <w:t>T3.5</w:t>
            </w:r>
          </w:p>
        </w:tc>
        <w:tc>
          <w:tcPr>
            <w:tcW w:type="dxa" w:w="7483"/>
          </w:tcPr>
          <w:p>
            <w:r/>
            <w:r>
              <w:rPr>
                <w:rFonts w:ascii="Arial" w:hAnsi="Arial" w:eastAsia="Arial"/>
                <w:b w:val="0"/>
                <w:i w:val="0"/>
                <w:sz w:val="19"/>
              </w:rPr>
              <w:t>Alarm refinement with the outcomes of the live operation</w:t>
            </w:r>
          </w:p>
        </w:tc>
        <w:tc>
          <w:tcPr>
            <w:tcW w:type="dxa" w:w="1361"/>
          </w:tcPr>
          <w:p>
            <w:r/>
            <w:r>
              <w:rPr>
                <w:rFonts w:ascii="Arial" w:hAnsi="Arial" w:eastAsia="Arial"/>
                <w:b w:val="0"/>
                <w:i w:val="0"/>
                <w:sz w:val="19"/>
              </w:rPr>
              <w:t>M28–M34</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D3.1</w:t>
            </w:r>
          </w:p>
        </w:tc>
        <w:tc>
          <w:tcPr>
            <w:tcW w:type="dxa" w:w="3402"/>
          </w:tcPr>
          <w:p>
            <w:r/>
            <w:r>
              <w:rPr>
                <w:rFonts w:ascii="Arial" w:hAnsi="Arial" w:eastAsia="Arial"/>
                <w:b w:val="0"/>
                <w:i w:val="0"/>
                <w:sz w:val="19"/>
              </w:rPr>
              <w:t>Certified alarm algorithms and proofs</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Public</w:t>
            </w:r>
          </w:p>
        </w:tc>
        <w:tc>
          <w:tcPr>
            <w:tcW w:type="dxa" w:w="964"/>
          </w:tcPr>
          <w:p>
            <w:r/>
            <w:r>
              <w:rPr>
                <w:rFonts w:ascii="Arial" w:hAnsi="Arial" w:eastAsia="Arial"/>
                <w:b w:val="0"/>
                <w:i w:val="0"/>
                <w:sz w:val="19"/>
              </w:rPr>
              <w:t>M24</w:t>
            </w:r>
          </w:p>
        </w:tc>
      </w:tr>
      <w:tr>
        <w:trPr>
          <w:cantSplit/>
        </w:trPr>
        <w:tc>
          <w:tcPr>
            <w:tcW w:type="dxa" w:w="737"/>
          </w:tcPr>
          <w:p>
            <w:r/>
            <w:r>
              <w:rPr>
                <w:rFonts w:ascii="Arial" w:hAnsi="Arial" w:eastAsia="Arial"/>
                <w:b w:val="0"/>
                <w:i w:val="0"/>
                <w:sz w:val="19"/>
              </w:rPr>
              <w:t>D3.2</w:t>
            </w:r>
          </w:p>
        </w:tc>
        <w:tc>
          <w:tcPr>
            <w:tcW w:type="dxa" w:w="3402"/>
          </w:tcPr>
          <w:p>
            <w:r/>
            <w:r>
              <w:rPr>
                <w:rFonts w:ascii="Arial" w:hAnsi="Arial" w:eastAsia="Arial"/>
                <w:b w:val="0"/>
                <w:i w:val="0"/>
                <w:sz w:val="19"/>
              </w:rPr>
              <w:t>Back-testing report</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Public (aggregated); restricted annex</w:t>
            </w:r>
          </w:p>
        </w:tc>
        <w:tc>
          <w:tcPr>
            <w:tcW w:type="dxa" w:w="964"/>
          </w:tcPr>
          <w:p>
            <w:r/>
            <w:r>
              <w:rPr>
                <w:rFonts w:ascii="Arial" w:hAnsi="Arial" w:eastAsia="Arial"/>
                <w:b w:val="0"/>
                <w:i w:val="0"/>
                <w:sz w:val="19"/>
              </w:rPr>
              <w:t>M27</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MS5 (Month 27): Miss-rate targets confirmed in back-testing</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Surrogate and error bound (WP2); thresholds agreed with the operators (T3.1); nonstationary extremes (WP1)</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Certified alarms and proofs → WP5; value of each sensor → WP4; verification statistics → WP6</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Miss rate of each alarm at or below its target α_k (indicatively 5–10%) in back-testing over the historical record and in the live demonstration, reported with confidence intervals</w:t>
      </w:r>
    </w:p>
    <w:p>
      <w:pPr>
        <w:spacing w:after="20" w:before="0"/>
        <w:ind w:left="283"/>
      </w:pPr>
      <w:r>
        <w:rPr>
          <w:rFonts w:ascii="Arial" w:hAnsi="Arial" w:eastAsia="Arial"/>
          <w:b/>
          <w:i w:val="0"/>
          <w:sz w:val="20"/>
        </w:rPr>
        <w:t xml:space="preserve">• </w:t>
      </w:r>
      <w:r>
        <w:rPr>
          <w:rFonts w:ascii="Arial" w:hAnsi="Arial" w:eastAsia="Arial"/>
          <w:b w:val="0"/>
          <w:i w:val="0"/>
          <w:sz w:val="20"/>
        </w:rPr>
        <w:t>Joint miss probability of the three alarms at or below Σα_k, with the false-alarm rate reported alongside</w:t>
      </w:r>
    </w:p>
    <w:p>
      <w:pPr>
        <w:spacing w:after="20" w:before="0"/>
        <w:ind w:left="283"/>
      </w:pPr>
      <w:r>
        <w:rPr>
          <w:rFonts w:ascii="Arial" w:hAnsi="Arial" w:eastAsia="Arial"/>
          <w:b/>
          <w:i w:val="0"/>
          <w:sz w:val="20"/>
        </w:rPr>
        <w:t xml:space="preserve">• </w:t>
      </w:r>
      <w:r>
        <w:rPr>
          <w:rFonts w:ascii="Arial" w:hAnsi="Arial" w:eastAsia="Arial"/>
          <w:b w:val="0"/>
          <w:i w:val="0"/>
          <w:sz w:val="20"/>
        </w:rPr>
        <w:t>Under drought, storm and compound storylines beyond the record, miss rates within target where a static alarm fails (preparatory tests: 4–9% against 13–21%)</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R7 certified alarms are too cautious: the false-alarm rate is unacceptable to the operators</w:t>
      </w:r>
    </w:p>
    <w:p>
      <w:pPr>
        <w:spacing w:after="20" w:before="0"/>
        <w:ind w:left="283"/>
      </w:pPr>
      <w:r>
        <w:rPr>
          <w:rFonts w:ascii="Arial" w:hAnsi="Arial" w:eastAsia="Arial"/>
          <w:b/>
          <w:i w:val="0"/>
          <w:sz w:val="20"/>
        </w:rPr>
        <w:t xml:space="preserve">• </w:t>
      </w:r>
      <w:r>
        <w:rPr>
          <w:rFonts w:ascii="Arial" w:hAnsi="Arial" w:eastAsia="Arial"/>
          <w:b w:val="0"/>
          <w:i w:val="0"/>
          <w:sz w:val="20"/>
        </w:rPr>
        <w:t>R8 conditions move beyond the observed record (drought, compound storm, post-seismic change) and weaken the guarantees</w:t>
      </w:r>
    </w:p>
    <w:p>
      <w:pPr>
        <w:spacing w:after="20" w:before="0"/>
        <w:ind w:left="283"/>
      </w:pPr>
      <w:r>
        <w:rPr>
          <w:rFonts w:ascii="Arial" w:hAnsi="Arial" w:eastAsia="Arial"/>
          <w:b/>
          <w:i w:val="0"/>
          <w:sz w:val="20"/>
        </w:rPr>
        <w:t xml:space="preserve">• </w:t>
      </w:r>
      <w:r>
        <w:rPr>
          <w:rFonts w:ascii="Arial" w:hAnsi="Arial" w:eastAsia="Arial"/>
          <w:b w:val="0"/>
          <w:i w:val="0"/>
          <w:sz w:val="20"/>
        </w:rPr>
        <w:t>R14 no strong earthquake or surge occurs during the demonstration, so the guarantees are not tested on such events</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Alarms whose miss rates are certified, each and jointly, also beyond the observed record (M1, M2).</w:t>
      </w:r>
    </w:p>
    <w:p>
      <w:r>
        <w:br w:type="page"/>
      </w:r>
    </w:p>
    <w:p>
      <w:pPr>
        <w:spacing w:after="80" w:before="0"/>
      </w:pPr>
      <w:r>
        <w:rPr>
          <w:rFonts w:ascii="Arial" w:hAnsi="Arial" w:eastAsia="Arial"/>
          <w:b/>
          <w:i w:val="0"/>
          <w:color w:val="1E8A5A"/>
          <w:sz w:val="28"/>
        </w:rPr>
        <w:t>WP4  Monitoring network designed for the warnings</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[NPD team]</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Albanian research partner; additional NATO co-director (T4.4)</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1 to Month 36</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O4: Design and install the monitoring network for the warnings</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Choose the sensors jointly for their value to the three warnings, install them, keep them running and feed them into the model.</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T4.1</w:t>
            </w:r>
          </w:p>
        </w:tc>
        <w:tc>
          <w:tcPr>
            <w:tcW w:type="dxa" w:w="7483"/>
          </w:tcPr>
          <w:p>
            <w:r/>
            <w:r>
              <w:rPr>
                <w:rFonts w:ascii="Arial" w:hAnsi="Arial" w:eastAsia="Arial"/>
                <w:b w:val="0"/>
                <w:i w:val="0"/>
                <w:sz w:val="19"/>
              </w:rPr>
              <w:t>Goal-oriented design across sensor types: piezometers with conductivity, chloride sampling, GNSS, seismic noise, nodes, fibre</w:t>
            </w:r>
          </w:p>
        </w:tc>
        <w:tc>
          <w:tcPr>
            <w:tcW w:type="dxa" w:w="1361"/>
          </w:tcPr>
          <w:p>
            <w:r/>
            <w:r>
              <w:rPr>
                <w:rFonts w:ascii="Arial" w:hAnsi="Arial" w:eastAsia="Arial"/>
                <w:b w:val="0"/>
                <w:i w:val="0"/>
                <w:sz w:val="19"/>
              </w:rPr>
              <w:t>M1–M6</w:t>
            </w:r>
          </w:p>
        </w:tc>
      </w:tr>
      <w:tr>
        <w:trPr>
          <w:cantSplit/>
        </w:trPr>
        <w:tc>
          <w:tcPr>
            <w:tcW w:type="dxa" w:w="794"/>
          </w:tcPr>
          <w:p>
            <w:r/>
            <w:r>
              <w:rPr>
                <w:rFonts w:ascii="Arial" w:hAnsi="Arial" w:eastAsia="Arial"/>
                <w:b w:val="0"/>
                <w:i w:val="0"/>
                <w:sz w:val="19"/>
              </w:rPr>
              <w:t>T4.2</w:t>
            </w:r>
          </w:p>
        </w:tc>
        <w:tc>
          <w:tcPr>
            <w:tcW w:type="dxa" w:w="7483"/>
          </w:tcPr>
          <w:p>
            <w:r/>
            <w:r>
              <w:rPr>
                <w:rFonts w:ascii="Arial" w:hAnsi="Arial" w:eastAsia="Arial"/>
                <w:b w:val="0"/>
                <w:i w:val="0"/>
                <w:sz w:val="19"/>
              </w:rPr>
              <w:t>Procurement and installation</w:t>
            </w:r>
          </w:p>
        </w:tc>
        <w:tc>
          <w:tcPr>
            <w:tcW w:type="dxa" w:w="1361"/>
          </w:tcPr>
          <w:p>
            <w:r/>
            <w:r>
              <w:rPr>
                <w:rFonts w:ascii="Arial" w:hAnsi="Arial" w:eastAsia="Arial"/>
                <w:b w:val="0"/>
                <w:i w:val="0"/>
                <w:sz w:val="19"/>
              </w:rPr>
              <w:t>M4–M12</w:t>
            </w:r>
          </w:p>
        </w:tc>
      </w:tr>
      <w:tr>
        <w:trPr>
          <w:cantSplit/>
        </w:trPr>
        <w:tc>
          <w:tcPr>
            <w:tcW w:type="dxa" w:w="794"/>
          </w:tcPr>
          <w:p>
            <w:r/>
            <w:r>
              <w:rPr>
                <w:rFonts w:ascii="Arial" w:hAnsi="Arial" w:eastAsia="Arial"/>
                <w:b w:val="0"/>
                <w:i w:val="0"/>
                <w:sz w:val="19"/>
              </w:rPr>
              <w:t>T4.3</w:t>
            </w:r>
          </w:p>
        </w:tc>
        <w:tc>
          <w:tcPr>
            <w:tcW w:type="dxa" w:w="7483"/>
          </w:tcPr>
          <w:p>
            <w:r/>
            <w:r>
              <w:rPr>
                <w:rFonts w:ascii="Arial" w:hAnsi="Arial" w:eastAsia="Arial"/>
                <w:b w:val="0"/>
                <w:i w:val="0"/>
                <w:sz w:val="19"/>
              </w:rPr>
              <w:t>Operation, quality control, data streaming and assimilation</w:t>
            </w:r>
          </w:p>
        </w:tc>
        <w:tc>
          <w:tcPr>
            <w:tcW w:type="dxa" w:w="1361"/>
          </w:tcPr>
          <w:p>
            <w:r/>
            <w:r>
              <w:rPr>
                <w:rFonts w:ascii="Arial" w:hAnsi="Arial" w:eastAsia="Arial"/>
                <w:b w:val="0"/>
                <w:i w:val="0"/>
                <w:sz w:val="19"/>
              </w:rPr>
              <w:t>M12–M36</w:t>
            </w:r>
          </w:p>
        </w:tc>
      </w:tr>
      <w:tr>
        <w:trPr>
          <w:cantSplit/>
        </w:trPr>
        <w:tc>
          <w:tcPr>
            <w:tcW w:type="dxa" w:w="794"/>
          </w:tcPr>
          <w:p>
            <w:r/>
            <w:r>
              <w:rPr>
                <w:rFonts w:ascii="Arial" w:hAnsi="Arial" w:eastAsia="Arial"/>
                <w:b w:val="0"/>
                <w:i w:val="0"/>
                <w:sz w:val="19"/>
              </w:rPr>
              <w:t>T4.4</w:t>
            </w:r>
          </w:p>
        </w:tc>
        <w:tc>
          <w:tcPr>
            <w:tcW w:type="dxa" w:w="7483"/>
          </w:tcPr>
          <w:p>
            <w:r/>
            <w:r>
              <w:rPr>
                <w:rFonts w:ascii="Arial" w:hAnsi="Arial" w:eastAsia="Arial"/>
                <w:b w:val="0"/>
                <w:i w:val="0"/>
                <w:sz w:val="19"/>
              </w:rPr>
              <w:t>Seismic velocity calibrated against the water table at the port or landfall</w:t>
            </w:r>
          </w:p>
        </w:tc>
        <w:tc>
          <w:tcPr>
            <w:tcW w:type="dxa" w:w="1361"/>
          </w:tcPr>
          <w:p>
            <w:r/>
            <w:r>
              <w:rPr>
                <w:rFonts w:ascii="Arial" w:hAnsi="Arial" w:eastAsia="Arial"/>
                <w:b w:val="0"/>
                <w:i w:val="0"/>
                <w:sz w:val="19"/>
              </w:rPr>
              <w:t>M12–M24</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D4.1</w:t>
            </w:r>
          </w:p>
        </w:tc>
        <w:tc>
          <w:tcPr>
            <w:tcW w:type="dxa" w:w="3402"/>
          </w:tcPr>
          <w:p>
            <w:r/>
            <w:r>
              <w:rPr>
                <w:rFonts w:ascii="Arial" w:hAnsi="Arial" w:eastAsia="Arial"/>
                <w:b w:val="0"/>
                <w:i w:val="0"/>
                <w:sz w:val="19"/>
              </w:rPr>
              <w:t>Network design report</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Restricted</w:t>
            </w:r>
          </w:p>
        </w:tc>
        <w:tc>
          <w:tcPr>
            <w:tcW w:type="dxa" w:w="964"/>
          </w:tcPr>
          <w:p>
            <w:r/>
            <w:r>
              <w:rPr>
                <w:rFonts w:ascii="Arial" w:hAnsi="Arial" w:eastAsia="Arial"/>
                <w:b w:val="0"/>
                <w:i w:val="0"/>
                <w:sz w:val="19"/>
              </w:rPr>
              <w:t>M6</w:t>
            </w:r>
          </w:p>
        </w:tc>
      </w:tr>
      <w:tr>
        <w:trPr>
          <w:cantSplit/>
        </w:trPr>
        <w:tc>
          <w:tcPr>
            <w:tcW w:type="dxa" w:w="737"/>
          </w:tcPr>
          <w:p>
            <w:r/>
            <w:r>
              <w:rPr>
                <w:rFonts w:ascii="Arial" w:hAnsi="Arial" w:eastAsia="Arial"/>
                <w:b w:val="0"/>
                <w:i w:val="0"/>
                <w:sz w:val="19"/>
              </w:rPr>
              <w:t>D4.2</w:t>
            </w:r>
          </w:p>
        </w:tc>
        <w:tc>
          <w:tcPr>
            <w:tcW w:type="dxa" w:w="3402"/>
          </w:tcPr>
          <w:p>
            <w:r/>
            <w:r>
              <w:rPr>
                <w:rFonts w:ascii="Arial" w:hAnsi="Arial" w:eastAsia="Arial"/>
                <w:b w:val="0"/>
                <w:i w:val="0"/>
                <w:sz w:val="19"/>
              </w:rPr>
              <w:t>Network installed and streaming</w:t>
            </w:r>
          </w:p>
        </w:tc>
        <w:tc>
          <w:tcPr>
            <w:tcW w:type="dxa" w:w="1474"/>
          </w:tcPr>
          <w:p>
            <w:r/>
            <w:r>
              <w:rPr>
                <w:rFonts w:ascii="Arial" w:hAnsi="Arial" w:eastAsia="Arial"/>
                <w:b w:val="0"/>
                <w:i w:val="0"/>
                <w:sz w:val="19"/>
              </w:rPr>
              <w:t>Demonstrator</w:t>
            </w:r>
          </w:p>
        </w:tc>
        <w:tc>
          <w:tcPr>
            <w:tcW w:type="dxa" w:w="3061"/>
          </w:tcPr>
          <w:p>
            <w:r/>
            <w:r>
              <w:rPr>
                <w:rFonts w:ascii="Arial" w:hAnsi="Arial" w:eastAsia="Arial"/>
                <w:b w:val="0"/>
                <w:i w:val="0"/>
                <w:sz w:val="19"/>
              </w:rPr>
              <w:t>Restricted</w:t>
            </w:r>
          </w:p>
        </w:tc>
        <w:tc>
          <w:tcPr>
            <w:tcW w:type="dxa" w:w="964"/>
          </w:tcPr>
          <w:p>
            <w:r/>
            <w:r>
              <w:rPr>
                <w:rFonts w:ascii="Arial" w:hAnsi="Arial" w:eastAsia="Arial"/>
                <w:b w:val="0"/>
                <w:i w:val="0"/>
                <w:sz w:val="19"/>
              </w:rPr>
              <w:t>M12</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MS1 (Month 6): Network design agreed</w:t>
      </w:r>
    </w:p>
    <w:p>
      <w:pPr>
        <w:spacing w:after="20" w:before="0"/>
        <w:ind w:left="283"/>
      </w:pPr>
      <w:r>
        <w:rPr>
          <w:rFonts w:ascii="Arial" w:hAnsi="Arial" w:eastAsia="Arial"/>
          <w:b/>
          <w:i w:val="0"/>
          <w:sz w:val="20"/>
        </w:rPr>
        <w:t xml:space="preserve">• </w:t>
      </w:r>
      <w:r>
        <w:rPr>
          <w:rFonts w:ascii="Arial" w:hAnsi="Arial" w:eastAsia="Arial"/>
          <w:b w:val="0"/>
          <w:i w:val="0"/>
          <w:sz w:val="20"/>
        </w:rPr>
        <w:t>MS2 (Month 12): Network streaming; coastal motion known</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Preliminary sensitivities (WP2); value of each sensor (WP3); site access (WP7)</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Data streams → WP1, WP2, WP5; seismic velocity as a water-table gauge → WP2</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Every candidate sensor ranked by its value for the three warnings; the installed network is the best-value set within the budget</w:t>
      </w:r>
    </w:p>
    <w:p>
      <w:pPr>
        <w:spacing w:after="20" w:before="0"/>
        <w:ind w:left="283"/>
      </w:pPr>
      <w:r>
        <w:rPr>
          <w:rFonts w:ascii="Arial" w:hAnsi="Arial" w:eastAsia="Arial"/>
          <w:b/>
          <w:i w:val="0"/>
          <w:sz w:val="20"/>
        </w:rPr>
        <w:t xml:space="preserve">• </w:t>
      </w:r>
      <w:r>
        <w:rPr>
          <w:rFonts w:ascii="Arial" w:hAnsi="Arial" w:eastAsia="Arial"/>
          <w:b w:val="0"/>
          <w:i w:val="0"/>
          <w:sz w:val="20"/>
        </w:rPr>
        <w:t>Network installed by Month 12 and operating with at least 90% data availability</w:t>
      </w:r>
    </w:p>
    <w:p>
      <w:pPr>
        <w:spacing w:after="20" w:before="0"/>
        <w:ind w:left="283"/>
      </w:pPr>
      <w:r>
        <w:rPr>
          <w:rFonts w:ascii="Arial" w:hAnsi="Arial" w:eastAsia="Arial"/>
          <w:b/>
          <w:i w:val="0"/>
          <w:sz w:val="20"/>
        </w:rPr>
        <w:t xml:space="preserve">• </w:t>
      </w:r>
      <w:r>
        <w:rPr>
          <w:rFonts w:ascii="Arial" w:hAnsi="Arial" w:eastAsia="Arial"/>
          <w:b w:val="0"/>
          <w:i w:val="0"/>
          <w:sz w:val="20"/>
        </w:rPr>
        <w:t>Seismic velocity changes calibrated against the water table at the port or landfall, as a pore-pressure sensor</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R2 security rules restrict access to the port or landfall (port-facility security, energy operator rules)</w:t>
      </w:r>
    </w:p>
    <w:p>
      <w:pPr>
        <w:spacing w:after="20" w:before="0"/>
        <w:ind w:left="283"/>
      </w:pPr>
      <w:r>
        <w:rPr>
          <w:rFonts w:ascii="Arial" w:hAnsi="Arial" w:eastAsia="Arial"/>
          <w:b/>
          <w:i w:val="0"/>
          <w:sz w:val="20"/>
        </w:rPr>
        <w:t xml:space="preserve">• </w:t>
      </w:r>
      <w:r>
        <w:rPr>
          <w:rFonts w:ascii="Arial" w:hAnsi="Arial" w:eastAsia="Arial"/>
          <w:b w:val="0"/>
          <w:i w:val="0"/>
          <w:sz w:val="20"/>
        </w:rPr>
        <w:t>R9 fibre-optic access is not granted, or seismic velocity responds too weakly to the water table</w:t>
      </w:r>
    </w:p>
    <w:p>
      <w:pPr>
        <w:spacing w:after="20" w:before="0"/>
        <w:ind w:left="283"/>
      </w:pPr>
      <w:r>
        <w:rPr>
          <w:rFonts w:ascii="Arial" w:hAnsi="Arial" w:eastAsia="Arial"/>
          <w:b/>
          <w:i w:val="0"/>
          <w:sz w:val="20"/>
        </w:rPr>
        <w:t xml:space="preserve">• </w:t>
      </w:r>
      <w:r>
        <w:rPr>
          <w:rFonts w:ascii="Arial" w:hAnsi="Arial" w:eastAsia="Arial"/>
          <w:b w:val="0"/>
          <w:i w:val="0"/>
          <w:sz w:val="20"/>
        </w:rPr>
        <w:t>R10 procurement or customs delays for sensors and loggers</w:t>
      </w:r>
    </w:p>
    <w:p>
      <w:pPr>
        <w:spacing w:after="20" w:before="0"/>
        <w:ind w:left="283"/>
      </w:pPr>
      <w:r>
        <w:rPr>
          <w:rFonts w:ascii="Arial" w:hAnsi="Arial" w:eastAsia="Arial"/>
          <w:b/>
          <w:i w:val="0"/>
          <w:sz w:val="20"/>
        </w:rPr>
        <w:t xml:space="preserve">• </w:t>
      </w:r>
      <w:r>
        <w:rPr>
          <w:rFonts w:ascii="Arial" w:hAnsi="Arial" w:eastAsia="Arial"/>
          <w:b w:val="0"/>
          <w:i w:val="0"/>
          <w:sz w:val="20"/>
        </w:rPr>
        <w:t>R11 theft, vandalism or damage of field equipment</w:t>
      </w:r>
    </w:p>
    <w:p>
      <w:pPr>
        <w:spacing w:after="20" w:before="0"/>
        <w:ind w:left="283"/>
      </w:pPr>
      <w:r>
        <w:rPr>
          <w:rFonts w:ascii="Arial" w:hAnsi="Arial" w:eastAsia="Arial"/>
          <w:b/>
          <w:i w:val="0"/>
          <w:sz w:val="20"/>
        </w:rPr>
        <w:t xml:space="preserve">• </w:t>
      </w:r>
      <w:r>
        <w:rPr>
          <w:rFonts w:ascii="Arial" w:hAnsi="Arial" w:eastAsia="Arial"/>
          <w:b w:val="0"/>
          <w:i w:val="0"/>
          <w:sz w:val="20"/>
        </w:rPr>
        <w:t>R12 a new borehole connects fresh and saline layers and lets seawater move between them</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A network designed for the warnings across seven sensor types, and seismic noise used as a water-table gauge (M3, P5).</w:t>
      </w:r>
    </w:p>
    <w:p>
      <w:r>
        <w:br w:type="page"/>
      </w:r>
    </w:p>
    <w:p>
      <w:pPr>
        <w:spacing w:after="80" w:before="0"/>
      </w:pPr>
      <w:r>
        <w:rPr>
          <w:rFonts w:ascii="Arial" w:hAnsi="Arial" w:eastAsia="Arial"/>
          <w:b/>
          <w:i w:val="0"/>
          <w:color w:val="C27C12"/>
          <w:sz w:val="28"/>
        </w:rPr>
        <w:t>WP5  Live demonstration at the wellfields, port and landfall</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[NPD team]</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End-users; civil protection; PPD team</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22 to Month 36</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O5: Demonstrate the system in operation at the three assets</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Run the system live for twelve months with the operators and civil protection, evaluate every operating decision against all three hazards, and execute the post-event protocol whenever it is triggered.</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T5.1</w:t>
            </w:r>
          </w:p>
        </w:tc>
        <w:tc>
          <w:tcPr>
            <w:tcW w:type="dxa" w:w="7483"/>
          </w:tcPr>
          <w:p>
            <w:r/>
            <w:r>
              <w:rPr>
                <w:rFonts w:ascii="Arial" w:hAnsi="Arial" w:eastAsia="Arial"/>
                <w:b w:val="0"/>
                <w:i w:val="0"/>
                <w:sz w:val="19"/>
              </w:rPr>
              <w:t>Bulletin protocol and decision interfaces with the operators and civil protection</w:t>
            </w:r>
          </w:p>
        </w:tc>
        <w:tc>
          <w:tcPr>
            <w:tcW w:type="dxa" w:w="1361"/>
          </w:tcPr>
          <w:p>
            <w:r/>
            <w:r>
              <w:rPr>
                <w:rFonts w:ascii="Arial" w:hAnsi="Arial" w:eastAsia="Arial"/>
                <w:b w:val="0"/>
                <w:i w:val="0"/>
                <w:sz w:val="19"/>
              </w:rPr>
              <w:t>M22–M23</w:t>
            </w:r>
          </w:p>
        </w:tc>
      </w:tr>
      <w:tr>
        <w:trPr>
          <w:cantSplit/>
        </w:trPr>
        <w:tc>
          <w:tcPr>
            <w:tcW w:type="dxa" w:w="794"/>
          </w:tcPr>
          <w:p>
            <w:r/>
            <w:r>
              <w:rPr>
                <w:rFonts w:ascii="Arial" w:hAnsi="Arial" w:eastAsia="Arial"/>
                <w:b w:val="0"/>
                <w:i w:val="0"/>
                <w:sz w:val="19"/>
              </w:rPr>
              <w:t>T5.2</w:t>
            </w:r>
          </w:p>
        </w:tc>
        <w:tc>
          <w:tcPr>
            <w:tcW w:type="dxa" w:w="7483"/>
          </w:tcPr>
          <w:p>
            <w:r/>
            <w:r>
              <w:rPr>
                <w:rFonts w:ascii="Arial" w:hAnsi="Arial" w:eastAsia="Arial"/>
                <w:b w:val="0"/>
                <w:i w:val="0"/>
                <w:sz w:val="19"/>
              </w:rPr>
              <w:t>Twelve months of live operation, bulletins logged and outcomes verified</w:t>
            </w:r>
          </w:p>
        </w:tc>
        <w:tc>
          <w:tcPr>
            <w:tcW w:type="dxa" w:w="1361"/>
          </w:tcPr>
          <w:p>
            <w:r/>
            <w:r>
              <w:rPr>
                <w:rFonts w:ascii="Arial" w:hAnsi="Arial" w:eastAsia="Arial"/>
                <w:b w:val="0"/>
                <w:i w:val="0"/>
                <w:sz w:val="19"/>
              </w:rPr>
              <w:t>M23–M34</w:t>
            </w:r>
          </w:p>
        </w:tc>
      </w:tr>
      <w:tr>
        <w:trPr>
          <w:cantSplit/>
        </w:trPr>
        <w:tc>
          <w:tcPr>
            <w:tcW w:type="dxa" w:w="794"/>
          </w:tcPr>
          <w:p>
            <w:r/>
            <w:r>
              <w:rPr>
                <w:rFonts w:ascii="Arial" w:hAnsi="Arial" w:eastAsia="Arial"/>
                <w:b w:val="0"/>
                <w:i w:val="0"/>
                <w:sz w:val="19"/>
              </w:rPr>
              <w:t>T5.3</w:t>
            </w:r>
          </w:p>
        </w:tc>
        <w:tc>
          <w:tcPr>
            <w:tcW w:type="dxa" w:w="7483"/>
          </w:tcPr>
          <w:p>
            <w:r/>
            <w:r>
              <w:rPr>
                <w:rFonts w:ascii="Arial" w:hAnsi="Arial" w:eastAsia="Arial"/>
                <w:b w:val="0"/>
                <w:i w:val="0"/>
                <w:sz w:val="19"/>
              </w:rPr>
              <w:t>Pumping rule evaluated against the three hazards together and agreed with the water utility</w:t>
            </w:r>
          </w:p>
        </w:tc>
        <w:tc>
          <w:tcPr>
            <w:tcW w:type="dxa" w:w="1361"/>
          </w:tcPr>
          <w:p>
            <w:r/>
            <w:r>
              <w:rPr>
                <w:rFonts w:ascii="Arial" w:hAnsi="Arial" w:eastAsia="Arial"/>
                <w:b w:val="0"/>
                <w:i w:val="0"/>
                <w:sz w:val="19"/>
              </w:rPr>
              <w:t>M24–M33</w:t>
            </w:r>
          </w:p>
        </w:tc>
      </w:tr>
      <w:tr>
        <w:trPr>
          <w:cantSplit/>
        </w:trPr>
        <w:tc>
          <w:tcPr>
            <w:tcW w:type="dxa" w:w="794"/>
          </w:tcPr>
          <w:p>
            <w:r/>
            <w:r>
              <w:rPr>
                <w:rFonts w:ascii="Arial" w:hAnsi="Arial" w:eastAsia="Arial"/>
                <w:b w:val="0"/>
                <w:i w:val="0"/>
                <w:sz w:val="19"/>
              </w:rPr>
              <w:t>T5.4</w:t>
            </w:r>
          </w:p>
        </w:tc>
        <w:tc>
          <w:tcPr>
            <w:tcW w:type="dxa" w:w="7483"/>
          </w:tcPr>
          <w:p>
            <w:r/>
            <w:r>
              <w:rPr>
                <w:rFonts w:ascii="Arial" w:hAnsi="Arial" w:eastAsia="Arial"/>
                <w:b w:val="0"/>
                <w:i w:val="0"/>
                <w:sz w:val="19"/>
              </w:rPr>
              <w:t>Post-event protocol after strong earthquakes or surges (on trigger)</w:t>
            </w:r>
          </w:p>
        </w:tc>
        <w:tc>
          <w:tcPr>
            <w:tcW w:type="dxa" w:w="1361"/>
          </w:tcPr>
          <w:p>
            <w:r/>
            <w:r>
              <w:rPr>
                <w:rFonts w:ascii="Arial" w:hAnsi="Arial" w:eastAsia="Arial"/>
                <w:b w:val="0"/>
                <w:i w:val="0"/>
                <w:sz w:val="19"/>
              </w:rPr>
              <w:t>M12–M36</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D5.1</w:t>
            </w:r>
          </w:p>
        </w:tc>
        <w:tc>
          <w:tcPr>
            <w:tcW w:type="dxa" w:w="3402"/>
          </w:tcPr>
          <w:p>
            <w:r/>
            <w:r>
              <w:rPr>
                <w:rFonts w:ascii="Arial" w:hAnsi="Arial" w:eastAsia="Arial"/>
                <w:b w:val="0"/>
                <w:i w:val="0"/>
                <w:sz w:val="19"/>
              </w:rPr>
              <w:t>Live demonstration report</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Public (verification statistics); restricted annex</w:t>
            </w:r>
          </w:p>
        </w:tc>
        <w:tc>
          <w:tcPr>
            <w:tcW w:type="dxa" w:w="964"/>
          </w:tcPr>
          <w:p>
            <w:r/>
            <w:r>
              <w:rPr>
                <w:rFonts w:ascii="Arial" w:hAnsi="Arial" w:eastAsia="Arial"/>
                <w:b w:val="0"/>
                <w:i w:val="0"/>
                <w:sz w:val="19"/>
              </w:rPr>
              <w:t>M34</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MS6 (Month 34): Twelve months of live operation completed</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Certified alarms (WP3); data streams (WP4); surrogate (WP2)</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Bulletin log and outcomes → WP3 (margin update), WP6 (procedures, verification); joint pumping rule</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At least 12 months of continuous operation with bulletins logged and their outcomes verified</w:t>
      </w:r>
    </w:p>
    <w:p>
      <w:pPr>
        <w:spacing w:after="20" w:before="0"/>
        <w:ind w:left="283"/>
      </w:pPr>
      <w:r>
        <w:rPr>
          <w:rFonts w:ascii="Arial" w:hAnsi="Arial" w:eastAsia="Arial"/>
          <w:b/>
          <w:i w:val="0"/>
          <w:sz w:val="20"/>
        </w:rPr>
        <w:t xml:space="preserve">• </w:t>
      </w:r>
      <w:r>
        <w:rPr>
          <w:rFonts w:ascii="Arial" w:hAnsi="Arial" w:eastAsia="Arial"/>
          <w:b w:val="0"/>
          <w:i w:val="0"/>
          <w:sz w:val="20"/>
        </w:rPr>
        <w:t>A pumping rule for the wellfields that keeps the three alarms within target together, documented and agreed with the operator</w:t>
      </w:r>
    </w:p>
    <w:p>
      <w:pPr>
        <w:spacing w:after="20" w:before="0"/>
        <w:ind w:left="283"/>
      </w:pPr>
      <w:r>
        <w:rPr>
          <w:rFonts w:ascii="Arial" w:hAnsi="Arial" w:eastAsia="Arial"/>
          <w:b/>
          <w:i w:val="0"/>
          <w:sz w:val="20"/>
        </w:rPr>
        <w:t xml:space="preserve">• </w:t>
      </w:r>
      <w:r>
        <w:rPr>
          <w:rFonts w:ascii="Arial" w:hAnsi="Arial" w:eastAsia="Arial"/>
          <w:b w:val="0"/>
          <w:i w:val="0"/>
          <w:sz w:val="20"/>
        </w:rPr>
        <w:t>Post-event protocol executed for every event above the agreed magnitude or water level during the demonstration</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R15 a missed alarm coincides with damage; trust and responsibilities are questioned</w:t>
      </w:r>
    </w:p>
    <w:p>
      <w:pPr>
        <w:spacing w:after="20" w:before="0"/>
        <w:ind w:left="283"/>
      </w:pPr>
      <w:r>
        <w:rPr>
          <w:rFonts w:ascii="Arial" w:hAnsi="Arial" w:eastAsia="Arial"/>
          <w:b/>
          <w:i w:val="0"/>
          <w:sz w:val="20"/>
        </w:rPr>
        <w:t xml:space="preserve">• </w:t>
      </w:r>
      <w:r>
        <w:rPr>
          <w:rFonts w:ascii="Arial" w:hAnsi="Arial" w:eastAsia="Arial"/>
          <w:b w:val="0"/>
          <w:i w:val="0"/>
          <w:sz w:val="20"/>
        </w:rPr>
        <w:t>R17 iT or cyber failure interrupts data streams or bulletins</w:t>
      </w:r>
    </w:p>
    <w:p>
      <w:pPr>
        <w:spacing w:after="20" w:before="0"/>
        <w:ind w:left="283"/>
      </w:pPr>
      <w:r>
        <w:rPr>
          <w:rFonts w:ascii="Arial" w:hAnsi="Arial" w:eastAsia="Arial"/>
          <w:b/>
          <w:i w:val="0"/>
          <w:sz w:val="20"/>
        </w:rPr>
        <w:t xml:space="preserve">• </w:t>
      </w:r>
      <w:r>
        <w:rPr>
          <w:rFonts w:ascii="Arial" w:hAnsi="Arial" w:eastAsia="Arial"/>
          <w:b w:val="0"/>
          <w:i w:val="0"/>
          <w:sz w:val="20"/>
        </w:rPr>
        <w:t>R21 a strong earthquake or storm damages the network or disrupts the project</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A pumping rule checked against all three hazards at once, and certified miss rates verified against a live bulletin log (P3).</w:t>
      </w:r>
    </w:p>
    <w:p>
      <w:r>
        <w:br w:type="page"/>
      </w:r>
    </w:p>
    <w:p>
      <w:pPr>
        <w:spacing w:after="80" w:before="0"/>
      </w:pPr>
      <w:r>
        <w:rPr>
          <w:rFonts w:ascii="Arial" w:hAnsi="Arial" w:eastAsia="Arial"/>
          <w:b/>
          <w:i w:val="0"/>
          <w:color w:val="0E7490"/>
          <w:sz w:val="28"/>
        </w:rPr>
        <w:t>WP6  Training, transfer and dissemination</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[PPD team]</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All partners; end-users (T6.2, T6.4)</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1 to Month 36</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O6: Transfer the system and build lasting capacity</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Build lasting capacity: early-career researchers trained by doing, operator staff trained to run the system unaided, open software and data, and procedures the operators and authorities can adopt.</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T6.1</w:t>
            </w:r>
          </w:p>
        </w:tc>
        <w:tc>
          <w:tcPr>
            <w:tcW w:type="dxa" w:w="7483"/>
          </w:tcPr>
          <w:p>
            <w:r/>
            <w:r>
              <w:rPr>
                <w:rFonts w:ascii="Arial" w:hAnsi="Arial" w:eastAsia="Arial"/>
                <w:b w:val="0"/>
                <w:i w:val="0"/>
                <w:sz w:val="19"/>
              </w:rPr>
              <w:t>Early-career researchers: exchanges, schools and supervised work in WP1–WP5</w:t>
            </w:r>
          </w:p>
        </w:tc>
        <w:tc>
          <w:tcPr>
            <w:tcW w:type="dxa" w:w="1361"/>
          </w:tcPr>
          <w:p>
            <w:r/>
            <w:r>
              <w:rPr>
                <w:rFonts w:ascii="Arial" w:hAnsi="Arial" w:eastAsia="Arial"/>
                <w:b w:val="0"/>
                <w:i w:val="0"/>
                <w:sz w:val="19"/>
              </w:rPr>
              <w:t>M3–M36</w:t>
            </w:r>
          </w:p>
        </w:tc>
      </w:tr>
      <w:tr>
        <w:trPr>
          <w:cantSplit/>
        </w:trPr>
        <w:tc>
          <w:tcPr>
            <w:tcW w:type="dxa" w:w="794"/>
          </w:tcPr>
          <w:p>
            <w:r/>
            <w:r>
              <w:rPr>
                <w:rFonts w:ascii="Arial" w:hAnsi="Arial" w:eastAsia="Arial"/>
                <w:b w:val="0"/>
                <w:i w:val="0"/>
                <w:sz w:val="19"/>
              </w:rPr>
              <w:t>T6.2</w:t>
            </w:r>
          </w:p>
        </w:tc>
        <w:tc>
          <w:tcPr>
            <w:tcW w:type="dxa" w:w="7483"/>
          </w:tcPr>
          <w:p>
            <w:r/>
            <w:r>
              <w:rPr>
                <w:rFonts w:ascii="Arial" w:hAnsi="Arial" w:eastAsia="Arial"/>
                <w:b w:val="0"/>
                <w:i w:val="0"/>
                <w:sz w:val="19"/>
              </w:rPr>
              <w:t>Training of operator and civil-protection staff</w:t>
            </w:r>
          </w:p>
        </w:tc>
        <w:tc>
          <w:tcPr>
            <w:tcW w:type="dxa" w:w="1361"/>
          </w:tcPr>
          <w:p>
            <w:r/>
            <w:r>
              <w:rPr>
                <w:rFonts w:ascii="Arial" w:hAnsi="Arial" w:eastAsia="Arial"/>
                <w:b w:val="0"/>
                <w:i w:val="0"/>
                <w:sz w:val="19"/>
              </w:rPr>
              <w:t>M24–M36</w:t>
            </w:r>
          </w:p>
        </w:tc>
      </w:tr>
      <w:tr>
        <w:trPr>
          <w:cantSplit/>
        </w:trPr>
        <w:tc>
          <w:tcPr>
            <w:tcW w:type="dxa" w:w="794"/>
          </w:tcPr>
          <w:p>
            <w:r/>
            <w:r>
              <w:rPr>
                <w:rFonts w:ascii="Arial" w:hAnsi="Arial" w:eastAsia="Arial"/>
                <w:b w:val="0"/>
                <w:i w:val="0"/>
                <w:sz w:val="19"/>
              </w:rPr>
              <w:t>T6.3</w:t>
            </w:r>
          </w:p>
        </w:tc>
        <w:tc>
          <w:tcPr>
            <w:tcW w:type="dxa" w:w="7483"/>
          </w:tcPr>
          <w:p>
            <w:r/>
            <w:r>
              <w:rPr>
                <w:rFonts w:ascii="Arial" w:hAnsi="Arial" w:eastAsia="Arial"/>
                <w:b w:val="0"/>
                <w:i w:val="0"/>
                <w:sz w:val="19"/>
              </w:rPr>
              <w:t>Open software and data release with documentation</w:t>
            </w:r>
          </w:p>
        </w:tc>
        <w:tc>
          <w:tcPr>
            <w:tcW w:type="dxa" w:w="1361"/>
          </w:tcPr>
          <w:p>
            <w:r/>
            <w:r>
              <w:rPr>
                <w:rFonts w:ascii="Arial" w:hAnsi="Arial" w:eastAsia="Arial"/>
                <w:b w:val="0"/>
                <w:i w:val="0"/>
                <w:sz w:val="19"/>
              </w:rPr>
              <w:t>M30–M33</w:t>
            </w:r>
          </w:p>
        </w:tc>
      </w:tr>
      <w:tr>
        <w:trPr>
          <w:cantSplit/>
        </w:trPr>
        <w:tc>
          <w:tcPr>
            <w:tcW w:type="dxa" w:w="794"/>
          </w:tcPr>
          <w:p>
            <w:r/>
            <w:r>
              <w:rPr>
                <w:rFonts w:ascii="Arial" w:hAnsi="Arial" w:eastAsia="Arial"/>
                <w:b w:val="0"/>
                <w:i w:val="0"/>
                <w:sz w:val="19"/>
              </w:rPr>
              <w:t>T6.4</w:t>
            </w:r>
          </w:p>
        </w:tc>
        <w:tc>
          <w:tcPr>
            <w:tcW w:type="dxa" w:w="7483"/>
          </w:tcPr>
          <w:p>
            <w:r/>
            <w:r>
              <w:rPr>
                <w:rFonts w:ascii="Arial" w:hAnsi="Arial" w:eastAsia="Arial"/>
                <w:b w:val="0"/>
                <w:i w:val="0"/>
                <w:sz w:val="19"/>
              </w:rPr>
              <w:t>Operating procedures and policy brief</w:t>
            </w:r>
          </w:p>
        </w:tc>
        <w:tc>
          <w:tcPr>
            <w:tcW w:type="dxa" w:w="1361"/>
          </w:tcPr>
          <w:p>
            <w:r/>
            <w:r>
              <w:rPr>
                <w:rFonts w:ascii="Arial" w:hAnsi="Arial" w:eastAsia="Arial"/>
                <w:b w:val="0"/>
                <w:i w:val="0"/>
                <w:sz w:val="19"/>
              </w:rPr>
              <w:t>M30–M36</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D6.1</w:t>
            </w:r>
          </w:p>
        </w:tc>
        <w:tc>
          <w:tcPr>
            <w:tcW w:type="dxa" w:w="3402"/>
          </w:tcPr>
          <w:p>
            <w:r/>
            <w:r>
              <w:rPr>
                <w:rFonts w:ascii="Arial" w:hAnsi="Arial" w:eastAsia="Arial"/>
                <w:b w:val="0"/>
                <w:i w:val="0"/>
                <w:sz w:val="19"/>
              </w:rPr>
              <w:t>Software and data release</w:t>
            </w:r>
          </w:p>
        </w:tc>
        <w:tc>
          <w:tcPr>
            <w:tcW w:type="dxa" w:w="1474"/>
          </w:tcPr>
          <w:p>
            <w:r/>
            <w:r>
              <w:rPr>
                <w:rFonts w:ascii="Arial" w:hAnsi="Arial" w:eastAsia="Arial"/>
                <w:b w:val="0"/>
                <w:i w:val="0"/>
                <w:sz w:val="19"/>
              </w:rPr>
              <w:t>Software, data</w:t>
            </w:r>
          </w:p>
        </w:tc>
        <w:tc>
          <w:tcPr>
            <w:tcW w:type="dxa" w:w="3061"/>
          </w:tcPr>
          <w:p>
            <w:r/>
            <w:r>
              <w:rPr>
                <w:rFonts w:ascii="Arial" w:hAnsi="Arial" w:eastAsia="Arial"/>
                <w:b w:val="0"/>
                <w:i w:val="0"/>
                <w:sz w:val="19"/>
              </w:rPr>
              <w:t>Public</w:t>
            </w:r>
          </w:p>
        </w:tc>
        <w:tc>
          <w:tcPr>
            <w:tcW w:type="dxa" w:w="964"/>
          </w:tcPr>
          <w:p>
            <w:r/>
            <w:r>
              <w:rPr>
                <w:rFonts w:ascii="Arial" w:hAnsi="Arial" w:eastAsia="Arial"/>
                <w:b w:val="0"/>
                <w:i w:val="0"/>
                <w:sz w:val="19"/>
              </w:rPr>
              <w:t>M33</w:t>
            </w:r>
          </w:p>
        </w:tc>
      </w:tr>
      <w:tr>
        <w:trPr>
          <w:cantSplit/>
        </w:trPr>
        <w:tc>
          <w:tcPr>
            <w:tcW w:type="dxa" w:w="737"/>
          </w:tcPr>
          <w:p>
            <w:r/>
            <w:r>
              <w:rPr>
                <w:rFonts w:ascii="Arial" w:hAnsi="Arial" w:eastAsia="Arial"/>
                <w:b w:val="0"/>
                <w:i w:val="0"/>
                <w:sz w:val="19"/>
              </w:rPr>
              <w:t>D6.2</w:t>
            </w:r>
          </w:p>
        </w:tc>
        <w:tc>
          <w:tcPr>
            <w:tcW w:type="dxa" w:w="3402"/>
          </w:tcPr>
          <w:p>
            <w:r/>
            <w:r>
              <w:rPr>
                <w:rFonts w:ascii="Arial" w:hAnsi="Arial" w:eastAsia="Arial"/>
                <w:b w:val="0"/>
                <w:i w:val="0"/>
                <w:sz w:val="19"/>
              </w:rPr>
              <w:t>Operating procedures and policy brief</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Restricted (procedures); public (policy brief)</w:t>
            </w:r>
          </w:p>
        </w:tc>
        <w:tc>
          <w:tcPr>
            <w:tcW w:type="dxa" w:w="964"/>
          </w:tcPr>
          <w:p>
            <w:r/>
            <w:r>
              <w:rPr>
                <w:rFonts w:ascii="Arial" w:hAnsi="Arial" w:eastAsia="Arial"/>
                <w:b w:val="0"/>
                <w:i w:val="0"/>
                <w:sz w:val="19"/>
              </w:rPr>
              <w:t>M36</w:t>
            </w:r>
          </w:p>
        </w:tc>
      </w:tr>
    </w:tbl>
    <w:p>
      <w:pPr>
        <w:keepNext/>
        <w:spacing w:after="40" w:before="120"/>
      </w:pPr>
      <w:r>
        <w:rPr>
          <w:rFonts w:ascii="Arial" w:hAnsi="Arial" w:eastAsia="Arial"/>
          <w:b/>
          <w:i w:val="0"/>
          <w:color w:val="2E6DB4"/>
          <w:sz w:val="22"/>
        </w:rPr>
        <w:t>Milestones</w:t>
      </w:r>
    </w:p>
    <w:p>
      <w:pPr>
        <w:spacing w:after="20" w:before="0"/>
        <w:ind w:left="283"/>
      </w:pPr>
      <w:r>
        <w:rPr>
          <w:rFonts w:ascii="Arial" w:hAnsi="Arial" w:eastAsia="Arial"/>
          <w:b/>
          <w:i w:val="0"/>
          <w:sz w:val="20"/>
        </w:rPr>
        <w:t xml:space="preserve">• </w:t>
      </w:r>
      <w:r>
        <w:rPr>
          <w:rFonts w:ascii="Arial" w:hAnsi="Arial" w:eastAsia="Arial"/>
          <w:b w:val="0"/>
          <w:i w:val="0"/>
          <w:sz w:val="20"/>
        </w:rPr>
        <w:t>MS7 (Month 36): Hand-over to the operators</w:t>
      </w:r>
    </w:p>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Results of all work packages</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Trained people; open software and data; operating procedures; policy brief</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Early-career researchers trained through the project (indicatively at least 6) and operator staff trained to run the system unaided (indicatively at least 20)</w:t>
      </w:r>
    </w:p>
    <w:p>
      <w:pPr>
        <w:spacing w:after="20" w:before="0"/>
        <w:ind w:left="283"/>
      </w:pPr>
      <w:r>
        <w:rPr>
          <w:rFonts w:ascii="Arial" w:hAnsi="Arial" w:eastAsia="Arial"/>
          <w:b/>
          <w:i w:val="0"/>
          <w:sz w:val="20"/>
        </w:rPr>
        <w:t xml:space="preserve">• </w:t>
      </w:r>
      <w:r>
        <w:rPr>
          <w:rFonts w:ascii="Arial" w:hAnsi="Arial" w:eastAsia="Arial"/>
          <w:b w:val="0"/>
          <w:i w:val="0"/>
          <w:sz w:val="20"/>
        </w:rPr>
        <w:t>Open software and data release with documentation</w:t>
      </w:r>
    </w:p>
    <w:p>
      <w:pPr>
        <w:spacing w:after="20" w:before="0"/>
        <w:ind w:left="283"/>
      </w:pPr>
      <w:r>
        <w:rPr>
          <w:rFonts w:ascii="Arial" w:hAnsi="Arial" w:eastAsia="Arial"/>
          <w:b/>
          <w:i w:val="0"/>
          <w:sz w:val="20"/>
        </w:rPr>
        <w:t xml:space="preserve">• </w:t>
      </w:r>
      <w:r>
        <w:rPr>
          <w:rFonts w:ascii="Arial" w:hAnsi="Arial" w:eastAsia="Arial"/>
          <w:b w:val="0"/>
          <w:i w:val="0"/>
          <w:sz w:val="20"/>
        </w:rPr>
        <w:t>Operating procedures adopted by the operators of the wellfields, the port and the landfall (at least one per asset), and a policy brief delivered to the national authorities</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R16 over-reliance: operators drop their own checks and rely on the bulletins alone</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A coast kit and a transfer test on a second coast within the project; verification statistics published openly.</w:t>
      </w:r>
    </w:p>
    <w:p>
      <w:r>
        <w:br w:type="page"/>
      </w:r>
    </w:p>
    <w:p>
      <w:pPr>
        <w:spacing w:after="80" w:before="0"/>
      </w:pPr>
      <w:r>
        <w:rPr>
          <w:rFonts w:ascii="Arial" w:hAnsi="Arial" w:eastAsia="Arial"/>
          <w:b/>
          <w:i w:val="0"/>
          <w:color w:val="52606D"/>
          <w:sz w:val="28"/>
        </w:rPr>
        <w:t>WP7  Management, data and risk</w:t>
      </w:r>
    </w:p>
    <w:tbl>
      <w:tblPr>
        <w:tblStyle w:val="TableGrid"/>
        <w:tblW w:type="auto" w:w="0"/>
        <w:jc w:val="center"/>
        <w:tblLayout w:type="fixed"/>
        <w:tblLook w:firstColumn="1" w:firstRow="1" w:lastColumn="0" w:lastRow="0" w:noHBand="0" w:noVBand="1" w:val="04A0"/>
        <w:tblLayout w:type="fixed"/>
      </w:tblPr>
      <w:tblGrid>
        <w:gridCol w:w="2268"/>
        <w:gridCol w:w="7370"/>
      </w:tblGrid>
      <w:tr>
        <w:trPr>
          <w:cantSplit/>
        </w:trPr>
        <w:tc>
          <w:tcPr>
            <w:tcW w:type="dxa" w:w="2268"/>
            <w:shd w:val="clear" w:color="auto" w:fill="E8EDF5"/>
          </w:tcPr>
          <w:p>
            <w:r>
              <w:rPr>
                <w:b/>
              </w:rPr>
            </w:r>
            <w:r>
              <w:rPr>
                <w:rFonts w:ascii="Arial" w:hAnsi="Arial" w:eastAsia="Arial"/>
                <w:b/>
                <w:i w:val="0"/>
                <w:sz w:val="19"/>
              </w:rPr>
              <w:t>Lead</w:t>
            </w:r>
          </w:p>
        </w:tc>
        <w:tc>
          <w:tcPr>
            <w:tcW w:type="dxa" w:w="7370"/>
          </w:tcPr>
          <w:p>
            <w:r/>
            <w:r>
              <w:rPr>
                <w:rFonts w:ascii="Arial" w:hAnsi="Arial" w:eastAsia="Arial"/>
                <w:b w:val="0"/>
                <w:i w:val="0"/>
                <w:sz w:val="19"/>
                <w:highlight w:val="yellow"/>
              </w:rPr>
              <w:t>[NPD team] (coordinator)</w:t>
            </w:r>
          </w:p>
        </w:tc>
      </w:tr>
      <w:tr>
        <w:trPr>
          <w:cantSplit/>
        </w:trPr>
        <w:tc>
          <w:tcPr>
            <w:tcW w:type="dxa" w:w="2268"/>
            <w:shd w:val="clear" w:color="auto" w:fill="E8EDF5"/>
          </w:tcPr>
          <w:p>
            <w:r>
              <w:rPr>
                <w:b/>
              </w:rPr>
            </w:r>
            <w:r>
              <w:rPr>
                <w:rFonts w:ascii="Arial" w:hAnsi="Arial" w:eastAsia="Arial"/>
                <w:b/>
                <w:i w:val="0"/>
                <w:sz w:val="19"/>
              </w:rPr>
              <w:t>Participants</w:t>
            </w:r>
          </w:p>
        </w:tc>
        <w:tc>
          <w:tcPr>
            <w:tcW w:type="dxa" w:w="7370"/>
          </w:tcPr>
          <w:p>
            <w:r/>
            <w:r>
              <w:rPr>
                <w:rFonts w:ascii="Arial" w:hAnsi="Arial" w:eastAsia="Arial"/>
                <w:b w:val="0"/>
                <w:i w:val="0"/>
                <w:sz w:val="19"/>
              </w:rPr>
              <w:t>Steering committee; all partners</w:t>
            </w:r>
          </w:p>
        </w:tc>
      </w:tr>
      <w:tr>
        <w:trPr>
          <w:cantSplit/>
        </w:trPr>
        <w:tc>
          <w:tcPr>
            <w:tcW w:type="dxa" w:w="2268"/>
            <w:shd w:val="clear" w:color="auto" w:fill="E8EDF5"/>
          </w:tcPr>
          <w:p>
            <w:r>
              <w:rPr>
                <w:b/>
              </w:rPr>
            </w:r>
            <w:r>
              <w:rPr>
                <w:rFonts w:ascii="Arial" w:hAnsi="Arial" w:eastAsia="Arial"/>
                <w:b/>
                <w:i w:val="0"/>
                <w:sz w:val="19"/>
              </w:rPr>
              <w:t>Months</w:t>
            </w:r>
          </w:p>
        </w:tc>
        <w:tc>
          <w:tcPr>
            <w:tcW w:type="dxa" w:w="7370"/>
          </w:tcPr>
          <w:p>
            <w:r/>
            <w:r>
              <w:rPr>
                <w:rFonts w:ascii="Arial" w:hAnsi="Arial" w:eastAsia="Arial"/>
                <w:b w:val="0"/>
                <w:i w:val="0"/>
                <w:sz w:val="19"/>
              </w:rPr>
              <w:t>Month 1 to Month 36</w:t>
            </w:r>
          </w:p>
        </w:tc>
      </w:tr>
      <w:tr>
        <w:trPr>
          <w:cantSplit/>
        </w:trPr>
        <w:tc>
          <w:tcPr>
            <w:tcW w:type="dxa" w:w="2268"/>
            <w:shd w:val="clear" w:color="auto" w:fill="E8EDF5"/>
          </w:tcPr>
          <w:p>
            <w:r>
              <w:rPr>
                <w:b/>
              </w:rPr>
            </w:r>
            <w:r>
              <w:rPr>
                <w:rFonts w:ascii="Arial" w:hAnsi="Arial" w:eastAsia="Arial"/>
                <w:b/>
                <w:i w:val="0"/>
                <w:sz w:val="19"/>
              </w:rPr>
              <w:t>Objective</w:t>
            </w:r>
          </w:p>
        </w:tc>
        <w:tc>
          <w:tcPr>
            <w:tcW w:type="dxa" w:w="7370"/>
          </w:tcPr>
          <w:p>
            <w:r/>
            <w:r>
              <w:rPr>
                <w:rFonts w:ascii="Arial" w:hAnsi="Arial" w:eastAsia="Arial"/>
                <w:b w:val="0"/>
                <w:i w:val="0"/>
                <w:sz w:val="19"/>
              </w:rPr>
              <w:t>Management of the project</w:t>
            </w:r>
          </w:p>
        </w:tc>
      </w:tr>
      <w:tr>
        <w:trPr>
          <w:cantSplit/>
        </w:trPr>
        <w:tc>
          <w:tcPr>
            <w:tcW w:type="dxa" w:w="2268"/>
            <w:shd w:val="clear" w:color="auto" w:fill="E8EDF5"/>
          </w:tcPr>
          <w:p>
            <w:r>
              <w:rPr>
                <w:b/>
              </w:rPr>
            </w:r>
            <w:r>
              <w:rPr>
                <w:rFonts w:ascii="Arial" w:hAnsi="Arial" w:eastAsia="Arial"/>
                <w:b/>
                <w:i w:val="0"/>
                <w:sz w:val="19"/>
              </w:rPr>
              <w:t>Effort</w:t>
            </w:r>
          </w:p>
        </w:tc>
        <w:tc>
          <w:tcPr>
            <w:tcW w:type="dxa" w:w="7370"/>
          </w:tcPr>
          <w:p>
            <w:r/>
            <w:r>
              <w:rPr>
                <w:rFonts w:ascii="Arial" w:hAnsi="Arial" w:eastAsia="Arial"/>
                <w:b w:val="0"/>
                <w:i w:val="0"/>
                <w:sz w:val="19"/>
                <w:highlight w:val="yellow"/>
              </w:rPr>
              <w:t>[person-months, in kind]</w:t>
            </w:r>
          </w:p>
        </w:tc>
      </w:tr>
    </w:tbl>
    <w:p>
      <w:pPr>
        <w:keepNext/>
        <w:spacing w:after="40" w:before="120"/>
      </w:pPr>
      <w:r>
        <w:rPr>
          <w:rFonts w:ascii="Arial" w:hAnsi="Arial" w:eastAsia="Arial"/>
          <w:b/>
          <w:i w:val="0"/>
          <w:color w:val="2E6DB4"/>
          <w:sz w:val="22"/>
        </w:rPr>
        <w:t>Description</w:t>
      </w:r>
    </w:p>
    <w:p>
      <w:pPr>
        <w:spacing w:after="60" w:before="0"/>
        <w:jc w:val="both"/>
      </w:pPr>
      <w:r>
        <w:rPr>
          <w:rFonts w:ascii="Arial" w:hAnsi="Arial" w:eastAsia="Arial"/>
          <w:b w:val="0"/>
          <w:i w:val="0"/>
          <w:sz w:val="20"/>
        </w:rPr>
        <w:t>Coordinate the consortium, secure data access from the operators, manage risks and report.</w:t>
      </w:r>
    </w:p>
    <w:p>
      <w:pPr>
        <w:keepNext/>
        <w:spacing w:after="40" w:before="120"/>
      </w:pPr>
      <w:r>
        <w:rPr>
          <w:rFonts w:ascii="Arial" w:hAnsi="Arial" w:eastAsia="Arial"/>
          <w:b/>
          <w:i w:val="0"/>
          <w:color w:val="2E6DB4"/>
          <w:sz w:val="22"/>
        </w:rPr>
        <w:t>Tasks</w:t>
      </w:r>
    </w:p>
    <w:tbl>
      <w:tblPr>
        <w:tblStyle w:val="TableGrid"/>
        <w:tblW w:type="auto" w:w="0"/>
        <w:jc w:val="center"/>
        <w:tblLayout w:type="fixed"/>
        <w:tblLook w:firstColumn="1" w:firstRow="1" w:lastColumn="0" w:lastRow="0" w:noHBand="0" w:noVBand="1" w:val="04A0"/>
        <w:tblLayout w:type="fixed"/>
      </w:tblPr>
      <w:tblGrid>
        <w:gridCol w:w="794"/>
        <w:gridCol w:w="7483"/>
        <w:gridCol w:w="1361"/>
      </w:tblGrid>
      <w:tr>
        <w:trPr>
          <w:cantSplit/>
          <w:tblHeader/>
        </w:trPr>
        <w:tc>
          <w:tcPr>
            <w:tcW w:type="dxa" w:w="794"/>
            <w:shd w:val="clear" w:color="auto" w:fill="1F3864"/>
          </w:tcPr>
          <w:p>
            <w:r/>
            <w:r>
              <w:rPr>
                <w:rFonts w:ascii="Arial" w:hAnsi="Arial" w:eastAsia="Arial"/>
                <w:b/>
                <w:i w:val="0"/>
                <w:color w:val="FFFFFF"/>
                <w:sz w:val="19"/>
              </w:rPr>
              <w:t>Task</w:t>
            </w:r>
          </w:p>
        </w:tc>
        <w:tc>
          <w:tcPr>
            <w:tcW w:type="dxa" w:w="7483"/>
            <w:shd w:val="clear" w:color="auto" w:fill="1F3864"/>
          </w:tcPr>
          <w:p>
            <w:r/>
            <w:r>
              <w:rPr>
                <w:rFonts w:ascii="Arial" w:hAnsi="Arial" w:eastAsia="Arial"/>
                <w:b/>
                <w:i w:val="0"/>
                <w:color w:val="FFFFFF"/>
                <w:sz w:val="19"/>
              </w:rPr>
              <w:t>Description</w:t>
            </w:r>
          </w:p>
        </w:tc>
        <w:tc>
          <w:tcPr>
            <w:tcW w:type="dxa" w:w="1361"/>
            <w:shd w:val="clear" w:color="auto" w:fill="1F3864"/>
          </w:tcPr>
          <w:p>
            <w:r/>
            <w:r>
              <w:rPr>
                <w:rFonts w:ascii="Arial" w:hAnsi="Arial" w:eastAsia="Arial"/>
                <w:b/>
                <w:i w:val="0"/>
                <w:color w:val="FFFFFF"/>
                <w:sz w:val="19"/>
              </w:rPr>
              <w:t>Months</w:t>
            </w:r>
          </w:p>
        </w:tc>
      </w:tr>
      <w:tr>
        <w:trPr>
          <w:cantSplit/>
        </w:trPr>
        <w:tc>
          <w:tcPr>
            <w:tcW w:type="dxa" w:w="794"/>
          </w:tcPr>
          <w:p>
            <w:r/>
            <w:r>
              <w:rPr>
                <w:rFonts w:ascii="Arial" w:hAnsi="Arial" w:eastAsia="Arial"/>
                <w:b w:val="0"/>
                <w:i w:val="0"/>
                <w:sz w:val="19"/>
              </w:rPr>
              <w:t>T7.1</w:t>
            </w:r>
          </w:p>
        </w:tc>
        <w:tc>
          <w:tcPr>
            <w:tcW w:type="dxa" w:w="7483"/>
          </w:tcPr>
          <w:p>
            <w:r/>
            <w:r>
              <w:rPr>
                <w:rFonts w:ascii="Arial" w:hAnsi="Arial" w:eastAsia="Arial"/>
                <w:b w:val="0"/>
                <w:i w:val="0"/>
                <w:sz w:val="19"/>
              </w:rPr>
              <w:t>Coordination, steering committee, reporting</w:t>
            </w:r>
          </w:p>
        </w:tc>
        <w:tc>
          <w:tcPr>
            <w:tcW w:type="dxa" w:w="1361"/>
          </w:tcPr>
          <w:p>
            <w:r/>
            <w:r>
              <w:rPr>
                <w:rFonts w:ascii="Arial" w:hAnsi="Arial" w:eastAsia="Arial"/>
                <w:b w:val="0"/>
                <w:i w:val="0"/>
                <w:sz w:val="19"/>
              </w:rPr>
              <w:t>M1–M36</w:t>
            </w:r>
          </w:p>
        </w:tc>
      </w:tr>
      <w:tr>
        <w:trPr>
          <w:cantSplit/>
        </w:trPr>
        <w:tc>
          <w:tcPr>
            <w:tcW w:type="dxa" w:w="794"/>
          </w:tcPr>
          <w:p>
            <w:r/>
            <w:r>
              <w:rPr>
                <w:rFonts w:ascii="Arial" w:hAnsi="Arial" w:eastAsia="Arial"/>
                <w:b w:val="0"/>
                <w:i w:val="0"/>
                <w:sz w:val="19"/>
              </w:rPr>
              <w:t>T7.2</w:t>
            </w:r>
          </w:p>
        </w:tc>
        <w:tc>
          <w:tcPr>
            <w:tcW w:type="dxa" w:w="7483"/>
          </w:tcPr>
          <w:p>
            <w:r/>
            <w:r>
              <w:rPr>
                <w:rFonts w:ascii="Arial" w:hAnsi="Arial" w:eastAsia="Arial"/>
                <w:b w:val="0"/>
                <w:i w:val="0"/>
                <w:sz w:val="19"/>
              </w:rPr>
              <w:t>Data management and access agreements with the water utility, port and landfall operators</w:t>
            </w:r>
          </w:p>
        </w:tc>
        <w:tc>
          <w:tcPr>
            <w:tcW w:type="dxa" w:w="1361"/>
          </w:tcPr>
          <w:p>
            <w:r/>
            <w:r>
              <w:rPr>
                <w:rFonts w:ascii="Arial" w:hAnsi="Arial" w:eastAsia="Arial"/>
                <w:b w:val="0"/>
                <w:i w:val="0"/>
                <w:sz w:val="19"/>
              </w:rPr>
              <w:t>M1–M3</w:t>
            </w:r>
          </w:p>
        </w:tc>
      </w:tr>
      <w:tr>
        <w:trPr>
          <w:cantSplit/>
        </w:trPr>
        <w:tc>
          <w:tcPr>
            <w:tcW w:type="dxa" w:w="794"/>
          </w:tcPr>
          <w:p>
            <w:r/>
            <w:r>
              <w:rPr>
                <w:rFonts w:ascii="Arial" w:hAnsi="Arial" w:eastAsia="Arial"/>
                <w:b w:val="0"/>
                <w:i w:val="0"/>
                <w:sz w:val="19"/>
              </w:rPr>
              <w:t>T7.3</w:t>
            </w:r>
          </w:p>
        </w:tc>
        <w:tc>
          <w:tcPr>
            <w:tcW w:type="dxa" w:w="7483"/>
          </w:tcPr>
          <w:p>
            <w:r/>
            <w:r>
              <w:rPr>
                <w:rFonts w:ascii="Arial" w:hAnsi="Arial" w:eastAsia="Arial"/>
                <w:b w:val="0"/>
                <w:i w:val="0"/>
                <w:sz w:val="19"/>
              </w:rPr>
              <w:t>Risk and quality management</w:t>
            </w:r>
          </w:p>
        </w:tc>
        <w:tc>
          <w:tcPr>
            <w:tcW w:type="dxa" w:w="1361"/>
          </w:tcPr>
          <w:p>
            <w:r/>
            <w:r>
              <w:rPr>
                <w:rFonts w:ascii="Arial" w:hAnsi="Arial" w:eastAsia="Arial"/>
                <w:b w:val="0"/>
                <w:i w:val="0"/>
                <w:sz w:val="19"/>
              </w:rPr>
              <w:t>M1–M36</w:t>
            </w:r>
          </w:p>
        </w:tc>
      </w:tr>
    </w:tbl>
    <w:p>
      <w:pPr>
        <w:keepNext/>
        <w:spacing w:after="40" w:before="120"/>
      </w:pPr>
      <w:r>
        <w:rPr>
          <w:rFonts w:ascii="Arial" w:hAnsi="Arial" w:eastAsia="Arial"/>
          <w:b/>
          <w:i w:val="0"/>
          <w:color w:val="2E6DB4"/>
          <w:sz w:val="22"/>
        </w:rPr>
        <w:t>Deliverables</w:t>
      </w:r>
    </w:p>
    <w:tbl>
      <w:tblPr>
        <w:tblStyle w:val="TableGrid"/>
        <w:tblW w:type="auto" w:w="0"/>
        <w:jc w:val="center"/>
        <w:tblLayout w:type="fixed"/>
        <w:tblLook w:firstColumn="1" w:firstRow="1" w:lastColumn="0" w:lastRow="0" w:noHBand="0" w:noVBand="1" w:val="04A0"/>
        <w:tblLayout w:type="fixed"/>
      </w:tblPr>
      <w:tblGrid>
        <w:gridCol w:w="737"/>
        <w:gridCol w:w="3402"/>
        <w:gridCol w:w="1474"/>
        <w:gridCol w:w="3061"/>
        <w:gridCol w:w="964"/>
      </w:tblGrid>
      <w:tr>
        <w:trPr>
          <w:cantSplit/>
          <w:tblHeader/>
        </w:trPr>
        <w:tc>
          <w:tcPr>
            <w:tcW w:type="dxa" w:w="737"/>
            <w:shd w:val="clear" w:color="auto" w:fill="1F3864"/>
          </w:tcPr>
          <w:p>
            <w:r/>
            <w:r>
              <w:rPr>
                <w:rFonts w:ascii="Arial" w:hAnsi="Arial" w:eastAsia="Arial"/>
                <w:b/>
                <w:i w:val="0"/>
                <w:color w:val="FFFFFF"/>
                <w:sz w:val="19"/>
              </w:rPr>
            </w:r>
          </w:p>
        </w:tc>
        <w:tc>
          <w:tcPr>
            <w:tcW w:type="dxa" w:w="3402"/>
            <w:shd w:val="clear" w:color="auto" w:fill="1F3864"/>
          </w:tcPr>
          <w:p>
            <w:r/>
            <w:r>
              <w:rPr>
                <w:rFonts w:ascii="Arial" w:hAnsi="Arial" w:eastAsia="Arial"/>
                <w:b/>
                <w:i w:val="0"/>
                <w:color w:val="FFFFFF"/>
                <w:sz w:val="19"/>
              </w:rPr>
              <w:t>Deliverable</w:t>
            </w:r>
          </w:p>
        </w:tc>
        <w:tc>
          <w:tcPr>
            <w:tcW w:type="dxa" w:w="1474"/>
            <w:shd w:val="clear" w:color="auto" w:fill="1F3864"/>
          </w:tcPr>
          <w:p>
            <w:r/>
            <w:r>
              <w:rPr>
                <w:rFonts w:ascii="Arial" w:hAnsi="Arial" w:eastAsia="Arial"/>
                <w:b/>
                <w:i w:val="0"/>
                <w:color w:val="FFFFFF"/>
                <w:sz w:val="19"/>
              </w:rPr>
              <w:t>Type</w:t>
            </w:r>
          </w:p>
        </w:tc>
        <w:tc>
          <w:tcPr>
            <w:tcW w:type="dxa" w:w="3061"/>
            <w:shd w:val="clear" w:color="auto" w:fill="1F3864"/>
          </w:tcPr>
          <w:p>
            <w:r/>
            <w:r>
              <w:rPr>
                <w:rFonts w:ascii="Arial" w:hAnsi="Arial" w:eastAsia="Arial"/>
                <w:b/>
                <w:i w:val="0"/>
                <w:color w:val="FFFFFF"/>
                <w:sz w:val="19"/>
              </w:rPr>
              <w:t>Access</w:t>
            </w:r>
          </w:p>
        </w:tc>
        <w:tc>
          <w:tcPr>
            <w:tcW w:type="dxa" w:w="964"/>
            <w:shd w:val="clear" w:color="auto" w:fill="1F3864"/>
          </w:tcPr>
          <w:p>
            <w:r/>
            <w:r>
              <w:rPr>
                <w:rFonts w:ascii="Arial" w:hAnsi="Arial" w:eastAsia="Arial"/>
                <w:b/>
                <w:i w:val="0"/>
                <w:color w:val="FFFFFF"/>
                <w:sz w:val="19"/>
              </w:rPr>
              <w:t>Month</w:t>
            </w:r>
          </w:p>
        </w:tc>
      </w:tr>
      <w:tr>
        <w:trPr>
          <w:cantSplit/>
        </w:trPr>
        <w:tc>
          <w:tcPr>
            <w:tcW w:type="dxa" w:w="737"/>
          </w:tcPr>
          <w:p>
            <w:r/>
            <w:r>
              <w:rPr>
                <w:rFonts w:ascii="Arial" w:hAnsi="Arial" w:eastAsia="Arial"/>
                <w:b w:val="0"/>
                <w:i w:val="0"/>
                <w:sz w:val="19"/>
              </w:rPr>
              <w:t>D7.1</w:t>
            </w:r>
          </w:p>
        </w:tc>
        <w:tc>
          <w:tcPr>
            <w:tcW w:type="dxa" w:w="3402"/>
          </w:tcPr>
          <w:p>
            <w:r/>
            <w:r>
              <w:rPr>
                <w:rFonts w:ascii="Arial" w:hAnsi="Arial" w:eastAsia="Arial"/>
                <w:b w:val="0"/>
                <w:i w:val="0"/>
                <w:sz w:val="19"/>
              </w:rPr>
              <w:t>Data management plan and access agreements</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Public (data plan); restricted (agreements)</w:t>
            </w:r>
          </w:p>
        </w:tc>
        <w:tc>
          <w:tcPr>
            <w:tcW w:type="dxa" w:w="964"/>
          </w:tcPr>
          <w:p>
            <w:r/>
            <w:r>
              <w:rPr>
                <w:rFonts w:ascii="Arial" w:hAnsi="Arial" w:eastAsia="Arial"/>
                <w:b w:val="0"/>
                <w:i w:val="0"/>
                <w:sz w:val="19"/>
              </w:rPr>
              <w:t>M3</w:t>
            </w:r>
          </w:p>
        </w:tc>
      </w:tr>
      <w:tr>
        <w:trPr>
          <w:cantSplit/>
        </w:trPr>
        <w:tc>
          <w:tcPr>
            <w:tcW w:type="dxa" w:w="737"/>
          </w:tcPr>
          <w:p>
            <w:r/>
            <w:r>
              <w:rPr>
                <w:rFonts w:ascii="Arial" w:hAnsi="Arial" w:eastAsia="Arial"/>
                <w:b w:val="0"/>
                <w:i w:val="0"/>
                <w:sz w:val="19"/>
              </w:rPr>
              <w:t>D7.2</w:t>
            </w:r>
          </w:p>
        </w:tc>
        <w:tc>
          <w:tcPr>
            <w:tcW w:type="dxa" w:w="3402"/>
          </w:tcPr>
          <w:p>
            <w:r/>
            <w:r>
              <w:rPr>
                <w:rFonts w:ascii="Arial" w:hAnsi="Arial" w:eastAsia="Arial"/>
                <w:b w:val="0"/>
                <w:i w:val="0"/>
                <w:sz w:val="19"/>
              </w:rPr>
              <w:t>Progress reports</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Restricted (to NATO SPS)</w:t>
            </w:r>
          </w:p>
        </w:tc>
        <w:tc>
          <w:tcPr>
            <w:tcW w:type="dxa" w:w="964"/>
          </w:tcPr>
          <w:p>
            <w:r/>
            <w:r>
              <w:rPr>
                <w:rFonts w:ascii="Arial" w:hAnsi="Arial" w:eastAsia="Arial"/>
                <w:b w:val="0"/>
                <w:i w:val="0"/>
                <w:sz w:val="19"/>
              </w:rPr>
              <w:t>M12</w:t>
            </w:r>
          </w:p>
        </w:tc>
      </w:tr>
      <w:tr>
        <w:trPr>
          <w:cantSplit/>
        </w:trPr>
        <w:tc>
          <w:tcPr>
            <w:tcW w:type="dxa" w:w="737"/>
          </w:tcPr>
          <w:p>
            <w:r/>
            <w:r>
              <w:rPr>
                <w:rFonts w:ascii="Arial" w:hAnsi="Arial" w:eastAsia="Arial"/>
                <w:b w:val="0"/>
                <w:i w:val="0"/>
                <w:sz w:val="19"/>
              </w:rPr>
              <w:t>D7.2</w:t>
            </w:r>
          </w:p>
        </w:tc>
        <w:tc>
          <w:tcPr>
            <w:tcW w:type="dxa" w:w="3402"/>
          </w:tcPr>
          <w:p>
            <w:r/>
            <w:r>
              <w:rPr>
                <w:rFonts w:ascii="Arial" w:hAnsi="Arial" w:eastAsia="Arial"/>
                <w:b w:val="0"/>
                <w:i w:val="0"/>
                <w:sz w:val="19"/>
              </w:rPr>
              <w:t>Progress reports</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Restricted (to NATO SPS)</w:t>
            </w:r>
          </w:p>
        </w:tc>
        <w:tc>
          <w:tcPr>
            <w:tcW w:type="dxa" w:w="964"/>
          </w:tcPr>
          <w:p>
            <w:r/>
            <w:r>
              <w:rPr>
                <w:rFonts w:ascii="Arial" w:hAnsi="Arial" w:eastAsia="Arial"/>
                <w:b w:val="0"/>
                <w:i w:val="0"/>
                <w:sz w:val="19"/>
              </w:rPr>
              <w:t>M24</w:t>
            </w:r>
          </w:p>
        </w:tc>
      </w:tr>
      <w:tr>
        <w:trPr>
          <w:cantSplit/>
        </w:trPr>
        <w:tc>
          <w:tcPr>
            <w:tcW w:type="dxa" w:w="737"/>
          </w:tcPr>
          <w:p>
            <w:r/>
            <w:r>
              <w:rPr>
                <w:rFonts w:ascii="Arial" w:hAnsi="Arial" w:eastAsia="Arial"/>
                <w:b w:val="0"/>
                <w:i w:val="0"/>
                <w:sz w:val="19"/>
              </w:rPr>
              <w:t>D7.3</w:t>
            </w:r>
          </w:p>
        </w:tc>
        <w:tc>
          <w:tcPr>
            <w:tcW w:type="dxa" w:w="3402"/>
          </w:tcPr>
          <w:p>
            <w:r/>
            <w:r>
              <w:rPr>
                <w:rFonts w:ascii="Arial" w:hAnsi="Arial" w:eastAsia="Arial"/>
                <w:b w:val="0"/>
                <w:i w:val="0"/>
                <w:sz w:val="19"/>
              </w:rPr>
              <w:t>Final report</w:t>
            </w:r>
          </w:p>
        </w:tc>
        <w:tc>
          <w:tcPr>
            <w:tcW w:type="dxa" w:w="1474"/>
          </w:tcPr>
          <w:p>
            <w:r/>
            <w:r>
              <w:rPr>
                <w:rFonts w:ascii="Arial" w:hAnsi="Arial" w:eastAsia="Arial"/>
                <w:b w:val="0"/>
                <w:i w:val="0"/>
                <w:sz w:val="19"/>
              </w:rPr>
              <w:t>Report</w:t>
            </w:r>
          </w:p>
        </w:tc>
        <w:tc>
          <w:tcPr>
            <w:tcW w:type="dxa" w:w="3061"/>
          </w:tcPr>
          <w:p>
            <w:r/>
            <w:r>
              <w:rPr>
                <w:rFonts w:ascii="Arial" w:hAnsi="Arial" w:eastAsia="Arial"/>
                <w:b w:val="0"/>
                <w:i w:val="0"/>
                <w:sz w:val="19"/>
              </w:rPr>
              <w:t>Public summary; restricted full report</w:t>
            </w:r>
          </w:p>
        </w:tc>
        <w:tc>
          <w:tcPr>
            <w:tcW w:type="dxa" w:w="964"/>
          </w:tcPr>
          <w:p>
            <w:r/>
            <w:r>
              <w:rPr>
                <w:rFonts w:ascii="Arial" w:hAnsi="Arial" w:eastAsia="Arial"/>
                <w:b w:val="0"/>
                <w:i w:val="0"/>
                <w:sz w:val="19"/>
              </w:rPr>
              <w:t>M36</w:t>
            </w:r>
          </w:p>
        </w:tc>
      </w:tr>
    </w:tbl>
    <w:p>
      <w:pPr>
        <w:keepNext/>
        <w:spacing w:after="40" w:before="120"/>
      </w:pPr>
      <w:r>
        <w:rPr>
          <w:rFonts w:ascii="Arial" w:hAnsi="Arial" w:eastAsia="Arial"/>
          <w:b/>
          <w:i w:val="0"/>
          <w:color w:val="2E6DB4"/>
          <w:sz w:val="22"/>
        </w:rPr>
        <w:t>Inputs and outputs</w:t>
      </w:r>
    </w:p>
    <w:p>
      <w:pPr>
        <w:spacing w:after="20" w:before="0"/>
        <w:ind w:left="283"/>
      </w:pPr>
      <w:r>
        <w:rPr>
          <w:rFonts w:ascii="Arial" w:hAnsi="Arial" w:eastAsia="Arial"/>
          <w:b/>
          <w:i w:val="0"/>
          <w:sz w:val="20"/>
        </w:rPr>
        <w:t xml:space="preserve">• </w:t>
      </w:r>
      <w:r>
        <w:rPr>
          <w:rFonts w:ascii="Arial" w:hAnsi="Arial" w:eastAsia="Arial"/>
          <w:b/>
          <w:i w:val="0"/>
          <w:sz w:val="20"/>
        </w:rPr>
        <w:t>Needs:</w:t>
      </w:r>
      <w:r>
        <w:rPr>
          <w:rFonts w:ascii="Arial" w:hAnsi="Arial" w:eastAsia="Arial"/>
          <w:b w:val="0"/>
          <w:i w:val="0"/>
          <w:sz w:val="20"/>
        </w:rPr>
        <w:t xml:space="preserve"> All work packages</w:t>
      </w:r>
    </w:p>
    <w:p>
      <w:pPr>
        <w:spacing w:after="20" w:before="0"/>
        <w:ind w:left="283"/>
      </w:pPr>
      <w:r>
        <w:rPr>
          <w:rFonts w:ascii="Arial" w:hAnsi="Arial" w:eastAsia="Arial"/>
          <w:b/>
          <w:i w:val="0"/>
          <w:sz w:val="20"/>
        </w:rPr>
        <w:t xml:space="preserve">• </w:t>
      </w:r>
      <w:r>
        <w:rPr>
          <w:rFonts w:ascii="Arial" w:hAnsi="Arial" w:eastAsia="Arial"/>
          <w:b/>
          <w:i w:val="0"/>
          <w:sz w:val="20"/>
        </w:rPr>
        <w:t>Gives:</w:t>
      </w:r>
      <w:r>
        <w:rPr>
          <w:rFonts w:ascii="Arial" w:hAnsi="Arial" w:eastAsia="Arial"/>
          <w:b w:val="0"/>
          <w:i w:val="0"/>
          <w:sz w:val="20"/>
        </w:rPr>
        <w:t xml:space="preserve"> Access agreements and data management plan; risk register; progress and final reports</w:t>
      </w:r>
    </w:p>
    <w:p>
      <w:pPr>
        <w:keepNext/>
        <w:spacing w:after="40" w:before="120"/>
      </w:pPr>
      <w:r>
        <w:rPr>
          <w:rFonts w:ascii="Arial" w:hAnsi="Arial" w:eastAsia="Arial"/>
          <w:b/>
          <w:i w:val="0"/>
          <w:color w:val="2E6DB4"/>
          <w:sz w:val="22"/>
        </w:rPr>
        <w:t>Success criteria</w:t>
      </w:r>
    </w:p>
    <w:p>
      <w:pPr>
        <w:spacing w:after="20" w:before="0"/>
        <w:ind w:left="283"/>
      </w:pPr>
      <w:r>
        <w:rPr>
          <w:rFonts w:ascii="Arial" w:hAnsi="Arial" w:eastAsia="Arial"/>
          <w:b/>
          <w:i w:val="0"/>
          <w:sz w:val="20"/>
        </w:rPr>
        <w:t xml:space="preserve">• </w:t>
      </w:r>
      <w:r>
        <w:rPr>
          <w:rFonts w:ascii="Arial" w:hAnsi="Arial" w:eastAsia="Arial"/>
          <w:b w:val="0"/>
          <w:i w:val="0"/>
          <w:sz w:val="20"/>
        </w:rPr>
        <w:t>Access agreements and data management plan delivered by Month 3</w:t>
      </w:r>
    </w:p>
    <w:p>
      <w:pPr>
        <w:spacing w:after="20" w:before="0"/>
        <w:ind w:left="283"/>
      </w:pPr>
      <w:r>
        <w:rPr>
          <w:rFonts w:ascii="Arial" w:hAnsi="Arial" w:eastAsia="Arial"/>
          <w:b/>
          <w:i w:val="0"/>
          <w:sz w:val="20"/>
        </w:rPr>
        <w:t xml:space="preserve">• </w:t>
      </w:r>
      <w:r>
        <w:rPr>
          <w:rFonts w:ascii="Arial" w:hAnsi="Arial" w:eastAsia="Arial"/>
          <w:b w:val="0"/>
          <w:i w:val="0"/>
          <w:sz w:val="20"/>
        </w:rPr>
        <w:t>Progress reports delivered in Months 12 and 24, final report in Month 36</w:t>
      </w:r>
    </w:p>
    <w:p>
      <w:pPr>
        <w:spacing w:after="20" w:before="0"/>
        <w:ind w:left="283"/>
      </w:pPr>
      <w:r>
        <w:rPr>
          <w:rFonts w:ascii="Arial" w:hAnsi="Arial" w:eastAsia="Arial"/>
          <w:b/>
          <w:i w:val="0"/>
          <w:sz w:val="20"/>
        </w:rPr>
        <w:t xml:space="preserve">• </w:t>
      </w:r>
      <w:r>
        <w:rPr>
          <w:rFonts w:ascii="Arial" w:hAnsi="Arial" w:eastAsia="Arial"/>
          <w:b w:val="0"/>
          <w:i w:val="0"/>
          <w:sz w:val="20"/>
        </w:rPr>
        <w:t>Every risk trigger acted on within two weeks of being crossed</w:t>
      </w:r>
    </w:p>
    <w:p>
      <w:pPr>
        <w:keepNext/>
        <w:spacing w:after="40" w:before="120"/>
      </w:pPr>
      <w:r>
        <w:rPr>
          <w:rFonts w:ascii="Arial" w:hAnsi="Arial" w:eastAsia="Arial"/>
          <w:b/>
          <w:i w:val="0"/>
          <w:color w:val="2E6DB4"/>
          <w:sz w:val="22"/>
        </w:rPr>
        <w:t>Main risks (Risk Assessment)</w:t>
      </w:r>
    </w:p>
    <w:p>
      <w:pPr>
        <w:spacing w:after="20" w:before="0"/>
        <w:ind w:left="283"/>
      </w:pPr>
      <w:r>
        <w:rPr>
          <w:rFonts w:ascii="Arial" w:hAnsi="Arial" w:eastAsia="Arial"/>
          <w:b/>
          <w:i w:val="0"/>
          <w:sz w:val="20"/>
        </w:rPr>
        <w:t xml:space="preserve">• </w:t>
      </w:r>
      <w:r>
        <w:rPr>
          <w:rFonts w:ascii="Arial" w:hAnsi="Arial" w:eastAsia="Arial"/>
          <w:b w:val="0"/>
          <w:i w:val="0"/>
          <w:sz w:val="20"/>
        </w:rPr>
        <w:t>R1 operators delay access to well, port or landfall data; calibration and design start late</w:t>
      </w:r>
    </w:p>
    <w:p>
      <w:pPr>
        <w:spacing w:after="20" w:before="0"/>
        <w:ind w:left="283"/>
      </w:pPr>
      <w:r>
        <w:rPr>
          <w:rFonts w:ascii="Arial" w:hAnsi="Arial" w:eastAsia="Arial"/>
          <w:b/>
          <w:i w:val="0"/>
          <w:sz w:val="20"/>
        </w:rPr>
        <w:t xml:space="preserve">• </w:t>
      </w:r>
      <w:r>
        <w:rPr>
          <w:rFonts w:ascii="Arial" w:hAnsi="Arial" w:eastAsia="Arial"/>
          <w:b w:val="0"/>
          <w:i w:val="0"/>
          <w:sz w:val="20"/>
        </w:rPr>
        <w:t>R13 injury during field work (port traffic, storms, inspections after an earthquake)</w:t>
      </w:r>
    </w:p>
    <w:p>
      <w:pPr>
        <w:spacing w:after="20" w:before="0"/>
        <w:ind w:left="283"/>
      </w:pPr>
      <w:r>
        <w:rPr>
          <w:rFonts w:ascii="Arial" w:hAnsi="Arial" w:eastAsia="Arial"/>
          <w:b/>
          <w:i w:val="0"/>
          <w:sz w:val="20"/>
        </w:rPr>
        <w:t xml:space="preserve">• </w:t>
      </w:r>
      <w:r>
        <w:rPr>
          <w:rFonts w:ascii="Arial" w:hAnsi="Arial" w:eastAsia="Arial"/>
          <w:b w:val="0"/>
          <w:i w:val="0"/>
          <w:sz w:val="20"/>
        </w:rPr>
        <w:t>R18 loss of key researchers or of trained operator staff</w:t>
      </w:r>
    </w:p>
    <w:p>
      <w:pPr>
        <w:spacing w:after="20" w:before="0"/>
        <w:ind w:left="283"/>
      </w:pPr>
      <w:r>
        <w:rPr>
          <w:rFonts w:ascii="Arial" w:hAnsi="Arial" w:eastAsia="Arial"/>
          <w:b/>
          <w:i w:val="0"/>
          <w:sz w:val="20"/>
        </w:rPr>
        <w:t xml:space="preserve">• </w:t>
      </w:r>
      <w:r>
        <w:rPr>
          <w:rFonts w:ascii="Arial" w:hAnsi="Arial" w:eastAsia="Arial"/>
          <w:b w:val="0"/>
          <w:i w:val="0"/>
          <w:sz w:val="20"/>
        </w:rPr>
        <w:t>R19 equipment prices rise above the budget lines</w:t>
      </w:r>
    </w:p>
    <w:p>
      <w:pPr>
        <w:spacing w:after="20" w:before="0"/>
        <w:ind w:left="283"/>
      </w:pPr>
      <w:r>
        <w:rPr>
          <w:rFonts w:ascii="Arial" w:hAnsi="Arial" w:eastAsia="Arial"/>
          <w:b/>
          <w:i w:val="0"/>
          <w:sz w:val="20"/>
        </w:rPr>
        <w:t xml:space="preserve">• </w:t>
      </w:r>
      <w:r>
        <w:rPr>
          <w:rFonts w:ascii="Arial" w:hAnsi="Arial" w:eastAsia="Arial"/>
          <w:b w:val="0"/>
          <w:i w:val="0"/>
          <w:sz w:val="20"/>
        </w:rPr>
        <w:t>R20 sensitive information on critical-infrastructure vulnerability is disclosed through open data or publications</w:t>
      </w:r>
    </w:p>
    <w:p>
      <w:pPr>
        <w:keepNext/>
        <w:spacing w:after="40" w:before="120"/>
      </w:pPr>
      <w:r>
        <w:rPr>
          <w:rFonts w:ascii="Arial" w:hAnsi="Arial" w:eastAsia="Arial"/>
          <w:b/>
          <w:i w:val="0"/>
          <w:color w:val="2E6DB4"/>
          <w:sz w:val="22"/>
        </w:rPr>
        <w:t>What is new</w:t>
      </w:r>
    </w:p>
    <w:p>
      <w:pPr>
        <w:spacing w:after="20" w:before="0"/>
        <w:ind w:left="283"/>
      </w:pPr>
      <w:r>
        <w:rPr>
          <w:rFonts w:ascii="Arial" w:hAnsi="Arial" w:eastAsia="Arial"/>
          <w:b/>
          <w:i w:val="0"/>
          <w:sz w:val="20"/>
        </w:rPr>
        <w:t xml:space="preserve">• </w:t>
      </w:r>
      <w:r>
        <w:rPr>
          <w:rFonts w:ascii="Arial" w:hAnsi="Arial" w:eastAsia="Arial"/>
          <w:b w:val="0"/>
          <w:i w:val="0"/>
          <w:sz w:val="20"/>
        </w:rPr>
        <w:t>Risk indicators with numeric triggers watched like the hazards, and a data plan with a security gate.</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