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Uncertainty, risk, robustness and uniqueness of a managed-aquifer-recharge scheme: new methods from Caltech and Oxford</w:t>
      </w:r>
    </w:p>
    <w:p>
      <w:pPr>
        <w:spacing w:after="360"/>
      </w:pPr>
      <w:r>
        <w:rPr>
          <w:color w:val="3A4350"/>
          <w:sz w:val="26"/>
          <w:szCs w:val="26"/>
        </w:rPr>
        <w:t xml:space="preserve">Twenty papers of 2020–2026 from Caltech and Oxford: uncertainty quantification (5 Caltech, 5 Oxford), risk analysis and robust decisions (5) and uniqueness of solutions and well-posed schemes (5), each with a key equation, why it is among the best and the question it leaves open; a theoretical introduction; and a numerically tested innovation, SIGURIA-GO (</w:t>
      </w:r>
      <w:r>
        <w:rPr>
          <w:i/>
          <w:iCs/>
          <w:color w:val="3A4350"/>
          <w:sz w:val="26"/>
          <w:szCs w:val="26"/>
        </w:rPr>
        <w:t xml:space="preserve">siguria</w:t>
      </w:r>
      <w:r>
        <w:rPr>
          <w:color w:val="3A4350"/>
          <w:sz w:val="26"/>
          <w:szCs w:val="26"/>
        </w:rPr>
        <w:t xml:space="preserve">: safety), a certificate for a recharge scheme of the Fushë-Kuqe coastal aquifer that states how uncertain its outcome is, how large its risk, how much model error it tolerates and whether its solution is unique</w:t>
      </w:r>
    </w:p>
    <w:p>
      <w:pPr>
        <w:spacing w:after="360"/>
      </w:pPr>
      <w:r>
        <w:rPr>
          <w:b/>
          <w:bCs/>
          <w:color w:val="B4410C"/>
          <w:sz w:val="24"/>
          <w:szCs w:val="24"/>
        </w:rPr>
        <w:t xml:space="preserve">Caltech UQ</w:t>
      </w:r>
      <w:r>
        <w:rPr>
          <w:color w:val="5B6573"/>
          <w:sz w:val="22"/>
          <w:szCs w:val="22"/>
        </w:rPr>
        <w:t xml:space="preserve">   ·   </w:t>
      </w:r>
      <w:r>
        <w:rPr>
          <w:b/>
          <w:bCs/>
          <w:color w:val="002147"/>
          <w:sz w:val="24"/>
          <w:szCs w:val="24"/>
        </w:rPr>
        <w:t xml:space="preserve">Oxford UQ</w:t>
      </w:r>
      <w:r>
        <w:rPr>
          <w:color w:val="5B6573"/>
          <w:sz w:val="22"/>
          <w:szCs w:val="22"/>
        </w:rPr>
        <w:t xml:space="preserve">   ·   </w:t>
      </w:r>
      <w:r>
        <w:rPr>
          <w:b/>
          <w:bCs/>
          <w:color w:val="5B21B6"/>
          <w:sz w:val="24"/>
          <w:szCs w:val="24"/>
        </w:rPr>
        <w:t xml:space="preserve">Risk and robustness</w:t>
      </w:r>
      <w:r>
        <w:rPr>
          <w:color w:val="5B6573"/>
          <w:sz w:val="22"/>
          <w:szCs w:val="22"/>
        </w:rPr>
        <w:t xml:space="preserve">   ·   </w:t>
      </w:r>
      <w:r>
        <w:rPr>
          <w:b/>
          <w:bCs/>
          <w:color w:val="1E3A8A"/>
          <w:sz w:val="24"/>
          <w:szCs w:val="24"/>
        </w:rPr>
        <w:t xml:space="preserve">Uniqueness</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six short themes (uncertainty quantification and the risk of a scheme; risk measures; robustness to sampling, the scenario approach; robustness to the model, distributionally robust and moment bounds; uniqueness, well-posedness and identifiability; what a certificate of a scheme should contain), each read on the recharge scheme of Fushë-Kuqe. </w:t>
      </w:r>
      <w:r>
        <w:rPr>
          <w:b/>
          <w:bCs/>
        </w:rPr>
        <w:t xml:space="preserve">Part II:</w:t>
      </w:r>
      <w:r>
        <w:t xml:space="preserve"> 20 papers of 2020–2026 from Caltech and Oxford, five per theme: uncertainty quantification at Caltech (C1–C5) and at Oxford (Q1–Q5), risk analysis and robust decisions (K1–K5) and uniqueness of solutions (N1–N5), each with a key equation in OMML, a box on </w:t>
      </w:r>
      <w:r>
        <w:rPr>
          <w:b/>
          <w:bCs/>
        </w:rPr>
        <w:t xml:space="preserve">why it is among the best</w:t>
      </w:r>
      <w:r>
        <w:t xml:space="preserve">, the </w:t>
      </w:r>
      <w:r>
        <w:rPr>
          <w:b/>
          <w:bCs/>
        </w:rPr>
        <w:t xml:space="preserve">open problem</w:t>
      </w:r>
      <w:r>
        <w:t xml:space="preserve"> it leaves and an innovation. </w:t>
      </w:r>
      <w:r>
        <w:rPr>
          <w:b/>
          <w:bCs/>
        </w:rPr>
        <w:t xml:space="preserve">Part III:</w:t>
      </w:r>
      <w:r>
        <w:t xml:space="preserve"> synthesis, a map of opportunities, further reading, and the SIGURIA-GO innovation: a four-part certificate for a recharge scheme (U: the law of its risk over plausible aquifers; R: probability of intrusion, CVaR and the minimum-recharge CVaR scheme as a linear programme; B: a distribution-free scenario bound checked on fresh scenarios, and a robustness radius in metres of head against model error; N: uniqueness of the optimal rates and of the optimal siting among 380 364 candidate triples), computed for the Fushë-Kuqe sector model.</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the Caltech or Oxford affiliation that was confirmed, topic and the rating of mathematical depth (★ 1–5).</w:t>
      </w:r>
    </w:p>
    <w:p>
      <w:pPr>
        <w:pStyle w:val="ListParagraph"/>
        <w:numPr>
          <w:ilvl w:val="0"/>
          <w:numId w:val="2"/>
        </w:numPr>
        <w:spacing w:after="60"/>
        <w:jc w:val="both"/>
      </w:pPr>
      <w:r>
        <w:rPr>
          <w:b/>
          <w:bCs/>
        </w:rPr>
        <w:t xml:space="preserve">Summary</w:t>
      </w:r>
      <w:r>
        <w:t xml:space="preserve"> of the problem, the method and the main theorems, and the </w:t>
      </w:r>
      <w:r>
        <w:rPr>
          <w:b/>
          <w:bCs/>
        </w:rPr>
        <w:t xml:space="preserve">key equation</w:t>
      </w:r>
      <w:r>
        <w:t xml:space="preserve"> as a Word equation (OMML); all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the </w:t>
      </w:r>
      <w:r>
        <w:rPr>
          <w:b/>
          <w:bCs/>
        </w:rPr>
        <w:t xml:space="preserve">open problem</w:t>
      </w:r>
      <w:r>
        <w:t xml:space="preserve"> it leaves for a recharge scheme, and a concrete </w:t>
      </w:r>
      <w:r>
        <w:rPr>
          <w:b/>
          <w:bCs/>
        </w:rPr>
        <w:t xml:space="preserve">innovation</w:t>
      </w:r>
      <w:r>
        <w:t xml:space="preserve"> for Fushë-Kuqe.</w:t>
      </w:r>
    </w:p>
    <w:p>
      <w:pPr>
        <w:spacing w:before="360"/>
      </w:pPr>
      <w:r>
        <w:rPr>
          <w:color w:val="5B6573"/>
          <w:sz w:val="20"/>
          <w:szCs w:val="20"/>
        </w:rPr>
        <w:t xml:space="preserve">Search date: 26 October 2026  ·  Period covered: 2020–2026</w:t>
      </w:r>
    </w:p>
    <w:p>
      <w:pPr>
        <w:pStyle w:val="Heading1"/>
        <w:pageBreakBefore/>
      </w:pPr>
      <w:r>
        <w:rPr>
          <w:color w:val="1F3864"/>
        </w:rPr>
        <w:t xml:space="preserve">1. Theoretical introduction: the four questions a recharge scheme must answer</w:t>
      </w:r>
    </w:p>
    <w:p>
      <w:pPr>
        <w:spacing w:after="120"/>
      </w:pPr>
      <w:r>
        <w:rPr>
          <w:i/>
          <w:iCs/>
          <w:color w:val="5B6573"/>
          <w:sz w:val="18"/>
          <w:szCs w:val="18"/>
        </w:rPr>
        <w:t xml:space="preserve">Theoretical introduction written for this document. Statements attributed to classical works [B…] are standard results; forms simplified for this document are marked as such.</w:t>
      </w:r>
    </w:p>
    <w:p>
      <w:pPr>
        <w:spacing w:after="120"/>
        <w:jc w:val="both"/>
      </w:pPr>
      <w:r>
        <w:rPr>
          <w:b/>
          <w:bCs/>
        </w:rPr>
        <w:t xml:space="preserve">The scheme and its four questions.</w:t>
      </w:r>
      <w:r>
        <w:t xml:space="preserve"> A managed-aquifer-recharge (MAR) scheme at Fushë-Kuqe is a set of injection sites and rates </w:t>
      </w:r>
      <m:oMath>
        <m:r>
          <m:t>q</m:t>
        </m:r>
        <m:r>
          <m:rPr>
            <m:sty m:val="p"/>
          </m:rPr>
          <m:t>∈</m:t>
        </m:r>
        <m:sSup>
          <m:e>
            <m:r>
              <m:rPr>
                <m:scr m:val="double-struck"/>
                <m:sty m:val="p"/>
              </m:rPr>
              <m:t>R</m:t>
            </m:r>
          </m:e>
          <m:sup>
            <m:r>
              <m:t>3</m:t>
            </m:r>
          </m:sup>
        </m:sSup>
      </m:oMath>
      <w:r>
        <w:t xml:space="preserve"> meant to keep the heads of the supply wells A1 (A) and P10 (B) above </w:t>
      </w:r>
      <m:oMath>
        <m:sSub>
          <m:e>
            <m:r>
              <m:t>h</m:t>
            </m:r>
          </m:e>
          <m:sub>
            <m:r>
              <m:t>c</m:t>
            </m:r>
          </m:sub>
        </m:sSub>
        <m:r>
          <m:rPr>
            <m:sty m:val="p"/>
          </m:rPr>
          <m:t>=</m:t>
        </m:r>
        <m:r>
          <m:t>1</m:t>
        </m:r>
      </m:oMath>
      <w:r>
        <w:t xml:space="preserve"> m. For a fixed aquifer the steady heads are affine in the rates: </w:t>
      </w:r>
      <m:oMath>
        <m:sSub>
          <m:e>
            <m:r>
              <m:t>H</m:t>
            </m:r>
          </m:e>
          <m:sub>
            <m:r>
              <m:t>w</m:t>
            </m:r>
          </m:sub>
        </m:sSub>
        <m:d>
          <m:dPr>
            <m:begChr m:val="("/>
            <m:sepChr m:val=""/>
            <m:endChr m:val=")"/>
            <m:grow/>
          </m:dPr>
          <m:e>
            <m:r>
              <m:t>q</m:t>
            </m:r>
          </m:e>
        </m:d>
        <m:r>
          <m:rPr>
            <m:sty m:val="p"/>
          </m:rPr>
          <m:t>=</m:t>
        </m:r>
        <m:sSub>
          <m:e>
            <m:r>
              <m:t>a</m:t>
            </m:r>
          </m:e>
          <m:sub>
            <m:r>
              <m:t>w</m:t>
            </m:r>
          </m:sub>
        </m:sSub>
        <m:r>
          <m:rPr>
            <m:sty m:val="p"/>
          </m:rPr>
          <m:t>+</m:t>
        </m:r>
        <m:nary>
          <m:naryPr>
            <m:chr m:val="∑"/>
            <m:limLoc m:val="undOvr"/>
            <m:subHide m:val="off"/>
            <m:supHide m:val="on"/>
          </m:naryPr>
          <m:sub>
            <m:r>
              <m:t>k</m:t>
            </m:r>
          </m:sub>
          <m:sup>
            <m:r>
              <m:t>​</m:t>
            </m:r>
          </m:sup>
          <m:e>
            <m:sSub>
              <m:e>
                <m:r>
                  <m:t>g</m:t>
                </m:r>
              </m:e>
              <m:sub>
                <m:r>
                  <m:t>w</m:t>
                </m:r>
                <m:r>
                  <m:t>k</m:t>
                </m:r>
              </m:sub>
            </m:sSub>
          </m:e>
        </m:nary>
        <m:r>
          <m:t> </m:t>
        </m:r>
        <m:sSub>
          <m:e>
            <m:r>
              <m:t>d</m:t>
            </m:r>
          </m:e>
          <m:sub>
            <m:r>
              <m:t>k</m:t>
            </m:r>
          </m:sub>
        </m:sSub>
      </m:oMath>
      <w:r>
        <w:t xml:space="preserve">, where </w:t>
      </w:r>
      <m:oMath>
        <m:sSub>
          <m:e>
            <m:r>
              <m:t>a</m:t>
            </m:r>
          </m:e>
          <m:sub>
            <m:r>
              <m:t>w</m:t>
            </m:r>
          </m:sub>
        </m:sSub>
      </m:oMath>
      <w:r>
        <w:t xml:space="preserve"> is the head without recharge, </w:t>
      </w:r>
      <m:oMath>
        <m:sSub>
          <m:e>
            <m:r>
              <m:t>g</m:t>
            </m:r>
          </m:e>
          <m:sub>
            <m:r>
              <m:t>w</m:t>
            </m:r>
            <m:r>
              <m:t>k</m:t>
            </m:r>
          </m:sub>
        </m:sSub>
      </m:oMath>
      <w:r>
        <w:t xml:space="preserve"> the head rise at well </w:t>
      </w:r>
      <m:oMath>
        <m:r>
          <m:t>w</m:t>
        </m:r>
      </m:oMath>
      <w:r>
        <w:t xml:space="preserve"> per unit recharge at site </w:t>
      </w:r>
      <m:oMath>
        <m:r>
          <m:t>k</m:t>
        </m:r>
      </m:oMath>
      <w:r>
        <w:t xml:space="preserve">, and </w:t>
      </w:r>
      <m:oMath>
        <m:sSub>
          <m:e>
            <m:r>
              <m:t>d</m:t>
            </m:r>
          </m:e>
          <m:sub>
            <m:r>
              <m:t>k</m:t>
            </m:r>
          </m:sub>
        </m:sSub>
        <m:r>
          <m:rPr>
            <m:sty m:val="p"/>
          </m:rPr>
          <m:t>=</m:t>
        </m:r>
        <m:r>
          <m:rPr>
            <m:sty m:val="p"/>
          </m:rPr>
          <m:t>min</m:t>
        </m:r>
        <m:d>
          <m:dPr>
            <m:begChr m:val="("/>
            <m:sepChr m:val=""/>
            <m:endChr m:val=")"/>
            <m:grow/>
          </m:dPr>
          <m:e>
            <m:sSub>
              <m:e>
                <m:r>
                  <m:t>q</m:t>
                </m:r>
              </m:e>
              <m:sub>
                <m:r>
                  <m:t>k</m:t>
                </m:r>
              </m:sub>
            </m:sSub>
            <m:r>
              <m:rPr>
                <m:sty m:val="p"/>
              </m:rPr>
              <m:t>,</m:t>
            </m:r>
            <m:sSub>
              <m:e>
                <m:r>
                  <m:t>c</m:t>
                </m:r>
              </m:e>
              <m:sub>
                <m:r>
                  <m:t>k</m:t>
                </m:r>
              </m:sub>
            </m:sSub>
          </m:e>
        </m:d>
      </m:oMath>
      <w:r>
        <w:t xml:space="preserve"> the rate a well with injectivity </w:t>
      </w:r>
      <m:oMath>
        <m:sSub>
          <m:e>
            <m:r>
              <m:t>c</m:t>
            </m:r>
          </m:e>
          <m:sub>
            <m:r>
              <m:t>k</m:t>
            </m:r>
          </m:sub>
        </m:sSub>
      </m:oMath>
      <w:r>
        <w:t xml:space="preserve"> can actually deliver. The aquifer (twelve zonal log-conductivities and a finer field the zones cannot represent), the injectivities and the future mean recharge are uncertain. Four questions qualify the scheme: how uncertain its outcome is, how large the risk that a supply well is still intruded, whether it stays good when the model or the prior is wrong, and whether its optimal sites and rates are unique. The companion review 53 chooses the sites with pilot tests; this review asks how to certify what it chose.</w:t>
      </w:r>
    </w:p>
    <w:p>
      <w:pPr>
        <w:pStyle w:val="Heading3"/>
      </w:pPr>
      <w:r>
        <w:rPr>
          <w:color w:val="1F3864"/>
        </w:rPr>
        <w:t xml:space="preserve">1.1 Uncertainty quantification: from parameters to the risk of a scheme</w:t>
      </w:r>
    </w:p>
    <w:p>
      <w:pPr>
        <w:spacing w:after="120"/>
        <w:jc w:val="both"/>
      </w:pPr>
      <w:r>
        <w:t xml:space="preserve">Forward UQ pushes the law of the parameters </w:t>
      </w:r>
      <m:oMath>
        <m:r>
          <m:t>θ</m:t>
        </m:r>
      </m:oMath>
      <w:r>
        <w:t xml:space="preserve"> through the model; Bayesian inversion conditions it on data </w:t>
      </w:r>
      <m:oMath>
        <m:r>
          <m:t>y</m:t>
        </m:r>
      </m:oMath>
      <w:r>
        <w:t xml:space="preserve">, </w:t>
      </w:r>
      <m:oMath>
        <m:r>
          <m:t>π</m:t>
        </m:r>
        <m:d>
          <m:dPr>
            <m:begChr m:val="("/>
            <m:sepChr m:val=""/>
            <m:endChr m:val=")"/>
            <m:grow/>
          </m:dPr>
          <m:e>
            <m:r>
              <m:t>θ</m:t>
            </m:r>
            <m:r>
              <m:rPr>
                <m:sty m:val="p"/>
              </m:rPr>
              <m:t>∣</m:t>
            </m:r>
            <m:r>
              <m:t>y</m:t>
            </m:r>
          </m:e>
        </m:d>
        <m:r>
          <m:rPr>
            <m:sty m:val="p"/>
          </m:rPr>
          <m:t>∝</m:t>
        </m:r>
        <m:r>
          <m:t>L</m:t>
        </m:r>
        <m:d>
          <m:dPr>
            <m:begChr m:val="("/>
            <m:sepChr m:val=""/>
            <m:endChr m:val=")"/>
            <m:grow/>
          </m:dPr>
          <m:e>
            <m:r>
              <m:t>y</m:t>
            </m:r>
            <m:r>
              <m:rPr>
                <m:sty m:val="p"/>
              </m:rPr>
              <m:t>∣</m:t>
            </m:r>
            <m:r>
              <m:t>θ</m:t>
            </m:r>
          </m:e>
        </m:d>
        <m:r>
          <m:t> </m:t>
        </m:r>
        <m:sSub>
          <m:e>
            <m:r>
              <m:t>π</m:t>
            </m:r>
          </m:e>
          <m:sub>
            <m:r>
              <m:t>0</m:t>
            </m:r>
          </m:sub>
        </m:sSub>
        <m:d>
          <m:dPr>
            <m:begChr m:val="("/>
            <m:sepChr m:val=""/>
            <m:endChr m:val=")"/>
            <m:grow/>
          </m:dPr>
          <m:e>
            <m:r>
              <m:t>θ</m:t>
            </m:r>
          </m:e>
        </m:d>
      </m:oMath>
      <w:r>
        <w:t xml:space="preserve">; and when the model used for inference is coarser than reality, the approximation-error approach adds the statistics of the model error </w:t>
      </w:r>
      <m:oMath>
        <m:r>
          <m:t>ε</m:t>
        </m:r>
        <m:r>
          <m:rPr>
            <m:sty m:val="p"/>
          </m:rPr>
          <m:t>=</m:t>
        </m:r>
        <m:r>
          <m:t>f</m:t>
        </m:r>
        <m:d>
          <m:dPr>
            <m:begChr m:val="("/>
            <m:sepChr m:val=""/>
            <m:endChr m:val=")"/>
            <m:grow/>
          </m:dPr>
          <m:e>
            <m:r>
              <m:t>θ</m:t>
            </m:r>
            <m:r>
              <m:rPr>
                <m:sty m:val="p"/>
              </m:rPr>
              <m:t>,</m:t>
            </m:r>
            <m:r>
              <m:t>ζ</m:t>
            </m:r>
          </m:e>
        </m:d>
        <m:r>
          <m:rPr>
            <m:sty m:val="p"/>
          </m:rPr>
          <m:t>−</m:t>
        </m:r>
        <m:r>
          <m:t>f</m:t>
        </m:r>
        <m:d>
          <m:dPr>
            <m:begChr m:val="("/>
            <m:sepChr m:val=""/>
            <m:endChr m:val=")"/>
            <m:grow/>
          </m:dPr>
          <m:e>
            <m:r>
              <m:t>θ</m:t>
            </m:r>
          </m:e>
        </m:d>
      </m:oMath>
      <w:r>
        <w:t xml:space="preserve"> to the noise [B7]. For a decision there is a second layer: the intrusion probability of a scheme given the aquifer,</w:t>
      </w:r>
    </w:p>
    <w:p>
      <w:pPr>
        <w:pStyle w:val="Equation"/>
      </w:pPr>
      <m:oMathPara>
        <m:oMathParaPr>
          <m:jc m:val="center"/>
        </m:oMathParaPr>
        <m:oMath>
          <m:r>
            <m:t>r</m:t>
          </m:r>
          <m:d>
            <m:dPr>
              <m:begChr m:val="("/>
              <m:sepChr m:val=""/>
              <m:endChr m:val=")"/>
              <m:grow/>
            </m:dPr>
            <m:e>
              <m:r>
                <m:t>θ</m:t>
              </m:r>
            </m:e>
          </m:d>
          <m:r>
            <m:rPr>
              <m:sty m:val="p"/>
            </m:rPr>
            <m:t>=</m:t>
          </m:r>
          <m:r>
            <m:rPr>
              <m:scr m:val="double-struck"/>
              <m:sty m:val="p"/>
            </m:rPr>
            <m:t>P</m:t>
          </m:r>
          <m:d>
            <m:dPr>
              <m:begChr m:val="("/>
              <m:sepChr m:val=""/>
              <m:endChr m:val=")"/>
              <m:grow/>
            </m:dPr>
            <m:e>
              <m:limLow>
                <m:e>
                  <m:r>
                    <m:rPr>
                      <m:sty m:val="p"/>
                    </m:rPr>
                    <m:t>min</m:t>
                  </m:r>
                </m:e>
                <m:lim>
                  <m:r>
                    <m:t>w</m:t>
                  </m:r>
                </m:lim>
              </m:limLow>
              <m:sSub>
                <m:e>
                  <m:r>
                    <m:t>H</m:t>
                  </m:r>
                </m:e>
                <m:sub>
                  <m:r>
                    <m:t>w</m:t>
                  </m:r>
                </m:sub>
              </m:sSub>
              <m:d>
                <m:dPr>
                  <m:begChr m:val="("/>
                  <m:sepChr m:val=""/>
                  <m:endChr m:val=")"/>
                  <m:grow/>
                </m:dPr>
                <m:e>
                  <m:r>
                    <m:t>q</m:t>
                  </m:r>
                </m:e>
              </m:d>
              <m:r>
                <m:rPr>
                  <m:sty m:val="p"/>
                </m:rPr>
                <m:t>&lt;</m:t>
              </m:r>
              <m:sSub>
                <m:e>
                  <m:r>
                    <m:t>h</m:t>
                  </m:r>
                </m:e>
                <m:sub>
                  <m:r>
                    <m:t>c</m:t>
                  </m:r>
                </m:sub>
              </m:sSub>
              <m:r>
                <m:rPr>
                  <m:sty m:val="p"/>
                </m:rPr>
                <m:t>∣</m:t>
              </m:r>
              <m:r>
                <m:t>θ</m:t>
              </m:r>
            </m:e>
          </m:d>
          <m:r>
            <m:rPr>
              <m:sty m:val="p"/>
            </m:rPr>
            <m:t>,</m:t>
          </m:r>
          <m:r>
            <m:t>  </m:t>
          </m:r>
          <m:r>
            <m:t>P</m:t>
          </m:r>
          <m:r>
            <m:rPr>
              <m:sty m:val="p"/>
            </m:rPr>
            <m:t>=</m:t>
          </m:r>
          <m:sSub>
            <m:e>
              <m:r>
                <m:rPr>
                  <m:scr m:val="double-struck"/>
                  <m:sty m:val="p"/>
                </m:rPr>
                <m:t>E</m:t>
              </m:r>
            </m:e>
            <m:sub>
              <m:r>
                <m:t>θ</m:t>
              </m:r>
            </m:sub>
          </m:sSub>
          <m:d>
            <m:dPr>
              <m:begChr m:val="["/>
              <m:sepChr m:val=""/>
              <m:endChr m:val="]"/>
              <m:grow/>
            </m:dPr>
            <m:e>
              <m:r>
                <m:t>r</m:t>
              </m:r>
              <m:d>
                <m:dPr>
                  <m:begChr m:val="("/>
                  <m:sepChr m:val=""/>
                  <m:endChr m:val=")"/>
                  <m:grow/>
                </m:dPr>
                <m:e>
                  <m:r>
                    <m:t>θ</m:t>
                  </m:r>
                </m:e>
              </m:d>
            </m:e>
          </m:d>
          <m:r>
            <m:rPr>
              <m:sty m:val="p"/>
            </m:rPr>
            <m:t>,</m:t>
          </m:r>
          <m:r>
            <m:t>  </m:t>
          </m:r>
          <m:r>
            <m:rPr>
              <m:nor/>
            </m:rPr>
            <m:t>Var</m:t>
          </m:r>
          <m:d>
            <m:dPr>
              <m:begChr m:val="("/>
              <m:sepChr m:val=""/>
              <m:endChr m:val=")"/>
              <m:grow/>
            </m:dPr>
            <m:e>
              <m:sSub>
                <m:e>
                  <m:acc>
                    <m:accPr>
                      <m:chr m:val="̂"/>
                    </m:accPr>
                    <m:e>
                      <m:r>
                        <m:t>P</m:t>
                      </m:r>
                    </m:e>
                  </m:acc>
                </m:e>
                <m:sub>
                  <m:r>
                    <m:t>N</m:t>
                  </m:r>
                </m:sub>
              </m:sSub>
            </m:e>
          </m:d>
          <m:r>
            <m:rPr>
              <m:sty m:val="p"/>
            </m:rPr>
            <m:t>=</m:t>
          </m:r>
          <m:f>
            <m:fPr>
              <m:type m:val="bar"/>
            </m:fPr>
            <m:num>
              <m:r>
                <m:rPr>
                  <m:nor/>
                </m:rPr>
                <m:t>Var</m:t>
              </m:r>
              <m:d>
                <m:dPr>
                  <m:begChr m:val="("/>
                  <m:sepChr m:val=""/>
                  <m:endChr m:val=")"/>
                  <m:grow/>
                </m:dPr>
                <m:e>
                  <m:r>
                    <m:t>r</m:t>
                  </m:r>
                  <m:d>
                    <m:dPr>
                      <m:begChr m:val="("/>
                      <m:sepChr m:val=""/>
                      <m:endChr m:val=")"/>
                      <m:grow/>
                    </m:dPr>
                    <m:e>
                      <m:r>
                        <m:t>θ</m:t>
                      </m:r>
                    </m:e>
                  </m:d>
                </m:e>
              </m:d>
              <m:r>
                <m:rPr>
                  <m:sty m:val="p"/>
                </m:rPr>
                <m:t>+</m:t>
              </m:r>
              <m:r>
                <m:rPr>
                  <m:scr m:val="double-struck"/>
                  <m:sty m:val="p"/>
                </m:rPr>
                <m:t>E</m:t>
              </m:r>
              <m:d>
                <m:dPr>
                  <m:begChr m:val="["/>
                  <m:sepChr m:val=""/>
                  <m:endChr m:val="]"/>
                  <m:grow/>
                </m:dPr>
                <m:e>
                  <m:r>
                    <m:t>r</m:t>
                  </m:r>
                  <m:d>
                    <m:dPr>
                      <m:begChr m:val="("/>
                      <m:sepChr m:val=""/>
                      <m:endChr m:val=")"/>
                      <m:grow/>
                    </m:dPr>
                    <m:e>
                      <m:r>
                        <m:t>1</m:t>
                      </m:r>
                      <m:r>
                        <m:rPr>
                          <m:sty m:val="p"/>
                        </m:rPr>
                        <m:t>−</m:t>
                      </m:r>
                      <m:r>
                        <m:t>r</m:t>
                      </m:r>
                    </m:e>
                  </m:d>
                </m:e>
              </m:d>
            </m:num>
            <m:den>
              <m:r>
                <m:t>N</m:t>
              </m:r>
            </m:den>
          </m:f>
        </m:oMath>
      </m:oMathPara>
    </w:p>
    <w:p>
      <w:pPr>
        <w:spacing w:after="120"/>
        <w:jc w:val="both"/>
      </w:pPr>
      <w:r>
        <w:t xml:space="preserve">is itself uncertain because the aquifer is: </w:t>
      </w:r>
      <m:oMath>
        <m:r>
          <m:t>P</m:t>
        </m:r>
      </m:oMath>
      <w:r>
        <w:t xml:space="preserve"> is its mean, but a utility also wants to know for how many plausible aquifers </w:t>
      </w:r>
      <m:oMath>
        <m:r>
          <m:t>r</m:t>
        </m:r>
        <m:d>
          <m:dPr>
            <m:begChr m:val="("/>
            <m:sepChr m:val=""/>
            <m:endChr m:val=")"/>
            <m:grow/>
          </m:dPr>
          <m:e>
            <m:r>
              <m:t>θ</m:t>
            </m:r>
          </m:e>
        </m:d>
      </m:oMath>
      <w:r>
        <w:t xml:space="preserve"> exceeds an acceptable level. The variance formula, for </w:t>
      </w:r>
      <m:oMath>
        <m:r>
          <m:t>N</m:t>
        </m:r>
      </m:oMath>
      <w:r>
        <w:t xml:space="preserve"> joint draws of aquifer and climate, shows why Monte Carlo is slow for small probabilities and why multilevel and target-aware estimators matter. In Part II, Caltech's group analyses the samplers that compute such posteriors [C1, C2, C4], conditions Gaussian priors on nonlinear observations [C3] and replaces priors by worst-case bounds [C5]; Oxford brings multilevel quasi Monte Carlo for random-field PDEs [Q1], multilevel estimators for probabilities of threshold events [Q2], target-aware inference [Q3], kernel quadrature [Q4] and ensembles with guarantees [Q5].</w:t>
      </w:r>
    </w:p>
    <w:p>
      <w:pPr>
        <w:pStyle w:val="Heading3"/>
      </w:pPr>
      <w:r>
        <w:rPr>
          <w:color w:val="1F3864"/>
        </w:rPr>
        <w:t xml:space="preserve">1.2 Risk measures</w:t>
      </w:r>
    </w:p>
    <w:p>
      <w:pPr>
        <w:spacing w:after="120"/>
        <w:jc w:val="both"/>
      </w:pPr>
      <w:r>
        <w:t xml:space="preserve">A probability of failure ignores how badly the scheme fails. With the head deficit </w:t>
      </w:r>
      <m:oMath>
        <m:r>
          <m:t>D</m:t>
        </m:r>
        <m:d>
          <m:dPr>
            <m:begChr m:val="("/>
            <m:sepChr m:val=""/>
            <m:endChr m:val=")"/>
            <m:grow/>
          </m:dPr>
          <m:e>
            <m:r>
              <m:t>q</m:t>
            </m:r>
          </m:e>
        </m:d>
        <m:r>
          <m:rPr>
            <m:sty m:val="p"/>
          </m:rPr>
          <m:t>=</m:t>
        </m:r>
        <m:sSub>
          <m:e>
            <m:r>
              <m:rPr>
                <m:sty m:val="p"/>
              </m:rPr>
              <m:t>max</m:t>
            </m:r>
          </m:e>
          <m:sub>
            <m:r>
              <m:t>w</m:t>
            </m:r>
          </m:sub>
        </m:sSub>
        <m:d>
          <m:dPr>
            <m:begChr m:val="("/>
            <m:sepChr m:val=""/>
            <m:endChr m:val=")"/>
            <m:grow/>
          </m:dPr>
          <m:e>
            <m:sSub>
              <m:e>
                <m:r>
                  <m:t>h</m:t>
                </m:r>
              </m:e>
              <m:sub>
                <m:r>
                  <m:t>c</m:t>
                </m:r>
              </m:sub>
            </m:sSub>
            <m:r>
              <m:rPr>
                <m:sty m:val="p"/>
              </m:rPr>
              <m:t>−</m:t>
            </m:r>
            <m:sSub>
              <m:e>
                <m:r>
                  <m:t>H</m:t>
                </m:r>
              </m:e>
              <m:sub>
                <m:r>
                  <m:t>w</m:t>
                </m:r>
              </m:sub>
            </m:sSub>
            <m:d>
              <m:dPr>
                <m:begChr m:val="("/>
                <m:sepChr m:val=""/>
                <m:endChr m:val=")"/>
                <m:grow/>
              </m:dPr>
              <m:e>
                <m:r>
                  <m:t>q</m:t>
                </m:r>
              </m:e>
            </m:d>
          </m:e>
        </m:d>
      </m:oMath>
      <w:r>
        <w:t xml:space="preserve"> as a loss, the value-at-risk </w:t>
      </w:r>
      <m:oMath>
        <m:sSub>
          <m:e>
            <m:r>
              <m:rPr>
                <m:nor/>
              </m:rPr>
              <m:t>VaR</m:t>
            </m:r>
          </m:e>
          <m:sub>
            <m:r>
              <m:t>α</m:t>
            </m:r>
          </m:sub>
        </m:sSub>
      </m:oMath>
      <w:r>
        <w:t xml:space="preserve"> is its </w:t>
      </w:r>
      <m:oMath>
        <m:d>
          <m:dPr>
            <m:begChr m:val="("/>
            <m:sepChr m:val=""/>
            <m:endChr m:val=")"/>
            <m:grow/>
          </m:dPr>
          <m:e>
            <m:r>
              <m:t>1</m:t>
            </m:r>
            <m:r>
              <m:rPr>
                <m:sty m:val="p"/>
              </m:rPr>
              <m:t>−</m:t>
            </m:r>
            <m:r>
              <m:t>α</m:t>
            </m:r>
          </m:e>
        </m:d>
      </m:oMath>
      <w:r>
        <w:t xml:space="preserve">-quantile and the conditional value-at-risk the mean of its worst </w:t>
      </w:r>
      <m:oMath>
        <m:r>
          <m:t>α</m:t>
        </m:r>
      </m:oMath>
      <w:r>
        <w:t xml:space="preserve">-fraction [B1]:</w:t>
      </w:r>
    </w:p>
    <w:p>
      <w:pPr>
        <w:pStyle w:val="Equation"/>
      </w:pPr>
      <m:oMathPara>
        <m:oMathParaPr>
          <m:jc m:val="center"/>
        </m:oMathParaPr>
        <m:oMath>
          <m:sSub>
            <m:e>
              <m:r>
                <m:rPr>
                  <m:nor/>
                </m:rPr>
                <m:t>CVaR</m:t>
              </m:r>
            </m:e>
            <m:sub>
              <m:r>
                <m:t>α</m:t>
              </m:r>
            </m:sub>
          </m:sSub>
          <m:d>
            <m:dPr>
              <m:begChr m:val="("/>
              <m:sepChr m:val=""/>
              <m:endChr m:val=")"/>
              <m:grow/>
            </m:dPr>
            <m:e>
              <m:r>
                <m:t>D</m:t>
              </m:r>
            </m:e>
          </m:d>
          <m:r>
            <m:rPr>
              <m:sty m:val="p"/>
            </m:rPr>
            <m:t>=</m:t>
          </m:r>
          <m:limLow>
            <m:e>
              <m:r>
                <m:rPr>
                  <m:sty m:val="p"/>
                </m:rPr>
                <m:t>min</m:t>
              </m:r>
            </m:e>
            <m:lim>
              <m:r>
                <m:t>t</m:t>
              </m:r>
              <m:r>
                <m:rPr>
                  <m:sty m:val="p"/>
                </m:rPr>
                <m:t>∈</m:t>
              </m:r>
              <m:r>
                <m:rPr>
                  <m:scr m:val="double-struck"/>
                  <m:sty m:val="p"/>
                </m:rPr>
                <m:t>R</m:t>
              </m:r>
            </m:lim>
          </m:limLow>
          <m:d>
            <m:dPr>
              <m:begChr m:val="{"/>
              <m:sepChr m:val=""/>
              <m:endChr m:val="}"/>
              <m:grow/>
            </m:dPr>
            <m:e>
              <m:r>
                <m:t>t</m:t>
              </m:r>
              <m:r>
                <m:rPr>
                  <m:sty m:val="p"/>
                </m:rPr>
                <m:t>+</m:t>
              </m:r>
              <m:f>
                <m:fPr>
                  <m:type m:val="bar"/>
                </m:fPr>
                <m:num>
                  <m:r>
                    <m:t>1</m:t>
                  </m:r>
                </m:num>
                <m:den>
                  <m:r>
                    <m:t>α</m:t>
                  </m:r>
                </m:den>
              </m:f>
              <m:r>
                <m:t> </m:t>
              </m:r>
              <m:r>
                <m:rPr>
                  <m:scr m:val="double-struck"/>
                  <m:sty m:val="p"/>
                </m:rPr>
                <m:t>E</m:t>
              </m:r>
              <m:d>
                <m:dPr>
                  <m:begChr m:val="["/>
                  <m:sepChr m:val=""/>
                  <m:endChr m:val="]"/>
                  <m:grow/>
                </m:dPr>
                <m:e>
                  <m:sSup>
                    <m:e>
                      <m:d>
                        <m:dPr>
                          <m:begChr m:val="("/>
                          <m:sepChr m:val=""/>
                          <m:endChr m:val=")"/>
                          <m:grow/>
                        </m:dPr>
                        <m:e>
                          <m:r>
                            <m:t>D</m:t>
                          </m:r>
                          <m:r>
                            <m:rPr>
                              <m:sty m:val="p"/>
                            </m:rPr>
                            <m:t>−</m:t>
                          </m:r>
                          <m:r>
                            <m:t>t</m:t>
                          </m:r>
                        </m:e>
                      </m:d>
                    </m:e>
                    <m:sup>
                      <m:r>
                        <m:rPr>
                          <m:nor/>
                        </m:rPr>
                        <m:t>+</m:t>
                      </m:r>
                    </m:sup>
                  </m:sSup>
                </m:e>
              </m:d>
            </m:e>
          </m:d>
          <m:r>
            <m:rPr>
              <m:sty m:val="p"/>
            </m:rPr>
            <m:t>,</m:t>
          </m:r>
          <m:r>
            <m:t>  </m:t>
          </m:r>
          <m:sSub>
            <m:e>
              <m:r>
                <m:rPr>
                  <m:nor/>
                </m:rPr>
                <m:t>CVaR</m:t>
              </m:r>
            </m:e>
            <m:sub>
              <m:r>
                <m:t>α</m:t>
              </m:r>
            </m:sub>
          </m:sSub>
          <m:d>
            <m:dPr>
              <m:begChr m:val="("/>
              <m:sepChr m:val=""/>
              <m:endChr m:val=")"/>
              <m:grow/>
            </m:dPr>
            <m:e>
              <m:r>
                <m:t>D</m:t>
              </m:r>
            </m:e>
          </m:d>
          <m:r>
            <m:rPr>
              <m:sty m:val="p"/>
            </m:rPr>
            <m:t>≤</m:t>
          </m:r>
          <m:r>
            <m:t>0</m:t>
          </m:r>
          <m:r>
            <m:t> </m:t>
          </m:r>
          <m:r>
            <m:rPr>
              <m:sty m:val="p"/>
            </m:rPr>
            <m:t>⇒</m:t>
          </m:r>
          <m:r>
            <m:t> </m:t>
          </m:r>
          <m:r>
            <m:rPr>
              <m:scr m:val="double-struck"/>
              <m:sty m:val="p"/>
            </m:rPr>
            <m:t>P</m:t>
          </m:r>
          <m:d>
            <m:dPr>
              <m:begChr m:val="("/>
              <m:sepChr m:val=""/>
              <m:endChr m:val=")"/>
              <m:grow/>
            </m:dPr>
            <m:e>
              <m:r>
                <m:t>D</m:t>
              </m:r>
              <m:r>
                <m:rPr>
                  <m:sty m:val="p"/>
                </m:rPr>
                <m:t>&gt;</m:t>
              </m:r>
              <m:r>
                <m:t>0</m:t>
              </m:r>
            </m:e>
          </m:d>
          <m:r>
            <m:rPr>
              <m:sty m:val="p"/>
            </m:rPr>
            <m:t>≤</m:t>
          </m:r>
          <m:r>
            <m:t>α</m:t>
          </m:r>
        </m:oMath>
      </m:oMathPara>
    </w:p>
    <w:p>
      <w:pPr>
        <w:spacing w:after="120"/>
        <w:jc w:val="both"/>
      </w:pPr>
      <w:r>
        <w:t xml:space="preserve">CVaR is coherent [B2] (monotone, translation-equivariant, positively homogeneous and subadditive), convex in the decision whenever the loss is, and on </w:t>
      </w:r>
      <m:oMath>
        <m:r>
          <m:t>N</m:t>
        </m:r>
      </m:oMath>
      <w:r>
        <w:t xml:space="preserve"> scenarios its minimisation is a linear programme [B1]. For a recharge scheme the deficit is the maximum of two affine functions of the delivered rates, so CVaR-constrained schemes are linear programmes, and </w:t>
      </w:r>
      <m:oMath>
        <m:sSub>
          <m:e>
            <m:r>
              <m:rPr>
                <m:nor/>
              </m:rPr>
              <m:t>CVaR</m:t>
            </m:r>
          </m:e>
          <m:sub>
            <m:r>
              <m:t>α</m:t>
            </m:r>
          </m:sub>
        </m:sSub>
        <m:d>
          <m:dPr>
            <m:begChr m:val="("/>
            <m:sepChr m:val=""/>
            <m:endChr m:val=")"/>
            <m:grow/>
          </m:dPr>
          <m:e>
            <m:r>
              <m:t>D</m:t>
            </m:r>
          </m:e>
        </m:d>
        <m:r>
          <m:rPr>
            <m:sty m:val="p"/>
          </m:rPr>
          <m:t>≤</m:t>
        </m:r>
        <m:r>
          <m:t>0</m:t>
        </m:r>
      </m:oMath>
      <w:r>
        <w:t xml:space="preserve"> is a conservative surrogate for </w:t>
      </w:r>
      <m:oMath>
        <m:r>
          <m:t>P</m:t>
        </m:r>
        <m:r>
          <m:rPr>
            <m:sty m:val="p"/>
          </m:rPr>
          <m:t>≤</m:t>
        </m:r>
        <m:r>
          <m:t>α</m:t>
        </m:r>
      </m:oMath>
      <w:r>
        <w:t xml:space="preserve">. In Part II, CVaR is used as a tail criterion for online decisions with a proved optimal ratio [K3], and the Bayes-adaptive risk-averse planner [KR2] puts CVaR on the return of a sequential decision.</w:t>
      </w:r>
    </w:p>
    <w:p>
      <w:pPr>
        <w:pStyle w:val="Heading3"/>
      </w:pPr>
      <w:r>
        <w:rPr>
          <w:color w:val="1F3864"/>
        </w:rPr>
        <w:t xml:space="preserve">1.3 Robustness to sampling: the scenario approach</w:t>
      </w:r>
    </w:p>
    <w:p>
      <w:pPr>
        <w:spacing w:after="120"/>
        <w:jc w:val="both"/>
      </w:pPr>
      <w:r>
        <w:t xml:space="preserve">A chance constraint </w:t>
      </w:r>
      <m:oMath>
        <m:r>
          <m:rPr>
            <m:scr m:val="double-struck"/>
            <m:sty m:val="p"/>
          </m:rPr>
          <m:t>P</m:t>
        </m:r>
        <m:d>
          <m:dPr>
            <m:begChr m:val="("/>
            <m:sepChr m:val=""/>
            <m:endChr m:val=")"/>
            <m:grow/>
          </m:dPr>
          <m:e>
            <m:r>
              <m:t>D</m:t>
            </m:r>
            <m:d>
              <m:dPr>
                <m:begChr m:val="("/>
                <m:sepChr m:val=""/>
                <m:endChr m:val=")"/>
                <m:grow/>
              </m:dPr>
              <m:e>
                <m:r>
                  <m:t>q</m:t>
                </m:r>
              </m:e>
            </m:d>
            <m:r>
              <m:rPr>
                <m:sty m:val="p"/>
              </m:rPr>
              <m:t>&gt;</m:t>
            </m:r>
            <m:r>
              <m:t>0</m:t>
            </m:r>
          </m:e>
        </m:d>
        <m:r>
          <m:rPr>
            <m:sty m:val="p"/>
          </m:rPr>
          <m:t>≤</m:t>
        </m:r>
        <m:r>
          <m:t>ε</m:t>
        </m:r>
      </m:oMath>
      <w:r>
        <w:t xml:space="preserve"> is replaced by </w:t>
      </w:r>
      <m:oMath>
        <m:r>
          <m:t>N</m:t>
        </m:r>
      </m:oMath>
      <w:r>
        <w:t xml:space="preserve"> sampled constraints </w:t>
      </w:r>
      <m:oMath>
        <m:sSub>
          <m:e>
            <m:r>
              <m:t>D</m:t>
            </m:r>
          </m:e>
          <m:sub>
            <m:r>
              <m:t>i</m:t>
            </m:r>
          </m:sub>
        </m:sSub>
        <m:d>
          <m:dPr>
            <m:begChr m:val="("/>
            <m:sepChr m:val=""/>
            <m:endChr m:val=")"/>
            <m:grow/>
          </m:dPr>
          <m:e>
            <m:r>
              <m:t>q</m:t>
            </m:r>
          </m:e>
        </m:d>
        <m:r>
          <m:rPr>
            <m:sty m:val="p"/>
          </m:rPr>
          <m:t>≤</m:t>
        </m:r>
        <m:r>
          <m:t>0</m:t>
        </m:r>
      </m:oMath>
      <w:r>
        <w:t xml:space="preserve">, of which </w:t>
      </w:r>
      <m:oMath>
        <m:r>
          <m:t>r</m:t>
        </m:r>
      </m:oMath>
      <w:r>
        <w:t xml:space="preserve"> may be discarded; for a convex programme with </w:t>
      </w:r>
      <m:oMath>
        <m:r>
          <m:t>d</m:t>
        </m:r>
      </m:oMath>
      <w:r>
        <w:t xml:space="preserve"> decision variables and a unique solution, the violation probability </w:t>
      </w:r>
      <m:oMath>
        <m:r>
          <m:t>V</m:t>
        </m:r>
      </m:oMath>
      <w:r>
        <w:t xml:space="preserve"> of the solution satisfies, whatever the distribution of the scenarios [B3, B4],</w:t>
      </w:r>
    </w:p>
    <w:p>
      <w:pPr>
        <w:pStyle w:val="Equation"/>
      </w:pPr>
      <m:oMathPara>
        <m:oMathParaPr>
          <m:jc m:val="center"/>
        </m:oMathParaPr>
        <m:oMath>
          <m:sSup>
            <m:e>
              <m:r>
                <m:rPr>
                  <m:scr m:val="double-struck"/>
                  <m:sty m:val="p"/>
                </m:rPr>
                <m:t>P</m:t>
              </m:r>
            </m:e>
            <m:sup>
              <m:r>
                <m:t>N</m:t>
              </m:r>
            </m:sup>
          </m:sSup>
          <m:d>
            <m:dPr>
              <m:begChr m:val="{"/>
              <m:sepChr m:val=""/>
              <m:endChr m:val="}"/>
              <m:grow/>
            </m:dPr>
            <m:e>
              <m:r>
                <m:t>V</m:t>
              </m:r>
              <m:d>
                <m:dPr>
                  <m:begChr m:val="("/>
                  <m:sepChr m:val=""/>
                  <m:endChr m:val=")"/>
                  <m:grow/>
                </m:dPr>
                <m:e>
                  <m:sSup>
                    <m:e>
                      <m:r>
                        <m:t>q</m:t>
                      </m:r>
                    </m:e>
                    <m:sup>
                      <m:r>
                        <m:rPr>
                          <m:sty m:val="p"/>
                        </m:rPr>
                        <m:t>⋆</m:t>
                      </m:r>
                    </m:sup>
                  </m:sSup>
                </m:e>
              </m:d>
              <m:r>
                <m:rPr>
                  <m:sty m:val="p"/>
                </m:rPr>
                <m:t>&gt;</m:t>
              </m:r>
              <m:r>
                <m:t>ε</m:t>
              </m:r>
            </m:e>
          </m:d>
          <m:r>
            <m:rPr>
              <m:sty m:val="p"/>
            </m:rPr>
            <m:t>≤</m:t>
          </m:r>
          <m:d>
            <m:dPr>
              <m:begChr m:val="("/>
              <m:sepChr m:val=""/>
              <m:endChr m:val=")"/>
              <m:grow/>
            </m:dPr>
            <m:e>
              <m:f>
                <m:fPr>
                  <m:type m:val="noBar"/>
                </m:fPr>
                <m:num>
                  <m:r>
                    <m:t>r</m:t>
                  </m:r>
                  <m:r>
                    <m:rPr>
                      <m:sty m:val="p"/>
                    </m:rPr>
                    <m:t>+</m:t>
                  </m:r>
                  <m:r>
                    <m:t>d</m:t>
                  </m:r>
                  <m:r>
                    <m:rPr>
                      <m:sty m:val="p"/>
                    </m:rPr>
                    <m:t>−</m:t>
                  </m:r>
                  <m:r>
                    <m:t>1</m:t>
                  </m:r>
                </m:num>
                <m:den>
                  <m:r>
                    <m:t>r</m:t>
                  </m:r>
                </m:den>
              </m:f>
            </m:e>
          </m:d>
          <m:nary>
            <m:naryPr>
              <m:chr m:val="∑"/>
              <m:limLoc m:val="undOvr"/>
              <m:subHide m:val="off"/>
              <m:supHide m:val="off"/>
            </m:naryPr>
            <m:sub>
              <m:r>
                <m:t>i</m:t>
              </m:r>
              <m:r>
                <m:rPr>
                  <m:sty m:val="p"/>
                </m:rPr>
                <m:t>=</m:t>
              </m:r>
              <m:r>
                <m:t>0</m:t>
              </m:r>
            </m:sub>
            <m:sup>
              <m:r>
                <m:t>r</m:t>
              </m:r>
              <m:r>
                <m:rPr>
                  <m:sty m:val="p"/>
                </m:rPr>
                <m:t>+</m:t>
              </m:r>
              <m:r>
                <m:t>d</m:t>
              </m:r>
              <m:r>
                <m:rPr>
                  <m:sty m:val="p"/>
                </m:rPr>
                <m:t>−</m:t>
              </m:r>
              <m:r>
                <m:t>1</m:t>
              </m:r>
            </m:sup>
            <m:e>
              <m:d>
                <m:dPr>
                  <m:begChr m:val="("/>
                  <m:sepChr m:val=""/>
                  <m:endChr m:val=")"/>
                  <m:grow/>
                </m:dPr>
                <m:e>
                  <m:f>
                    <m:fPr>
                      <m:type m:val="noBar"/>
                    </m:fPr>
                    <m:num>
                      <m:r>
                        <m:t>N</m:t>
                      </m:r>
                    </m:num>
                    <m:den>
                      <m:r>
                        <m:t>i</m:t>
                      </m:r>
                    </m:den>
                  </m:f>
                </m:e>
              </m:d>
            </m:e>
          </m:nary>
          <m:sSup>
            <m:e>
              <m:r>
                <m:t>ε</m:t>
              </m:r>
            </m:e>
            <m:sup>
              <m:r>
                <m:t>i</m:t>
              </m:r>
            </m:sup>
          </m:sSup>
          <m:sSup>
            <m:e>
              <m:d>
                <m:dPr>
                  <m:begChr m:val="("/>
                  <m:sepChr m:val=""/>
                  <m:endChr m:val=")"/>
                  <m:grow/>
                </m:dPr>
                <m:e>
                  <m:r>
                    <m:t>1</m:t>
                  </m:r>
                  <m:r>
                    <m:rPr>
                      <m:sty m:val="p"/>
                    </m:rPr>
                    <m:t>−</m:t>
                  </m:r>
                  <m:r>
                    <m:t>ε</m:t>
                  </m:r>
                </m:e>
              </m:d>
            </m:e>
            <m:sup>
              <m:r>
                <m:t>N</m:t>
              </m:r>
              <m:r>
                <m:rPr>
                  <m:sty m:val="p"/>
                </m:rPr>
                <m:t>−</m:t>
              </m:r>
              <m:r>
                <m:t>i</m:t>
              </m:r>
            </m:sup>
          </m:sSup>
        </m:oMath>
      </m:oMathPara>
    </w:p>
    <w:p>
      <w:pPr>
        <w:spacing w:after="120"/>
        <w:jc w:val="both"/>
      </w:pPr>
      <w:r>
        <w:t xml:space="preserve">so with enough scenarios one obtains, at confidence </w:t>
      </w:r>
      <m:oMath>
        <m:r>
          <m:t>1</m:t>
        </m:r>
        <m:r>
          <m:rPr>
            <m:sty m:val="p"/>
          </m:rPr>
          <m:t>−</m:t>
        </m:r>
        <m:r>
          <m:t>β</m:t>
        </m:r>
      </m:oMath>
      <w:r>
        <w:t xml:space="preserve">, a distribution-free bound on the probability that the scheme fails. Two assumptions matter for MAR: convexity, which the linearity of heads in the rates provides, and uniqueness of the solution (or a tie-break rule), which links robustness to the uniqueness question of section 1.6. In Part II, Oxford's control group proves tighter bounds when constraints are removed in a cascade [K1, KR1] and certificates for whole solution sets that need not be unique [K2].</w:t>
      </w:r>
    </w:p>
    <w:p>
      <w:pPr>
        <w:pStyle w:val="Heading3"/>
      </w:pPr>
      <w:r>
        <w:rPr>
          <w:color w:val="1F3864"/>
        </w:rPr>
        <w:t xml:space="preserve">1.4 Robustness to the model: distributionally robust and moment bounds</w:t>
      </w:r>
    </w:p>
    <w:p>
      <w:pPr>
        <w:spacing w:after="120"/>
        <w:jc w:val="both"/>
      </w:pPr>
      <w:r>
        <w:t xml:space="preserve">The scenarios come from a model and a prior that may be wrong. Distributionally robust optimisation replaces the empirical law </w:t>
      </w:r>
      <m:oMath>
        <m:sSub>
          <m:e>
            <m:acc>
              <m:accPr>
                <m:chr m:val="̂"/>
              </m:accPr>
              <m:e>
                <m:r>
                  <m:t>P</m:t>
                </m:r>
              </m:e>
            </m:acc>
          </m:e>
          <m:sub>
            <m:r>
              <m:t>N</m:t>
            </m:r>
          </m:sub>
        </m:sSub>
      </m:oMath>
      <w:r>
        <w:t xml:space="preserve"> by the worst law in a Wasserstein ball [B5]; for a loss that is </w:t>
      </w:r>
      <m:oMath>
        <m:r>
          <m:t>L</m:t>
        </m:r>
      </m:oMath>
      <w:r>
        <w:t xml:space="preserve">-Lipschitz in the uncertain quantity the worst-case expectation is at most the empirical one plus </w:t>
      </w:r>
      <m:oMath>
        <m:r>
          <m:t>ρ</m:t>
        </m:r>
        <m:r>
          <m:t>L</m:t>
        </m:r>
      </m:oMath>
      <w:r>
        <w:t xml:space="preserve">, and moment bounds give the worst probability over all laws with given mean and covariance [B6]:</w:t>
      </w:r>
    </w:p>
    <w:p>
      <w:pPr>
        <w:pStyle w:val="Equation"/>
      </w:pPr>
      <m:oMathPara>
        <m:oMathParaPr>
          <m:jc m:val="center"/>
        </m:oMathParaPr>
        <m:oMath>
          <m:limLow>
            <m:e>
              <m:r>
                <m:rPr>
                  <m:sty m:val="p"/>
                </m:rPr>
                <m:t>max</m:t>
              </m:r>
            </m:e>
            <m:lim>
              <m:r>
                <m:rPr>
                  <m:scr m:val="double-struck"/>
                  <m:sty m:val="p"/>
                </m:rPr>
                <m:t>Q</m:t>
              </m:r>
              <m:r>
                <m:rPr>
                  <m:sty m:val="p"/>
                </m:rPr>
                <m:t>:</m:t>
              </m:r>
              <m:r>
                <m:t> </m:t>
              </m:r>
              <m:sSub>
                <m:e>
                  <m:r>
                    <m:t>W</m:t>
                  </m:r>
                </m:e>
                <m:sub>
                  <m:r>
                    <m:t>1</m:t>
                  </m:r>
                </m:sub>
              </m:sSub>
              <m:d>
                <m:dPr>
                  <m:begChr m:val="("/>
                  <m:sepChr m:val=""/>
                  <m:endChr m:val=")"/>
                  <m:grow/>
                </m:dPr>
                <m:e>
                  <m:r>
                    <m:rPr>
                      <m:scr m:val="double-struck"/>
                      <m:sty m:val="p"/>
                    </m:rPr>
                    <m:t>Q</m:t>
                  </m:r>
                  <m:r>
                    <m:rPr>
                      <m:sty m:val="p"/>
                    </m:rPr>
                    <m:t>,</m:t>
                  </m:r>
                  <m:sSub>
                    <m:e>
                      <m:acc>
                        <m:accPr>
                          <m:chr m:val="̂"/>
                        </m:accPr>
                        <m:e>
                          <m:r>
                            <m:t>P</m:t>
                          </m:r>
                        </m:e>
                      </m:acc>
                    </m:e>
                    <m:sub>
                      <m:r>
                        <m:t>N</m:t>
                      </m:r>
                    </m:sub>
                  </m:sSub>
                </m:e>
              </m:d>
              <m:r>
                <m:rPr>
                  <m:sty m:val="p"/>
                </m:rPr>
                <m:t>≤</m:t>
              </m:r>
              <m:r>
                <m:t>ρ</m:t>
              </m:r>
            </m:lim>
          </m:limLow>
          <m:sSub>
            <m:e>
              <m:r>
                <m:rPr>
                  <m:scr m:val="double-struck"/>
                  <m:sty m:val="p"/>
                </m:rPr>
                <m:t>E</m:t>
              </m:r>
            </m:e>
            <m:sub>
              <m:r>
                <m:rPr>
                  <m:scr m:val="double-struck"/>
                  <m:sty m:val="p"/>
                </m:rPr>
                <m:t>Q</m:t>
              </m:r>
            </m:sub>
          </m:sSub>
          <m:d>
            <m:dPr>
              <m:begChr m:val="["/>
              <m:sepChr m:val=""/>
              <m:endChr m:val="]"/>
              <m:grow/>
            </m:dPr>
            <m:e>
              <m:r>
                <m:rPr>
                  <m:sty m:val="p"/>
                </m:rPr>
                <m:t>ℓ</m:t>
              </m:r>
            </m:e>
          </m:d>
          <m:r>
            <m:rPr>
              <m:sty m:val="p"/>
            </m:rPr>
            <m:t>≤</m:t>
          </m:r>
          <m:sSub>
            <m:e>
              <m:r>
                <m:rPr>
                  <m:scr m:val="double-struck"/>
                  <m:sty m:val="p"/>
                </m:rPr>
                <m:t>E</m:t>
              </m:r>
            </m:e>
            <m:sub>
              <m:sSub>
                <m:e>
                  <m:acc>
                    <m:accPr>
                      <m:chr m:val="̂"/>
                    </m:accPr>
                    <m:e>
                      <m:r>
                        <m:t>P</m:t>
                      </m:r>
                    </m:e>
                  </m:acc>
                </m:e>
                <m:sub>
                  <m:r>
                    <m:t>N</m:t>
                  </m:r>
                </m:sub>
              </m:sSub>
            </m:sub>
          </m:sSub>
          <m:d>
            <m:dPr>
              <m:begChr m:val="["/>
              <m:sepChr m:val=""/>
              <m:endChr m:val="]"/>
              <m:grow/>
            </m:dPr>
            <m:e>
              <m:r>
                <m:rPr>
                  <m:sty m:val="p"/>
                </m:rPr>
                <m:t>ℓ</m:t>
              </m:r>
            </m:e>
          </m:d>
          <m:r>
            <m:rPr>
              <m:sty m:val="p"/>
            </m:rPr>
            <m:t>+</m:t>
          </m:r>
          <m:r>
            <m:t>ρ</m:t>
          </m:r>
          <m:r>
            <m:t>L</m:t>
          </m:r>
          <m:r>
            <m:rPr>
              <m:sty m:val="p"/>
            </m:rPr>
            <m:t>,</m:t>
          </m:r>
          <m:r>
            <m:t>  </m:t>
          </m:r>
          <m:limLow>
            <m:e>
              <m:r>
                <m:rPr>
                  <m:sty m:val="p"/>
                </m:rPr>
                <m:t>max</m:t>
              </m:r>
            </m:e>
            <m:lim>
              <m:r>
                <m:rPr>
                  <m:scr m:val="double-struck"/>
                  <m:sty m:val="p"/>
                </m:rPr>
                <m:t>Q</m:t>
              </m:r>
              <m:r>
                <m:rPr>
                  <m:sty m:val="p"/>
                </m:rPr>
                <m:t>:</m:t>
              </m:r>
              <m:r>
                <m:t> </m:t>
              </m:r>
              <m:r>
                <m:rPr>
                  <m:scr m:val="double-struck"/>
                  <m:sty m:val="p"/>
                </m:rPr>
                <m:t>E</m:t>
              </m:r>
              <m:r>
                <m:t>X</m:t>
              </m:r>
              <m:r>
                <m:rPr>
                  <m:sty m:val="p"/>
                </m:rPr>
                <m:t>=</m:t>
              </m:r>
              <m:r>
                <m:t>μ</m:t>
              </m:r>
              <m:r>
                <m:rPr>
                  <m:sty m:val="p"/>
                </m:rPr>
                <m:t>,</m:t>
              </m:r>
              <m:r>
                <m:t> </m:t>
              </m:r>
              <m:r>
                <m:rPr>
                  <m:nor/>
                </m:rPr>
                <m:t>Var</m:t>
              </m:r>
              <m:r>
                <m:t>X</m:t>
              </m:r>
              <m:r>
                <m:rPr>
                  <m:sty m:val="p"/>
                </m:rPr>
                <m:t>=</m:t>
              </m:r>
              <m:sSup>
                <m:e>
                  <m:r>
                    <m:t>σ</m:t>
                  </m:r>
                </m:e>
                <m:sup>
                  <m:r>
                    <m:t>2</m:t>
                  </m:r>
                </m:sup>
              </m:sSup>
            </m:lim>
          </m:limLow>
          <m:r>
            <m:rPr>
              <m:scr m:val="double-struck"/>
              <m:sty m:val="p"/>
            </m:rPr>
            <m:t>Q</m:t>
          </m:r>
          <m:d>
            <m:dPr>
              <m:begChr m:val="("/>
              <m:sepChr m:val=""/>
              <m:endChr m:val=")"/>
              <m:grow/>
            </m:dPr>
            <m:e>
              <m:r>
                <m:t>X</m:t>
              </m:r>
              <m:r>
                <m:rPr>
                  <m:sty m:val="p"/>
                </m:rPr>
                <m:t>≤</m:t>
              </m:r>
              <m:r>
                <m:t>h</m:t>
              </m:r>
            </m:e>
          </m:d>
          <m:r>
            <m:rPr>
              <m:sty m:val="p"/>
            </m:rPr>
            <m:t>=</m:t>
          </m:r>
          <m:f>
            <m:fPr>
              <m:type m:val="bar"/>
            </m:fPr>
            <m:num>
              <m:sSup>
                <m:e>
                  <m:r>
                    <m:t>σ</m:t>
                  </m:r>
                </m:e>
                <m:sup>
                  <m:r>
                    <m:t>2</m:t>
                  </m:r>
                </m:sup>
              </m:sSup>
            </m:num>
            <m:den>
              <m:sSup>
                <m:e>
                  <m:r>
                    <m:t>σ</m:t>
                  </m:r>
                </m:e>
                <m:sup>
                  <m:r>
                    <m:t>2</m:t>
                  </m:r>
                </m:sup>
              </m:sSup>
              <m:r>
                <m:rPr>
                  <m:sty m:val="p"/>
                </m:rPr>
                <m:t>+</m:t>
              </m:r>
              <m:sSup>
                <m:e>
                  <m:d>
                    <m:dPr>
                      <m:begChr m:val="("/>
                      <m:sepChr m:val=""/>
                      <m:endChr m:val=")"/>
                      <m:grow/>
                    </m:dPr>
                    <m:e>
                      <m:r>
                        <m:t>μ</m:t>
                      </m:r>
                      <m:r>
                        <m:rPr>
                          <m:sty m:val="p"/>
                        </m:rPr>
                        <m:t>−</m:t>
                      </m:r>
                      <m:r>
                        <m:t>h</m:t>
                      </m:r>
                    </m:e>
                  </m:d>
                </m:e>
                <m:sup>
                  <m:r>
                    <m:t>2</m:t>
                  </m:r>
                </m:sup>
              </m:sSup>
            </m:den>
          </m:f>
          <m:r>
            <m:t> </m:t>
          </m:r>
          <m:d>
            <m:dPr>
              <m:begChr m:val="("/>
              <m:sepChr m:val=""/>
              <m:endChr m:val=")"/>
              <m:grow/>
            </m:dPr>
            <m:e>
              <m:r>
                <m:t>μ</m:t>
              </m:r>
              <m:r>
                <m:rPr>
                  <m:sty m:val="p"/>
                </m:rPr>
                <m:t>&gt;</m:t>
              </m:r>
              <m:r>
                <m:t>h</m:t>
              </m:r>
            </m:e>
          </m:d>
        </m:oMath>
      </m:oMathPara>
    </w:p>
    <w:p>
      <w:pPr>
        <w:spacing w:after="120"/>
        <w:jc w:val="both"/>
      </w:pPr>
      <w:r>
        <w:t xml:space="preserve">The second formula is the one-sided Chebyshev (Cantelli) bound. For a recharge scheme the useful quantity is the radius </w:t>
      </w:r>
      <m:oMath>
        <m:r>
          <m:t>ρ</m:t>
        </m:r>
      </m:oMath>
      <w:r>
        <w:t xml:space="preserve"> that a scheme tolerates before it becomes unsafe: if the error of the model, measured as a distance between the laws of the supply-well heads, is smaller, the scheme stays safe. In Part II, Caltech's group defines robustness through ambiguity sets built from uncertainty-quantified predictions [K5], proves robustness–consistency trade-offs for decisions guided by untrusted advice [K4] and replaces the prior by a worst case over a likelihood region [C5].</w:t>
      </w:r>
    </w:p>
    <w:p>
      <w:pPr>
        <w:pStyle w:val="Heading3"/>
      </w:pPr>
      <w:r>
        <w:rPr>
          <w:color w:val="1F3864"/>
        </w:rPr>
        <w:t xml:space="preserve">1.5 Uniqueness, well-posedness and identifiability</w:t>
      </w:r>
    </w:p>
    <w:p>
      <w:pPr>
        <w:spacing w:after="120"/>
        <w:jc w:val="both"/>
      </w:pPr>
      <w:r>
        <w:t xml:space="preserve">A problem is well posed in the sense of Hadamard when a solution exists, is unique and depends continuously on the data [B8]. For the recharge scheme there are two uniqueness questions. The optimal rates of a linear programme are unique exactly when the optimal face is a single vertex; a practical test minimises and maximises each rate over the optimal face [B9]:</w:t>
      </w:r>
    </w:p>
    <w:p>
      <w:pPr>
        <w:pStyle w:val="Equation"/>
      </w:pPr>
      <m:oMathPara>
        <m:oMathParaPr>
          <m:jc m:val="center"/>
        </m:oMathParaPr>
        <m:oMath>
          <m:sSubSup>
            <m:e>
              <m:r>
                <m:t>q</m:t>
              </m:r>
            </m:e>
            <m:sub>
              <m:r>
                <m:t>k</m:t>
              </m:r>
            </m:sub>
            <m:sup>
              <m:r>
                <m:rPr>
                  <m:sty m:val="p"/>
                </m:rPr>
                <m:t>−</m:t>
              </m:r>
            </m:sup>
          </m:sSubSup>
          <m:r>
            <m:rPr>
              <m:sty m:val="p"/>
            </m:rPr>
            <m:t>=</m:t>
          </m:r>
          <m:r>
            <m:rPr>
              <m:sty m:val="p"/>
            </m:rPr>
            <m:t>min</m:t>
          </m:r>
          <m:d>
            <m:dPr>
              <m:begChr m:val="{"/>
              <m:sepChr m:val=""/>
              <m:endChr m:val="}"/>
              <m:grow/>
            </m:dPr>
            <m:e>
              <m:sSub>
                <m:e>
                  <m:r>
                    <m:t>q</m:t>
                  </m:r>
                </m:e>
                <m:sub>
                  <m:r>
                    <m:t>k</m:t>
                  </m:r>
                </m:sub>
              </m:sSub>
              <m:r>
                <m:rPr>
                  <m:sty m:val="p"/>
                </m:rPr>
                <m:t>:</m:t>
              </m:r>
              <m:r>
                <m:t> </m:t>
              </m:r>
              <m:r>
                <m:t>q</m:t>
              </m:r>
              <m:r>
                <m:rPr>
                  <m:sty m:val="p"/>
                </m:rPr>
                <m:t>∈</m:t>
              </m:r>
              <m:r>
                <m:rPr>
                  <m:scr m:val="script"/>
                  <m:sty m:val="p"/>
                </m:rPr>
                <m:t>F</m:t>
              </m:r>
              <m:r>
                <m:rPr>
                  <m:sty m:val="p"/>
                </m:rPr>
                <m:t>,</m:t>
              </m:r>
              <m:r>
                <m:t> </m:t>
              </m:r>
              <m:sSup>
                <m:e>
                  <m:r>
                    <m:t>c</m:t>
                  </m:r>
                </m:e>
                <m:sup>
                  <m:r>
                    <m:rPr>
                      <m:sty m:val="p"/>
                    </m:rPr>
                    <m:t>⊤</m:t>
                  </m:r>
                </m:sup>
              </m:sSup>
              <m:r>
                <m:t>q</m:t>
              </m:r>
              <m:r>
                <m:rPr>
                  <m:sty m:val="p"/>
                </m:rPr>
                <m:t>≤</m:t>
              </m:r>
              <m:sSup>
                <m:e>
                  <m:r>
                    <m:t>c</m:t>
                  </m:r>
                </m:e>
                <m:sup>
                  <m:r>
                    <m:rPr>
                      <m:sty m:val="p"/>
                    </m:rPr>
                    <m:t>⊤</m:t>
                  </m:r>
                </m:sup>
              </m:sSup>
              <m:sSup>
                <m:e>
                  <m:r>
                    <m:t>q</m:t>
                  </m:r>
                </m:e>
                <m:sup>
                  <m:r>
                    <m:rPr>
                      <m:sty m:val="p"/>
                    </m:rPr>
                    <m:t>⋆</m:t>
                  </m:r>
                </m:sup>
              </m:sSup>
            </m:e>
          </m:d>
          <m:r>
            <m:rPr>
              <m:sty m:val="p"/>
            </m:rPr>
            <m:t>,</m:t>
          </m:r>
          <m:r>
            <m:t>  </m:t>
          </m:r>
          <m:sSubSup>
            <m:e>
              <m:r>
                <m:t>q</m:t>
              </m:r>
            </m:e>
            <m:sub>
              <m:r>
                <m:t>k</m:t>
              </m:r>
            </m:sub>
            <m:sup>
              <m:r>
                <m:rPr>
                  <m:nor/>
                </m:rPr>
                <m:t>+</m:t>
              </m:r>
            </m:sup>
          </m:sSubSup>
          <m:r>
            <m:rPr>
              <m:sty m:val="p"/>
            </m:rPr>
            <m:t>=</m:t>
          </m:r>
          <m:r>
            <m:rPr>
              <m:sty m:val="p"/>
            </m:rPr>
            <m:t>max</m:t>
          </m:r>
          <m:d>
            <m:dPr>
              <m:begChr m:val="{"/>
              <m:sepChr m:val=""/>
              <m:endChr m:val="}"/>
              <m:grow/>
            </m:dPr>
            <m:e>
              <m:sSub>
                <m:e>
                  <m:r>
                    <m:t>q</m:t>
                  </m:r>
                </m:e>
                <m:sub>
                  <m:r>
                    <m:t>k</m:t>
                  </m:r>
                </m:sub>
              </m:sSub>
              <m:r>
                <m:rPr>
                  <m:sty m:val="p"/>
                </m:rPr>
                <m:t>:</m:t>
              </m:r>
              <m:r>
                <m:t> </m:t>
              </m:r>
              <m:r>
                <m:t>q</m:t>
              </m:r>
              <m:r>
                <m:rPr>
                  <m:sty m:val="p"/>
                </m:rPr>
                <m:t>∈</m:t>
              </m:r>
              <m:r>
                <m:rPr>
                  <m:scr m:val="script"/>
                  <m:sty m:val="p"/>
                </m:rPr>
                <m:t>F</m:t>
              </m:r>
              <m:r>
                <m:rPr>
                  <m:sty m:val="p"/>
                </m:rPr>
                <m:t>,</m:t>
              </m:r>
              <m:r>
                <m:t> </m:t>
              </m:r>
              <m:sSup>
                <m:e>
                  <m:r>
                    <m:t>c</m:t>
                  </m:r>
                </m:e>
                <m:sup>
                  <m:r>
                    <m:rPr>
                      <m:sty m:val="p"/>
                    </m:rPr>
                    <m:t>⊤</m:t>
                  </m:r>
                </m:sup>
              </m:sSup>
              <m:r>
                <m:t>q</m:t>
              </m:r>
              <m:r>
                <m:rPr>
                  <m:sty m:val="p"/>
                </m:rPr>
                <m:t>≤</m:t>
              </m:r>
              <m:sSup>
                <m:e>
                  <m:r>
                    <m:t>c</m:t>
                  </m:r>
                </m:e>
                <m:sup>
                  <m:r>
                    <m:rPr>
                      <m:sty m:val="p"/>
                    </m:rPr>
                    <m:t>⊤</m:t>
                  </m:r>
                </m:sup>
              </m:sSup>
              <m:sSup>
                <m:e>
                  <m:r>
                    <m:t>q</m:t>
                  </m:r>
                </m:e>
                <m:sup>
                  <m:r>
                    <m:rPr>
                      <m:sty m:val="p"/>
                    </m:rPr>
                    <m:t>⋆</m:t>
                  </m:r>
                </m:sup>
              </m:sSup>
            </m:e>
          </m:d>
          <m:r>
            <m:rPr>
              <m:sty m:val="p"/>
            </m:rPr>
            <m:t>,</m:t>
          </m:r>
          <m:r>
            <m:t>  </m:t>
          </m:r>
          <m:r>
            <m:rPr>
              <m:nor/>
            </m:rPr>
            <m:t>unique</m:t>
          </m:r>
          <m:r>
            <m:rPr>
              <m:sty m:val="p"/>
            </m:rPr>
            <m:t>⇔</m:t>
          </m:r>
          <m:sSubSup>
            <m:e>
              <m:r>
                <m:t>q</m:t>
              </m:r>
            </m:e>
            <m:sub>
              <m:r>
                <m:t>k</m:t>
              </m:r>
            </m:sub>
            <m:sup>
              <m:r>
                <m:rPr>
                  <m:sty m:val="p"/>
                </m:rPr>
                <m:t>−</m:t>
              </m:r>
            </m:sup>
          </m:sSubSup>
          <m:r>
            <m:rPr>
              <m:sty m:val="p"/>
            </m:rPr>
            <m:t>=</m:t>
          </m:r>
          <m:sSubSup>
            <m:e>
              <m:r>
                <m:t>q</m:t>
              </m:r>
            </m:e>
            <m:sub>
              <m:r>
                <m:t>k</m:t>
              </m:r>
            </m:sub>
            <m:sup>
              <m:r>
                <m:rPr>
                  <m:nor/>
                </m:rPr>
                <m:t>+</m:t>
              </m:r>
            </m:sup>
          </m:sSubSup>
          <m:r>
            <m:t> </m:t>
          </m:r>
          <m:r>
            <m:rPr>
              <m:sty m:val="p"/>
            </m:rPr>
            <m:t>∀</m:t>
          </m:r>
          <m:r>
            <m:t>k</m:t>
          </m:r>
        </m:oMath>
      </m:oMathPara>
    </w:p>
    <w:p>
      <w:pPr>
        <w:spacing w:after="120"/>
        <w:jc w:val="both"/>
      </w:pPr>
      <w:r>
        <w:t xml:space="preserve">with </w:t>
      </w:r>
      <m:oMath>
        <m:r>
          <m:rPr>
            <m:scr m:val="script"/>
            <m:sty m:val="p"/>
          </m:rPr>
          <m:t>F</m:t>
        </m:r>
      </m:oMath>
      <w:r>
        <w:t xml:space="preserve"> the feasible set and </w:t>
      </w:r>
      <m:oMath>
        <m:r>
          <m:t>c</m:t>
        </m:r>
      </m:oMath>
      <w:r>
        <w:t xml:space="preserve"> the cost. The optimal siting, a choice among many discrete triples, can be non-unique in a weaker but more important sense: several distinct triples may be equally good within the uncertainty of the risk estimate. Deflation finds distinct solutions of nonlinear problems by removing each solution already found [B10]; in Part II it computes multiple minima of non-convex design problems [N1, NR1] and of variational inequalities [N3], discretisations are shown to capture each isolated minimiser [N2], low effective dimension makes global optimisation tractable [N4], and randomised preconditioning measures effective dimension [N5].</w:t>
      </w:r>
    </w:p>
    <w:p>
      <w:pPr>
        <w:pStyle w:val="Heading3"/>
      </w:pPr>
      <w:r>
        <w:rPr>
          <w:color w:val="1F3864"/>
        </w:rPr>
        <w:t xml:space="preserve">1.6 What a certificate of a scheme should contain</w:t>
      </w:r>
    </w:p>
    <w:p>
      <w:pPr>
        <w:spacing w:after="120"/>
        <w:jc w:val="both"/>
      </w:pPr>
      <w:r>
        <w:t xml:space="preserve">Together the four questions define a certificate for a recharge scheme: (U) the law over plausible aquifers of its intrusion probability, not only the mean; (R) the probability of intrusion and the CVaR of the head deficit; (B) a distribution-free bound from the scenario approach and a robustness radius against model error; (N) the uniqueness of its rates and the set of distinct sitings that are as good. None of the papers of Part II, and none known to the searches, assembles these for a groundwater scheme. Section 9 does so for Fushë-Kuqe, using that heads are affine in recharge.</w:t>
      </w:r>
    </w:p>
    <w:p>
      <w:pPr>
        <w:spacing w:after="200"/>
      </w:pPr>
    </w:p>
    <w:p>
      <w:pPr>
        <w:pStyle w:val="Heading1"/>
      </w:pPr>
      <w:r>
        <w:rPr>
          <w:color w:val="1F3864"/>
        </w:rPr>
        <w:t xml:space="preserve">2. Search methodology</w:t>
      </w:r>
    </w:p>
    <w:p>
      <w:pPr>
        <w:pStyle w:val="ListParagraph"/>
        <w:numPr>
          <w:ilvl w:val="0"/>
          <w:numId w:val="2"/>
        </w:numPr>
        <w:spacing w:after="60"/>
        <w:jc w:val="both"/>
      </w:pPr>
      <w:r>
        <w:rPr>
          <w:b/>
          <w:bCs/>
        </w:rPr>
        <w:t xml:space="preserve">Request and themes:</w:t>
      </w:r>
      <w:r>
        <w:t xml:space="preserve"> new methods of 2020–2026 from Caltech and Oxford for uncertainty quantification at Caltech (C) and at Oxford (Q), risk analysis and robust decisions (K) and uniqueness, multiple solutions and well-posed schemes (N); five papers per theme and two reserves each. Every paper has at least one author at Caltech or Oxford at the time of the work, confirmed from a search result (11 cards name Oxford and 9 Caltech).</w:t>
      </w:r>
    </w:p>
    <w:p>
      <w:pPr>
        <w:pStyle w:val="ListParagraph"/>
        <w:numPr>
          <w:ilvl w:val="0"/>
          <w:numId w:val="2"/>
        </w:numPr>
        <w:spacing w:after="60"/>
        <w:jc w:val="both"/>
      </w:pPr>
      <w:r>
        <w:rPr>
          <w:b/>
          <w:bCs/>
        </w:rPr>
        <w:t xml:space="preserve">What "best" means, in this order:</w:t>
      </w:r>
      <w:r>
        <w:t xml:space="preserve"> mathematical depth (well-posedness, existence and uniqueness, stability bounds, convergence rates, probabilistic guarantees, with proofs); recognition (Archive for Rational Mechanics and Analysis, Mathematics of Computation, Annals of Applied Probability, SIAM journals, Mathematical Programming, IEEE Transactions on Automatic Control, Automatica, JMLR, main-track COLT, ICML and NeurIPS); and usefulness for a recharge scheme computed with a groundwater model.</w:t>
      </w:r>
    </w:p>
    <w:p>
      <w:pPr>
        <w:pStyle w:val="ListParagraph"/>
        <w:numPr>
          <w:ilvl w:val="0"/>
          <w:numId w:val="2"/>
        </w:numPr>
        <w:spacing w:after="60"/>
        <w:jc w:val="both"/>
      </w:pPr>
      <w:r>
        <w:rPr>
          <w:b/>
          <w:bCs/>
        </w:rPr>
        <w:t xml:space="preserve">No repetition, peer review, verification:</w:t>
      </w:r>
      <w:r>
        <w:t xml:space="preserve"> earlier reviews of the series used many Caltech and Oxford papers (Stuart, Owhadi, Anandkumar, Schneider; Holmes, Doucet, Rainforth, Teh), so every candidate was checked against the 1,084 papers already reviewed as cards, the 1,211 DOIs of earlier documents and the classical references cited earlier; preprints were not eligible (two strong Caltech preprints were left out). Sources were publisher pages, the CaltechAUTHORS and Oxford ORA repositories, institutional pages and arXiv author blocks seen through search summaries (at most 25 searches per agent, four agents); no full text was read, so key equations are </w:t>
      </w:r>
      <w:r>
        <w:rPr>
          <w:i/>
          <w:iCs/>
        </w:rPr>
        <w:t xml:space="preserve">representative formulations</w:t>
      </w:r>
      <w:r>
        <w:t xml:space="preserve"> unless a card says otherwise, unverified fields are marked "(not verified)", and four cards give a repository link because the publisher DOI was not seen. ★ rates mathematical depth (★★★★★ new theorems with research-level proofs; ★★★ a rigorous method whose analysis is mainly of cost or of a special case).</w:t>
      </w:r>
    </w:p>
    <w:p>
      <w:pPr>
        <w:pStyle w:val="ListParagraph"/>
        <w:numPr>
          <w:ilvl w:val="0"/>
          <w:numId w:val="2"/>
        </w:numPr>
        <w:spacing w:after="60"/>
        <w:jc w:val="both"/>
      </w:pPr>
      <w:r>
        <w:rPr>
          <w:b/>
          <w:bCs/>
        </w:rPr>
        <w:t xml:space="preserve">Recency:</w:t>
      </w:r>
      <w:r>
        <w:t xml:space="preserve"> two from 2020, two from 2021, five from 2022, five from 2023, three from 2024, and three from 2025; eleven of the 20 are from 2023 or later.</w:t>
      </w:r>
    </w:p>
    <w:p>
      <w:pPr>
        <w:pStyle w:val="Heading1"/>
      </w:pPr>
      <w:r>
        <w:rPr>
          <w:color w:val="1F3864"/>
        </w:rPr>
        <w:t xml:space="preserve">3. The 20 articles at a glance</w:t>
      </w:r>
    </w:p>
    <w:p>
      <w:pPr>
        <w:spacing w:after="120"/>
        <w:jc w:val="both"/>
      </w:pPr>
      <w:r>
        <w:t xml:space="preserve">The table is ordered by theme (C = Caltech UQ, Q = Oxford UQ, K = risk and robust decisions, N = uniqueness) and, within each theme, by the order of the cards; the last column names the groups where the work was done.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00"/>
        <w:gridCol w:w="3300"/>
        <w:gridCol w:w="3900"/>
        <w:gridCol w:w="1838"/>
      </w:tblGrid>
      <w:tr>
        <w:trPr>
          <w:cantSplit/>
          <w:tblHeader/>
        </w:trPr>
        <w:tc>
          <w:tcPr>
            <w:tcW w:type="dxa" w:w="600"/>
            <w:shd w:fill="1F3864" w:color="auto" w:val="clear"/>
            <w:tcMar>
              <w:top w:type="dxa" w:w="15"/>
              <w:left w:type="dxa" w:w="80"/>
              <w:bottom w:type="dxa" w:w="15"/>
              <w:right w:type="dxa" w:w="80"/>
            </w:tcMar>
            <w:vAlign w:val="top"/>
          </w:tcPr>
          <w:p>
            <w:r>
              <w:rPr>
                <w:b/>
                <w:bCs/>
                <w:color w:val="FFFFFF"/>
                <w:sz w:val="15"/>
                <w:szCs w:val="15"/>
              </w:rPr>
              <w:t xml:space="preserve">Code</w:t>
            </w:r>
          </w:p>
        </w:tc>
        <w:tc>
          <w:tcPr>
            <w:tcW w:type="dxa" w:w="3300"/>
            <w:shd w:fill="1F3864" w:color="auto" w:val="clear"/>
            <w:tcMar>
              <w:top w:type="dxa" w:w="15"/>
              <w:left w:type="dxa" w:w="80"/>
              <w:bottom w:type="dxa" w:w="15"/>
              <w:right w:type="dxa" w:w="80"/>
            </w:tcMar>
            <w:vAlign w:val="top"/>
          </w:tcPr>
          <w:p>
            <w:r>
              <w:rPr>
                <w:b/>
                <w:bCs/>
                <w:color w:val="FFFFFF"/>
                <w:sz w:val="15"/>
                <w:szCs w:val="15"/>
              </w:rPr>
              <w:t xml:space="preserve">Authors (year)</w:t>
            </w:r>
          </w:p>
        </w:tc>
        <w:tc>
          <w:tcPr>
            <w:tcW w:type="dxa" w:w="3900"/>
            <w:shd w:fill="1F3864" w:color="auto" w:val="clear"/>
            <w:tcMar>
              <w:top w:type="dxa" w:w="15"/>
              <w:left w:type="dxa" w:w="80"/>
              <w:bottom w:type="dxa" w:w="15"/>
              <w:right w:type="dxa" w:w="80"/>
            </w:tcMar>
            <w:vAlign w:val="top"/>
          </w:tcPr>
          <w:p>
            <w:r>
              <w:rPr>
                <w:b/>
                <w:bCs/>
                <w:color w:val="FFFFFF"/>
                <w:sz w:val="15"/>
                <w:szCs w:val="15"/>
              </w:rPr>
              <w:t xml:space="preserve">Venue</w:t>
            </w:r>
          </w:p>
        </w:tc>
        <w:tc>
          <w:tcPr>
            <w:tcW w:type="dxa" w:w="1838"/>
            <w:shd w:fill="1F3864" w:color="auto" w:val="clear"/>
            <w:tcMar>
              <w:top w:type="dxa" w:w="15"/>
              <w:left w:type="dxa" w:w="80"/>
              <w:bottom w:type="dxa" w:w="15"/>
              <w:right w:type="dxa" w:w="80"/>
            </w:tcMar>
            <w:vAlign w:val="top"/>
          </w:tcPr>
          <w:p>
            <w:r>
              <w:rPr>
                <w:b/>
                <w:bCs/>
                <w:color w:val="FFFFFF"/>
                <w:sz w:val="15"/>
                <w:szCs w:val="15"/>
              </w:rPr>
              <w:t xml:space="preserve">Groups</w:t>
            </w:r>
          </w:p>
        </w:tc>
      </w:tr>
      <w:tr>
        <w:trPr>
          <w:cantSplit/>
        </w:trPr>
        <w:tc>
          <w:tcPr>
            <w:tcW w:type="dxa" w:w="600"/>
            <w:tcMar>
              <w:top w:type="dxa" w:w="15"/>
              <w:left w:type="dxa" w:w="80"/>
              <w:bottom w:type="dxa" w:w="15"/>
              <w:right w:type="dxa" w:w="80"/>
            </w:tcMar>
            <w:vAlign w:val="top"/>
          </w:tcPr>
          <w:p>
            <w:r>
              <w:rPr>
                <w:b/>
                <w:bCs/>
                <w:color w:val="B4410C"/>
                <w:sz w:val="15"/>
                <w:szCs w:val="15"/>
              </w:rPr>
              <w:t xml:space="preserve">C1</w:t>
            </w:r>
          </w:p>
        </w:tc>
        <w:tc>
          <w:tcPr>
            <w:tcW w:type="dxa" w:w="3300"/>
            <w:tcMar>
              <w:top w:type="dxa" w:w="15"/>
              <w:left w:type="dxa" w:w="80"/>
              <w:bottom w:type="dxa" w:w="15"/>
              <w:right w:type="dxa" w:w="80"/>
            </w:tcMar>
            <w:vAlign w:val="top"/>
          </w:tcPr>
          <w:p>
            <w:r>
              <w:rPr>
                <w:sz w:val="15"/>
                <w:szCs w:val="15"/>
              </w:rPr>
              <w:t xml:space="preserve">Burger, Erbar, Hoffmann, Matthes &amp; Schlichting (2025)</w:t>
            </w:r>
          </w:p>
        </w:tc>
        <w:tc>
          <w:tcPr>
            <w:tcW w:type="dxa" w:w="3900"/>
            <w:tcMar>
              <w:top w:type="dxa" w:w="15"/>
              <w:left w:type="dxa" w:w="80"/>
              <w:bottom w:type="dxa" w:w="15"/>
              <w:right w:type="dxa" w:w="80"/>
            </w:tcMar>
            <w:vAlign w:val="top"/>
          </w:tcPr>
          <w:p>
            <w:r>
              <w:rPr>
                <w:sz w:val="15"/>
                <w:szCs w:val="15"/>
              </w:rPr>
              <w:t xml:space="preserve">Arch. Ration. Mech. Anal. 2025</w:t>
            </w:r>
          </w:p>
        </w:tc>
        <w:tc>
          <w:tcPr>
            <w:tcW w:type="dxa" w:w="1838"/>
            <w:tcMar>
              <w:top w:type="dxa" w:w="15"/>
              <w:left w:type="dxa" w:w="80"/>
              <w:bottom w:type="dxa" w:w="15"/>
              <w:right w:type="dxa" w:w="80"/>
            </w:tcMar>
            <w:vAlign w:val="top"/>
          </w:tcPr>
          <w:p>
            <w:r>
              <w:rPr>
                <w:b/>
                <w:bCs/>
                <w:color w:val="B4410C"/>
                <w:sz w:val="15"/>
                <w:szCs w:val="15"/>
              </w:rPr>
              <w:t xml:space="preserve">Caltech · TUM · Bielefeld</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C2</w:t>
            </w:r>
          </w:p>
        </w:tc>
        <w:tc>
          <w:tcPr>
            <w:tcW w:type="dxa" w:w="3300"/>
            <w:shd w:fill="F7F9FC" w:color="auto" w:val="clear"/>
            <w:tcMar>
              <w:top w:type="dxa" w:w="15"/>
              <w:left w:type="dxa" w:w="80"/>
              <w:bottom w:type="dxa" w:w="15"/>
              <w:right w:type="dxa" w:w="80"/>
            </w:tcMar>
            <w:vAlign w:val="top"/>
          </w:tcPr>
          <w:p>
            <w:r>
              <w:rPr>
                <w:sz w:val="15"/>
                <w:szCs w:val="15"/>
              </w:rPr>
              <w:t xml:space="preserve">Baptista, Hosseini, Kovachki, Marzouk &amp; Sagiv (2025)</w:t>
            </w:r>
          </w:p>
        </w:tc>
        <w:tc>
          <w:tcPr>
            <w:tcW w:type="dxa" w:w="3900"/>
            <w:shd w:fill="F7F9FC" w:color="auto" w:val="clear"/>
            <w:tcMar>
              <w:top w:type="dxa" w:w="15"/>
              <w:left w:type="dxa" w:w="80"/>
              <w:bottom w:type="dxa" w:w="15"/>
              <w:right w:type="dxa" w:w="80"/>
            </w:tcMar>
            <w:vAlign w:val="top"/>
          </w:tcPr>
          <w:p>
            <w:r>
              <w:rPr>
                <w:sz w:val="15"/>
                <w:szCs w:val="15"/>
              </w:rPr>
              <w:t xml:space="preserve">Math. Comp. 2025</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MIT · NJIT</w:t>
            </w:r>
          </w:p>
        </w:tc>
      </w:tr>
      <w:tr>
        <w:trPr>
          <w:cantSplit/>
        </w:trPr>
        <w:tc>
          <w:tcPr>
            <w:tcW w:type="dxa" w:w="600"/>
            <w:tcMar>
              <w:top w:type="dxa" w:w="15"/>
              <w:left w:type="dxa" w:w="80"/>
              <w:bottom w:type="dxa" w:w="15"/>
              <w:right w:type="dxa" w:w="80"/>
            </w:tcMar>
            <w:vAlign w:val="top"/>
          </w:tcPr>
          <w:p>
            <w:r>
              <w:rPr>
                <w:b/>
                <w:bCs/>
                <w:color w:val="B4410C"/>
                <w:sz w:val="15"/>
                <w:szCs w:val="15"/>
              </w:rPr>
              <w:t xml:space="preserve">C3</w:t>
            </w:r>
          </w:p>
        </w:tc>
        <w:tc>
          <w:tcPr>
            <w:tcW w:type="dxa" w:w="3300"/>
            <w:tcMar>
              <w:top w:type="dxa" w:w="15"/>
              <w:left w:type="dxa" w:w="80"/>
              <w:bottom w:type="dxa" w:w="15"/>
              <w:right w:type="dxa" w:w="80"/>
            </w:tcMar>
            <w:vAlign w:val="top"/>
          </w:tcPr>
          <w:p>
            <w:r>
              <w:rPr>
                <w:sz w:val="15"/>
                <w:szCs w:val="15"/>
              </w:rPr>
              <w:t xml:space="preserve">Chen, Hosseini, Owhadi &amp; Stuart (2025)</w:t>
            </w:r>
          </w:p>
        </w:tc>
        <w:tc>
          <w:tcPr>
            <w:tcW w:type="dxa" w:w="3900"/>
            <w:tcMar>
              <w:top w:type="dxa" w:w="15"/>
              <w:left w:type="dxa" w:w="80"/>
              <w:bottom w:type="dxa" w:w="15"/>
              <w:right w:type="dxa" w:w="80"/>
            </w:tcMar>
            <w:vAlign w:val="top"/>
          </w:tcPr>
          <w:p>
            <w:r>
              <w:rPr>
                <w:sz w:val="15"/>
                <w:szCs w:val="15"/>
              </w:rPr>
              <w:t xml:space="preserve">Stat. Comput. 2025</w:t>
            </w:r>
          </w:p>
        </w:tc>
        <w:tc>
          <w:tcPr>
            <w:tcW w:type="dxa" w:w="1838"/>
            <w:tcMar>
              <w:top w:type="dxa" w:w="15"/>
              <w:left w:type="dxa" w:w="80"/>
              <w:bottom w:type="dxa" w:w="15"/>
              <w:right w:type="dxa" w:w="80"/>
            </w:tcMar>
            <w:vAlign w:val="top"/>
          </w:tcPr>
          <w:p>
            <w:r>
              <w:rPr>
                <w:b/>
                <w:bCs/>
                <w:color w:val="B4410C"/>
                <w:sz w:val="15"/>
                <w:szCs w:val="15"/>
              </w:rPr>
              <w:t xml:space="preserve">Caltech · NYU · UW</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C4</w:t>
            </w:r>
          </w:p>
        </w:tc>
        <w:tc>
          <w:tcPr>
            <w:tcW w:type="dxa" w:w="3300"/>
            <w:shd w:fill="F7F9FC" w:color="auto" w:val="clear"/>
            <w:tcMar>
              <w:top w:type="dxa" w:w="15"/>
              <w:left w:type="dxa" w:w="80"/>
              <w:bottom w:type="dxa" w:w="15"/>
              <w:right w:type="dxa" w:w="80"/>
            </w:tcMar>
            <w:vAlign w:val="top"/>
          </w:tcPr>
          <w:p>
            <w:r>
              <w:rPr>
                <w:sz w:val="15"/>
                <w:szCs w:val="15"/>
              </w:rPr>
              <w:t xml:space="preserve">Pavliotis, Stuart &amp; Vaes (2022)</w:t>
            </w:r>
          </w:p>
        </w:tc>
        <w:tc>
          <w:tcPr>
            <w:tcW w:type="dxa" w:w="3900"/>
            <w:shd w:fill="F7F9FC" w:color="auto" w:val="clear"/>
            <w:tcMar>
              <w:top w:type="dxa" w:w="15"/>
              <w:left w:type="dxa" w:w="80"/>
              <w:bottom w:type="dxa" w:w="15"/>
              <w:right w:type="dxa" w:w="80"/>
            </w:tcMar>
            <w:vAlign w:val="top"/>
          </w:tcPr>
          <w:p>
            <w:r>
              <w:rPr>
                <w:sz w:val="15"/>
                <w:szCs w:val="15"/>
              </w:rPr>
              <w:t xml:space="preserve">SIAM J. Appl. Dyn. Syst. 2022</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Imperial</w:t>
            </w:r>
          </w:p>
        </w:tc>
      </w:tr>
      <w:tr>
        <w:trPr>
          <w:cantSplit/>
        </w:trPr>
        <w:tc>
          <w:tcPr>
            <w:tcW w:type="dxa" w:w="600"/>
            <w:tcMar>
              <w:top w:type="dxa" w:w="15"/>
              <w:left w:type="dxa" w:w="80"/>
              <w:bottom w:type="dxa" w:w="15"/>
              <w:right w:type="dxa" w:w="80"/>
            </w:tcMar>
            <w:vAlign w:val="top"/>
          </w:tcPr>
          <w:p>
            <w:r>
              <w:rPr>
                <w:b/>
                <w:bCs/>
                <w:color w:val="B4410C"/>
                <w:sz w:val="15"/>
                <w:szCs w:val="15"/>
              </w:rPr>
              <w:t xml:space="preserve">C5</w:t>
            </w:r>
          </w:p>
        </w:tc>
        <w:tc>
          <w:tcPr>
            <w:tcW w:type="dxa" w:w="3300"/>
            <w:tcMar>
              <w:top w:type="dxa" w:w="15"/>
              <w:left w:type="dxa" w:w="80"/>
              <w:bottom w:type="dxa" w:w="15"/>
              <w:right w:type="dxa" w:w="80"/>
            </w:tcMar>
            <w:vAlign w:val="top"/>
          </w:tcPr>
          <w:p>
            <w:r>
              <w:rPr>
                <w:sz w:val="15"/>
                <w:szCs w:val="15"/>
              </w:rPr>
              <w:t xml:space="preserve">Bajgiran, Batlle, Owhadi et al. (2022)</w:t>
            </w:r>
          </w:p>
        </w:tc>
        <w:tc>
          <w:tcPr>
            <w:tcW w:type="dxa" w:w="3900"/>
            <w:tcMar>
              <w:top w:type="dxa" w:w="15"/>
              <w:left w:type="dxa" w:w="80"/>
              <w:bottom w:type="dxa" w:w="15"/>
              <w:right w:type="dxa" w:w="80"/>
            </w:tcMar>
            <w:vAlign w:val="top"/>
          </w:tcPr>
          <w:p>
            <w:r>
              <w:rPr>
                <w:sz w:val="15"/>
                <w:szCs w:val="15"/>
              </w:rPr>
              <w:t xml:space="preserve">J. Comput. Phys. 2022</w:t>
            </w:r>
          </w:p>
        </w:tc>
        <w:tc>
          <w:tcPr>
            <w:tcW w:type="dxa" w:w="1838"/>
            <w:tcMar>
              <w:top w:type="dxa" w:w="15"/>
              <w:left w:type="dxa" w:w="80"/>
              <w:bottom w:type="dxa" w:w="15"/>
              <w:right w:type="dxa" w:w="80"/>
            </w:tcMar>
            <w:vAlign w:val="top"/>
          </w:tcPr>
          <w:p>
            <w:r>
              <w:rPr>
                <w:b/>
                <w:bCs/>
                <w:color w:val="B4410C"/>
                <w:sz w:val="15"/>
                <w:szCs w:val="15"/>
              </w:rPr>
              <w:t xml:space="preserve">Caltech · CMU</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Q1</w:t>
            </w:r>
          </w:p>
        </w:tc>
        <w:tc>
          <w:tcPr>
            <w:tcW w:type="dxa" w:w="3300"/>
            <w:shd w:fill="F7F9FC" w:color="auto" w:val="clear"/>
            <w:tcMar>
              <w:top w:type="dxa" w:w="15"/>
              <w:left w:type="dxa" w:w="80"/>
              <w:bottom w:type="dxa" w:w="15"/>
              <w:right w:type="dxa" w:w="80"/>
            </w:tcMar>
            <w:vAlign w:val="top"/>
          </w:tcPr>
          <w:p>
            <w:r>
              <w:rPr>
                <w:sz w:val="15"/>
                <w:szCs w:val="15"/>
              </w:rPr>
              <w:t xml:space="preserve">Croci, Giles &amp; Farrell (2021)</w:t>
            </w:r>
          </w:p>
        </w:tc>
        <w:tc>
          <w:tcPr>
            <w:tcW w:type="dxa" w:w="3900"/>
            <w:shd w:fill="F7F9FC" w:color="auto" w:val="clear"/>
            <w:tcMar>
              <w:top w:type="dxa" w:w="15"/>
              <w:left w:type="dxa" w:w="80"/>
              <w:bottom w:type="dxa" w:w="15"/>
              <w:right w:type="dxa" w:w="80"/>
            </w:tcMar>
            <w:vAlign w:val="top"/>
          </w:tcPr>
          <w:p>
            <w:r>
              <w:rPr>
                <w:sz w:val="15"/>
                <w:szCs w:val="15"/>
              </w:rPr>
              <w:t xml:space="preserve">SIAM J. Sci. Comput. 2021</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tcMar>
              <w:top w:type="dxa" w:w="15"/>
              <w:left w:type="dxa" w:w="80"/>
              <w:bottom w:type="dxa" w:w="15"/>
              <w:right w:type="dxa" w:w="80"/>
            </w:tcMar>
            <w:vAlign w:val="top"/>
          </w:tcPr>
          <w:p>
            <w:r>
              <w:rPr>
                <w:b/>
                <w:bCs/>
                <w:color w:val="002147"/>
                <w:sz w:val="15"/>
                <w:szCs w:val="15"/>
              </w:rPr>
              <w:t xml:space="preserve">Q2</w:t>
            </w:r>
          </w:p>
        </w:tc>
        <w:tc>
          <w:tcPr>
            <w:tcW w:type="dxa" w:w="3300"/>
            <w:tcMar>
              <w:top w:type="dxa" w:w="15"/>
              <w:left w:type="dxa" w:w="80"/>
              <w:bottom w:type="dxa" w:w="15"/>
              <w:right w:type="dxa" w:w="80"/>
            </w:tcMar>
            <w:vAlign w:val="top"/>
          </w:tcPr>
          <w:p>
            <w:r>
              <w:rPr>
                <w:sz w:val="15"/>
                <w:szCs w:val="15"/>
              </w:rPr>
              <w:t xml:space="preserve">Giles &amp; Haji-Ali (2024)</w:t>
            </w:r>
          </w:p>
        </w:tc>
        <w:tc>
          <w:tcPr>
            <w:tcW w:type="dxa" w:w="3900"/>
            <w:tcMar>
              <w:top w:type="dxa" w:w="15"/>
              <w:left w:type="dxa" w:w="80"/>
              <w:bottom w:type="dxa" w:w="15"/>
              <w:right w:type="dxa" w:w="80"/>
            </w:tcMar>
            <w:vAlign w:val="top"/>
          </w:tcPr>
          <w:p>
            <w:r>
              <w:rPr>
                <w:sz w:val="15"/>
                <w:szCs w:val="15"/>
              </w:rPr>
              <w:t xml:space="preserve">Ann. Appl. Probab. 2024</w:t>
            </w:r>
          </w:p>
        </w:tc>
        <w:tc>
          <w:tcPr>
            <w:tcW w:type="dxa" w:w="1838"/>
            <w:tcMar>
              <w:top w:type="dxa" w:w="15"/>
              <w:left w:type="dxa" w:w="80"/>
              <w:bottom w:type="dxa" w:w="15"/>
              <w:right w:type="dxa" w:w="80"/>
            </w:tcMar>
            <w:vAlign w:val="top"/>
          </w:tcPr>
          <w:p>
            <w:r>
              <w:rPr>
                <w:b/>
                <w:bCs/>
                <w:color w:val="002147"/>
                <w:sz w:val="15"/>
                <w:szCs w:val="15"/>
              </w:rPr>
              <w:t xml:space="preserve">Oxford · Heriot-Watt</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Q3</w:t>
            </w:r>
          </w:p>
        </w:tc>
        <w:tc>
          <w:tcPr>
            <w:tcW w:type="dxa" w:w="3300"/>
            <w:shd w:fill="F7F9FC" w:color="auto" w:val="clear"/>
            <w:tcMar>
              <w:top w:type="dxa" w:w="15"/>
              <w:left w:type="dxa" w:w="80"/>
              <w:bottom w:type="dxa" w:w="15"/>
              <w:right w:type="dxa" w:w="80"/>
            </w:tcMar>
            <w:vAlign w:val="top"/>
          </w:tcPr>
          <w:p>
            <w:r>
              <w:rPr>
                <w:sz w:val="15"/>
                <w:szCs w:val="15"/>
              </w:rPr>
              <w:t xml:space="preserve">Rainforth, Goliński, Wood &amp; Zaidi (2020)</w:t>
            </w:r>
          </w:p>
        </w:tc>
        <w:tc>
          <w:tcPr>
            <w:tcW w:type="dxa" w:w="3900"/>
            <w:shd w:fill="F7F9FC" w:color="auto" w:val="clear"/>
            <w:tcMar>
              <w:top w:type="dxa" w:w="15"/>
              <w:left w:type="dxa" w:w="80"/>
              <w:bottom w:type="dxa" w:w="15"/>
              <w:right w:type="dxa" w:w="80"/>
            </w:tcMar>
            <w:vAlign w:val="top"/>
          </w:tcPr>
          <w:p>
            <w:r>
              <w:rPr>
                <w:sz w:val="15"/>
                <w:szCs w:val="15"/>
              </w:rPr>
              <w:t xml:space="preserve">JMLR 2020</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 · UBC</w:t>
            </w:r>
          </w:p>
        </w:tc>
      </w:tr>
      <w:tr>
        <w:trPr>
          <w:cantSplit/>
        </w:trPr>
        <w:tc>
          <w:tcPr>
            <w:tcW w:type="dxa" w:w="600"/>
            <w:tcMar>
              <w:top w:type="dxa" w:w="15"/>
              <w:left w:type="dxa" w:w="80"/>
              <w:bottom w:type="dxa" w:w="15"/>
              <w:right w:type="dxa" w:w="80"/>
            </w:tcMar>
            <w:vAlign w:val="top"/>
          </w:tcPr>
          <w:p>
            <w:r>
              <w:rPr>
                <w:b/>
                <w:bCs/>
                <w:color w:val="002147"/>
                <w:sz w:val="15"/>
                <w:szCs w:val="15"/>
              </w:rPr>
              <w:t xml:space="preserve">Q4</w:t>
            </w:r>
          </w:p>
        </w:tc>
        <w:tc>
          <w:tcPr>
            <w:tcW w:type="dxa" w:w="3300"/>
            <w:tcMar>
              <w:top w:type="dxa" w:w="15"/>
              <w:left w:type="dxa" w:w="80"/>
              <w:bottom w:type="dxa" w:w="15"/>
              <w:right w:type="dxa" w:w="80"/>
            </w:tcMar>
            <w:vAlign w:val="top"/>
          </w:tcPr>
          <w:p>
            <w:r>
              <w:rPr>
                <w:sz w:val="15"/>
                <w:szCs w:val="15"/>
              </w:rPr>
              <w:t xml:space="preserve">Hayakawa, Oberhauser &amp; Lyons (2023)</w:t>
            </w:r>
          </w:p>
        </w:tc>
        <w:tc>
          <w:tcPr>
            <w:tcW w:type="dxa" w:w="3900"/>
            <w:tcMar>
              <w:top w:type="dxa" w:w="15"/>
              <w:left w:type="dxa" w:w="80"/>
              <w:bottom w:type="dxa" w:w="15"/>
              <w:right w:type="dxa" w:w="80"/>
            </w:tcMar>
            <w:vAlign w:val="top"/>
          </w:tcPr>
          <w:p>
            <w:r>
              <w:rPr>
                <w:sz w:val="15"/>
                <w:szCs w:val="15"/>
              </w:rPr>
              <w:t xml:space="preserve">ICML 2023</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Q5</w:t>
            </w:r>
          </w:p>
        </w:tc>
        <w:tc>
          <w:tcPr>
            <w:tcW w:type="dxa" w:w="3300"/>
            <w:shd w:fill="F7F9FC" w:color="auto" w:val="clear"/>
            <w:tcMar>
              <w:top w:type="dxa" w:w="15"/>
              <w:left w:type="dxa" w:w="80"/>
              <w:bottom w:type="dxa" w:w="15"/>
              <w:right w:type="dxa" w:w="80"/>
            </w:tcMar>
            <w:vAlign w:val="top"/>
          </w:tcPr>
          <w:p>
            <w:r>
              <w:rPr>
                <w:sz w:val="15"/>
                <w:szCs w:val="15"/>
              </w:rPr>
              <w:t xml:space="preserve">Wild, Ghalebikesabi, Sejdinovic &amp; Knoblauch (2023)</w:t>
            </w:r>
          </w:p>
        </w:tc>
        <w:tc>
          <w:tcPr>
            <w:tcW w:type="dxa" w:w="3900"/>
            <w:shd w:fill="F7F9FC" w:color="auto" w:val="clear"/>
            <w:tcMar>
              <w:top w:type="dxa" w:w="15"/>
              <w:left w:type="dxa" w:w="80"/>
              <w:bottom w:type="dxa" w:w="15"/>
              <w:right w:type="dxa" w:w="80"/>
            </w:tcMar>
            <w:vAlign w:val="top"/>
          </w:tcPr>
          <w:p>
            <w:r>
              <w:rPr>
                <w:sz w:val="15"/>
                <w:szCs w:val="15"/>
              </w:rPr>
              <w:t xml:space="preserve">NeurIPS 2023 (oral)</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tcMar>
              <w:top w:type="dxa" w:w="15"/>
              <w:left w:type="dxa" w:w="80"/>
              <w:bottom w:type="dxa" w:w="15"/>
              <w:right w:type="dxa" w:w="80"/>
            </w:tcMar>
            <w:vAlign w:val="top"/>
          </w:tcPr>
          <w:p>
            <w:r>
              <w:rPr>
                <w:b/>
                <w:bCs/>
                <w:color w:val="5B21B6"/>
                <w:sz w:val="15"/>
                <w:szCs w:val="15"/>
              </w:rPr>
              <w:t xml:space="preserve">K1</w:t>
            </w:r>
          </w:p>
        </w:tc>
        <w:tc>
          <w:tcPr>
            <w:tcW w:type="dxa" w:w="3300"/>
            <w:tcMar>
              <w:top w:type="dxa" w:w="15"/>
              <w:left w:type="dxa" w:w="80"/>
              <w:bottom w:type="dxa" w:w="15"/>
              <w:right w:type="dxa" w:w="80"/>
            </w:tcMar>
            <w:vAlign w:val="top"/>
          </w:tcPr>
          <w:p>
            <w:r>
              <w:rPr>
                <w:sz w:val="15"/>
                <w:szCs w:val="15"/>
              </w:rPr>
              <w:t xml:space="preserve">Romao, Papachristodoulou &amp; Margellos (2023)</w:t>
            </w:r>
          </w:p>
        </w:tc>
        <w:tc>
          <w:tcPr>
            <w:tcW w:type="dxa" w:w="3900"/>
            <w:tcMar>
              <w:top w:type="dxa" w:w="15"/>
              <w:left w:type="dxa" w:w="80"/>
              <w:bottom w:type="dxa" w:w="15"/>
              <w:right w:type="dxa" w:w="80"/>
            </w:tcMar>
            <w:vAlign w:val="top"/>
          </w:tcPr>
          <w:p>
            <w:r>
              <w:rPr>
                <w:sz w:val="15"/>
                <w:szCs w:val="15"/>
              </w:rPr>
              <w:t xml:space="preserve">IEEE Trans. Autom. Control 2023</w:t>
            </w:r>
          </w:p>
        </w:tc>
        <w:tc>
          <w:tcPr>
            <w:tcW w:type="dxa" w:w="1838"/>
            <w:tcMar>
              <w:top w:type="dxa" w:w="15"/>
              <w:left w:type="dxa" w:w="80"/>
              <w:bottom w:type="dxa" w:w="15"/>
              <w:right w:type="dxa" w:w="80"/>
            </w:tcMar>
            <w:vAlign w:val="top"/>
          </w:tcPr>
          <w:p>
            <w:r>
              <w:rPr>
                <w:b/>
                <w:bCs/>
                <w:color w:val="5B21B6"/>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5B21B6"/>
                <w:sz w:val="15"/>
                <w:szCs w:val="15"/>
              </w:rPr>
              <w:t xml:space="preserve">K2</w:t>
            </w:r>
          </w:p>
        </w:tc>
        <w:tc>
          <w:tcPr>
            <w:tcW w:type="dxa" w:w="3300"/>
            <w:shd w:fill="F7F9FC" w:color="auto" w:val="clear"/>
            <w:tcMar>
              <w:top w:type="dxa" w:w="15"/>
              <w:left w:type="dxa" w:w="80"/>
              <w:bottom w:type="dxa" w:w="15"/>
              <w:right w:type="dxa" w:w="80"/>
            </w:tcMar>
            <w:vAlign w:val="top"/>
          </w:tcPr>
          <w:p>
            <w:r>
              <w:rPr>
                <w:sz w:val="15"/>
                <w:szCs w:val="15"/>
              </w:rPr>
              <w:t xml:space="preserve">Fabiani, Margellos &amp; Goulart (2022)</w:t>
            </w:r>
          </w:p>
        </w:tc>
        <w:tc>
          <w:tcPr>
            <w:tcW w:type="dxa" w:w="3900"/>
            <w:shd w:fill="F7F9FC" w:color="auto" w:val="clear"/>
            <w:tcMar>
              <w:top w:type="dxa" w:w="15"/>
              <w:left w:type="dxa" w:w="80"/>
              <w:bottom w:type="dxa" w:w="15"/>
              <w:right w:type="dxa" w:w="80"/>
            </w:tcMar>
            <w:vAlign w:val="top"/>
          </w:tcPr>
          <w:p>
            <w:r>
              <w:rPr>
                <w:sz w:val="15"/>
                <w:szCs w:val="15"/>
              </w:rPr>
              <w:t xml:space="preserve">Automatica 2022</w:t>
            </w:r>
          </w:p>
        </w:tc>
        <w:tc>
          <w:tcPr>
            <w:tcW w:type="dxa" w:w="1838"/>
            <w:shd w:fill="F7F9FC" w:color="auto" w:val="clear"/>
            <w:tcMar>
              <w:top w:type="dxa" w:w="15"/>
              <w:left w:type="dxa" w:w="80"/>
              <w:bottom w:type="dxa" w:w="15"/>
              <w:right w:type="dxa" w:w="80"/>
            </w:tcMar>
            <w:vAlign w:val="top"/>
          </w:tcPr>
          <w:p>
            <w:r>
              <w:rPr>
                <w:b/>
                <w:bCs/>
                <w:color w:val="5B21B6"/>
                <w:sz w:val="15"/>
                <w:szCs w:val="15"/>
              </w:rPr>
              <w:t xml:space="preserve">Oxford</w:t>
            </w:r>
          </w:p>
        </w:tc>
      </w:tr>
      <w:tr>
        <w:trPr>
          <w:cantSplit/>
        </w:trPr>
        <w:tc>
          <w:tcPr>
            <w:tcW w:type="dxa" w:w="600"/>
            <w:tcMar>
              <w:top w:type="dxa" w:w="15"/>
              <w:left w:type="dxa" w:w="80"/>
              <w:bottom w:type="dxa" w:w="15"/>
              <w:right w:type="dxa" w:w="80"/>
            </w:tcMar>
            <w:vAlign w:val="top"/>
          </w:tcPr>
          <w:p>
            <w:r>
              <w:rPr>
                <w:b/>
                <w:bCs/>
                <w:color w:val="5B21B6"/>
                <w:sz w:val="15"/>
                <w:szCs w:val="15"/>
              </w:rPr>
              <w:t xml:space="preserve">K3</w:t>
            </w:r>
          </w:p>
        </w:tc>
        <w:tc>
          <w:tcPr>
            <w:tcW w:type="dxa" w:w="3300"/>
            <w:tcMar>
              <w:top w:type="dxa" w:w="15"/>
              <w:left w:type="dxa" w:w="80"/>
              <w:bottom w:type="dxa" w:w="15"/>
              <w:right w:type="dxa" w:w="80"/>
            </w:tcMar>
            <w:vAlign w:val="top"/>
          </w:tcPr>
          <w:p>
            <w:r>
              <w:rPr>
                <w:sz w:val="15"/>
                <w:szCs w:val="15"/>
              </w:rPr>
              <w:t xml:space="preserve">Christianson, Sun, Low &amp; Wierman (2024)</w:t>
            </w:r>
          </w:p>
        </w:tc>
        <w:tc>
          <w:tcPr>
            <w:tcW w:type="dxa" w:w="3900"/>
            <w:tcMar>
              <w:top w:type="dxa" w:w="15"/>
              <w:left w:type="dxa" w:w="80"/>
              <w:bottom w:type="dxa" w:w="15"/>
              <w:right w:type="dxa" w:w="80"/>
            </w:tcMar>
            <w:vAlign w:val="top"/>
          </w:tcPr>
          <w:p>
            <w:r>
              <w:rPr>
                <w:sz w:val="15"/>
                <w:szCs w:val="15"/>
              </w:rPr>
              <w:t xml:space="preserve">COLT 2024</w:t>
            </w:r>
          </w:p>
        </w:tc>
        <w:tc>
          <w:tcPr>
            <w:tcW w:type="dxa" w:w="1838"/>
            <w:tcMar>
              <w:top w:type="dxa" w:w="15"/>
              <w:left w:type="dxa" w:w="80"/>
              <w:bottom w:type="dxa" w:w="15"/>
              <w:right w:type="dxa" w:w="80"/>
            </w:tcMar>
            <w:vAlign w:val="top"/>
          </w:tcPr>
          <w:p>
            <w:r>
              <w:rPr>
                <w:b/>
                <w:bCs/>
                <w:color w:val="5B21B6"/>
                <w:sz w:val="15"/>
                <w:szCs w:val="15"/>
              </w:rPr>
              <w:t xml:space="preserve">Caltech</w:t>
            </w:r>
          </w:p>
        </w:tc>
      </w:tr>
      <w:tr>
        <w:trPr>
          <w:cantSplit/>
        </w:trPr>
        <w:tc>
          <w:tcPr>
            <w:tcW w:type="dxa" w:w="600"/>
            <w:shd w:fill="F7F9FC" w:color="auto" w:val="clear"/>
            <w:tcMar>
              <w:top w:type="dxa" w:w="15"/>
              <w:left w:type="dxa" w:w="80"/>
              <w:bottom w:type="dxa" w:w="15"/>
              <w:right w:type="dxa" w:w="80"/>
            </w:tcMar>
            <w:vAlign w:val="top"/>
          </w:tcPr>
          <w:p>
            <w:r>
              <w:rPr>
                <w:b/>
                <w:bCs/>
                <w:color w:val="5B21B6"/>
                <w:sz w:val="15"/>
                <w:szCs w:val="15"/>
              </w:rPr>
              <w:t xml:space="preserve">K4</w:t>
            </w:r>
          </w:p>
        </w:tc>
        <w:tc>
          <w:tcPr>
            <w:tcW w:type="dxa" w:w="3300"/>
            <w:shd w:fill="F7F9FC" w:color="auto" w:val="clear"/>
            <w:tcMar>
              <w:top w:type="dxa" w:w="15"/>
              <w:left w:type="dxa" w:w="80"/>
              <w:bottom w:type="dxa" w:w="15"/>
              <w:right w:type="dxa" w:w="80"/>
            </w:tcMar>
            <w:vAlign w:val="top"/>
          </w:tcPr>
          <w:p>
            <w:r>
              <w:rPr>
                <w:sz w:val="15"/>
                <w:szCs w:val="15"/>
              </w:rPr>
              <w:t xml:space="preserve">Christianson, Handina &amp; Wierman (2022)</w:t>
            </w:r>
          </w:p>
        </w:tc>
        <w:tc>
          <w:tcPr>
            <w:tcW w:type="dxa" w:w="3900"/>
            <w:shd w:fill="F7F9FC" w:color="auto" w:val="clear"/>
            <w:tcMar>
              <w:top w:type="dxa" w:w="15"/>
              <w:left w:type="dxa" w:w="80"/>
              <w:bottom w:type="dxa" w:w="15"/>
              <w:right w:type="dxa" w:w="80"/>
            </w:tcMar>
            <w:vAlign w:val="top"/>
          </w:tcPr>
          <w:p>
            <w:r>
              <w:rPr>
                <w:sz w:val="15"/>
                <w:szCs w:val="15"/>
              </w:rPr>
              <w:t xml:space="preserve">COLT 2022</w:t>
            </w:r>
          </w:p>
        </w:tc>
        <w:tc>
          <w:tcPr>
            <w:tcW w:type="dxa" w:w="1838"/>
            <w:shd w:fill="F7F9FC" w:color="auto" w:val="clear"/>
            <w:tcMar>
              <w:top w:type="dxa" w:w="15"/>
              <w:left w:type="dxa" w:w="80"/>
              <w:bottom w:type="dxa" w:w="15"/>
              <w:right w:type="dxa" w:w="80"/>
            </w:tcMar>
            <w:vAlign w:val="top"/>
          </w:tcPr>
          <w:p>
            <w:r>
              <w:rPr>
                <w:b/>
                <w:bCs/>
                <w:color w:val="5B21B6"/>
                <w:sz w:val="15"/>
                <w:szCs w:val="15"/>
              </w:rPr>
              <w:t xml:space="preserve">Caltech</w:t>
            </w:r>
          </w:p>
        </w:tc>
      </w:tr>
      <w:tr>
        <w:trPr>
          <w:cantSplit/>
        </w:trPr>
        <w:tc>
          <w:tcPr>
            <w:tcW w:type="dxa" w:w="600"/>
            <w:tcMar>
              <w:top w:type="dxa" w:w="15"/>
              <w:left w:type="dxa" w:w="80"/>
              <w:bottom w:type="dxa" w:w="15"/>
              <w:right w:type="dxa" w:w="80"/>
            </w:tcMar>
            <w:vAlign w:val="top"/>
          </w:tcPr>
          <w:p>
            <w:r>
              <w:rPr>
                <w:b/>
                <w:bCs/>
                <w:color w:val="5B21B6"/>
                <w:sz w:val="15"/>
                <w:szCs w:val="15"/>
              </w:rPr>
              <w:t xml:space="preserve">K5</w:t>
            </w:r>
          </w:p>
        </w:tc>
        <w:tc>
          <w:tcPr>
            <w:tcW w:type="dxa" w:w="3300"/>
            <w:tcMar>
              <w:top w:type="dxa" w:w="15"/>
              <w:left w:type="dxa" w:w="80"/>
              <w:bottom w:type="dxa" w:w="15"/>
              <w:right w:type="dxa" w:w="80"/>
            </w:tcMar>
            <w:vAlign w:val="top"/>
          </w:tcPr>
          <w:p>
            <w:r>
              <w:rPr>
                <w:sz w:val="15"/>
                <w:szCs w:val="15"/>
              </w:rPr>
              <w:t xml:space="preserve">Sun, Huang, Christianson, Hajiesmaili, Wierman &amp; Boutaba (2024)</w:t>
            </w:r>
          </w:p>
        </w:tc>
        <w:tc>
          <w:tcPr>
            <w:tcW w:type="dxa" w:w="3900"/>
            <w:tcMar>
              <w:top w:type="dxa" w:w="15"/>
              <w:left w:type="dxa" w:w="80"/>
              <w:bottom w:type="dxa" w:w="15"/>
              <w:right w:type="dxa" w:w="80"/>
            </w:tcMar>
            <w:vAlign w:val="top"/>
          </w:tcPr>
          <w:p>
            <w:r>
              <w:rPr>
                <w:sz w:val="15"/>
                <w:szCs w:val="15"/>
              </w:rPr>
              <w:t xml:space="preserve">ICML 2024</w:t>
            </w:r>
          </w:p>
        </w:tc>
        <w:tc>
          <w:tcPr>
            <w:tcW w:type="dxa" w:w="1838"/>
            <w:tcMar>
              <w:top w:type="dxa" w:w="15"/>
              <w:left w:type="dxa" w:w="80"/>
              <w:bottom w:type="dxa" w:w="15"/>
              <w:right w:type="dxa" w:w="80"/>
            </w:tcMar>
            <w:vAlign w:val="top"/>
          </w:tcPr>
          <w:p>
            <w:r>
              <w:rPr>
                <w:b/>
                <w:bCs/>
                <w:color w:val="5B21B6"/>
                <w:sz w:val="15"/>
                <w:szCs w:val="15"/>
              </w:rPr>
              <w:t xml:space="preserve">Caltech</w:t>
            </w:r>
          </w:p>
        </w:tc>
      </w:tr>
      <w:tr>
        <w:trPr>
          <w:cantSplit/>
        </w:trPr>
        <w:tc>
          <w:tcPr>
            <w:tcW w:type="dxa" w:w="600"/>
            <w:shd w:fill="F7F9FC" w:color="auto" w:val="clear"/>
            <w:tcMar>
              <w:top w:type="dxa" w:w="15"/>
              <w:left w:type="dxa" w:w="80"/>
              <w:bottom w:type="dxa" w:w="15"/>
              <w:right w:type="dxa" w:w="80"/>
            </w:tcMar>
            <w:vAlign w:val="top"/>
          </w:tcPr>
          <w:p>
            <w:r>
              <w:rPr>
                <w:b/>
                <w:bCs/>
                <w:color w:val="1E3A8A"/>
                <w:sz w:val="15"/>
                <w:szCs w:val="15"/>
              </w:rPr>
              <w:t xml:space="preserve">N1</w:t>
            </w:r>
          </w:p>
        </w:tc>
        <w:tc>
          <w:tcPr>
            <w:tcW w:type="dxa" w:w="3300"/>
            <w:shd w:fill="F7F9FC" w:color="auto" w:val="clear"/>
            <w:tcMar>
              <w:top w:type="dxa" w:w="15"/>
              <w:left w:type="dxa" w:w="80"/>
              <w:bottom w:type="dxa" w:w="15"/>
              <w:right w:type="dxa" w:w="80"/>
            </w:tcMar>
            <w:vAlign w:val="top"/>
          </w:tcPr>
          <w:p>
            <w:r>
              <w:rPr>
                <w:sz w:val="15"/>
                <w:szCs w:val="15"/>
              </w:rPr>
              <w:t xml:space="preserve">Papadopoulos, Farrell &amp; Surowiec (2021)</w:t>
            </w:r>
          </w:p>
        </w:tc>
        <w:tc>
          <w:tcPr>
            <w:tcW w:type="dxa" w:w="3900"/>
            <w:shd w:fill="F7F9FC" w:color="auto" w:val="clear"/>
            <w:tcMar>
              <w:top w:type="dxa" w:w="15"/>
              <w:left w:type="dxa" w:w="80"/>
              <w:bottom w:type="dxa" w:w="15"/>
              <w:right w:type="dxa" w:w="80"/>
            </w:tcMar>
            <w:vAlign w:val="top"/>
          </w:tcPr>
          <w:p>
            <w:r>
              <w:rPr>
                <w:sz w:val="15"/>
                <w:szCs w:val="15"/>
              </w:rPr>
              <w:t xml:space="preserve">SIAM J. Sci. Comput. 2021</w:t>
            </w:r>
          </w:p>
        </w:tc>
        <w:tc>
          <w:tcPr>
            <w:tcW w:type="dxa" w:w="1838"/>
            <w:shd w:fill="F7F9FC" w:color="auto" w:val="clear"/>
            <w:tcMar>
              <w:top w:type="dxa" w:w="15"/>
              <w:left w:type="dxa" w:w="80"/>
              <w:bottom w:type="dxa" w:w="15"/>
              <w:right w:type="dxa" w:w="80"/>
            </w:tcMar>
            <w:vAlign w:val="top"/>
          </w:tcPr>
          <w:p>
            <w:r>
              <w:rPr>
                <w:b/>
                <w:bCs/>
                <w:color w:val="1E3A8A"/>
                <w:sz w:val="15"/>
                <w:szCs w:val="15"/>
              </w:rPr>
              <w:t xml:space="preserve">Oxford</w:t>
            </w:r>
          </w:p>
        </w:tc>
      </w:tr>
      <w:tr>
        <w:trPr>
          <w:cantSplit/>
        </w:trPr>
        <w:tc>
          <w:tcPr>
            <w:tcW w:type="dxa" w:w="600"/>
            <w:tcMar>
              <w:top w:type="dxa" w:w="15"/>
              <w:left w:type="dxa" w:w="80"/>
              <w:bottom w:type="dxa" w:w="15"/>
              <w:right w:type="dxa" w:w="80"/>
            </w:tcMar>
            <w:vAlign w:val="top"/>
          </w:tcPr>
          <w:p>
            <w:r>
              <w:rPr>
                <w:b/>
                <w:bCs/>
                <w:color w:val="1E3A8A"/>
                <w:sz w:val="15"/>
                <w:szCs w:val="15"/>
              </w:rPr>
              <w:t xml:space="preserve">N2</w:t>
            </w:r>
          </w:p>
        </w:tc>
        <w:tc>
          <w:tcPr>
            <w:tcW w:type="dxa" w:w="3300"/>
            <w:tcMar>
              <w:top w:type="dxa" w:w="15"/>
              <w:left w:type="dxa" w:w="80"/>
              <w:bottom w:type="dxa" w:w="15"/>
              <w:right w:type="dxa" w:w="80"/>
            </w:tcMar>
            <w:vAlign w:val="top"/>
          </w:tcPr>
          <w:p>
            <w:r>
              <w:rPr>
                <w:sz w:val="15"/>
                <w:szCs w:val="15"/>
              </w:rPr>
              <w:t xml:space="preserve">Papadopoulos (2022)</w:t>
            </w:r>
          </w:p>
        </w:tc>
        <w:tc>
          <w:tcPr>
            <w:tcW w:type="dxa" w:w="3900"/>
            <w:tcMar>
              <w:top w:type="dxa" w:w="15"/>
              <w:left w:type="dxa" w:w="80"/>
              <w:bottom w:type="dxa" w:w="15"/>
              <w:right w:type="dxa" w:w="80"/>
            </w:tcMar>
            <w:vAlign w:val="top"/>
          </w:tcPr>
          <w:p>
            <w:r>
              <w:rPr>
                <w:sz w:val="15"/>
                <w:szCs w:val="15"/>
              </w:rPr>
              <w:t xml:space="preserve">SIAM J. Numer. Anal. 2022</w:t>
            </w:r>
          </w:p>
        </w:tc>
        <w:tc>
          <w:tcPr>
            <w:tcW w:type="dxa" w:w="1838"/>
            <w:tcMar>
              <w:top w:type="dxa" w:w="15"/>
              <w:left w:type="dxa" w:w="80"/>
              <w:bottom w:type="dxa" w:w="15"/>
              <w:right w:type="dxa" w:w="80"/>
            </w:tcMar>
            <w:vAlign w:val="top"/>
          </w:tcPr>
          <w:p>
            <w:r>
              <w:rPr>
                <w:b/>
                <w:bCs/>
                <w:color w:val="1E3A8A"/>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1E3A8A"/>
                <w:sz w:val="15"/>
                <w:szCs w:val="15"/>
              </w:rPr>
              <w:t xml:space="preserve">N3</w:t>
            </w:r>
          </w:p>
        </w:tc>
        <w:tc>
          <w:tcPr>
            <w:tcW w:type="dxa" w:w="3300"/>
            <w:shd w:fill="F7F9FC" w:color="auto" w:val="clear"/>
            <w:tcMar>
              <w:top w:type="dxa" w:w="15"/>
              <w:left w:type="dxa" w:w="80"/>
              <w:bottom w:type="dxa" w:w="15"/>
              <w:right w:type="dxa" w:w="80"/>
            </w:tcMar>
            <w:vAlign w:val="top"/>
          </w:tcPr>
          <w:p>
            <w:r>
              <w:rPr>
                <w:sz w:val="15"/>
                <w:szCs w:val="15"/>
              </w:rPr>
              <w:t xml:space="preserve">Farrell, Croci &amp; Surowiec (2020)</w:t>
            </w:r>
          </w:p>
        </w:tc>
        <w:tc>
          <w:tcPr>
            <w:tcW w:type="dxa" w:w="3900"/>
            <w:shd w:fill="F7F9FC" w:color="auto" w:val="clear"/>
            <w:tcMar>
              <w:top w:type="dxa" w:w="15"/>
              <w:left w:type="dxa" w:w="80"/>
              <w:bottom w:type="dxa" w:w="15"/>
              <w:right w:type="dxa" w:w="80"/>
            </w:tcMar>
            <w:vAlign w:val="top"/>
          </w:tcPr>
          <w:p>
            <w:r>
              <w:rPr>
                <w:sz w:val="15"/>
                <w:szCs w:val="15"/>
              </w:rPr>
              <w:t xml:space="preserve">Optim. Methods Softw. 2020</w:t>
            </w:r>
          </w:p>
        </w:tc>
        <w:tc>
          <w:tcPr>
            <w:tcW w:type="dxa" w:w="1838"/>
            <w:shd w:fill="F7F9FC" w:color="auto" w:val="clear"/>
            <w:tcMar>
              <w:top w:type="dxa" w:w="15"/>
              <w:left w:type="dxa" w:w="80"/>
              <w:bottom w:type="dxa" w:w="15"/>
              <w:right w:type="dxa" w:w="80"/>
            </w:tcMar>
            <w:vAlign w:val="top"/>
          </w:tcPr>
          <w:p>
            <w:r>
              <w:rPr>
                <w:b/>
                <w:bCs/>
                <w:color w:val="1E3A8A"/>
                <w:sz w:val="15"/>
                <w:szCs w:val="15"/>
              </w:rPr>
              <w:t xml:space="preserve">Oxford</w:t>
            </w:r>
          </w:p>
        </w:tc>
      </w:tr>
      <w:tr>
        <w:trPr>
          <w:cantSplit/>
        </w:trPr>
        <w:tc>
          <w:tcPr>
            <w:tcW w:type="dxa" w:w="600"/>
            <w:tcMar>
              <w:top w:type="dxa" w:w="15"/>
              <w:left w:type="dxa" w:w="80"/>
              <w:bottom w:type="dxa" w:w="15"/>
              <w:right w:type="dxa" w:w="80"/>
            </w:tcMar>
            <w:vAlign w:val="top"/>
          </w:tcPr>
          <w:p>
            <w:r>
              <w:rPr>
                <w:b/>
                <w:bCs/>
                <w:color w:val="1E3A8A"/>
                <w:sz w:val="15"/>
                <w:szCs w:val="15"/>
              </w:rPr>
              <w:t xml:space="preserve">N4</w:t>
            </w:r>
          </w:p>
        </w:tc>
        <w:tc>
          <w:tcPr>
            <w:tcW w:type="dxa" w:w="3300"/>
            <w:tcMar>
              <w:top w:type="dxa" w:w="15"/>
              <w:left w:type="dxa" w:w="80"/>
              <w:bottom w:type="dxa" w:w="15"/>
              <w:right w:type="dxa" w:w="80"/>
            </w:tcMar>
            <w:vAlign w:val="top"/>
          </w:tcPr>
          <w:p>
            <w:r>
              <w:rPr>
                <w:sz w:val="15"/>
                <w:szCs w:val="15"/>
              </w:rPr>
              <w:t xml:space="preserve">Cartis, Massart &amp; Otemissov (2023)</w:t>
            </w:r>
          </w:p>
        </w:tc>
        <w:tc>
          <w:tcPr>
            <w:tcW w:type="dxa" w:w="3900"/>
            <w:tcMar>
              <w:top w:type="dxa" w:w="15"/>
              <w:left w:type="dxa" w:w="80"/>
              <w:bottom w:type="dxa" w:w="15"/>
              <w:right w:type="dxa" w:w="80"/>
            </w:tcMar>
            <w:vAlign w:val="top"/>
          </w:tcPr>
          <w:p>
            <w:r>
              <w:rPr>
                <w:sz w:val="15"/>
                <w:szCs w:val="15"/>
              </w:rPr>
              <w:t xml:space="preserve">Math. Program. 2023</w:t>
            </w:r>
          </w:p>
        </w:tc>
        <w:tc>
          <w:tcPr>
            <w:tcW w:type="dxa" w:w="1838"/>
            <w:tcMar>
              <w:top w:type="dxa" w:w="15"/>
              <w:left w:type="dxa" w:w="80"/>
              <w:bottom w:type="dxa" w:w="15"/>
              <w:right w:type="dxa" w:w="80"/>
            </w:tcMar>
            <w:vAlign w:val="top"/>
          </w:tcPr>
          <w:p>
            <w:r>
              <w:rPr>
                <w:b/>
                <w:bCs/>
                <w:color w:val="1E3A8A"/>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1E3A8A"/>
                <w:sz w:val="15"/>
                <w:szCs w:val="15"/>
              </w:rPr>
              <w:t xml:space="preserve">N5</w:t>
            </w:r>
          </w:p>
        </w:tc>
        <w:tc>
          <w:tcPr>
            <w:tcW w:type="dxa" w:w="3300"/>
            <w:shd w:fill="F7F9FC" w:color="auto" w:val="clear"/>
            <w:tcMar>
              <w:top w:type="dxa" w:w="15"/>
              <w:left w:type="dxa" w:w="80"/>
              <w:bottom w:type="dxa" w:w="15"/>
              <w:right w:type="dxa" w:w="80"/>
            </w:tcMar>
            <w:vAlign w:val="top"/>
          </w:tcPr>
          <w:p>
            <w:r>
              <w:rPr>
                <w:sz w:val="15"/>
                <w:szCs w:val="15"/>
              </w:rPr>
              <w:t xml:space="preserve">Frangella, Tropp &amp; Udell (2023)</w:t>
            </w:r>
          </w:p>
        </w:tc>
        <w:tc>
          <w:tcPr>
            <w:tcW w:type="dxa" w:w="3900"/>
            <w:shd w:fill="F7F9FC" w:color="auto" w:val="clear"/>
            <w:tcMar>
              <w:top w:type="dxa" w:w="15"/>
              <w:left w:type="dxa" w:w="80"/>
              <w:bottom w:type="dxa" w:w="15"/>
              <w:right w:type="dxa" w:w="80"/>
            </w:tcMar>
            <w:vAlign w:val="top"/>
          </w:tcPr>
          <w:p>
            <w:r>
              <w:rPr>
                <w:sz w:val="15"/>
                <w:szCs w:val="15"/>
              </w:rPr>
              <w:t xml:space="preserve">SIAM J. Matrix Anal. Appl. 2023</w:t>
            </w:r>
          </w:p>
        </w:tc>
        <w:tc>
          <w:tcPr>
            <w:tcW w:type="dxa" w:w="1838"/>
            <w:shd w:fill="F7F9FC" w:color="auto" w:val="clear"/>
            <w:tcMar>
              <w:top w:type="dxa" w:w="15"/>
              <w:left w:type="dxa" w:w="80"/>
              <w:bottom w:type="dxa" w:w="15"/>
              <w:right w:type="dxa" w:w="80"/>
            </w:tcMar>
            <w:vAlign w:val="top"/>
          </w:tcPr>
          <w:p>
            <w:r>
              <w:rPr>
                <w:b/>
                <w:bCs/>
                <w:color w:val="1E3A8A"/>
                <w:sz w:val="15"/>
                <w:szCs w:val="15"/>
              </w:rPr>
              <w:t xml:space="preserve">Caltech · Stanford</w:t>
            </w:r>
          </w:p>
        </w:tc>
      </w:tr>
    </w:tbl>
    <w:p>
      <w:pPr>
        <w:spacing w:after="160"/>
      </w:pPr>
    </w:p>
    <w:p>
      <w:pPr>
        <w:pStyle w:val="Heading1"/>
      </w:pPr>
      <w:r>
        <w:rPr>
          <w:color w:val="B4410C"/>
        </w:rPr>
        <w:t xml:space="preserve">4. Caltech: uncertainty quantification and Bayesian inversion</w:t>
      </w:r>
    </w:p>
    <w:p>
      <w:pPr>
        <w:spacing w:after="120"/>
        <w:jc w:val="both"/>
      </w:pPr>
      <w:r>
        <w:t xml:space="preserve">Caltech's uncertainty quantification in the period is the analysis of samplers and of conditioning. Martin Burger, Matthias Erbar, Franca Hoffmann, Daniel Matthes and André Schlichting build the transport geometry of ensemble Kalman samplers [C1]; Ricardo Baptista, Bamdad Hosseini, Nikola Kovachki, Youssef Marzouk and Amir Sagiv give an approximation theory for measure-transport sampling [C2]; Yifan Chen, Bamdad Hosseini, Houman Owhadi and Andrew Stuart condition Gaussian measures on nonlinear observations [C3]; Grigorios Pavliotis, Andrew Stuart and Urbain Vaes make derivative-free Bayesian inversion refinable [C4]; and Hamed Hamze Bajgiran, Houman Owhadi and colleagues replace the prior by a worst case over a likelihood region [C5].</w:t>
      </w:r>
    </w:p>
    <w:p>
      <w:pPr>
        <w:keepNext/>
        <w:pBdr>
          <w:top w:val="single" w:color="B4410C" w:sz="6" w:space="4"/>
        </w:pBdr>
        <w:spacing w:after="60" w:before="220"/>
      </w:pPr>
      <w:r>
        <w:rPr>
          <w:b/>
          <w:bCs/>
          <w:color w:val="B4410C"/>
          <w:sz w:val="23"/>
          <w:szCs w:val="23"/>
        </w:rPr>
        <w:t xml:space="preserve">C1  </w:t>
      </w:r>
      <w:r>
        <w:rPr>
          <w:b/>
          <w:bCs/>
          <w:color w:val="1F3864"/>
          <w:sz w:val="23"/>
          <w:szCs w:val="23"/>
        </w:rPr>
        <w:t xml:space="preserve">Covariance-Modulated Optimal Transport and Gradient Flows</w:t>
      </w:r>
    </w:p>
    <w:p>
      <w:pPr>
        <w:keepNext/>
        <w:spacing w:after="60" w:line="240" w:lineRule="auto"/>
      </w:pPr>
      <w:r>
        <w:rPr>
          <w:b/>
          <w:bCs/>
          <w:color w:val="333B47"/>
          <w:sz w:val="15"/>
          <w:szCs w:val="15"/>
        </w:rPr>
        <w:t xml:space="preserve">Authors: </w:t>
      </w:r>
      <w:r>
        <w:rPr>
          <w:sz w:val="15"/>
          <w:szCs w:val="15"/>
        </w:rPr>
        <w:t xml:space="preserve">Martin Burger, Matthias Erbar, Franca Hoffmann, Daniel Matthes, André Schlichting</w:t>
      </w:r>
      <w:r>
        <w:rPr>
          <w:sz w:val="15"/>
          <w:szCs w:val="15"/>
        </w:rPr>
        <w:t xml:space="preserve">   </w:t>
      </w:r>
      <w:r>
        <w:rPr>
          <w:b/>
          <w:bCs/>
          <w:color w:val="333B47"/>
          <w:sz w:val="15"/>
          <w:szCs w:val="15"/>
        </w:rPr>
        <w:t xml:space="preserve">Published in: </w:t>
      </w:r>
      <w:r>
        <w:rPr>
          <w:sz w:val="15"/>
          <w:szCs w:val="15"/>
        </w:rPr>
        <w:t xml:space="preserve">Archive for Rational Mechanics and Analysis, 249(1), article 7 (February 2025); arXiv 2302.07773 (DOI not seen)</w:t>
      </w:r>
      <w:r>
        <w:rPr>
          <w:sz w:val="15"/>
          <w:szCs w:val="15"/>
        </w:rPr>
        <w:t xml:space="preserve">   </w:t>
      </w:r>
      <w:r>
        <w:rPr>
          <w:b/>
          <w:bCs/>
          <w:color w:val="333B47"/>
          <w:sz w:val="15"/>
          <w:szCs w:val="15"/>
        </w:rPr>
        <w:t xml:space="preserve">Link: </w:t>
      </w:r>
      <w:hyperlink w:history="1" r:id="rIdefccsu3i8owphxsr_nief">
        <w:r>
          <w:rPr>
            <w:color w:val="1D4ED8"/>
            <w:sz w:val="15"/>
            <w:szCs w:val="15"/>
            <w:u w:val="single"/>
          </w:rPr>
          <w:t xml:space="preserve">https://portal.fis.tum.de/en/publications/covariance-modulated-optimal-transport-and-gradient-flows/</w:t>
        </w:r>
      </w:hyperlink>
    </w:p>
    <w:p>
      <w:pPr>
        <w:keepNext/>
        <w:spacing w:after="80" w:line="240" w:lineRule="auto"/>
      </w:pPr>
      <w:r>
        <w:rPr>
          <w:b/>
          <w:bCs/>
          <w:color w:val="333B47"/>
          <w:sz w:val="15"/>
          <w:szCs w:val="15"/>
        </w:rPr>
        <w:t xml:space="preserve">Affiliation: </w:t>
      </w:r>
      <w:r>
        <w:rPr>
          <w:color w:val="3A4350"/>
          <w:sz w:val="15"/>
          <w:szCs w:val="15"/>
        </w:rPr>
        <w:t xml:space="preserve">Franca Hoffmann, Department of Computing + Mathematical Sciences, Caltech, assistant professor there since 2022 (Caltech colloquium pages in a search result); the paper was submitted in February 2023, within her Caltech period. Journal, volume, issue and article number from the TUM research portal and the Bielefeld publication record (search summaries); affiliations of the other authors not checked beyond these repository listings.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B4410C"/>
          <w:sz w:val="17"/>
          <w:szCs w:val="17"/>
        </w:rPr>
        <w:t xml:space="preserve">Summary. </w:t>
      </w:r>
      <w:r>
        <w:rPr>
          <w:sz w:val="17"/>
          <w:szCs w:val="17"/>
        </w:rPr>
        <w:t xml:space="preserve">Ensemble Kalman samplers move particles with a velocity preconditioned by the ensemble covariance; their mean-field limits are gradient flows in a covariance-weighted transport geometry. The paper defines this covariance-modulated transport distance and proves that the transport problem splits into two coupled problems: one for the mean and covariance of the interpolating curve and one for its shape, a Wasserstein-length minimisation at fixed mean and covariance. It analyses the induced geometry, with geodesics shown to exist for nearby densities or densities with reflection symmetries, and proves that gradient flows of the relative entropy towards a Gaussian target converge exponentially at a rate that does not depend on the target covariance.</w:t>
      </w:r>
    </w:p>
    <w:p>
      <w:pPr>
        <w:keepNext/>
        <w:spacing w:after="20" w:before="40"/>
      </w:pPr>
      <w:r>
        <w:rPr>
          <w:b/>
          <w:bCs/>
          <w:color w:val="B4410C"/>
          <w:sz w:val="17"/>
          <w:szCs w:val="17"/>
        </w:rPr>
        <w:t xml:space="preserve">Key equation.</w:t>
      </w:r>
      <w:r>
        <w:rPr>
          <w:i/>
          <w:iCs/>
          <w:color w:val="5B6573"/>
          <w:sz w:val="15"/>
          <w:szCs w:val="15"/>
        </w:rPr>
        <w:t xml:space="preserve">  Covariance-modulated transport distance: a Benamou-Brenier action whose velocity is weighted by the covariance of the current distribution (representative formulation)</w:t>
      </w:r>
    </w:p>
    <w:p>
      <w:pPr>
        <w:pStyle w:val="Equation"/>
      </w:pPr>
      <m:oMathPara>
        <m:oMathParaPr>
          <m:jc m:val="center"/>
        </m:oMathParaPr>
        <m:oMath>
          <m:sSubSup>
            <m:e>
              <m:r>
                <m:t>W</m:t>
              </m:r>
            </m:e>
            <m:sub>
              <m:r>
                <m:t>C</m:t>
              </m:r>
            </m:sub>
            <m:sup>
              <m:r>
                <m:t>2</m:t>
              </m:r>
            </m:sup>
          </m:sSubSup>
          <m:d>
            <m:dPr>
              <m:begChr m:val="("/>
              <m:sepChr m:val=""/>
              <m:endChr m:val=")"/>
              <m:grow/>
            </m:dPr>
            <m:e>
              <m:sSub>
                <m:e>
                  <m:r>
                    <m:t>μ</m:t>
                  </m:r>
                </m:e>
                <m:sub>
                  <m:r>
                    <m:t>0</m:t>
                  </m:r>
                </m:sub>
              </m:sSub>
              <m:r>
                <m:rPr>
                  <m:sty m:val="p"/>
                </m:rPr>
                <m:t>,</m:t>
              </m:r>
              <m:sSub>
                <m:e>
                  <m:r>
                    <m:t>μ</m:t>
                  </m:r>
                </m:e>
                <m:sub>
                  <m:r>
                    <m:t>1</m:t>
                  </m:r>
                </m:sub>
              </m:sSub>
            </m:e>
          </m:d>
          <m:r>
            <m:rPr>
              <m:sty m:val="p"/>
            </m:rPr>
            <m:t>=</m:t>
          </m:r>
          <m:r>
            <m:rPr>
              <m:sty m:val="p"/>
            </m:rPr>
            <m:t>min</m:t>
          </m:r>
          <m:d>
            <m:dPr>
              <m:begChr m:val="{"/>
              <m:sepChr m:val=""/>
              <m:endChr m:val="}"/>
              <m:grow/>
            </m:dPr>
            <m:e>
              <m:nary>
                <m:naryPr>
                  <m:chr m:val="∫"/>
                  <m:limLoc m:val="subSup"/>
                  <m:subHide m:val="off"/>
                  <m:supHide m:val="off"/>
                </m:naryPr>
                <m:sub>
                  <m:r>
                    <m:t>0</m:t>
                  </m:r>
                </m:sub>
                <m:sup>
                  <m:r>
                    <m:t>1</m:t>
                  </m:r>
                </m:sup>
                <m:e>
                  <m:r>
                    <m:rPr>
                      <m:sty m:val="p"/>
                    </m:rPr>
                    <m:t>∫</m:t>
                  </m:r>
                </m:e>
              </m:nary>
              <m:r>
                <m:rPr>
                  <m:sty m:val="p"/>
                </m:rPr>
                <m:t>∇</m:t>
              </m:r>
              <m:sSubSup>
                <m:e>
                  <m:r>
                    <m:t>φ</m:t>
                  </m:r>
                </m:e>
                <m:sub>
                  <m:r>
                    <m:t>t</m:t>
                  </m:r>
                </m:sub>
                <m:sup>
                  <m:r>
                    <m:rPr>
                      <m:sty m:val="p"/>
                    </m:rPr>
                    <m:t>⊤</m:t>
                  </m:r>
                </m:sup>
              </m:sSubSup>
              <m:r>
                <m:t>C</m:t>
              </m:r>
              <m:d>
                <m:dPr>
                  <m:begChr m:val="("/>
                  <m:sepChr m:val=""/>
                  <m:endChr m:val=")"/>
                  <m:grow/>
                </m:dPr>
                <m:e>
                  <m:sSub>
                    <m:e>
                      <m:r>
                        <m:t>ρ</m:t>
                      </m:r>
                    </m:e>
                    <m:sub>
                      <m:r>
                        <m:t>t</m:t>
                      </m:r>
                    </m:sub>
                  </m:sSub>
                </m:e>
              </m:d>
              <m:r>
                <m:rPr>
                  <m:sty m:val="p"/>
                </m:rPr>
                <m:t>∇</m:t>
              </m:r>
              <m:sSub>
                <m:e>
                  <m:r>
                    <m:t>φ</m:t>
                  </m:r>
                </m:e>
                <m:sub>
                  <m:r>
                    <m:t>t</m:t>
                  </m:r>
                </m:sub>
              </m:sSub>
              <m:r>
                <m:t> </m:t>
              </m:r>
              <m:r>
                <m:t>d</m:t>
              </m:r>
              <m:sSub>
                <m:e>
                  <m:r>
                    <m:t>ρ</m:t>
                  </m:r>
                </m:e>
                <m:sub>
                  <m:r>
                    <m:t>t</m:t>
                  </m:r>
                </m:sub>
              </m:sSub>
              <m:r>
                <m:t> </m:t>
              </m:r>
              <m:r>
                <m:t>d</m:t>
              </m:r>
              <m:r>
                <m:t>t</m:t>
              </m:r>
              <m:r>
                <m:t> </m:t>
              </m:r>
              <m:r>
                <m:rPr>
                  <m:sty m:val="p"/>
                </m:rPr>
                <m:t>:</m:t>
              </m:r>
              <m:r>
                <m:t> </m:t>
              </m:r>
              <m:sSub>
                <m:e>
                  <m:r>
                    <m:rPr>
                      <m:sty m:val="p"/>
                    </m:rPr>
                    <m:t>∂</m:t>
                  </m:r>
                </m:e>
                <m:sub>
                  <m:r>
                    <m:t>t</m:t>
                  </m:r>
                </m:sub>
              </m:sSub>
              <m:sSub>
                <m:e>
                  <m:r>
                    <m:t>ρ</m:t>
                  </m:r>
                </m:e>
                <m:sub>
                  <m:r>
                    <m:t>t</m:t>
                  </m:r>
                </m:sub>
              </m:sSub>
              <m:r>
                <m:rPr>
                  <m:sty m:val="p"/>
                </m:rPr>
                <m:t>+</m:t>
              </m:r>
              <m:r>
                <m:rPr>
                  <m:sty m:val="p"/>
                </m:rPr>
                <m:t>∇</m:t>
              </m:r>
              <m:r>
                <m:rPr>
                  <m:sty m:val="p"/>
                </m:rPr>
                <m:t>⋅</m:t>
              </m:r>
              <m:d>
                <m:dPr>
                  <m:begChr m:val="("/>
                  <m:sepChr m:val=""/>
                  <m:endChr m:val=")"/>
                  <m:grow/>
                </m:dPr>
                <m:e>
                  <m:sSub>
                    <m:e>
                      <m:r>
                        <m:t>ρ</m:t>
                      </m:r>
                    </m:e>
                    <m:sub>
                      <m:r>
                        <m:t>t</m:t>
                      </m:r>
                    </m:sub>
                  </m:sSub>
                  <m:r>
                    <m:t> </m:t>
                  </m:r>
                  <m:r>
                    <m:t>C</m:t>
                  </m:r>
                  <m:d>
                    <m:dPr>
                      <m:begChr m:val="("/>
                      <m:sepChr m:val=""/>
                      <m:endChr m:val=")"/>
                      <m:grow/>
                    </m:dPr>
                    <m:e>
                      <m:sSub>
                        <m:e>
                          <m:r>
                            <m:t>ρ</m:t>
                          </m:r>
                        </m:e>
                        <m:sub>
                          <m:r>
                            <m:t>t</m:t>
                          </m:r>
                        </m:sub>
                      </m:sSub>
                    </m:e>
                  </m:d>
                  <m:r>
                    <m:rPr>
                      <m:sty m:val="p"/>
                    </m:rPr>
                    <m:t>∇</m:t>
                  </m:r>
                  <m:sSub>
                    <m:e>
                      <m:r>
                        <m:t>φ</m:t>
                      </m:r>
                    </m:e>
                    <m:sub>
                      <m:r>
                        <m:t>t</m:t>
                      </m:r>
                    </m:sub>
                  </m:sSub>
                </m:e>
              </m:d>
              <m:r>
                <m:rPr>
                  <m:sty m:val="p"/>
                </m:rPr>
                <m:t>=</m:t>
              </m:r>
              <m:r>
                <m:t>0</m:t>
              </m:r>
              <m:r>
                <m:rPr>
                  <m:sty m:val="p"/>
                </m:rPr>
                <m:t>,</m:t>
              </m:r>
              <m:r>
                <m:t> </m:t>
              </m:r>
              <m:sSub>
                <m:e>
                  <m:r>
                    <m:t>ρ</m:t>
                  </m:r>
                </m:e>
                <m:sub>
                  <m:r>
                    <m:t>0</m:t>
                  </m:r>
                </m:sub>
              </m:sSub>
              <m:r>
                <m:rPr>
                  <m:sty m:val="p"/>
                </m:rPr>
                <m:t>=</m:t>
              </m:r>
              <m:sSub>
                <m:e>
                  <m:r>
                    <m:t>μ</m:t>
                  </m:r>
                </m:e>
                <m:sub>
                  <m:r>
                    <m:t>0</m:t>
                  </m:r>
                </m:sub>
              </m:sSub>
              <m:r>
                <m:rPr>
                  <m:sty m:val="p"/>
                </m:rPr>
                <m:t>,</m:t>
              </m:r>
              <m:r>
                <m:t> </m:t>
              </m:r>
              <m:sSub>
                <m:e>
                  <m:r>
                    <m:t>ρ</m:t>
                  </m:r>
                </m:e>
                <m:sub>
                  <m:r>
                    <m:t>1</m:t>
                  </m:r>
                </m:sub>
              </m:sSub>
              <m:r>
                <m:rPr>
                  <m:sty m:val="p"/>
                </m:rPr>
                <m:t>=</m:t>
              </m:r>
              <m:sSub>
                <m:e>
                  <m:r>
                    <m:t>μ</m:t>
                  </m:r>
                </m:e>
                <m:sub>
                  <m:r>
                    <m:t>1</m:t>
                  </m:r>
                </m:sub>
              </m:sSub>
            </m:e>
          </m:d>
        </m:oMath>
      </m:oMathPara>
    </w:p>
    <w:p>
      <w:pPr>
        <w:spacing w:after="60"/>
        <w:jc w:val="both"/>
      </w:pPr>
      <m:oMath>
        <m:sSub>
          <m:e>
            <m:r>
              <m:t>ρ</m:t>
            </m:r>
          </m:e>
          <m:sub>
            <m:r>
              <m:t>t</m:t>
            </m:r>
          </m:sub>
        </m:sSub>
      </m:oMath>
      <w:r>
        <w:rPr>
          <w:color w:val="3A4350"/>
          <w:sz w:val="15"/>
          <w:szCs w:val="15"/>
        </w:rPr>
        <w:t xml:space="preserve"> is a curve of probability measures from </w:t>
      </w:r>
      <m:oMath>
        <m:sSub>
          <m:e>
            <m:r>
              <m:t>μ</m:t>
            </m:r>
          </m:e>
          <m:sub>
            <m:r>
              <m:t>0</m:t>
            </m:r>
          </m:sub>
        </m:sSub>
      </m:oMath>
      <w:r>
        <w:rPr>
          <w:color w:val="3A4350"/>
          <w:sz w:val="15"/>
          <w:szCs w:val="15"/>
        </w:rPr>
        <w:t xml:space="preserve"> to </w:t>
      </w:r>
      <m:oMath>
        <m:sSub>
          <m:e>
            <m:r>
              <m:t>μ</m:t>
            </m:r>
          </m:e>
          <m:sub>
            <m:r>
              <m:t>1</m:t>
            </m:r>
          </m:sub>
        </m:sSub>
      </m:oMath>
      <w:r>
        <w:rPr>
          <w:color w:val="3A4350"/>
          <w:sz w:val="15"/>
          <w:szCs w:val="15"/>
        </w:rPr>
        <w:t xml:space="preserve">, </w:t>
      </w:r>
      <m:oMath>
        <m:sSub>
          <m:e>
            <m:r>
              <m:t>φ</m:t>
            </m:r>
          </m:e>
          <m:sub>
            <m:r>
              <m:t>t</m:t>
            </m:r>
          </m:sub>
        </m:sSub>
      </m:oMath>
      <w:r>
        <w:rPr>
          <w:color w:val="3A4350"/>
          <w:sz w:val="15"/>
          <w:szCs w:val="15"/>
        </w:rPr>
        <w:t xml:space="preserve"> a velocity potential and </w:t>
      </w:r>
      <m:oMath>
        <m:r>
          <m:t>C</m:t>
        </m:r>
        <m:d>
          <m:dPr>
            <m:begChr m:val="("/>
            <m:sepChr m:val=""/>
            <m:endChr m:val=")"/>
            <m:grow/>
          </m:dPr>
          <m:e>
            <m:sSub>
              <m:e>
                <m:r>
                  <m:t>ρ</m:t>
                </m:r>
              </m:e>
              <m:sub>
                <m:r>
                  <m:t>t</m:t>
                </m:r>
              </m:sub>
            </m:sSub>
          </m:e>
        </m:d>
      </m:oMath>
      <w:r>
        <w:rPr>
          <w:color w:val="3A4350"/>
          <w:sz w:val="15"/>
          <w:szCs w:val="15"/>
        </w:rPr>
        <w:t xml:space="preserve"> the covariance matrix of </w:t>
      </w:r>
      <m:oMath>
        <m:sSub>
          <m:e>
            <m:r>
              <m:t>ρ</m:t>
            </m:r>
          </m:e>
          <m:sub>
            <m:r>
              <m:t>t</m:t>
            </m:r>
          </m:sub>
        </m:sSub>
      </m:oMath>
      <w:r>
        <w:rPr>
          <w:color w:val="3A4350"/>
          <w:sz w:val="15"/>
          <w:szCs w:val="15"/>
        </w:rPr>
        <w:t xml:space="preserve">; with </w:t>
      </w:r>
      <m:oMath>
        <m:r>
          <m:t>C</m:t>
        </m:r>
        <m:r>
          <m:rPr>
            <m:sty m:val="p"/>
          </m:rPr>
          <m:t>≡</m:t>
        </m:r>
        <m:r>
          <m:t>I</m:t>
        </m:r>
      </m:oMath>
      <w:r>
        <w:rPr>
          <w:color w:val="3A4350"/>
          <w:sz w:val="15"/>
          <w:szCs w:val="15"/>
        </w:rPr>
        <w:t xml:space="preserve"> this is the Wasserstein distance, and the gradient flow of the relative entropy to a target </w:t>
      </w:r>
      <m:oMath>
        <m:r>
          <m:t>π</m:t>
        </m:r>
      </m:oMath>
      <w:r>
        <w:rPr>
          <w:color w:val="3A4350"/>
          <w:sz w:val="15"/>
          <w:szCs w:val="15"/>
        </w:rPr>
        <w:t xml:space="preserve"> in this metric is the mean-field form of the ensemble Kalman sampler when the forward map is linear.</w:t>
      </w:r>
    </w:p>
    <w:p>
      <w:pPr>
        <w:spacing w:after="60"/>
        <w:jc w:val="both"/>
      </w:pPr>
      <w:r>
        <w:rPr>
          <w:b/>
          <w:bCs/>
          <w:color w:val="B4410C"/>
          <w:sz w:val="17"/>
          <w:szCs w:val="17"/>
        </w:rPr>
        <w:t xml:space="preserve">Link to the MAR scheme. </w:t>
      </w:r>
      <w:r>
        <w:rPr>
          <w:sz w:val="17"/>
          <w:szCs w:val="17"/>
        </w:rPr>
        <w:t xml:space="preserve">Belongs to theme C (uncertainty quantification, Caltech). An ensemble Kalman sampler for the 12 zonal log-conductivities follows this flow when the head map is linearised; the theorem then guarantees that convergence does not slow when zones are correlated or poorly identified, so ensemble estimates of the intrusion probability at A1 and P10 settle after a predictable run time.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metric behind ensemble Kalman sampling into an object of rigorous analysis: a splitting theorem, existence results for geodesics and convergence rates that explain why covariance preconditioning makes the rate independent of how ill-conditioned a Gaussian target is. Published in Archive for Rational Mechanics and Analysis (2025).</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rates are proved for Gaussian targets. Heads are linear in recharge but nonlinear in log-conductivity, so the Fushë-Kuqe posterior is non-Gaussian; whether the shape part converges at a target-independent rate with finite ensembles is open, and answering it for an aquifer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transport distance weighted by the covariance of the moving distribution, a splitting of its geodesic problem into moment and shape parts, and exponential convergence of its gradient flows at target-independent rates. Proposed extension: run an ensemble Kalman sampler on the Fushë-Kuqe log-conductivity posterior, track the mean–covariance part and the non-Gaussian shape part separately, and test whether the shape part controls the error in the intrusion probability at A1 and P10.</w:t>
      </w:r>
    </w:p>
    <w:p>
      <w:pPr>
        <w:keepNext/>
        <w:pBdr>
          <w:top w:val="single" w:color="B4410C" w:sz="6" w:space="4"/>
        </w:pBdr>
        <w:spacing w:after="60" w:before="220"/>
      </w:pPr>
      <w:r>
        <w:rPr>
          <w:b/>
          <w:bCs/>
          <w:color w:val="B4410C"/>
          <w:sz w:val="23"/>
          <w:szCs w:val="23"/>
        </w:rPr>
        <w:t xml:space="preserve">C2  </w:t>
      </w:r>
      <w:r>
        <w:rPr>
          <w:b/>
          <w:bCs/>
          <w:color w:val="1F3864"/>
          <w:sz w:val="23"/>
          <w:szCs w:val="23"/>
        </w:rPr>
        <w:t xml:space="preserve">An Approximation Theory Framework for Measure-Transport Sampling Algorithms</w:t>
      </w:r>
    </w:p>
    <w:p>
      <w:pPr>
        <w:keepNext/>
        <w:spacing w:after="60" w:line="240" w:lineRule="auto"/>
      </w:pPr>
      <w:r>
        <w:rPr>
          <w:b/>
          <w:bCs/>
          <w:color w:val="333B47"/>
          <w:sz w:val="15"/>
          <w:szCs w:val="15"/>
        </w:rPr>
        <w:t xml:space="preserve">Authors: </w:t>
      </w:r>
      <w:r>
        <w:rPr>
          <w:sz w:val="15"/>
          <w:szCs w:val="15"/>
        </w:rPr>
        <w:t xml:space="preserve">Ricardo Baptista, Bamdad Hosseini, Nikola B. Kovachki, Youssef Marzouk, Amir Sagiv</w:t>
      </w:r>
      <w:r>
        <w:rPr>
          <w:sz w:val="15"/>
          <w:szCs w:val="15"/>
        </w:rPr>
        <w:t xml:space="preserve">   </w:t>
      </w:r>
      <w:r>
        <w:rPr>
          <w:b/>
          <w:bCs/>
          <w:color w:val="333B47"/>
          <w:sz w:val="15"/>
          <w:szCs w:val="15"/>
        </w:rPr>
        <w:t xml:space="preserve">Published in: </w:t>
      </w:r>
      <w:r>
        <w:rPr>
          <w:sz w:val="15"/>
          <w:szCs w:val="15"/>
        </w:rPr>
        <w:t xml:space="preserve">Mathematics of Computation, 94(354), 1863–1909 (2025); arXiv 2302.13965</w:t>
      </w:r>
      <w:r>
        <w:rPr>
          <w:sz w:val="15"/>
          <w:szCs w:val="15"/>
        </w:rPr>
        <w:t xml:space="preserve">   </w:t>
      </w:r>
      <w:r>
        <w:rPr>
          <w:b/>
          <w:bCs/>
          <w:color w:val="333B47"/>
          <w:sz w:val="15"/>
          <w:szCs w:val="15"/>
        </w:rPr>
        <w:t xml:space="preserve">Link: </w:t>
      </w:r>
      <w:hyperlink w:history="1" r:id="rIddq-7a_ti5j2h_vbkbnv-q">
        <w:r>
          <w:rPr>
            <w:color w:val="1D4ED8"/>
            <w:sz w:val="15"/>
            <w:szCs w:val="15"/>
            <w:u w:val="single"/>
          </w:rPr>
          <w:t xml:space="preserve">https://doi.org/10.1090/mcom/4013</w:t>
        </w:r>
      </w:hyperlink>
    </w:p>
    <w:p>
      <w:pPr>
        <w:keepNext/>
        <w:spacing w:after="80" w:line="240" w:lineRule="auto"/>
      </w:pPr>
      <w:r>
        <w:rPr>
          <w:b/>
          <w:bCs/>
          <w:color w:val="333B47"/>
          <w:sz w:val="15"/>
          <w:szCs w:val="15"/>
        </w:rPr>
        <w:t xml:space="preserve">Affiliation: </w:t>
      </w:r>
      <w:r>
        <w:rPr>
          <w:color w:val="3A4350"/>
          <w:sz w:val="15"/>
          <w:szCs w:val="15"/>
        </w:rPr>
        <w:t xml:space="preserve">Ricardo Baptista, Computing and Mathematical Sciences, California Institute of Technology (manuscript author block, per a search summary); the CaltechAUTHORS record 2esy9-1vt19 lists the published version. Sagiv via the NJIT research portal, Marzouk via the MIT UQ group publication list. Volume, issue and pages from the NJIT (Scopus-based) record. The DOI was seen in the reference list of a citing paper, not on the AMS landing page.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B4410C"/>
          <w:sz w:val="17"/>
          <w:szCs w:val="17"/>
        </w:rPr>
        <w:t xml:space="preserve">Summary. </w:t>
      </w:r>
      <w:r>
        <w:rPr>
          <w:sz w:val="17"/>
          <w:szCs w:val="17"/>
        </w:rPr>
        <w:t xml:space="preserve">Transport-based samplers represent a target (posterior) measure as the pushforward </w:t>
      </w:r>
      <m:oMath>
        <m:sSub>
          <m:e>
            <m:r>
              <m:t>T</m:t>
            </m:r>
          </m:e>
          <m:sub>
            <m:r>
              <m:rPr>
                <m:sty m:val="p"/>
              </m:rPr>
              <m:t>♯</m:t>
            </m:r>
          </m:sub>
        </m:sSub>
        <m:r>
          <m:t>η</m:t>
        </m:r>
      </m:oMath>
      <w:r>
        <w:rPr>
          <w:sz w:val="17"/>
          <w:szCs w:val="17"/>
        </w:rPr>
        <w:t xml:space="preserve"> of a simple reference </w:t>
      </w:r>
      <m:oMath>
        <m:r>
          <m:t>η</m:t>
        </m:r>
      </m:oMath>
      <w:r>
        <w:rPr>
          <w:sz w:val="17"/>
          <w:szCs w:val="17"/>
        </w:rPr>
        <w:t xml:space="preserve"> by a map </w:t>
      </w:r>
      <m:oMath>
        <m:r>
          <m:t>T</m:t>
        </m:r>
      </m:oMath>
      <w:r>
        <w:rPr>
          <w:sz w:val="17"/>
          <w:szCs w:val="17"/>
        </w:rPr>
        <w:t xml:space="preserve">. The paper gives a priori error estimates in the continuum limit: the target density is known, but the map is approximated in a finite-dimensional function space. Its key new ingredient is a family of stability estimates bounding the distance or divergence between two pushforward measures by the distance between the maps. Combined with regularity theory for transport maps and high-dimensional approximation theory, these yield quantitative convergence rates in Wasserstein distance, maximum mean discrepancy and Kullback–Leibler divergence, with specialised rates for triangular Knöthe–Rosenblatt maps, illustrated by numerical experiments.</w:t>
      </w:r>
    </w:p>
    <w:p>
      <w:pPr>
        <w:keepNext/>
        <w:spacing w:after="20" w:before="40"/>
      </w:pPr>
      <w:r>
        <w:rPr>
          <w:b/>
          <w:bCs/>
          <w:color w:val="B4410C"/>
          <w:sz w:val="17"/>
          <w:szCs w:val="17"/>
        </w:rPr>
        <w:t xml:space="preserve">Key equation.</w:t>
      </w:r>
      <w:r>
        <w:rPr>
          <w:i/>
          <w:iCs/>
          <w:color w:val="5B6573"/>
          <w:sz w:val="15"/>
          <w:szCs w:val="15"/>
        </w:rPr>
        <w:t xml:space="preserve">  Stability estimate that turns a map error into a pushforward error, Wasserstein case (representative formulation; the paper also has MMD and KL versions)</w:t>
      </w:r>
    </w:p>
    <w:p>
      <w:pPr>
        <w:pStyle w:val="Equation"/>
      </w:pPr>
      <m:oMathPara>
        <m:oMathParaPr>
          <m:jc m:val="center"/>
        </m:oMathParaPr>
        <m:oMath>
          <m:sSub>
            <m:e>
              <m:r>
                <m:t>W</m:t>
              </m:r>
            </m:e>
            <m:sub>
              <m:r>
                <m:t>p</m:t>
              </m:r>
            </m:sub>
          </m:sSub>
          <m:d>
            <m:dPr>
              <m:begChr m:val="("/>
              <m:sepChr m:val=""/>
              <m:endChr m:val=")"/>
              <m:grow/>
            </m:dPr>
            <m:e>
              <m:sSub>
                <m:e>
                  <m:r>
                    <m:t>T</m:t>
                  </m:r>
                </m:e>
                <m:sub>
                  <m:r>
                    <m:rPr>
                      <m:sty m:val="p"/>
                    </m:rPr>
                    <m:t>♯</m:t>
                  </m:r>
                </m:sub>
              </m:sSub>
              <m:r>
                <m:t>η</m:t>
              </m:r>
              <m:r>
                <m:rPr>
                  <m:sty m:val="p"/>
                </m:rPr>
                <m:t>,</m:t>
              </m:r>
              <m:r>
                <m:t> </m:t>
              </m:r>
              <m:sSub>
                <m:e>
                  <m:r>
                    <m:t>S</m:t>
                  </m:r>
                </m:e>
                <m:sub>
                  <m:r>
                    <m:rPr>
                      <m:sty m:val="p"/>
                    </m:rPr>
                    <m:t>♯</m:t>
                  </m:r>
                </m:sub>
              </m:sSub>
              <m:r>
                <m:t>η</m:t>
              </m:r>
            </m:e>
          </m:d>
          <m:r>
            <m:rPr>
              <m:sty m:val="p"/>
            </m:rPr>
            <m:t>≤</m:t>
          </m:r>
          <m:sSub>
            <m:e>
              <m:d>
                <m:dPr>
                  <m:begChr m:val="∥"/>
                  <m:sepChr m:val=""/>
                  <m:endChr m:val="∥"/>
                  <m:grow/>
                </m:dPr>
                <m:e>
                  <m:r>
                    <m:t>T</m:t>
                  </m:r>
                  <m:r>
                    <m:rPr>
                      <m:sty m:val="p"/>
                    </m:rPr>
                    <m:t>−</m:t>
                  </m:r>
                  <m:r>
                    <m:t>S</m:t>
                  </m:r>
                </m:e>
              </m:d>
            </m:e>
            <m:sub>
              <m:sSup>
                <m:e>
                  <m:r>
                    <m:t>L</m:t>
                  </m:r>
                </m:e>
                <m:sup>
                  <m:r>
                    <m:t>p</m:t>
                  </m:r>
                </m:sup>
              </m:sSup>
              <m:d>
                <m:dPr>
                  <m:begChr m:val="("/>
                  <m:sepChr m:val=""/>
                  <m:endChr m:val=")"/>
                  <m:grow/>
                </m:dPr>
                <m:e>
                  <m:r>
                    <m:t>η</m:t>
                  </m:r>
                </m:e>
              </m:d>
            </m:sub>
          </m:sSub>
          <m:r>
            <m:rPr>
              <m:sty m:val="p"/>
            </m:rPr>
            <m:t>,</m:t>
          </m:r>
          <m:r>
            <m:t>  </m:t>
          </m:r>
          <m:sSub>
            <m:e>
              <m:r>
                <m:t>W</m:t>
              </m:r>
            </m:e>
            <m:sub>
              <m:r>
                <m:t>p</m:t>
              </m:r>
            </m:sub>
          </m:sSub>
          <m:d>
            <m:dPr>
              <m:begChr m:val="("/>
              <m:sepChr m:val=""/>
              <m:endChr m:val=")"/>
              <m:grow/>
            </m:dPr>
            <m:e>
              <m:r>
                <m:t>ν</m:t>
              </m:r>
              <m:r>
                <m:rPr>
                  <m:sty m:val="p"/>
                </m:rPr>
                <m:t>,</m:t>
              </m:r>
              <m:r>
                <m:t> </m:t>
              </m:r>
              <m:sSub>
                <m:e>
                  <m:acc>
                    <m:accPr>
                      <m:chr m:val="̂"/>
                    </m:accPr>
                    <m:e>
                      <m:r>
                        <m:t>T</m:t>
                      </m:r>
                    </m:e>
                  </m:acc>
                </m:e>
                <m:sub>
                  <m:r>
                    <m:rPr>
                      <m:sty m:val="p"/>
                    </m:rPr>
                    <m:t>♯</m:t>
                  </m:r>
                </m:sub>
              </m:sSub>
              <m:r>
                <m:t>η</m:t>
              </m:r>
            </m:e>
          </m:d>
          <m:r>
            <m:rPr>
              <m:sty m:val="p"/>
            </m:rPr>
            <m:t>≤</m:t>
          </m:r>
          <m:sSub>
            <m:e>
              <m:d>
                <m:dPr>
                  <m:begChr m:val="∥"/>
                  <m:sepChr m:val=""/>
                  <m:endChr m:val="∥"/>
                  <m:grow/>
                </m:dPr>
                <m:e>
                  <m:sSup>
                    <m:e>
                      <m:r>
                        <m:t>T</m:t>
                      </m:r>
                    </m:e>
                    <m:sup>
                      <m:r>
                        <m:rPr>
                          <m:sty m:val="p"/>
                        </m:rPr>
                        <m:t>†</m:t>
                      </m:r>
                    </m:sup>
                  </m:sSup>
                  <m:r>
                    <m:rPr>
                      <m:sty m:val="p"/>
                    </m:rPr>
                    <m:t>−</m:t>
                  </m:r>
                  <m:acc>
                    <m:accPr>
                      <m:chr m:val="̂"/>
                    </m:accPr>
                    <m:e>
                      <m:r>
                        <m:t>T</m:t>
                      </m:r>
                    </m:e>
                  </m:acc>
                </m:e>
              </m:d>
            </m:e>
            <m:sub>
              <m:sSup>
                <m:e>
                  <m:r>
                    <m:t>L</m:t>
                  </m:r>
                </m:e>
                <m:sup>
                  <m:r>
                    <m:t>p</m:t>
                  </m:r>
                </m:sup>
              </m:sSup>
              <m:d>
                <m:dPr>
                  <m:begChr m:val="("/>
                  <m:sepChr m:val=""/>
                  <m:endChr m:val=")"/>
                  <m:grow/>
                </m:dPr>
                <m:e>
                  <m:r>
                    <m:t>η</m:t>
                  </m:r>
                </m:e>
              </m:d>
            </m:sub>
          </m:sSub>
          <m:r>
            <m:t> </m:t>
          </m:r>
          <m:r>
            <m:rPr>
              <m:nor/>
            </m:rPr>
            <m:t>if</m:t>
          </m:r>
          <m:r>
            <m:t> </m:t>
          </m:r>
          <m:sSubSup>
            <m:e>
              <m:r>
                <m:t>T</m:t>
              </m:r>
            </m:e>
            <m:sub>
              <m:r>
                <m:rPr>
                  <m:sty m:val="p"/>
                </m:rPr>
                <m:t>♯</m:t>
              </m:r>
            </m:sub>
            <m:sup>
              <m:r>
                <m:rPr>
                  <m:sty m:val="p"/>
                </m:rPr>
                <m:t>†</m:t>
              </m:r>
            </m:sup>
          </m:sSubSup>
          <m:r>
            <m:t>η</m:t>
          </m:r>
          <m:r>
            <m:rPr>
              <m:sty m:val="p"/>
            </m:rPr>
            <m:t>=</m:t>
          </m:r>
          <m:r>
            <m:t>ν</m:t>
          </m:r>
        </m:oMath>
      </m:oMathPara>
    </w:p>
    <w:p>
      <w:pPr>
        <w:spacing w:after="60"/>
        <w:jc w:val="both"/>
      </w:pPr>
      <m:oMath>
        <m:r>
          <m:t>η</m:t>
        </m:r>
      </m:oMath>
      <w:r>
        <w:rPr>
          <w:color w:val="3A4350"/>
          <w:sz w:val="15"/>
          <w:szCs w:val="15"/>
        </w:rPr>
        <w:t xml:space="preserve"> is the reference measure (e.g. a standard Gaussian), </w:t>
      </w:r>
      <m:oMath>
        <m:r>
          <m:t>ν</m:t>
        </m:r>
      </m:oMath>
      <w:r>
        <w:rPr>
          <w:color w:val="3A4350"/>
          <w:sz w:val="15"/>
          <w:szCs w:val="15"/>
        </w:rPr>
        <w:t xml:space="preserve"> the target posterior, </w:t>
      </w:r>
      <m:oMath>
        <m:sSup>
          <m:e>
            <m:r>
              <m:t>T</m:t>
            </m:r>
          </m:e>
          <m:sup>
            <m:r>
              <m:rPr>
                <m:sty m:val="p"/>
              </m:rPr>
              <m:t>†</m:t>
            </m:r>
          </m:sup>
        </m:sSup>
      </m:oMath>
      <w:r>
        <w:rPr>
          <w:color w:val="3A4350"/>
          <w:sz w:val="15"/>
          <w:szCs w:val="15"/>
        </w:rPr>
        <w:t xml:space="preserve"> an exact transport map with </w:t>
      </w:r>
      <m:oMath>
        <m:sSubSup>
          <m:e>
            <m:r>
              <m:t>T</m:t>
            </m:r>
          </m:e>
          <m:sub>
            <m:r>
              <m:rPr>
                <m:sty m:val="p"/>
              </m:rPr>
              <m:t>♯</m:t>
            </m:r>
          </m:sub>
          <m:sup>
            <m:r>
              <m:rPr>
                <m:sty m:val="p"/>
              </m:rPr>
              <m:t>†</m:t>
            </m:r>
          </m:sup>
        </m:sSubSup>
        <m:r>
          <m:t>η</m:t>
        </m:r>
        <m:r>
          <m:rPr>
            <m:sty m:val="p"/>
          </m:rPr>
          <m:t>=</m:t>
        </m:r>
        <m:r>
          <m:t>ν</m:t>
        </m:r>
      </m:oMath>
      <w:r>
        <w:rPr>
          <w:color w:val="3A4350"/>
          <w:sz w:val="15"/>
          <w:szCs w:val="15"/>
        </w:rPr>
        <w:t xml:space="preserve"> and </w:t>
      </w:r>
      <m:oMath>
        <m:acc>
          <m:accPr>
            <m:chr m:val="̂"/>
          </m:accPr>
          <m:e>
            <m:r>
              <m:t>T</m:t>
            </m:r>
          </m:e>
        </m:acc>
      </m:oMath>
      <w:r>
        <w:rPr>
          <w:color w:val="3A4350"/>
          <w:sz w:val="15"/>
          <w:szCs w:val="15"/>
        </w:rPr>
        <w:t xml:space="preserve"> its finite-dimensional approximation; the paper derives analogous bounds for the maximum mean discrepancy and the Kullback–Leibler divergence, and approximation rates for </w:t>
      </w:r>
      <m:oMath>
        <m:d>
          <m:dPr>
            <m:begChr m:val="∥"/>
            <m:sepChr m:val=""/>
            <m:endChr m:val="∥"/>
            <m:grow/>
          </m:dPr>
          <m:e>
            <m:sSup>
              <m:e>
                <m:r>
                  <m:t>T</m:t>
                </m:r>
              </m:e>
              <m:sup>
                <m:r>
                  <m:rPr>
                    <m:sty m:val="p"/>
                  </m:rPr>
                  <m:t>†</m:t>
                </m:r>
              </m:sup>
            </m:sSup>
            <m:r>
              <m:rPr>
                <m:sty m:val="p"/>
              </m:rPr>
              <m:t>−</m:t>
            </m:r>
            <m:acc>
              <m:accPr>
                <m:chr m:val="̂"/>
              </m:accPr>
              <m:e>
                <m:r>
                  <m:t>T</m:t>
                </m:r>
              </m:e>
            </m:acc>
          </m:e>
        </m:d>
      </m:oMath>
      <w:r>
        <w:rPr>
          <w:color w:val="3A4350"/>
          <w:sz w:val="15"/>
          <w:szCs w:val="15"/>
        </w:rPr>
        <w:t xml:space="preserve">.</w:t>
      </w:r>
    </w:p>
    <w:p>
      <w:pPr>
        <w:spacing w:after="60"/>
        <w:jc w:val="both"/>
      </w:pPr>
      <w:r>
        <w:rPr>
          <w:b/>
          <w:bCs/>
          <w:color w:val="B4410C"/>
          <w:sz w:val="17"/>
          <w:szCs w:val="17"/>
        </w:rPr>
        <w:t xml:space="preserve">Link to the MAR scheme. </w:t>
      </w:r>
      <w:r>
        <w:rPr>
          <w:sz w:val="17"/>
          <w:szCs w:val="17"/>
        </w:rPr>
        <w:t xml:space="preserve">Belongs to theme C (uncertainty quantification, Caltech). For 12 zonal log-conductivities a triangular map from the facies prior to the posterior is cheap. Through Pinsker's inequality the KL bound limits the error of any probability computed from the map, e.g. </w:t>
      </w:r>
      <m:oMath>
        <m:r>
          <m:t>P</m:t>
        </m:r>
        <m:d>
          <m:dPr>
            <m:begChr m:val="("/>
            <m:sepChr m:val=""/>
            <m:endChr m:val=")"/>
            <m:grow/>
          </m:dPr>
          <m:e>
            <m:sSub>
              <m:e>
                <m:r>
                  <m:t>h</m:t>
                </m:r>
              </m:e>
              <m:sub>
                <m:r>
                  <m:t>A</m:t>
                </m:r>
                <m:r>
                  <m:t>1</m:t>
                </m:r>
              </m:sub>
            </m:sSub>
            <m:r>
              <m:rPr>
                <m:sty m:val="p"/>
              </m:rPr>
              <m:t>&lt;</m:t>
            </m:r>
            <m:r>
              <m:t>1.0</m:t>
            </m:r>
            <m:r>
              <m:t> </m:t>
            </m:r>
            <m:r>
              <m:rPr>
                <m:nor/>
              </m:rPr>
              <m:t>m</m:t>
            </m:r>
          </m:e>
        </m:d>
      </m:oMath>
      <w:r>
        <w:rPr>
          <w:sz w:val="17"/>
          <w:szCs w:val="17"/>
        </w:rPr>
        <w:t xml:space="preserve"> under a recharge scheme; the Wasserstein bound controls Lipschitz risks such as the CVaR of the head deficit.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provides a general a priori error theory for transport-based samplers, turning approximation rates for maps into guaranteed accuracy of the sampled distribution in three standard metrics, with new stability estimates of independent interest (the abstract's words). Published in Mathematics of Computation, 94(354), 2025.</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estimates assume the target density is known exactly; in the aquifer each density evaluation needs a groundwater solve and maps are fitted from finitely many runs. A combined bound covering map class, sample size and solver error for an intrusion probability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stability estimates that convert map error into Wasserstein, MMD and KL error of the pushforward, combined with transport-map regularity to give explicit rates, including for Knöthe–Rosenblatt maps. Proposed extension: fit triangular maps of increasing polynomial degree to the 12-parameter Fushë-Kuqe posterior, compute the certified bound on the intrusion probability at A1 and P10 for a fixed recharge scheme, and compare it with the error measured against a long MCMC reference.</w:t>
      </w:r>
    </w:p>
    <w:p>
      <w:pPr>
        <w:keepNext/>
        <w:pBdr>
          <w:top w:val="single" w:color="B4410C" w:sz="6" w:space="4"/>
        </w:pBdr>
        <w:spacing w:after="60" w:before="220"/>
      </w:pPr>
      <w:r>
        <w:rPr>
          <w:b/>
          <w:bCs/>
          <w:color w:val="B4410C"/>
          <w:sz w:val="23"/>
          <w:szCs w:val="23"/>
        </w:rPr>
        <w:t xml:space="preserve">C3  </w:t>
      </w:r>
      <w:r>
        <w:rPr>
          <w:b/>
          <w:bCs/>
          <w:color w:val="1F3864"/>
          <w:sz w:val="23"/>
          <w:szCs w:val="23"/>
        </w:rPr>
        <w:t xml:space="preserve">Gaussian Measures Conditioned on Nonlinear Observations: Consistency, MAP Estimators, and Simulation</w:t>
      </w:r>
    </w:p>
    <w:p>
      <w:pPr>
        <w:keepNext/>
        <w:spacing w:after="60" w:line="240" w:lineRule="auto"/>
      </w:pPr>
      <w:r>
        <w:rPr>
          <w:b/>
          <w:bCs/>
          <w:color w:val="333B47"/>
          <w:sz w:val="15"/>
          <w:szCs w:val="15"/>
        </w:rPr>
        <w:t xml:space="preserve">Authors: </w:t>
      </w:r>
      <w:r>
        <w:rPr>
          <w:sz w:val="15"/>
          <w:szCs w:val="15"/>
        </w:rPr>
        <w:t xml:space="preserve">Yifan Chen, Bamdad Hosseini, Houman Owhadi, Andrew M. Stuart</w:t>
      </w:r>
      <w:r>
        <w:rPr>
          <w:sz w:val="15"/>
          <w:szCs w:val="15"/>
        </w:rPr>
        <w:t xml:space="preserve">   </w:t>
      </w:r>
      <w:r>
        <w:rPr>
          <w:b/>
          <w:bCs/>
          <w:color w:val="333B47"/>
          <w:sz w:val="15"/>
          <w:szCs w:val="15"/>
        </w:rPr>
        <w:t xml:space="preserve">Published in: </w:t>
      </w:r>
      <w:r>
        <w:rPr>
          <w:sz w:val="15"/>
          <w:szCs w:val="15"/>
        </w:rPr>
        <w:t xml:space="preserve">Statistics and Computing, 35(1), article 10 (2025); arXiv 2405.13149</w:t>
      </w:r>
      <w:r>
        <w:rPr>
          <w:sz w:val="15"/>
          <w:szCs w:val="15"/>
        </w:rPr>
        <w:t xml:space="preserve">   </w:t>
      </w:r>
      <w:r>
        <w:rPr>
          <w:b/>
          <w:bCs/>
          <w:color w:val="333B47"/>
          <w:sz w:val="15"/>
          <w:szCs w:val="15"/>
        </w:rPr>
        <w:t xml:space="preserve">Link: </w:t>
      </w:r>
      <w:hyperlink w:history="1" r:id="rIdg2x46mtrbc3csbnhrp8c4">
        <w:r>
          <w:rPr>
            <w:color w:val="1D4ED8"/>
            <w:sz w:val="15"/>
            <w:szCs w:val="15"/>
            <w:u w:val="single"/>
          </w:rPr>
          <w:t xml:space="preserve">https://doi.org/10.1007/s11222-024-10535-0</w:t>
        </w:r>
      </w:hyperlink>
    </w:p>
    <w:p>
      <w:pPr>
        <w:keepNext/>
        <w:spacing w:after="80" w:line="240" w:lineRule="auto"/>
      </w:pPr>
      <w:r>
        <w:rPr>
          <w:b/>
          <w:bCs/>
          <w:color w:val="333B47"/>
          <w:sz w:val="15"/>
          <w:szCs w:val="15"/>
        </w:rPr>
        <w:t xml:space="preserve">Affiliation: </w:t>
      </w:r>
      <w:r>
        <w:rPr>
          <w:color w:val="3A4350"/>
          <w:sz w:val="15"/>
          <w:szCs w:val="15"/>
        </w:rPr>
        <w:t xml:space="preserve">Houman Owhadi and Andrew M. Stuart, Department of Computing and Mathematical Sciences, California Institute of Technology; Yifan Chen, Courant Institute of Mathematical Sciences, New York University; Bamdad Hosseini, Department of Applied Mathematics, University of Washington (author block, per a search summary). Volume, issue, article number and DOI from the same search; a library (EDS/OpenAIRE) record gives the same DOI.</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Gaussian-process solvers for nonlinear PDEs and many Bayesian inverse problems condition a Gaussian random element </w:t>
      </w:r>
      <m:oMath>
        <m:r>
          <m:t>ξ</m:t>
        </m:r>
      </m:oMath>
      <w:r>
        <w:rPr>
          <w:sz w:val="17"/>
          <w:szCs w:val="17"/>
        </w:rPr>
        <w:t xml:space="preserve"> on nonlinear observations </w:t>
      </w:r>
      <m:oMath>
        <m:r>
          <m:t>F</m:t>
        </m:r>
        <m:d>
          <m:dPr>
            <m:begChr m:val="("/>
            <m:sepChr m:val=""/>
            <m:endChr m:val=")"/>
            <m:grow/>
          </m:dPr>
          <m:e>
            <m:r>
              <m:t>ϕ</m:t>
            </m:r>
            <m:d>
              <m:dPr>
                <m:begChr m:val="("/>
                <m:sepChr m:val=""/>
                <m:endChr m:val=")"/>
                <m:grow/>
              </m:dPr>
              <m:e>
                <m:r>
                  <m:t>ξ</m:t>
                </m:r>
              </m:e>
            </m:d>
          </m:e>
        </m:d>
      </m:oMath>
      <w:r>
        <w:rPr>
          <w:sz w:val="17"/>
          <w:szCs w:val="17"/>
        </w:rPr>
        <w:t xml:space="preserve">, where </w:t>
      </w:r>
      <m:oMath>
        <m:r>
          <m:t>ϕ</m:t>
        </m:r>
      </m:oMath>
      <w:r>
        <w:rPr>
          <w:sz w:val="17"/>
          <w:szCs w:val="17"/>
        </w:rPr>
        <w:t xml:space="preserve"> is a bounded linear map into </w:t>
      </w:r>
      <m:oMath>
        <m:sSup>
          <m:e>
            <m:r>
              <m:rPr>
                <m:scr m:val="double-struck"/>
                <m:sty m:val="p"/>
              </m:rPr>
              <m:t>R</m:t>
            </m:r>
          </m:e>
          <m:sup>
            <m:r>
              <m:t>N</m:t>
            </m:r>
          </m:sup>
        </m:sSup>
      </m:oMath>
      <w:r>
        <w:rPr>
          <w:sz w:val="17"/>
          <w:szCs w:val="17"/>
        </w:rPr>
        <w:t xml:space="preserve"> and </w:t>
      </w:r>
      <m:oMath>
        <m:r>
          <m:t>F</m:t>
        </m:r>
      </m:oMath>
      <w:r>
        <w:rPr>
          <w:sz w:val="17"/>
          <w:szCs w:val="17"/>
        </w:rPr>
        <w:t xml:space="preserve"> is nonlinear. The paper studies this conditioning systematically. A representer theorem shows that the conditioned variable is the sum of an infinite-dimensional Gaussian, identified analytically, and a finite-dimensional non-Gaussian part. A new notion of the mode of the conditional measure is defined as the limit of the natural relaxation of the problem, so that existing MAP theory applies, and a variant of the Laplace approximation gives efficient simulation for uncertainty quantification.</w:t>
      </w:r>
    </w:p>
    <w:p>
      <w:pPr>
        <w:keepNext/>
        <w:spacing w:after="20" w:before="40"/>
      </w:pPr>
      <w:r>
        <w:rPr>
          <w:b/>
          <w:bCs/>
          <w:color w:val="B4410C"/>
          <w:sz w:val="17"/>
          <w:szCs w:val="17"/>
        </w:rPr>
        <w:t xml:space="preserve">Key equation.</w:t>
      </w:r>
      <w:r>
        <w:rPr>
          <w:i/>
          <w:iCs/>
          <w:color w:val="5B6573"/>
          <w:sz w:val="15"/>
          <w:szCs w:val="15"/>
        </w:rPr>
        <w:t xml:space="preserve">  Representer theorem: the conditioned Gaussian splits into an analytic Gaussian part and a finite-dimensional non-Gaussian part (representative formulation)</w:t>
      </w:r>
    </w:p>
    <w:p>
      <w:pPr>
        <w:pStyle w:val="Equation"/>
      </w:pPr>
      <m:oMathPara>
        <m:oMathParaPr>
          <m:jc m:val="center"/>
        </m:oMathParaPr>
        <m:oMath>
          <m:r>
            <m:t>ξ</m:t>
          </m:r>
          <m:r>
            <m:rPr>
              <m:sty m:val="p"/>
            </m:rPr>
            <m:t>∣</m:t>
          </m:r>
          <m:d>
            <m:dPr>
              <m:begChr m:val="{"/>
              <m:sepChr m:val=""/>
              <m:endChr m:val="}"/>
              <m:grow/>
            </m:dPr>
            <m:e>
              <m:r>
                <m:t>F</m:t>
              </m:r>
              <m:d>
                <m:dPr>
                  <m:begChr m:val="("/>
                  <m:sepChr m:val=""/>
                  <m:endChr m:val=")"/>
                  <m:grow/>
                </m:dPr>
                <m:e>
                  <m:r>
                    <m:t>ϕ</m:t>
                  </m:r>
                  <m:d>
                    <m:dPr>
                      <m:begChr m:val="("/>
                      <m:sepChr m:val=""/>
                      <m:endChr m:val=")"/>
                      <m:grow/>
                    </m:dPr>
                    <m:e>
                      <m:r>
                        <m:t>ξ</m:t>
                      </m:r>
                    </m:e>
                  </m:d>
                </m:e>
              </m:d>
              <m:r>
                <m:rPr>
                  <m:sty m:val="p"/>
                </m:rPr>
                <m:t>=</m:t>
              </m:r>
              <m:r>
                <m:t>y</m:t>
              </m:r>
            </m:e>
          </m:d>
          <m:limUpp>
            <m:e>
              <m:r>
                <m:rPr>
                  <m:sty m:val="p"/>
                </m:rPr>
                <m:t>=</m:t>
              </m:r>
            </m:e>
            <m:lim>
              <m:r>
                <m:t>d</m:t>
              </m:r>
            </m:lim>
          </m:limUpp>
          <m:r>
            <m:rPr>
              <m:scr m:val="script"/>
              <m:sty m:val="p"/>
            </m:rPr>
            <m:t>K</m:t>
          </m:r>
          <m:sSup>
            <m:e>
              <m:r>
                <m:t>ϕ</m:t>
              </m:r>
            </m:e>
            <m:sup>
              <m:r>
                <m:rPr>
                  <m:sty m:val="p"/>
                </m:rPr>
                <m:t>⋆</m:t>
              </m:r>
            </m:sup>
          </m:sSup>
          <m:sSup>
            <m:e>
              <m:r>
                <m:t>Θ</m:t>
              </m:r>
            </m:e>
            <m:sup>
              <m:r>
                <m:rPr>
                  <m:sty m:val="p"/>
                </m:rPr>
                <m:t>−</m:t>
              </m:r>
              <m:r>
                <m:t>1</m:t>
              </m:r>
            </m:sup>
          </m:sSup>
          <m:r>
            <m:t>z</m:t>
          </m:r>
          <m:r>
            <m:rPr>
              <m:sty m:val="p"/>
            </m:rPr>
            <m:t>+</m:t>
          </m:r>
          <m:r>
            <m:t>ζ</m:t>
          </m:r>
          <m:r>
            <m:rPr>
              <m:sty m:val="p"/>
            </m:rPr>
            <m:t>,</m:t>
          </m:r>
          <m:r>
            <m:t> </m:t>
          </m:r>
          <m:r>
            <m:t>z</m:t>
          </m:r>
          <m:r>
            <m:rPr>
              <m:sty m:val="p"/>
            </m:rPr>
            <m:t>∼</m:t>
          </m:r>
          <m:r>
            <m:t>N</m:t>
          </m:r>
          <m:d>
            <m:dPr>
              <m:begChr m:val="("/>
              <m:sepChr m:val=""/>
              <m:endChr m:val=")"/>
              <m:grow/>
            </m:dPr>
            <m:e>
              <m:r>
                <m:t>0</m:t>
              </m:r>
              <m:r>
                <m:rPr>
                  <m:sty m:val="p"/>
                </m:rPr>
                <m:t>,</m:t>
              </m:r>
              <m:r>
                <m:t>Θ</m:t>
              </m:r>
            </m:e>
          </m:d>
          <m:r>
            <m:rPr>
              <m:sty m:val="p"/>
            </m:rPr>
            <m:t>∣</m:t>
          </m:r>
          <m:d>
            <m:dPr>
              <m:begChr m:val="{"/>
              <m:sepChr m:val=""/>
              <m:endChr m:val="}"/>
              <m:grow/>
            </m:dPr>
            <m:e>
              <m:r>
                <m:t>F</m:t>
              </m:r>
              <m:d>
                <m:dPr>
                  <m:begChr m:val="("/>
                  <m:sepChr m:val=""/>
                  <m:endChr m:val=")"/>
                  <m:grow/>
                </m:dPr>
                <m:e>
                  <m:r>
                    <m:t>z</m:t>
                  </m:r>
                </m:e>
              </m:d>
              <m:r>
                <m:rPr>
                  <m:sty m:val="p"/>
                </m:rPr>
                <m:t>=</m:t>
              </m:r>
              <m:r>
                <m:t>y</m:t>
              </m:r>
            </m:e>
          </m:d>
          <m:r>
            <m:rPr>
              <m:sty m:val="p"/>
            </m:rPr>
            <m:t>,</m:t>
          </m:r>
          <m:r>
            <m:t> </m:t>
          </m:r>
          <m:r>
            <m:t>ζ</m:t>
          </m:r>
          <m:r>
            <m:rPr>
              <m:sty m:val="p"/>
            </m:rPr>
            <m:t>∼</m:t>
          </m:r>
          <m:r>
            <m:t>N</m:t>
          </m:r>
          <m:d>
            <m:dPr>
              <m:begChr m:val="("/>
              <m:sepChr m:val=""/>
              <m:endChr m:val=")"/>
              <m:grow/>
            </m:dPr>
            <m:e>
              <m:r>
                <m:t>0</m:t>
              </m:r>
              <m:r>
                <m:rPr>
                  <m:sty m:val="p"/>
                </m:rPr>
                <m:t>,</m:t>
              </m:r>
              <m:r>
                <m:rPr>
                  <m:scr m:val="script"/>
                  <m:sty m:val="p"/>
                </m:rPr>
                <m:t>K</m:t>
              </m:r>
              <m:r>
                <m:rPr>
                  <m:sty m:val="p"/>
                </m:rPr>
                <m:t>−</m:t>
              </m:r>
              <m:r>
                <m:rPr>
                  <m:scr m:val="script"/>
                  <m:sty m:val="p"/>
                </m:rPr>
                <m:t>K</m:t>
              </m:r>
              <m:sSup>
                <m:e>
                  <m:r>
                    <m:t>ϕ</m:t>
                  </m:r>
                </m:e>
                <m:sup>
                  <m:r>
                    <m:rPr>
                      <m:sty m:val="p"/>
                    </m:rPr>
                    <m:t>⋆</m:t>
                  </m:r>
                </m:sup>
              </m:sSup>
              <m:sSup>
                <m:e>
                  <m:r>
                    <m:t>Θ</m:t>
                  </m:r>
                </m:e>
                <m:sup>
                  <m:r>
                    <m:rPr>
                      <m:sty m:val="p"/>
                    </m:rPr>
                    <m:t>−</m:t>
                  </m:r>
                  <m:r>
                    <m:t>1</m:t>
                  </m:r>
                </m:sup>
              </m:sSup>
              <m:r>
                <m:t>ϕ</m:t>
              </m:r>
              <m:r>
                <m:rPr>
                  <m:scr m:val="script"/>
                  <m:sty m:val="p"/>
                </m:rPr>
                <m:t>K</m:t>
              </m:r>
            </m:e>
          </m:d>
        </m:oMath>
      </m:oMathPara>
    </w:p>
    <w:p>
      <w:pPr>
        <w:spacing w:after="60"/>
        <w:jc w:val="both"/>
      </w:pPr>
      <m:oMath>
        <m:r>
          <m:t>ξ</m:t>
        </m:r>
        <m:r>
          <m:rPr>
            <m:sty m:val="p"/>
          </m:rPr>
          <m:t>∼</m:t>
        </m:r>
        <m:r>
          <m:t>N</m:t>
        </m:r>
        <m:d>
          <m:dPr>
            <m:begChr m:val="("/>
            <m:sepChr m:val=""/>
            <m:endChr m:val=")"/>
            <m:grow/>
          </m:dPr>
          <m:e>
            <m:r>
              <m:t>0</m:t>
            </m:r>
            <m:r>
              <m:rPr>
                <m:sty m:val="p"/>
              </m:rPr>
              <m:t>,</m:t>
            </m:r>
            <m:r>
              <m:rPr>
                <m:scr m:val="script"/>
                <m:sty m:val="p"/>
              </m:rPr>
              <m:t>K</m:t>
            </m:r>
          </m:e>
        </m:d>
      </m:oMath>
      <w:r>
        <w:rPr>
          <w:color w:val="3A4350"/>
          <w:sz w:val="15"/>
          <w:szCs w:val="15"/>
        </w:rPr>
        <w:t xml:space="preserve"> is the Gaussian prior (e.g. a log-transmissivity or head field), </w:t>
      </w:r>
      <m:oMath>
        <m:r>
          <m:t>ϕ</m:t>
        </m:r>
      </m:oMath>
      <w:r>
        <w:rPr>
          <w:color w:val="3A4350"/>
          <w:sz w:val="15"/>
          <w:szCs w:val="15"/>
        </w:rPr>
        <w:t xml:space="preserve"> the linear measurement map, </w:t>
      </w:r>
      <m:oMath>
        <m:r>
          <m:t>Θ</m:t>
        </m:r>
        <m:r>
          <m:rPr>
            <m:sty m:val="p"/>
          </m:rPr>
          <m:t>=</m:t>
        </m:r>
        <m:r>
          <m:t>ϕ</m:t>
        </m:r>
        <m:r>
          <m:rPr>
            <m:scr m:val="script"/>
            <m:sty m:val="p"/>
          </m:rPr>
          <m:t>K</m:t>
        </m:r>
        <m:sSup>
          <m:e>
            <m:r>
              <m:t>ϕ</m:t>
            </m:r>
          </m:e>
          <m:sup>
            <m:r>
              <m:rPr>
                <m:sty m:val="p"/>
              </m:rPr>
              <m:t>⋆</m:t>
            </m:r>
          </m:sup>
        </m:sSup>
      </m:oMath>
      <w:r>
        <w:rPr>
          <w:color w:val="3A4350"/>
          <w:sz w:val="15"/>
          <w:szCs w:val="15"/>
        </w:rPr>
        <w:t xml:space="preserve"> the </w:t>
      </w:r>
      <m:oMath>
        <m:r>
          <m:t>N</m:t>
        </m:r>
        <m:r>
          <m:rPr>
            <m:sty m:val="p"/>
          </m:rPr>
          <m:t>×</m:t>
        </m:r>
        <m:r>
          <m:t>N</m:t>
        </m:r>
      </m:oMath>
      <w:r>
        <w:rPr>
          <w:color w:val="3A4350"/>
          <w:sz w:val="15"/>
          <w:szCs w:val="15"/>
        </w:rPr>
        <w:t xml:space="preserve"> Gram matrix and </w:t>
      </w:r>
      <m:oMath>
        <m:r>
          <m:t>ζ</m:t>
        </m:r>
      </m:oMath>
      <w:r>
        <w:rPr>
          <w:color w:val="3A4350"/>
          <w:sz w:val="15"/>
          <w:szCs w:val="15"/>
        </w:rPr>
        <w:t xml:space="preserve"> independent of </w:t>
      </w:r>
      <m:oMath>
        <m:r>
          <m:t>z</m:t>
        </m:r>
      </m:oMath>
      <w:r>
        <w:rPr>
          <w:color w:val="3A4350"/>
          <w:sz w:val="15"/>
          <w:szCs w:val="15"/>
        </w:rPr>
        <w:t xml:space="preserve">; only the </w:t>
      </w:r>
      <m:oMath>
        <m:r>
          <m:t>N</m:t>
        </m:r>
      </m:oMath>
      <w:r>
        <w:rPr>
          <w:color w:val="3A4350"/>
          <w:sz w:val="15"/>
          <w:szCs w:val="15"/>
        </w:rPr>
        <w:t xml:space="preserve">-dimensional vector </w:t>
      </w:r>
      <m:oMath>
        <m:r>
          <m:t>z</m:t>
        </m:r>
      </m:oMath>
      <w:r>
        <w:rPr>
          <w:color w:val="3A4350"/>
          <w:sz w:val="15"/>
          <w:szCs w:val="15"/>
        </w:rPr>
        <w:t xml:space="preserve"> is non-Gaussian.</w:t>
      </w:r>
    </w:p>
    <w:p>
      <w:pPr>
        <w:spacing w:after="60"/>
        <w:jc w:val="both"/>
      </w:pPr>
      <w:r>
        <w:rPr>
          <w:b/>
          <w:bCs/>
          <w:color w:val="B4410C"/>
          <w:sz w:val="17"/>
          <w:szCs w:val="17"/>
        </w:rPr>
        <w:t xml:space="preserve">Link to the MAR scheme. </w:t>
      </w:r>
      <w:r>
        <w:rPr>
          <w:sz w:val="17"/>
          <w:szCs w:val="17"/>
        </w:rPr>
        <w:t xml:space="preserve">Belongs to theme C (uncertainty quantification, Caltech). Let </w:t>
      </w:r>
      <m:oMath>
        <m:r>
          <m:t>ξ</m:t>
        </m:r>
      </m:oMath>
      <w:r>
        <w:rPr>
          <w:sz w:val="17"/>
          <w:szCs w:val="17"/>
        </w:rPr>
        <w:t xml:space="preserve"> be the log-transmissivity field with its Gaussian facies prior and </w:t>
      </w:r>
      <m:oMath>
        <m:r>
          <m:t>F</m:t>
        </m:r>
        <m:r>
          <m:rPr>
            <m:sty m:val="p"/>
          </m:rPr>
          <m:t>∘</m:t>
        </m:r>
        <m:r>
          <m:t>ϕ</m:t>
        </m:r>
      </m:oMath>
      <w:r>
        <w:rPr>
          <w:sz w:val="17"/>
          <w:szCs w:val="17"/>
        </w:rPr>
        <w:t xml:space="preserve"> the heads at observation wells. The theorem says only the finitely many values the model reads are non-Gaussian; the rest is Gaussian (kriging). Sampling that low-dimensional part and adding the Gaussian remainder gives full-field uncertainty for any recharge scheme.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the measure-theoretic foundation for uncertainty quantification with Gaussian-process PDE solvers, which earlier work (Chen, Hosseini, Owhadi &amp; Stuart 2021, reviewed before) used for point estimates: what is being conditioned, what the most probable solution means, and how to sample it cheaply. Published in Statistics and Computing (2025).</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Observations are exact functions of a Gaussian prior; for the aquifer the non-Gaussian part may be multimodal, since different conductivity patterns can reproduce the same heads. Uniqueness of the relaxation-limit mode here, a precondition for a unique MAP-based siting, remains to be shown.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representer theorem reducing conditioning on nonlinear observations to a finite-dimensional non-Gaussian problem plus an analytic Gaussian, a mode defined through the vanishing-relaxation limit, and a Laplace-type sampler. Proposed extension: sample the 12 zonal values by MCMC, add the analytic Gaussian remainder (within-zone heterogeneity), rerun heads under a candidate recharge scheme, and measure how much the remainder changes the intrusion probabilities at A1 and P10 relative to the zonal model.</w:t>
      </w:r>
    </w:p>
    <w:p>
      <w:pPr>
        <w:keepNext/>
        <w:pBdr>
          <w:top w:val="single" w:color="B4410C" w:sz="6" w:space="4"/>
        </w:pBdr>
        <w:spacing w:after="60" w:before="220"/>
      </w:pPr>
      <w:r>
        <w:rPr>
          <w:b/>
          <w:bCs/>
          <w:color w:val="B4410C"/>
          <w:sz w:val="23"/>
          <w:szCs w:val="23"/>
        </w:rPr>
        <w:t xml:space="preserve">C4  </w:t>
      </w:r>
      <w:r>
        <w:rPr>
          <w:b/>
          <w:bCs/>
          <w:color w:val="1F3864"/>
          <w:sz w:val="23"/>
          <w:szCs w:val="23"/>
        </w:rPr>
        <w:t xml:space="preserve">Derivative-Free Bayesian Inversion Using Multiscale Dynamics</w:t>
      </w:r>
    </w:p>
    <w:p>
      <w:pPr>
        <w:keepNext/>
        <w:spacing w:after="60" w:line="240" w:lineRule="auto"/>
      </w:pPr>
      <w:r>
        <w:rPr>
          <w:b/>
          <w:bCs/>
          <w:color w:val="333B47"/>
          <w:sz w:val="15"/>
          <w:szCs w:val="15"/>
        </w:rPr>
        <w:t xml:space="preserve">Authors: </w:t>
      </w:r>
      <w:r>
        <w:rPr>
          <w:sz w:val="15"/>
          <w:szCs w:val="15"/>
        </w:rPr>
        <w:t xml:space="preserve">Grigorios A. Pavliotis, Andrew M. Stuart, Urbain Vaes</w:t>
      </w:r>
      <w:r>
        <w:rPr>
          <w:sz w:val="15"/>
          <w:szCs w:val="15"/>
        </w:rPr>
        <w:t xml:space="preserve">   </w:t>
      </w:r>
      <w:r>
        <w:rPr>
          <w:b/>
          <w:bCs/>
          <w:color w:val="333B47"/>
          <w:sz w:val="15"/>
          <w:szCs w:val="15"/>
        </w:rPr>
        <w:t xml:space="preserve">Published in: </w:t>
      </w:r>
      <w:r>
        <w:rPr>
          <w:sz w:val="15"/>
          <w:szCs w:val="15"/>
        </w:rPr>
        <w:t xml:space="preserve">SIAM Journal on Applied Dynamical Systems, 21(1), 284–326 (2022; published electronically 24 January 2022); arXiv 2102.00540 (DOI not seen)</w:t>
      </w:r>
      <w:r>
        <w:rPr>
          <w:sz w:val="15"/>
          <w:szCs w:val="15"/>
        </w:rPr>
        <w:t xml:space="preserve">   </w:t>
      </w:r>
      <w:r>
        <w:rPr>
          <w:b/>
          <w:bCs/>
          <w:color w:val="333B47"/>
          <w:sz w:val="15"/>
          <w:szCs w:val="15"/>
        </w:rPr>
        <w:t xml:space="preserve">Link: </w:t>
      </w:r>
      <w:hyperlink w:history="1" r:id="rIddr2tc0cbigwstun8saye4">
        <w:r>
          <w:rPr>
            <w:color w:val="1D4ED8"/>
            <w:sz w:val="15"/>
            <w:szCs w:val="15"/>
            <w:u w:val="single"/>
          </w:rPr>
          <w:t xml:space="preserve">https://authors.library.caltech.edu/records/dne8g-tx986</w:t>
        </w:r>
      </w:hyperlink>
    </w:p>
    <w:p>
      <w:pPr>
        <w:keepNext/>
        <w:spacing w:after="80" w:line="240" w:lineRule="auto"/>
      </w:pPr>
      <w:r>
        <w:rPr>
          <w:b/>
          <w:bCs/>
          <w:color w:val="333B47"/>
          <w:sz w:val="15"/>
          <w:szCs w:val="15"/>
        </w:rPr>
        <w:t xml:space="preserve">Affiliation: </w:t>
      </w:r>
      <w:r>
        <w:rPr>
          <w:color w:val="3A4350"/>
          <w:sz w:val="15"/>
          <w:szCs w:val="15"/>
        </w:rPr>
        <w:t xml:space="preserve">Andrew M. Stuart, California Institute of Technology: the CaltechAUTHORS record dne8g-tx986 lists the paper; Pavliotis via the Imperial College London Spiral record; Vaes via the Inria HAL and Institut Polytechnique de Paris portal records. Department lines of the author block not seen. Volume, issue and pages from the IP Paris portal, the HAL record and the NSF PAR copy in SIAM layout (search summaries).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Ensemble Kalman samplers need no derivatives of the forward model, but they cannot be refined to return the true posterior unless the forward model is linear. The paper proposes a derivative-free alternative for posterior sampling or MAP estimation: a fast/slow system of stochastic differential equations in which the fast process locally approximates the gradient of the log-likelihood inside a Langevin diffusion, using only forward-model evaluations. The method can be preconditioned with ensemble Kalman information and, unlike ensemble Kalman methods, systematically refined. The authors define the methodology and its variants and give a theoretical analysis showing that the method is provably refinable; numerical experiments illustrate it.</w:t>
      </w:r>
    </w:p>
    <w:p>
      <w:pPr>
        <w:keepNext/>
        <w:spacing w:after="20" w:before="40"/>
      </w:pPr>
      <w:r>
        <w:rPr>
          <w:b/>
          <w:bCs/>
          <w:color w:val="B4410C"/>
          <w:sz w:val="17"/>
          <w:szCs w:val="17"/>
        </w:rPr>
        <w:t xml:space="preserve">Key equation.</w:t>
      </w:r>
      <w:r>
        <w:rPr>
          <w:i/>
          <w:iCs/>
          <w:color w:val="5B6573"/>
          <w:sz w:val="15"/>
          <w:szCs w:val="15"/>
        </w:rPr>
        <w:t xml:space="preserve">  Gaussian-perturbation (Stein) identity that lets forward evaluations replace the log-likelihood gradient inside a Langevin diffusion (representative formulation of the principle, not transcribed from the paper)</w:t>
      </w:r>
    </w:p>
    <w:p>
      <w:pPr>
        <w:pStyle w:val="Equation"/>
      </w:pPr>
      <m:oMathPara>
        <m:oMathParaPr>
          <m:jc m:val="center"/>
        </m:oMathParaPr>
        <m:oMath>
          <m:r>
            <m:rPr>
              <m:sty m:val="p"/>
            </m:rPr>
            <m:t>∇</m:t>
          </m:r>
          <m:sSub>
            <m:e>
              <m:r>
                <m:t>Φ</m:t>
              </m:r>
            </m:e>
            <m:sub>
              <m:r>
                <m:t>σ</m:t>
              </m:r>
            </m:sub>
          </m:sSub>
          <m:d>
            <m:dPr>
              <m:begChr m:val="("/>
              <m:sepChr m:val=""/>
              <m:endChr m:val=")"/>
              <m:grow/>
            </m:dPr>
            <m:e>
              <m:r>
                <m:t>x</m:t>
              </m:r>
            </m:e>
          </m:d>
          <m:r>
            <m:rPr>
              <m:sty m:val="p"/>
            </m:rPr>
            <m:t>=</m:t>
          </m:r>
          <m:f>
            <m:fPr>
              <m:type m:val="bar"/>
            </m:fPr>
            <m:num>
              <m:r>
                <m:t>1</m:t>
              </m:r>
            </m:num>
            <m:den>
              <m:r>
                <m:t>σ</m:t>
              </m:r>
            </m:den>
          </m:f>
          <m:r>
            <m:t> </m:t>
          </m:r>
          <m:r>
            <m:rPr>
              <m:scr m:val="double-struck"/>
              <m:sty m:val="p"/>
            </m:rPr>
            <m:t>E</m:t>
          </m:r>
          <m:d>
            <m:dPr>
              <m:begChr m:val="["/>
              <m:sepChr m:val=""/>
              <m:endChr m:val="]"/>
              <m:grow/>
            </m:dPr>
            <m:e>
              <m:r>
                <m:t>Φ</m:t>
              </m:r>
              <m:d>
                <m:dPr>
                  <m:begChr m:val="("/>
                  <m:sepChr m:val=""/>
                  <m:endChr m:val=")"/>
                  <m:grow/>
                </m:dPr>
                <m:e>
                  <m:r>
                    <m:t>x</m:t>
                  </m:r>
                  <m:r>
                    <m:rPr>
                      <m:sty m:val="p"/>
                    </m:rPr>
                    <m:t>+</m:t>
                  </m:r>
                  <m:r>
                    <m:t>σ</m:t>
                  </m:r>
                  <m:r>
                    <m:t>ξ</m:t>
                  </m:r>
                </m:e>
              </m:d>
              <m:r>
                <m:t> </m:t>
              </m:r>
              <m:r>
                <m:t>ξ</m:t>
              </m:r>
            </m:e>
          </m:d>
          <m:r>
            <m:rPr>
              <m:sty m:val="p"/>
            </m:rPr>
            <m:t>,</m:t>
          </m:r>
          <m:r>
            <m:t> </m:t>
          </m:r>
          <m:r>
            <m:t>ξ</m:t>
          </m:r>
          <m:r>
            <m:rPr>
              <m:sty m:val="p"/>
            </m:rPr>
            <m:t>∼</m:t>
          </m:r>
          <m:r>
            <m:t>N</m:t>
          </m:r>
          <m:d>
            <m:dPr>
              <m:begChr m:val="("/>
              <m:sepChr m:val=""/>
              <m:endChr m:val=")"/>
              <m:grow/>
            </m:dPr>
            <m:e>
              <m:r>
                <m:t>0</m:t>
              </m:r>
              <m:r>
                <m:rPr>
                  <m:sty m:val="p"/>
                </m:rPr>
                <m:t>,</m:t>
              </m:r>
              <m:r>
                <m:t>I</m:t>
              </m:r>
            </m:e>
          </m:d>
          <m:r>
            <m:rPr>
              <m:sty m:val="p"/>
            </m:rPr>
            <m:t>,</m:t>
          </m:r>
          <m:r>
            <m:t>  </m:t>
          </m:r>
          <m:r>
            <m:t>d</m:t>
          </m:r>
          <m:sSub>
            <m:e>
              <m:r>
                <m:t>X</m:t>
              </m:r>
            </m:e>
            <m:sub>
              <m:r>
                <m:t>t</m:t>
              </m:r>
            </m:sub>
          </m:sSub>
          <m:r>
            <m:rPr>
              <m:sty m:val="p"/>
            </m:rPr>
            <m:t>=</m:t>
          </m:r>
          <m:r>
            <m:rPr>
              <m:sty m:val="p"/>
            </m:rPr>
            <m:t>−</m:t>
          </m:r>
          <m:d>
            <m:dPr>
              <m:begChr m:val="("/>
              <m:sepChr m:val=""/>
              <m:endChr m:val=")"/>
              <m:grow/>
            </m:dPr>
            <m:e>
              <m:r>
                <m:rPr>
                  <m:sty m:val="p"/>
                </m:rPr>
                <m:t>∇</m:t>
              </m:r>
              <m:sSub>
                <m:e>
                  <m:r>
                    <m:t>Φ</m:t>
                  </m:r>
                </m:e>
                <m:sub>
                  <m:r>
                    <m:t>σ</m:t>
                  </m:r>
                </m:sub>
              </m:sSub>
              <m:d>
                <m:dPr>
                  <m:begChr m:val="("/>
                  <m:sepChr m:val=""/>
                  <m:endChr m:val=")"/>
                  <m:grow/>
                </m:dPr>
                <m:e>
                  <m:sSub>
                    <m:e>
                      <m:r>
                        <m:t>X</m:t>
                      </m:r>
                    </m:e>
                    <m:sub>
                      <m:r>
                        <m:t>t</m:t>
                      </m:r>
                    </m:sub>
                  </m:sSub>
                </m:e>
              </m:d>
              <m:r>
                <m:rPr>
                  <m:sty m:val="p"/>
                </m:rPr>
                <m:t>+</m:t>
              </m:r>
              <m:sSubSup>
                <m:e>
                  <m:r>
                    <m:t>C</m:t>
                  </m:r>
                </m:e>
                <m:sub>
                  <m:r>
                    <m:t>0</m:t>
                  </m:r>
                </m:sub>
                <m:sup>
                  <m:r>
                    <m:rPr>
                      <m:sty m:val="p"/>
                    </m:rPr>
                    <m:t>−</m:t>
                  </m:r>
                  <m:r>
                    <m:t>1</m:t>
                  </m:r>
                </m:sup>
              </m:sSubSup>
              <m:sSub>
                <m:e>
                  <m:r>
                    <m:t>X</m:t>
                  </m:r>
                </m:e>
                <m:sub>
                  <m:r>
                    <m:t>t</m:t>
                  </m:r>
                </m:sub>
              </m:sSub>
            </m:e>
          </m:d>
          <m:r>
            <m:t>d</m:t>
          </m:r>
          <m:r>
            <m:t>t</m:t>
          </m:r>
          <m:r>
            <m:rPr>
              <m:sty m:val="p"/>
            </m:rPr>
            <m:t>+</m:t>
          </m:r>
          <m:rad>
            <m:radPr>
              <m:degHide m:val="on"/>
            </m:radPr>
            <m:deg/>
            <m:e>
              <m:r>
                <m:t>2</m:t>
              </m:r>
            </m:e>
          </m:rad>
          <m:r>
            <m:t> </m:t>
          </m:r>
          <m:r>
            <m:t>d</m:t>
          </m:r>
          <m:sSub>
            <m:e>
              <m:r>
                <m:t>W</m:t>
              </m:r>
            </m:e>
            <m:sub>
              <m:r>
                <m:t>t</m:t>
              </m:r>
            </m:sub>
          </m:sSub>
        </m:oMath>
      </m:oMathPara>
    </w:p>
    <w:p>
      <w:pPr>
        <w:spacing w:after="60"/>
        <w:jc w:val="both"/>
      </w:pPr>
      <m:oMath>
        <m:r>
          <m:t>Φ</m:t>
        </m:r>
      </m:oMath>
      <w:r>
        <w:rPr>
          <w:color w:val="3A4350"/>
          <w:sz w:val="15"/>
          <w:szCs w:val="15"/>
        </w:rPr>
        <w:t xml:space="preserve"> is the data misfit (negative log-likelihood) of the groundwater model, </w:t>
      </w:r>
      <m:oMath>
        <m:sSub>
          <m:e>
            <m:r>
              <m:t>Φ</m:t>
            </m:r>
          </m:e>
          <m:sub>
            <m:r>
              <m:t>σ</m:t>
            </m:r>
          </m:sub>
        </m:sSub>
      </m:oMath>
      <w:r>
        <w:rPr>
          <w:color w:val="3A4350"/>
          <w:sz w:val="15"/>
          <w:szCs w:val="15"/>
        </w:rPr>
        <w:t xml:space="preserve"> its Gaussian smoothing at scale </w:t>
      </w:r>
      <m:oMath>
        <m:r>
          <m:t>σ</m:t>
        </m:r>
      </m:oMath>
      <w:r>
        <w:rPr>
          <w:color w:val="3A4350"/>
          <w:sz w:val="15"/>
          <w:szCs w:val="15"/>
        </w:rPr>
        <w:t xml:space="preserve">, </w:t>
      </w:r>
      <m:oMath>
        <m:sSub>
          <m:e>
            <m:r>
              <m:t>C</m:t>
            </m:r>
          </m:e>
          <m:sub>
            <m:r>
              <m:t>0</m:t>
            </m:r>
          </m:sub>
        </m:sSub>
      </m:oMath>
      <w:r>
        <w:rPr>
          <w:color w:val="3A4350"/>
          <w:sz w:val="15"/>
          <w:szCs w:val="15"/>
        </w:rPr>
        <w:t xml:space="preserve"> the prior covariance (zero prior mean) and </w:t>
      </w:r>
      <m:oMath>
        <m:sSub>
          <m:e>
            <m:r>
              <m:t>W</m:t>
            </m:r>
          </m:e>
          <m:sub>
            <m:r>
              <m:t>t</m:t>
            </m:r>
          </m:sub>
        </m:sSub>
      </m:oMath>
      <w:r>
        <w:rPr>
          <w:color w:val="3A4350"/>
          <w:sz w:val="15"/>
          <w:szCs w:val="15"/>
        </w:rPr>
        <w:t xml:space="preserve"> Brownian motion; in the paper the averaging is done by a fast stochastic process coupled to the slow Langevin dynamics, and the approximation can be refined towards the exact gradient.</w:t>
      </w:r>
    </w:p>
    <w:p>
      <w:pPr>
        <w:spacing w:after="60"/>
        <w:jc w:val="both"/>
      </w:pPr>
      <w:r>
        <w:rPr>
          <w:b/>
          <w:bCs/>
          <w:color w:val="B4410C"/>
          <w:sz w:val="17"/>
          <w:szCs w:val="17"/>
        </w:rPr>
        <w:t xml:space="preserve">Link to the MAR scheme. </w:t>
      </w:r>
      <w:r>
        <w:rPr>
          <w:sz w:val="17"/>
          <w:szCs w:val="17"/>
        </w:rPr>
        <w:t xml:space="preserve">Belongs to theme C (uncertainty quantification, Caltech). Fushë-Kuqe heads are linear in recharge but nonlinear in the 12 log-conductivities, so ensemble Kalman posteriors are only approximate. This sampler needs only forward runs of the 3 545-cell model (no adjoint), starts from an ensemble Kalman covariance and is refined until the probability that A1 or P10 falls below 1.0 m stabilises.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addresses the stated weakness of ensemble Kalman samplers, exactness only for linear forward models, while keeping their derivative-free character and using them as preconditioners, and the resulting method is provably refinable. Published in SIAM Journal on Applied Dynamical Systems, 21(1), 284–326 (2022).</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How to choose the time-scale separation, the perturbation size and the preconditioning ensemble so that a fixed budget of groundwater runs gives a guaranteed accuracy for an intrusion probability is open; such a budget rule would be new for aquifer risk estimates.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fast/slow stochastic system in which forward-model evaluations at perturbed parameters stand in for the log-likelihood gradient of a Langevin sampler, combinable with ensemble Kalman preconditioning and provably refinable. Proposed extension: precondition with the ensemble Kalman covariance of the 12 log-conductivities, refine in stages until the intrusion probabilities at A1 and P10 under a candidate scheme change by less than their Monte Carlo error, and report the bias of plain ensemble Kalman sampling.</w:t>
      </w:r>
    </w:p>
    <w:p>
      <w:pPr>
        <w:keepNext/>
        <w:pBdr>
          <w:top w:val="single" w:color="B4410C" w:sz="6" w:space="4"/>
        </w:pBdr>
        <w:spacing w:after="60" w:before="220"/>
      </w:pPr>
      <w:r>
        <w:rPr>
          <w:b/>
          <w:bCs/>
          <w:color w:val="B4410C"/>
          <w:sz w:val="23"/>
          <w:szCs w:val="23"/>
        </w:rPr>
        <w:t xml:space="preserve">C5  </w:t>
      </w:r>
      <w:r>
        <w:rPr>
          <w:b/>
          <w:bCs/>
          <w:color w:val="1F3864"/>
          <w:sz w:val="23"/>
          <w:szCs w:val="23"/>
        </w:rPr>
        <w:t xml:space="preserve">Uncertainty Quantification of the 4th kind; optimal posterior accuracy-uncertainty tradeoff with the minimum enclosing ball</w:t>
      </w:r>
    </w:p>
    <w:p>
      <w:pPr>
        <w:keepNext/>
        <w:spacing w:after="60" w:line="240" w:lineRule="auto"/>
      </w:pPr>
      <w:r>
        <w:rPr>
          <w:b/>
          <w:bCs/>
          <w:color w:val="333B47"/>
          <w:sz w:val="15"/>
          <w:szCs w:val="15"/>
        </w:rPr>
        <w:t xml:space="preserve">Authors: </w:t>
      </w:r>
      <w:r>
        <w:rPr>
          <w:sz w:val="15"/>
          <w:szCs w:val="15"/>
        </w:rPr>
        <w:t xml:space="preserve">Hamed Hamze Bajgiran, Pau Batlle, Houman Owhadi, Mostafa Samir, Clint Scovel, Mahdy Shirdel, Michael Stanley, Peyman Tavallali</w:t>
      </w:r>
      <w:r>
        <w:rPr>
          <w:sz w:val="15"/>
          <w:szCs w:val="15"/>
        </w:rPr>
        <w:t xml:space="preserve">   </w:t>
      </w:r>
      <w:r>
        <w:rPr>
          <w:b/>
          <w:bCs/>
          <w:color w:val="333B47"/>
          <w:sz w:val="15"/>
          <w:szCs w:val="15"/>
        </w:rPr>
        <w:t xml:space="preserve">Published in: </w:t>
      </w:r>
      <w:r>
        <w:rPr>
          <w:sz w:val="15"/>
          <w:szCs w:val="15"/>
        </w:rPr>
        <w:t xml:space="preserve">Journal of Computational Physics, 471, article 111608 (2022); arXiv 2108.10517 (DOI not seen; journal details and author list from dblp, per a search summary)</w:t>
      </w:r>
      <w:r>
        <w:rPr>
          <w:sz w:val="15"/>
          <w:szCs w:val="15"/>
        </w:rPr>
        <w:t xml:space="preserve">   </w:t>
      </w:r>
      <w:r>
        <w:rPr>
          <w:b/>
          <w:bCs/>
          <w:color w:val="333B47"/>
          <w:sz w:val="15"/>
          <w:szCs w:val="15"/>
        </w:rPr>
        <w:t xml:space="preserve">Link: </w:t>
      </w:r>
      <w:hyperlink w:history="1" r:id="rIdlosnqof65paexght1kfhd">
        <w:r>
          <w:rPr>
            <w:color w:val="1D4ED8"/>
            <w:sz w:val="15"/>
            <w:szCs w:val="15"/>
            <w:u w:val="single"/>
          </w:rPr>
          <w:t xml:space="preserve">https://resolver.caltech.edu/CaltechAUTHORS:20220524-180308552</w:t>
        </w:r>
      </w:hyperlink>
    </w:p>
    <w:p>
      <w:pPr>
        <w:keepNext/>
        <w:spacing w:after="80" w:line="240" w:lineRule="auto"/>
      </w:pPr>
      <w:r>
        <w:rPr>
          <w:b/>
          <w:bCs/>
          <w:color w:val="333B47"/>
          <w:sz w:val="15"/>
          <w:szCs w:val="15"/>
        </w:rPr>
        <w:t xml:space="preserve">Affiliation: </w:t>
      </w:r>
      <w:r>
        <w:rPr>
          <w:color w:val="3A4350"/>
          <w:sz w:val="15"/>
          <w:szCs w:val="15"/>
        </w:rPr>
        <w:t xml:space="preserve">Caltech: the CaltechAUTHORS record 20220524-180308552 (arXiv version) and the Caltech library author feeds of Owhadi and Tavallali list the work; the department line of this paper was not seen. Stanley: the Carnegie Mellon statistics page hosting the paper. Author list of the journal version from dblp (Samir added relative to the arXiv version); the accompanying UQ4k code is on PyPI.</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B4410C"/>
          <w:sz w:val="17"/>
          <w:szCs w:val="17"/>
        </w:rPr>
        <w:t xml:space="preserve">Summary. </w:t>
      </w:r>
      <w:r>
        <w:rPr>
          <w:sz w:val="17"/>
          <w:szCs w:val="17"/>
        </w:rPr>
        <w:t xml:space="preserve">To avoid the brittleness of Bayesian UQ to the prior, the paper mixes robust optimisation, Bayesian inference, decision theory and hypothesis testing. After observing </w:t>
      </w:r>
      <m:oMath>
        <m:r>
          <m:t>x</m:t>
        </m:r>
      </m:oMath>
      <w:r>
        <w:rPr>
          <w:sz w:val="17"/>
          <w:szCs w:val="17"/>
        </w:rPr>
        <w:t xml:space="preserve">, it keeps the parameters whose relative likelihood is at least </w:t>
      </w:r>
      <m:oMath>
        <m:r>
          <m:t>α</m:t>
        </m:r>
      </m:oMath>
      <w:r>
        <w:rPr>
          <w:sz w:val="17"/>
          <w:szCs w:val="17"/>
        </w:rPr>
        <w:t xml:space="preserve"> and plays a minimax game over priors on that region; the optimal prior is thus found after the data, and the risk is posterior. The optimal estimate of a quantity of interest and its risk reduce to the centre and radius of the minimum enclosing ball of the image of the likelihood region, a fast computation free of the curse of dimensionality. Small </w:t>
      </w:r>
      <m:oMath>
        <m:r>
          <m:t>α</m:t>
        </m:r>
      </m:oMath>
      <w:r>
        <w:rPr>
          <w:sz w:val="17"/>
          <w:szCs w:val="17"/>
        </w:rPr>
        <w:t xml:space="preserve"> gives wide, high-confidence bounds; </w:t>
      </w:r>
      <m:oMath>
        <m:r>
          <m:t>α</m:t>
        </m:r>
      </m:oMath>
      <w:r>
        <w:rPr>
          <w:sz w:val="17"/>
          <w:szCs w:val="17"/>
        </w:rPr>
        <w:t xml:space="preserve"> near 1 tight, low-confidence ones.</w:t>
      </w:r>
    </w:p>
    <w:p>
      <w:pPr>
        <w:keepNext/>
        <w:spacing w:after="20" w:before="40"/>
      </w:pPr>
      <w:r>
        <w:rPr>
          <w:b/>
          <w:bCs/>
          <w:color w:val="B4410C"/>
          <w:sz w:val="17"/>
          <w:szCs w:val="17"/>
        </w:rPr>
        <w:t xml:space="preserve">Key equation.</w:t>
      </w:r>
      <w:r>
        <w:rPr>
          <w:i/>
          <w:iCs/>
          <w:color w:val="5B6573"/>
          <w:sz w:val="15"/>
          <w:szCs w:val="15"/>
        </w:rPr>
        <w:t xml:space="preserve">  Relative-likelihood region and minimax (minimum-enclosing-ball) estimate of a quantity of interest (representative formulation)</w:t>
      </w:r>
    </w:p>
    <w:p>
      <w:pPr>
        <w:pStyle w:val="Equation"/>
      </w:pPr>
      <m:oMathPara>
        <m:oMathParaPr>
          <m:jc m:val="center"/>
        </m:oMathParaPr>
        <m:oMath>
          <m:sSub>
            <m:e>
              <m:r>
                <m:t>Θ</m:t>
              </m:r>
            </m:e>
            <m:sub>
              <m:r>
                <m:t>α</m:t>
              </m:r>
            </m:sub>
          </m:sSub>
          <m:d>
            <m:dPr>
              <m:begChr m:val="("/>
              <m:sepChr m:val=""/>
              <m:endChr m:val=")"/>
              <m:grow/>
            </m:dPr>
            <m:e>
              <m:r>
                <m:t>x</m:t>
              </m:r>
            </m:e>
          </m:d>
          <m:r>
            <m:rPr>
              <m:sty m:val="p"/>
            </m:rPr>
            <m:t>=</m:t>
          </m:r>
          <m:d>
            <m:dPr>
              <m:begChr m:val="{"/>
              <m:sepChr m:val=""/>
              <m:endChr m:val="}"/>
              <m:grow/>
            </m:dPr>
            <m:e>
              <m:r>
                <m:t>θ</m:t>
              </m:r>
              <m:r>
                <m:rPr>
                  <m:sty m:val="p"/>
                </m:rPr>
                <m:t>:</m:t>
              </m:r>
              <m:r>
                <m:t> </m:t>
              </m:r>
              <m:r>
                <m:t>p</m:t>
              </m:r>
              <m:d>
                <m:dPr>
                  <m:begChr m:val="("/>
                  <m:sepChr m:val=""/>
                  <m:endChr m:val=")"/>
                  <m:grow/>
                </m:dPr>
                <m:e>
                  <m:r>
                    <m:t>x</m:t>
                  </m:r>
                  <m:r>
                    <m:rPr>
                      <m:sty m:val="p"/>
                    </m:rPr>
                    <m:t>∣</m:t>
                  </m:r>
                  <m:r>
                    <m:t>θ</m:t>
                  </m:r>
                </m:e>
              </m:d>
              <m:r>
                <m:rPr>
                  <m:sty m:val="p"/>
                </m:rPr>
                <m:t>≥</m:t>
              </m:r>
              <m:r>
                <m:t>α</m:t>
              </m:r>
              <m:limLow>
                <m:e>
                  <m:r>
                    <m:rPr>
                      <m:sty m:val="p"/>
                    </m:rPr>
                    <m:t>max</m:t>
                  </m:r>
                </m:e>
                <m:lim>
                  <m:r>
                    <m:t>θ</m:t>
                  </m:r>
                  <m:r>
                    <m:rPr>
                      <m:sty m:val="p"/>
                    </m:rPr>
                    <m:t>′</m:t>
                  </m:r>
                </m:lim>
              </m:limLow>
              <m:r>
                <m:t>p</m:t>
              </m:r>
              <m:d>
                <m:dPr>
                  <m:begChr m:val="("/>
                  <m:sepChr m:val=""/>
                  <m:endChr m:val=")"/>
                  <m:grow/>
                </m:dPr>
                <m:e>
                  <m:r>
                    <m:t>x</m:t>
                  </m:r>
                  <m:r>
                    <m:rPr>
                      <m:sty m:val="p"/>
                    </m:rPr>
                    <m:t>∣</m:t>
                  </m:r>
                  <m:r>
                    <m:t>θ</m:t>
                  </m:r>
                  <m:r>
                    <m:rPr>
                      <m:sty m:val="p"/>
                    </m:rPr>
                    <m:t>′</m:t>
                  </m:r>
                </m:e>
              </m:d>
            </m:e>
          </m:d>
          <m:r>
            <m:rPr>
              <m:sty m:val="p"/>
            </m:rPr>
            <m:t>,</m:t>
          </m:r>
          <m:r>
            <m:t>  </m:t>
          </m:r>
          <m:sSup>
            <m:e>
              <m:r>
                <m:t>d</m:t>
              </m:r>
            </m:e>
            <m:sup>
              <m:r>
                <m:rPr>
                  <m:sty m:val="p"/>
                </m:rPr>
                <m:t>⋆</m:t>
              </m:r>
            </m:sup>
          </m:sSup>
          <m:r>
            <m:rPr>
              <m:sty m:val="p"/>
            </m:rPr>
            <m:t>=</m:t>
          </m:r>
          <m:r>
            <m:rPr>
              <m:sty m:val="p"/>
            </m:rPr>
            <m:t>arg</m:t>
          </m:r>
          <m:limLow>
            <m:e>
              <m:r>
                <m:rPr>
                  <m:sty m:val="p"/>
                </m:rPr>
                <m:t>min</m:t>
              </m:r>
            </m:e>
            <m:lim>
              <m:r>
                <m:t>d</m:t>
              </m:r>
            </m:lim>
          </m:limLow>
          <m:limLow>
            <m:e>
              <m:r>
                <m:rPr>
                  <m:sty m:val="p"/>
                </m:rPr>
                <m:t>max</m:t>
              </m:r>
            </m:e>
            <m:lim>
              <m:r>
                <m:t>θ</m:t>
              </m:r>
              <m:r>
                <m:rPr>
                  <m:sty m:val="p"/>
                </m:rPr>
                <m:t>∈</m:t>
              </m:r>
              <m:sSub>
                <m:e>
                  <m:r>
                    <m:t>Θ</m:t>
                  </m:r>
                </m:e>
                <m:sub>
                  <m:r>
                    <m:t>α</m:t>
                  </m:r>
                </m:sub>
              </m:sSub>
              <m:d>
                <m:dPr>
                  <m:begChr m:val="("/>
                  <m:sepChr m:val=""/>
                  <m:endChr m:val=")"/>
                  <m:grow/>
                </m:dPr>
                <m:e>
                  <m:r>
                    <m:t>x</m:t>
                  </m:r>
                </m:e>
              </m:d>
            </m:lim>
          </m:limLow>
          <m:sSup>
            <m:e>
              <m:d>
                <m:dPr>
                  <m:begChr m:val="∥"/>
                  <m:sepChr m:val=""/>
                  <m:endChr m:val="∥"/>
                  <m:grow/>
                </m:dPr>
                <m:e>
                  <m:r>
                    <m:t>φ</m:t>
                  </m:r>
                  <m:d>
                    <m:dPr>
                      <m:begChr m:val="("/>
                      <m:sepChr m:val=""/>
                      <m:endChr m:val=")"/>
                      <m:grow/>
                    </m:dPr>
                    <m:e>
                      <m:r>
                        <m:t>θ</m:t>
                      </m:r>
                    </m:e>
                  </m:d>
                  <m:r>
                    <m:rPr>
                      <m:sty m:val="p"/>
                    </m:rPr>
                    <m:t>−</m:t>
                  </m:r>
                  <m:r>
                    <m:t>d</m:t>
                  </m:r>
                </m:e>
              </m:d>
            </m:e>
            <m:sup>
              <m:r>
                <m:t>2</m:t>
              </m:r>
            </m:sup>
          </m:sSup>
        </m:oMath>
      </m:oMathPara>
    </w:p>
    <w:p>
      <w:pPr>
        <w:spacing w:after="60"/>
        <w:jc w:val="both"/>
      </w:pPr>
      <m:oMath>
        <m:r>
          <m:t>p</m:t>
        </m:r>
        <m:d>
          <m:dPr>
            <m:begChr m:val="("/>
            <m:sepChr m:val=""/>
            <m:endChr m:val=")"/>
            <m:grow/>
          </m:dPr>
          <m:e>
            <m:r>
              <m:t>x</m:t>
            </m:r>
            <m:r>
              <m:rPr>
                <m:sty m:val="p"/>
              </m:rPr>
              <m:t>∣</m:t>
            </m:r>
            <m:r>
              <m:t>θ</m:t>
            </m:r>
          </m:e>
        </m:d>
      </m:oMath>
      <w:r>
        <w:rPr>
          <w:color w:val="3A4350"/>
          <w:sz w:val="15"/>
          <w:szCs w:val="15"/>
        </w:rPr>
        <w:t xml:space="preserve"> is the likelihood of the data </w:t>
      </w:r>
      <m:oMath>
        <m:r>
          <m:t>x</m:t>
        </m:r>
      </m:oMath>
      <w:r>
        <w:rPr>
          <w:color w:val="3A4350"/>
          <w:sz w:val="15"/>
          <w:szCs w:val="15"/>
        </w:rPr>
        <w:t xml:space="preserve">, </w:t>
      </w:r>
      <m:oMath>
        <m:r>
          <m:t>φ</m:t>
        </m:r>
      </m:oMath>
      <w:r>
        <w:rPr>
          <w:color w:val="3A4350"/>
          <w:sz w:val="15"/>
          <w:szCs w:val="15"/>
        </w:rPr>
        <w:t xml:space="preserve"> the quantity-of-interest map and </w:t>
      </w:r>
      <m:oMath>
        <m:r>
          <m:t>α</m:t>
        </m:r>
        <m:r>
          <m:rPr>
            <m:sty m:val="p"/>
          </m:rPr>
          <m:t>∈</m:t>
        </m:r>
        <m:d>
          <m:dPr>
            <m:begChr m:val="["/>
            <m:sepChr m:val=""/>
            <m:endChr m:val="]"/>
            <m:grow/>
          </m:dPr>
          <m:e>
            <m:r>
              <m:t>0</m:t>
            </m:r>
            <m:r>
              <m:rPr>
                <m:sty m:val="p"/>
              </m:rPr>
              <m:t>,</m:t>
            </m:r>
            <m:r>
              <m:t>1</m:t>
            </m:r>
          </m:e>
        </m:d>
      </m:oMath>
      <w:r>
        <w:rPr>
          <w:color w:val="3A4350"/>
          <w:sz w:val="15"/>
          <w:szCs w:val="15"/>
        </w:rPr>
        <w:t xml:space="preserve"> the rarity threshold; </w:t>
      </w:r>
      <m:oMath>
        <m:sSup>
          <m:e>
            <m:r>
              <m:t>d</m:t>
            </m:r>
          </m:e>
          <m:sup>
            <m:r>
              <m:rPr>
                <m:sty m:val="p"/>
              </m:rPr>
              <m:t>⋆</m:t>
            </m:r>
          </m:sup>
        </m:sSup>
      </m:oMath>
      <w:r>
        <w:rPr>
          <w:color w:val="3A4350"/>
          <w:sz w:val="15"/>
          <w:szCs w:val="15"/>
        </w:rPr>
        <w:t xml:space="preserve"> is the centre and the optimal value the squared radius of the smallest ball containing </w:t>
      </w:r>
      <m:oMath>
        <m:r>
          <m:t>φ</m:t>
        </m:r>
        <m:d>
          <m:dPr>
            <m:begChr m:val="("/>
            <m:sepChr m:val=""/>
            <m:endChr m:val=")"/>
            <m:grow/>
          </m:dPr>
          <m:e>
            <m:sSub>
              <m:e>
                <m:r>
                  <m:t>Θ</m:t>
                </m:r>
              </m:e>
              <m:sub>
                <m:r>
                  <m:t>α</m:t>
                </m:r>
              </m:sub>
            </m:sSub>
            <m:d>
              <m:dPr>
                <m:begChr m:val="("/>
                <m:sepChr m:val=""/>
                <m:endChr m:val=")"/>
                <m:grow/>
              </m:dPr>
              <m:e>
                <m:r>
                  <m:t>x</m:t>
                </m:r>
              </m:e>
            </m:d>
          </m:e>
        </m:d>
      </m:oMath>
      <w:r>
        <w:rPr>
          <w:color w:val="3A4350"/>
          <w:sz w:val="15"/>
          <w:szCs w:val="15"/>
        </w:rPr>
        <w:t xml:space="preserve">, and in the worked example of the paper the worst-case prior consists of atoms in </w:t>
      </w:r>
      <m:oMath>
        <m:sSub>
          <m:e>
            <m:r>
              <m:t>Θ</m:t>
            </m:r>
          </m:e>
          <m:sub>
            <m:r>
              <m:t>α</m:t>
            </m:r>
          </m:sub>
        </m:sSub>
        <m:d>
          <m:dPr>
            <m:begChr m:val="("/>
            <m:sepChr m:val=""/>
            <m:endChr m:val=")"/>
            <m:grow/>
          </m:dPr>
          <m:e>
            <m:r>
              <m:t>x</m:t>
            </m:r>
          </m:e>
        </m:d>
      </m:oMath>
      <w:r>
        <w:rPr>
          <w:color w:val="3A4350"/>
          <w:sz w:val="15"/>
          <w:szCs w:val="15"/>
        </w:rPr>
        <w:t xml:space="preserve"> that maximise a variance.</w:t>
      </w:r>
    </w:p>
    <w:p>
      <w:pPr>
        <w:spacing w:after="60"/>
        <w:jc w:val="both"/>
      </w:pPr>
      <w:r>
        <w:rPr>
          <w:b/>
          <w:bCs/>
          <w:color w:val="B4410C"/>
          <w:sz w:val="17"/>
          <w:szCs w:val="17"/>
        </w:rPr>
        <w:t xml:space="preserve">Link to the MAR scheme. </w:t>
      </w:r>
      <w:r>
        <w:rPr>
          <w:sz w:val="17"/>
          <w:szCs w:val="17"/>
        </w:rPr>
        <w:t xml:space="preserve">Belongs to theme C (uncertainty quantification, Caltech). For a recharge scheme, the minimum enclosing ball of the heads at A1 and P10 over the likelihood region of the 12 log-conductivities gives a head interval that does not rely on the facies prior; if its lower end stays above 1.0 m, the scheme is safe for every prior on that region.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offers a decision-theoretic answer to the brittleness of Bayesian inference: a posterior risk computed without choosing a prior, with an optimal estimator obtained from one geometric computation, and open-source code (the UQ4k package). Published in Journal of Computational Physics (2022).</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 holds inside the relative-likelihood region, which assumes the forward model is right. How to choose </w:t>
      </w:r>
      <m:oMath>
        <m:r>
          <m:t>α</m:t>
        </m:r>
      </m:oMath>
      <w:r>
        <w:rPr>
          <w:sz w:val="17"/>
          <w:szCs w:val="17"/>
        </w:rPr>
        <w:t xml:space="preserve"> so that the enclosing-ball head interval keeps a stated coverage when the groundwater model itself is misspecified, and so gives a calibrated intrusion risk,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posterior, prior-free notion of risk obtained from a minimax game restricted to a relative-likelihood region, with the optimal estimate and risk computed as a minimum enclosing ball. Proposed extension: since heads are linear in the recharge rates, the worst head at A1 and P10 over the likelihood region is concave in the rates; maximise it for several </w:t>
      </w:r>
      <m:oMath>
        <m:r>
          <m:t>α</m:t>
        </m:r>
      </m:oMath>
      <w:r>
        <w:rPr>
          <w:sz w:val="17"/>
          <w:szCs w:val="17"/>
        </w:rPr>
        <w:t xml:space="preserve">, and compare the resulting schemes and enclosing-ball intervals with those from the Gaussian facies posterior.</w:t>
      </w:r>
    </w:p>
    <w:p>
      <w:pPr>
        <w:pStyle w:val="Heading1"/>
      </w:pPr>
      <w:r>
        <w:rPr>
          <w:color w:val="002147"/>
        </w:rPr>
        <w:t xml:space="preserve">5. Oxford: uncertainty quantification and multilevel estimation</w:t>
      </w:r>
    </w:p>
    <w:p>
      <w:pPr>
        <w:spacing w:after="120"/>
        <w:jc w:val="both"/>
      </w:pPr>
      <w:r>
        <w:t xml:space="preserve">Oxford's uncertainty quantification in the period is the efficient estimation of expectations and probabilities. Matteo Croci, Michael Giles and Patrick Farrell build multilevel quasi Monte Carlo for random-field PDEs [Q1]; Michael Giles and Abdul-Lateef Haji-Ali estimate probabilities of threshold events by multilevel path branching [Q2]; Tom Rainforth and colleagues estimate target expectations directly [Q3]; Satoshi Hayakawa, Harald Oberhauser and Terry Lyons sharpen Nyström approximation and kernel quadrature [Q4]; and Veit Wild, Sahra Ghalebikesabi, Dino Sejdinovic and Jeremias Knoblauch link deep ensembles rigorously to Bayesian methods [Q5].</w:t>
      </w:r>
    </w:p>
    <w:p>
      <w:pPr>
        <w:keepNext/>
        <w:pBdr>
          <w:top w:val="single" w:color="002147" w:sz="6" w:space="4"/>
        </w:pBdr>
        <w:spacing w:after="60" w:before="220"/>
      </w:pPr>
      <w:r>
        <w:rPr>
          <w:b/>
          <w:bCs/>
          <w:color w:val="002147"/>
          <w:sz w:val="23"/>
          <w:szCs w:val="23"/>
        </w:rPr>
        <w:t xml:space="preserve">Q1  </w:t>
      </w:r>
      <w:r>
        <w:rPr>
          <w:b/>
          <w:bCs/>
          <w:color w:val="1F3864"/>
          <w:sz w:val="23"/>
          <w:szCs w:val="23"/>
        </w:rPr>
        <w:t xml:space="preserve">Multilevel quasi Monte Carlo methods for elliptic PDEs with random field coefficients via fast white noise sampling</w:t>
      </w:r>
    </w:p>
    <w:p>
      <w:pPr>
        <w:keepNext/>
        <w:spacing w:after="60" w:line="240" w:lineRule="auto"/>
      </w:pPr>
      <w:r>
        <w:rPr>
          <w:b/>
          <w:bCs/>
          <w:color w:val="333B47"/>
          <w:sz w:val="15"/>
          <w:szCs w:val="15"/>
        </w:rPr>
        <w:t xml:space="preserve">Authors: </w:t>
      </w:r>
      <w:r>
        <w:rPr>
          <w:sz w:val="15"/>
          <w:szCs w:val="15"/>
        </w:rPr>
        <w:t xml:space="preserve">Matteo Croci, Michael B. Giles, Patrick Farrell</w:t>
      </w:r>
      <w:r>
        <w:rPr>
          <w:sz w:val="15"/>
          <w:szCs w:val="15"/>
        </w:rPr>
        <w:t xml:space="preserve">   </w:t>
      </w:r>
      <w:r>
        <w:rPr>
          <w:b/>
          <w:bCs/>
          <w:color w:val="333B47"/>
          <w:sz w:val="15"/>
          <w:szCs w:val="15"/>
        </w:rPr>
        <w:t xml:space="preserve">Published in: </w:t>
      </w:r>
      <w:r>
        <w:rPr>
          <w:sz w:val="15"/>
          <w:szCs w:val="15"/>
        </w:rPr>
        <w:t xml:space="preserve">SIAM Journal on Scientific Computing, 43(4), A2840–A2868 (2021)</w:t>
      </w:r>
      <w:r>
        <w:rPr>
          <w:sz w:val="15"/>
          <w:szCs w:val="15"/>
        </w:rPr>
        <w:t xml:space="preserve">   </w:t>
      </w:r>
      <w:r>
        <w:rPr>
          <w:b/>
          <w:bCs/>
          <w:color w:val="333B47"/>
          <w:sz w:val="15"/>
          <w:szCs w:val="15"/>
        </w:rPr>
        <w:t xml:space="preserve">Link: </w:t>
      </w:r>
      <w:hyperlink w:history="1" r:id="rIdpbwrymfz5ci4uu16lk_ka">
        <w:r>
          <w:rPr>
            <w:color w:val="1D4ED8"/>
            <w:sz w:val="15"/>
            <w:szCs w:val="15"/>
            <w:u w:val="single"/>
          </w:rPr>
          <w:t xml:space="preserve">https://doi.org/10.1137/20M1329044</w:t>
        </w:r>
      </w:hyperlink>
    </w:p>
    <w:p>
      <w:pPr>
        <w:keepNext/>
        <w:spacing w:after="80" w:line="240" w:lineRule="auto"/>
      </w:pPr>
      <w:r>
        <w:rPr>
          <w:b/>
          <w:bCs/>
          <w:color w:val="333B47"/>
          <w:sz w:val="15"/>
          <w:szCs w:val="15"/>
        </w:rPr>
        <w:t xml:space="preserve">Affiliation: </w:t>
      </w:r>
      <w:r>
        <w:rPr>
          <w:color w:val="3A4350"/>
          <w:sz w:val="15"/>
          <w:szCs w:val="15"/>
        </w:rPr>
        <w:t xml:space="preserve">Mathematical Institute, University of Oxford: the article is listed on the Oxford Mathematical Institute publication pages (maths.ox.ac.uk/node/39341 and node/34422).</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Elliptic PDEs with a Gaussian random-field coefficient (a Matérn field from the Whittle SPDE driven by spatial white noise) are solved by finite elements inside a multilevel quasi Monte Carlo (MLQMC) estimator. The new ingredient is the white-noise sampler: white noise is written as a Haar wavelet series split into a leading part, ordered by decaying importance and sampled with quasi-random points, and a correction term sampled with pseudo-random numbers. A supermesh construction samples both parts in time and memory linear in the number of mesh cells, so the overall cost is linear, and the MLQMC coupling holds even on non-nested mesh hierarchies. Numerical experiments demonstrate its efficacy.</w:t>
      </w:r>
    </w:p>
    <w:p>
      <w:pPr>
        <w:keepNext/>
        <w:spacing w:after="20" w:before="40"/>
      </w:pPr>
      <w:r>
        <w:rPr>
          <w:b/>
          <w:bCs/>
          <w:color w:val="002147"/>
          <w:sz w:val="17"/>
          <w:szCs w:val="17"/>
        </w:rPr>
        <w:t xml:space="preserve">Key equation.</w:t>
      </w:r>
      <w:r>
        <w:rPr>
          <w:i/>
          <w:iCs/>
          <w:color w:val="5B6573"/>
          <w:sz w:val="15"/>
          <w:szCs w:val="15"/>
        </w:rPr>
        <w:t xml:space="preserve">  Whittle SPDE for a Matérn log-coefficient with white noise split into a quasi-random and a pseudo-random part (representative formulation)</w:t>
      </w:r>
    </w:p>
    <w:p>
      <w:pPr>
        <w:pStyle w:val="Equation"/>
      </w:pPr>
      <m:oMathPara>
        <m:oMathParaPr>
          <m:jc m:val="center"/>
        </m:oMathParaPr>
        <m:oMath>
          <m:sSup>
            <m:e>
              <m:d>
                <m:dPr>
                  <m:begChr m:val="("/>
                  <m:sepChr m:val=""/>
                  <m:endChr m:val=")"/>
                  <m:grow/>
                </m:dPr>
                <m:e>
                  <m:sSup>
                    <m:e>
                      <m:r>
                        <m:t>κ</m:t>
                      </m:r>
                    </m:e>
                    <m:sup>
                      <m:r>
                        <m:t>2</m:t>
                      </m:r>
                    </m:sup>
                  </m:sSup>
                  <m:r>
                    <m:rPr>
                      <m:sty m:val="p"/>
                    </m:rPr>
                    <m:t>−</m:t>
                  </m:r>
                  <m:r>
                    <m:t>Δ</m:t>
                  </m:r>
                </m:e>
              </m:d>
            </m:e>
            <m:sup>
              <m:r>
                <m:t>k</m:t>
              </m:r>
            </m:sup>
          </m:sSup>
          <m:r>
            <m:t>u</m:t>
          </m:r>
          <m:r>
            <m:rPr>
              <m:sty m:val="p"/>
            </m:rPr>
            <m:t>=</m:t>
          </m:r>
          <m:r>
            <m:t>η</m:t>
          </m:r>
          <m:d>
            <m:dPr>
              <m:begChr m:val="("/>
              <m:sepChr m:val=""/>
              <m:endChr m:val=")"/>
              <m:grow/>
            </m:dPr>
            <m:e>
              <m:sSub>
                <m:e>
                  <m:acc>
                    <m:accPr>
                      <m:chr m:val="̇"/>
                    </m:accPr>
                    <m:e>
                      <m:r>
                        <m:t>W</m:t>
                      </m:r>
                    </m:e>
                  </m:acc>
                </m:e>
                <m:sub>
                  <m:r>
                    <m:rPr>
                      <m:nor/>
                    </m:rPr>
                    <m:t>QMC</m:t>
                  </m:r>
                </m:sub>
              </m:sSub>
              <m:r>
                <m:rPr>
                  <m:sty m:val="p"/>
                </m:rPr>
                <m:t>+</m:t>
              </m:r>
              <m:sSub>
                <m:e>
                  <m:acc>
                    <m:accPr>
                      <m:chr m:val="̇"/>
                    </m:accPr>
                    <m:e>
                      <m:r>
                        <m:t>W</m:t>
                      </m:r>
                    </m:e>
                  </m:acc>
                </m:e>
                <m:sub>
                  <m:r>
                    <m:rPr>
                      <m:nor/>
                    </m:rPr>
                    <m:t>MC</m:t>
                  </m:r>
                </m:sub>
              </m:sSub>
            </m:e>
          </m:d>
          <m:r>
            <m:rPr>
              <m:sty m:val="p"/>
            </m:rPr>
            <m:t>,</m:t>
          </m:r>
          <m:r>
            <m:t> </m:t>
          </m:r>
          <m:r>
            <m:t>a</m:t>
          </m:r>
          <m:r>
            <m:rPr>
              <m:sty m:val="p"/>
            </m:rPr>
            <m:t>=</m:t>
          </m:r>
          <m:sSup>
            <m:e>
              <m:r>
                <m:t>e</m:t>
              </m:r>
            </m:e>
            <m:sup>
              <m:r>
                <m:t>u</m:t>
              </m:r>
            </m:sup>
          </m:sSup>
        </m:oMath>
      </m:oMathPara>
    </w:p>
    <w:p>
      <w:pPr>
        <w:spacing w:after="60"/>
        <w:jc w:val="both"/>
      </w:pPr>
      <m:oMath>
        <m:r>
          <m:t>u</m:t>
        </m:r>
      </m:oMath>
      <w:r>
        <w:rPr>
          <w:color w:val="3A4350"/>
          <w:sz w:val="15"/>
          <w:szCs w:val="15"/>
        </w:rPr>
        <w:t xml:space="preserve"> is the Gaussian (Matérn) field, </w:t>
      </w:r>
      <m:oMath>
        <m:r>
          <m:t>κ</m:t>
        </m:r>
      </m:oMath>
      <w:r>
        <w:rPr>
          <w:color w:val="3A4350"/>
          <w:sz w:val="15"/>
          <w:szCs w:val="15"/>
        </w:rPr>
        <w:t xml:space="preserve"> sets its correlation length, </w:t>
      </w:r>
      <m:oMath>
        <m:r>
          <m:t>k</m:t>
        </m:r>
      </m:oMath>
      <w:r>
        <w:rPr>
          <w:color w:val="3A4350"/>
          <w:sz w:val="15"/>
          <w:szCs w:val="15"/>
        </w:rPr>
        <w:t xml:space="preserve"> its smoothness and </w:t>
      </w:r>
      <m:oMath>
        <m:r>
          <m:t>η</m:t>
        </m:r>
      </m:oMath>
      <w:r>
        <w:rPr>
          <w:color w:val="3A4350"/>
          <w:sz w:val="15"/>
          <w:szCs w:val="15"/>
        </w:rPr>
        <w:t xml:space="preserve"> scales its variance, </w:t>
      </w:r>
      <m:oMath>
        <m:sSub>
          <m:e>
            <m:acc>
              <m:accPr>
                <m:chr m:val="̇"/>
              </m:accPr>
              <m:e>
                <m:r>
                  <m:t>W</m:t>
                </m:r>
              </m:e>
            </m:acc>
          </m:e>
          <m:sub>
            <m:r>
              <m:rPr>
                <m:nor/>
              </m:rPr>
              <m:t>QMC</m:t>
            </m:r>
          </m:sub>
        </m:sSub>
      </m:oMath>
      <w:r>
        <w:rPr>
          <w:color w:val="3A4350"/>
          <w:sz w:val="15"/>
          <w:szCs w:val="15"/>
        </w:rPr>
        <w:t xml:space="preserve"> holds the leading Haar terms of white noise sampled with quasi-random points, </w:t>
      </w:r>
      <m:oMath>
        <m:sSub>
          <m:e>
            <m:acc>
              <m:accPr>
                <m:chr m:val="̇"/>
              </m:accPr>
              <m:e>
                <m:r>
                  <m:t>W</m:t>
                </m:r>
              </m:e>
            </m:acc>
          </m:e>
          <m:sub>
            <m:r>
              <m:rPr>
                <m:nor/>
              </m:rPr>
              <m:t>MC</m:t>
            </m:r>
          </m:sub>
        </m:sSub>
      </m:oMath>
      <w:r>
        <w:rPr>
          <w:color w:val="3A4350"/>
          <w:sz w:val="15"/>
          <w:szCs w:val="15"/>
        </w:rPr>
        <w:t xml:space="preserve"> the pseudo-random correction, and </w:t>
      </w:r>
      <m:oMath>
        <m:r>
          <m:t>a</m:t>
        </m:r>
      </m:oMath>
      <w:r>
        <w:rPr>
          <w:color w:val="3A4350"/>
          <w:sz w:val="15"/>
          <w:szCs w:val="15"/>
        </w:rPr>
        <w:t xml:space="preserve"> is the lognormal coefficient (for an aquifer, the transmissivity).</w:t>
      </w:r>
    </w:p>
    <w:p>
      <w:pPr>
        <w:spacing w:after="60"/>
        <w:jc w:val="both"/>
      </w:pPr>
      <w:r>
        <w:rPr>
          <w:b/>
          <w:bCs/>
          <w:color w:val="002147"/>
          <w:sz w:val="17"/>
          <w:szCs w:val="17"/>
        </w:rPr>
        <w:t xml:space="preserve">Link to the MAR scheme. </w:t>
      </w:r>
      <w:r>
        <w:rPr>
          <w:sz w:val="17"/>
          <w:szCs w:val="17"/>
        </w:rPr>
        <w:t xml:space="preserve">Belongs to theme Q (uncertainty quantification and robust Bayes, Oxford). It is a ready way to propagate a continuous Matérn log-transmissivity, not just 12 fixed zones, through </w:t>
      </w:r>
      <m:oMath>
        <m:r>
          <m:rPr>
            <m:sty m:val="p"/>
          </m:rPr>
          <m:t>∇</m:t>
        </m:r>
        <m:r>
          <m:rPr>
            <m:sty m:val="p"/>
          </m:rPr>
          <m:t>⋅</m:t>
        </m:r>
        <m:d>
          <m:dPr>
            <m:begChr m:val="("/>
            <m:sepChr m:val=""/>
            <m:endChr m:val=")"/>
            <m:grow/>
          </m:dPr>
          <m:e>
            <m:r>
              <m:t>T</m:t>
            </m:r>
            <m:r>
              <m:rPr>
                <m:sty m:val="p"/>
              </m:rPr>
              <m:t>∇</m:t>
            </m:r>
            <m:r>
              <m:t>h</m:t>
            </m:r>
          </m:e>
        </m:d>
        <m:r>
          <m:rPr>
            <m:sty m:val="p"/>
          </m:rPr>
          <m:t>=</m:t>
        </m:r>
        <m:r>
          <m:rPr>
            <m:sty m:val="p"/>
          </m:rPr>
          <m:t>−</m:t>
        </m:r>
        <m:r>
          <m:t>R</m:t>
        </m:r>
      </m:oMath>
      <w:r>
        <w:rPr>
          <w:sz w:val="17"/>
          <w:szCs w:val="17"/>
        </w:rPr>
        <w:t xml:space="preserve"> on the 3 545-cell grid and coarser non-nested meshes, giving means and variances of the heads at A1 and P10, and so of their margin above </w:t>
      </w:r>
      <m:oMath>
        <m:sSub>
          <m:e>
            <m:r>
              <m:t>h</m:t>
            </m:r>
          </m:e>
          <m:sub>
            <m:r>
              <m:t>c</m:t>
            </m:r>
          </m:sub>
        </m:sSub>
        <m:r>
          <m:rPr>
            <m:sty m:val="p"/>
          </m:rPr>
          <m:t>=</m:t>
        </m:r>
        <m:r>
          <m:t>1.0</m:t>
        </m:r>
      </m:oMath>
      <w:r>
        <w:rPr>
          <w:sz w:val="17"/>
          <w:szCs w:val="17"/>
        </w:rPr>
        <w:t xml:space="preserve"> m, at linear sampling cost.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Published in SIAM J. Sci. Comput., it carries the authors' 2018 SIAM/ASA JUQ method for white-noise sampling and MLMC coupling on non-nested meshes over to quasi-random sampling, making MLQMC practical for random-field PDE models on unstructured finite element meshes at linear sampling cost.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paper does not settle whether MLQMC with this sampler keeps its gains for the discontinuous indicator that the head at A1 or P10 falls below </w:t>
      </w:r>
      <m:oMath>
        <m:sSub>
          <m:e>
            <m:r>
              <m:t>h</m:t>
            </m:r>
          </m:e>
          <m:sub>
            <m:r>
              <m:t>c</m:t>
            </m:r>
          </m:sub>
        </m:sSub>
      </m:oMath>
      <w:r>
        <w:rPr>
          <w:sz w:val="17"/>
          <w:szCs w:val="17"/>
        </w:rPr>
        <w:t xml:space="preserve">, or for fields conditioned on pilot-test heads; both are open for a coastal aquifer.</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hybrid white-noise sampler (quasi-random leading Haar terms plus a pseudo-random remainder) with cost linear in the number of cells via supermeshes, which keeps the multilevel coupling on non-nested meshes. Proposed extension: sample Matérn log-transmissivity inside each facies with it, smooth the intrusion indicator by integrating Gaussian recharge noise exactly (heads are linear in </w:t>
      </w:r>
      <m:oMath>
        <m:r>
          <m:t>R</m:t>
        </m:r>
      </m:oMath>
      <w:r>
        <w:rPr>
          <w:sz w:val="17"/>
          <w:szCs w:val="17"/>
        </w:rPr>
        <w:t xml:space="preserve">), and compare the RMSE-versus-cost of MLQMC and plain Monte Carlo for </w:t>
      </w:r>
      <m:oMath>
        <m:r>
          <m:rPr>
            <m:scr m:val="double-struck"/>
            <m:sty m:val="p"/>
          </m:rPr>
          <m:t>P</m:t>
        </m:r>
        <m:d>
          <m:dPr>
            <m:begChr m:val="("/>
            <m:sepChr m:val=""/>
            <m:endChr m:val=")"/>
            <m:grow/>
          </m:dPr>
          <m:e>
            <m:sSub>
              <m:e>
                <m:r>
                  <m:t>h</m:t>
                </m:r>
              </m:e>
              <m:sub>
                <m:r>
                  <m:t>A</m:t>
                </m:r>
                <m:r>
                  <m:t>1</m:t>
                </m:r>
              </m:sub>
            </m:sSub>
            <m:r>
              <m:rPr>
                <m:sty m:val="p"/>
              </m:rPr>
              <m:t>&lt;</m:t>
            </m:r>
            <m:sSub>
              <m:e>
                <m:r>
                  <m:t>h</m:t>
                </m:r>
              </m:e>
              <m:sub>
                <m:r>
                  <m:t>c</m:t>
                </m:r>
              </m:sub>
            </m:sSub>
          </m:e>
        </m:d>
      </m:oMath>
      <w:r>
        <w:rPr>
          <w:sz w:val="17"/>
          <w:szCs w:val="17"/>
        </w:rPr>
        <w:t xml:space="preserve">.</w:t>
      </w:r>
    </w:p>
    <w:p>
      <w:pPr>
        <w:keepNext/>
        <w:pBdr>
          <w:top w:val="single" w:color="002147" w:sz="6" w:space="4"/>
        </w:pBdr>
        <w:spacing w:after="60" w:before="220"/>
      </w:pPr>
      <w:r>
        <w:rPr>
          <w:b/>
          <w:bCs/>
          <w:color w:val="002147"/>
          <w:sz w:val="23"/>
          <w:szCs w:val="23"/>
        </w:rPr>
        <w:t xml:space="preserve">Q2  </w:t>
      </w:r>
      <w:r>
        <w:rPr>
          <w:b/>
          <w:bCs/>
          <w:color w:val="1F3864"/>
          <w:sz w:val="23"/>
          <w:szCs w:val="23"/>
        </w:rPr>
        <w:t xml:space="preserve">Multilevel path branching for digital options</w:t>
      </w:r>
    </w:p>
    <w:p>
      <w:pPr>
        <w:keepNext/>
        <w:spacing w:after="60" w:line="240" w:lineRule="auto"/>
      </w:pPr>
      <w:r>
        <w:rPr>
          <w:b/>
          <w:bCs/>
          <w:color w:val="333B47"/>
          <w:sz w:val="15"/>
          <w:szCs w:val="15"/>
        </w:rPr>
        <w:t xml:space="preserve">Authors: </w:t>
      </w:r>
      <w:r>
        <w:rPr>
          <w:sz w:val="15"/>
          <w:szCs w:val="15"/>
        </w:rPr>
        <w:t xml:space="preserve">Michael B. Giles, Abdul-Lateef Haji-Ali</w:t>
      </w:r>
      <w:r>
        <w:rPr>
          <w:sz w:val="15"/>
          <w:szCs w:val="15"/>
        </w:rPr>
        <w:t xml:space="preserve">   </w:t>
      </w:r>
      <w:r>
        <w:rPr>
          <w:b/>
          <w:bCs/>
          <w:color w:val="333B47"/>
          <w:sz w:val="15"/>
          <w:szCs w:val="15"/>
        </w:rPr>
        <w:t xml:space="preserve">Published in: </w:t>
      </w:r>
      <w:r>
        <w:rPr>
          <w:sz w:val="15"/>
          <w:szCs w:val="15"/>
        </w:rPr>
        <w:t xml:space="preserve">The Annals of Applied Probability, 34(5), 4836–4862 (October 2024)</w:t>
      </w:r>
      <w:r>
        <w:rPr>
          <w:sz w:val="15"/>
          <w:szCs w:val="15"/>
        </w:rPr>
        <w:t xml:space="preserve">   </w:t>
      </w:r>
      <w:r>
        <w:rPr>
          <w:b/>
          <w:bCs/>
          <w:color w:val="333B47"/>
          <w:sz w:val="15"/>
          <w:szCs w:val="15"/>
        </w:rPr>
        <w:t xml:space="preserve">Link: </w:t>
      </w:r>
      <w:hyperlink w:history="1" r:id="rIddea0xy1lo9_ztxybahagi">
        <w:r>
          <w:rPr>
            <w:color w:val="1D4ED8"/>
            <w:sz w:val="15"/>
            <w:szCs w:val="15"/>
            <w:u w:val="single"/>
          </w:rPr>
          <w:t xml:space="preserve">https://doi.org/10.1214/24-AAP2083</w:t>
        </w:r>
      </w:hyperlink>
    </w:p>
    <w:p>
      <w:pPr>
        <w:keepNext/>
        <w:spacing w:after="80" w:line="240" w:lineRule="auto"/>
      </w:pPr>
      <w:r>
        <w:rPr>
          <w:b/>
          <w:bCs/>
          <w:color w:val="333B47"/>
          <w:sz w:val="15"/>
          <w:szCs w:val="15"/>
        </w:rPr>
        <w:t xml:space="preserve">Affiliation: </w:t>
      </w:r>
      <w:r>
        <w:rPr>
          <w:color w:val="3A4350"/>
          <w:sz w:val="15"/>
          <w:szCs w:val="15"/>
        </w:rPr>
        <w:t xml:space="preserve">Mathematical Institute, University of Oxford (Giles): the article is in the Oxford University Research Archive (ORA) and on Giles's Oxford refereed-publications page; Haji-Ali: Heriot-Watt University (Heriot-Watt research portal).</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002147"/>
          <w:sz w:val="17"/>
          <w:szCs w:val="17"/>
        </w:rPr>
        <w:t xml:space="preserve">Summary. </w:t>
      </w:r>
      <w:r>
        <w:rPr>
          <w:sz w:val="17"/>
          <w:szCs w:val="17"/>
        </w:rPr>
        <w:t xml:space="preserve">A digital option pays the indicator that an SDE-driven quantity ends above a threshold, so its price is a probability. For such discontinuous payoffs the multilevel corrections between fine and coarse paths have slowly decaying variance, which spoils the usual efficiency of multilevel Monte Carlo (MLMC). The paper builds a new estimator by repeated path splitting: approximate paths that share parts of a Brownian path are branched into sub-paths whose correlation smooths the discontinuity. Combined with MLMC, the estimator is shown, under the paper's assumptions, to reach a computational complexity similar to that of MLMC for options with Lipschitz payoffs.</w:t>
      </w:r>
    </w:p>
    <w:p>
      <w:pPr>
        <w:keepNext/>
        <w:spacing w:after="20" w:before="40"/>
      </w:pPr>
      <w:r>
        <w:rPr>
          <w:b/>
          <w:bCs/>
          <w:color w:val="002147"/>
          <w:sz w:val="17"/>
          <w:szCs w:val="17"/>
        </w:rPr>
        <w:t xml:space="preserve">Key equation.</w:t>
      </w:r>
      <w:r>
        <w:rPr>
          <w:i/>
          <w:iCs/>
          <w:color w:val="5B6573"/>
          <w:sz w:val="15"/>
          <w:szCs w:val="15"/>
        </w:rPr>
        <w:t xml:space="preserve">  Multilevel telescoping estimator of a probability (digital payoff) built from path-branching level estimates (representative formulation)</w:t>
      </w:r>
    </w:p>
    <w:p>
      <w:pPr>
        <w:pStyle w:val="Equation"/>
      </w:pPr>
      <m:oMathPara>
        <m:oMathParaPr>
          <m:jc m:val="center"/>
        </m:oMathParaPr>
        <m:oMath>
          <m:r>
            <m:rPr>
              <m:scr m:val="double-struck"/>
              <m:sty m:val="p"/>
            </m:rPr>
            <m:t>P</m:t>
          </m:r>
          <m:d>
            <m:dPr>
              <m:begChr m:val="("/>
              <m:sepChr m:val=""/>
              <m:endChr m:val=")"/>
              <m:grow/>
            </m:dPr>
            <m:e>
              <m:sSub>
                <m:e>
                  <m:r>
                    <m:t>X</m:t>
                  </m:r>
                </m:e>
                <m:sub>
                  <m:r>
                    <m:t>T</m:t>
                  </m:r>
                </m:sub>
              </m:sSub>
              <m:r>
                <m:rPr>
                  <m:sty m:val="p"/>
                </m:rPr>
                <m:t>&gt;</m:t>
              </m:r>
              <m:r>
                <m:t>K</m:t>
              </m:r>
            </m:e>
          </m:d>
          <m:r>
            <m:rPr>
              <m:sty m:val="p"/>
            </m:rPr>
            <m:t>=</m:t>
          </m:r>
          <m:r>
            <m:rPr>
              <m:scr m:val="double-struck"/>
              <m:sty m:val="p"/>
            </m:rPr>
            <m:t>E</m:t>
          </m:r>
          <m:d>
            <m:dPr>
              <m:begChr m:val="["/>
              <m:sepChr m:val=""/>
              <m:endChr m:val="]"/>
              <m:grow/>
            </m:dPr>
            <m:e>
              <m:sSub>
                <m:e>
                  <m:r>
                    <m:rPr>
                      <m:sty m:val="b"/>
                    </m:rPr>
                    <m:t>1</m:t>
                  </m:r>
                </m:e>
                <m:sub>
                  <m:d>
                    <m:dPr>
                      <m:begChr m:val="{"/>
                      <m:sepChr m:val=""/>
                      <m:endChr m:val="}"/>
                      <m:grow/>
                    </m:dPr>
                    <m:e>
                      <m:sSub>
                        <m:e>
                          <m:r>
                            <m:t>X</m:t>
                          </m:r>
                        </m:e>
                        <m:sub>
                          <m:r>
                            <m:t>T</m:t>
                          </m:r>
                        </m:sub>
                      </m:sSub>
                      <m:r>
                        <m:rPr>
                          <m:sty m:val="p"/>
                        </m:rPr>
                        <m:t>&gt;</m:t>
                      </m:r>
                      <m:r>
                        <m:t>K</m:t>
                      </m:r>
                    </m:e>
                  </m:d>
                </m:sub>
              </m:sSub>
            </m:e>
          </m:d>
          <m:r>
            <m:rPr>
              <m:sty m:val="p"/>
            </m:rPr>
            <m:t>≈</m:t>
          </m:r>
          <m:nary>
            <m:naryPr>
              <m:chr m:val="∑"/>
              <m:limLoc m:val="undOvr"/>
              <m:subHide m:val="off"/>
              <m:supHide m:val="off"/>
            </m:naryPr>
            <m:sub>
              <m:r>
                <m:rPr>
                  <m:sty m:val="p"/>
                </m:rPr>
                <m:t>ℓ</m:t>
              </m:r>
              <m:r>
                <m:rPr>
                  <m:sty m:val="p"/>
                </m:rPr>
                <m:t>=</m:t>
              </m:r>
              <m:r>
                <m:t>0</m:t>
              </m:r>
            </m:sub>
            <m:sup>
              <m:r>
                <m:t>L</m:t>
              </m:r>
            </m:sup>
            <m:e>
              <m:f>
                <m:fPr>
                  <m:type m:val="bar"/>
                </m:fPr>
                <m:num>
                  <m:r>
                    <m:t>1</m:t>
                  </m:r>
                </m:num>
                <m:den>
                  <m:sSub>
                    <m:e>
                      <m:r>
                        <m:t>N</m:t>
                      </m:r>
                    </m:e>
                    <m:sub>
                      <m:r>
                        <m:rPr>
                          <m:sty m:val="p"/>
                        </m:rPr>
                        <m:t>ℓ</m:t>
                      </m:r>
                    </m:sub>
                  </m:sSub>
                </m:den>
              </m:f>
            </m:e>
          </m:nary>
          <m:nary>
            <m:naryPr>
              <m:chr m:val="∑"/>
              <m:limLoc m:val="undOvr"/>
              <m:subHide m:val="off"/>
              <m:supHide m:val="off"/>
            </m:naryPr>
            <m:sub>
              <m:r>
                <m:t>n</m:t>
              </m:r>
              <m:r>
                <m:rPr>
                  <m:sty m:val="p"/>
                </m:rPr>
                <m:t>=</m:t>
              </m:r>
              <m:r>
                <m:t>1</m:t>
              </m:r>
            </m:sub>
            <m:sup>
              <m:sSub>
                <m:e>
                  <m:r>
                    <m:t>N</m:t>
                  </m:r>
                </m:e>
                <m:sub>
                  <m:r>
                    <m:rPr>
                      <m:sty m:val="p"/>
                    </m:rPr>
                    <m:t>ℓ</m:t>
                  </m:r>
                </m:sub>
              </m:sSub>
            </m:sup>
            <m:e>
              <m:d>
                <m:dPr>
                  <m:begChr m:val="("/>
                  <m:sepChr m:val=""/>
                  <m:endChr m:val=")"/>
                  <m:grow/>
                </m:dPr>
                <m:e>
                  <m:sSubSup>
                    <m:e>
                      <m:acc>
                        <m:accPr>
                          <m:chr m:val="̂"/>
                        </m:accPr>
                        <m:e>
                          <m:r>
                            <m:t>P</m:t>
                          </m:r>
                        </m:e>
                      </m:acc>
                    </m:e>
                    <m:sub>
                      <m:r>
                        <m:rPr>
                          <m:sty m:val="p"/>
                        </m:rPr>
                        <m:t>ℓ</m:t>
                      </m:r>
                    </m:sub>
                    <m:sup>
                      <m:d>
                        <m:dPr>
                          <m:begChr m:val="("/>
                          <m:sepChr m:val=""/>
                          <m:endChr m:val=")"/>
                          <m:grow/>
                        </m:dPr>
                        <m:e>
                          <m:r>
                            <m:t>n</m:t>
                          </m:r>
                        </m:e>
                      </m:d>
                    </m:sup>
                  </m:sSubSup>
                  <m:r>
                    <m:rPr>
                      <m:sty m:val="p"/>
                    </m:rPr>
                    <m:t>−</m:t>
                  </m:r>
                  <m:sSubSup>
                    <m:e>
                      <m:acc>
                        <m:accPr>
                          <m:chr m:val="̂"/>
                        </m:accPr>
                        <m:e>
                          <m:r>
                            <m:t>P</m:t>
                          </m:r>
                        </m:e>
                      </m:acc>
                    </m:e>
                    <m:sub>
                      <m:r>
                        <m:rPr>
                          <m:sty m:val="p"/>
                        </m:rPr>
                        <m:t>ℓ</m:t>
                      </m:r>
                      <m:r>
                        <m:rPr>
                          <m:sty m:val="p"/>
                        </m:rPr>
                        <m:t>−</m:t>
                      </m:r>
                      <m:r>
                        <m:t>1</m:t>
                      </m:r>
                    </m:sub>
                    <m:sup>
                      <m:d>
                        <m:dPr>
                          <m:begChr m:val="("/>
                          <m:sepChr m:val=""/>
                          <m:endChr m:val=")"/>
                          <m:grow/>
                        </m:dPr>
                        <m:e>
                          <m:r>
                            <m:t>n</m:t>
                          </m:r>
                        </m:e>
                      </m:d>
                    </m:sup>
                  </m:sSubSup>
                </m:e>
              </m:d>
            </m:e>
          </m:nary>
          <m:r>
            <m:rPr>
              <m:sty m:val="p"/>
            </m:rPr>
            <m:t>,</m:t>
          </m:r>
          <m:r>
            <m:t> </m:t>
          </m:r>
          <m:sSub>
            <m:e>
              <m:acc>
                <m:accPr>
                  <m:chr m:val="̂"/>
                </m:accPr>
                <m:e>
                  <m:r>
                    <m:t>P</m:t>
                  </m:r>
                </m:e>
              </m:acc>
            </m:e>
            <m:sub>
              <m:r>
                <m:rPr>
                  <m:sty m:val="p"/>
                </m:rPr>
                <m:t>−</m:t>
              </m:r>
              <m:r>
                <m:t>1</m:t>
              </m:r>
            </m:sub>
          </m:sSub>
          <m:r>
            <m:rPr>
              <m:sty m:val="p"/>
            </m:rPr>
            <m:t>=</m:t>
          </m:r>
          <m:r>
            <m:t>0</m:t>
          </m:r>
        </m:oMath>
      </m:oMathPara>
    </w:p>
    <w:p>
      <w:pPr>
        <w:spacing w:after="60"/>
        <w:jc w:val="both"/>
      </w:pPr>
      <m:oMath>
        <m:sSub>
          <m:e>
            <m:r>
              <m:t>X</m:t>
            </m:r>
          </m:e>
          <m:sub>
            <m:r>
              <m:t>T</m:t>
            </m:r>
          </m:sub>
        </m:sSub>
      </m:oMath>
      <w:r>
        <w:rPr>
          <w:color w:val="3A4350"/>
          <w:sz w:val="15"/>
          <w:szCs w:val="15"/>
        </w:rPr>
        <w:t xml:space="preserve"> is the SDE solution at the final time, </w:t>
      </w:r>
      <m:oMath>
        <m:r>
          <m:t>K</m:t>
        </m:r>
      </m:oMath>
      <w:r>
        <w:rPr>
          <w:color w:val="3A4350"/>
          <w:sz w:val="15"/>
          <w:szCs w:val="15"/>
        </w:rPr>
        <w:t xml:space="preserve"> the threshold, </w:t>
      </w:r>
      <m:oMath>
        <m:sSub>
          <m:e>
            <m:r>
              <m:t>N</m:t>
            </m:r>
          </m:e>
          <m:sub>
            <m:r>
              <m:rPr>
                <m:sty m:val="p"/>
              </m:rPr>
              <m:t>ℓ</m:t>
            </m:r>
          </m:sub>
        </m:sSub>
      </m:oMath>
      <w:r>
        <w:rPr>
          <w:color w:val="3A4350"/>
          <w:sz w:val="15"/>
          <w:szCs w:val="15"/>
        </w:rPr>
        <w:t xml:space="preserve"> the number of samples on level </w:t>
      </w:r>
      <m:oMath>
        <m:r>
          <m:rPr>
            <m:sty m:val="p"/>
          </m:rPr>
          <m:t>ℓ</m:t>
        </m:r>
      </m:oMath>
      <w:r>
        <w:rPr>
          <w:color w:val="3A4350"/>
          <w:sz w:val="15"/>
          <w:szCs w:val="15"/>
        </w:rPr>
        <w:t xml:space="preserve"> (time step </w:t>
      </w:r>
      <m:oMath>
        <m:sSub>
          <m:e>
            <m:r>
              <m:t>h</m:t>
            </m:r>
          </m:e>
          <m:sub>
            <m:r>
              <m:rPr>
                <m:sty m:val="p"/>
              </m:rPr>
              <m:t>ℓ</m:t>
            </m:r>
          </m:sub>
        </m:sSub>
      </m:oMath>
      <w:r>
        <w:rPr>
          <w:color w:val="3A4350"/>
          <w:sz w:val="15"/>
          <w:szCs w:val="15"/>
        </w:rPr>
        <w:t xml:space="preserve">), and </w:t>
      </w:r>
      <m:oMath>
        <m:sSub>
          <m:e>
            <m:acc>
              <m:accPr>
                <m:chr m:val="̂"/>
              </m:accPr>
              <m:e>
                <m:r>
                  <m:t>P</m:t>
                </m:r>
              </m:e>
            </m:acc>
          </m:e>
          <m:sub>
            <m:r>
              <m:rPr>
                <m:sty m:val="p"/>
              </m:rPr>
              <m:t>ℓ</m:t>
            </m:r>
          </m:sub>
        </m:sSub>
      </m:oMath>
      <w:r>
        <w:rPr>
          <w:color w:val="3A4350"/>
          <w:sz w:val="15"/>
          <w:szCs w:val="15"/>
        </w:rPr>
        <w:t xml:space="preserve"> the branched estimate of the payoff on level </w:t>
      </w:r>
      <m:oMath>
        <m:r>
          <m:rPr>
            <m:sty m:val="p"/>
          </m:rPr>
          <m:t>ℓ</m:t>
        </m:r>
      </m:oMath>
      <w:r>
        <w:rPr>
          <w:color w:val="3A4350"/>
          <w:sz w:val="15"/>
          <w:szCs w:val="15"/>
        </w:rPr>
        <w:t xml:space="preserve">, coupled with </w:t>
      </w:r>
      <m:oMath>
        <m:sSub>
          <m:e>
            <m:acc>
              <m:accPr>
                <m:chr m:val="̂"/>
              </m:accPr>
              <m:e>
                <m:r>
                  <m:t>P</m:t>
                </m:r>
              </m:e>
            </m:acc>
          </m:e>
          <m:sub>
            <m:r>
              <m:rPr>
                <m:sty m:val="p"/>
              </m:rPr>
              <m:t>ℓ</m:t>
            </m:r>
            <m:r>
              <m:rPr>
                <m:sty m:val="p"/>
              </m:rPr>
              <m:t>−</m:t>
            </m:r>
            <m:r>
              <m:t>1</m:t>
            </m:r>
          </m:sub>
        </m:sSub>
      </m:oMath>
      <w:r>
        <w:rPr>
          <w:color w:val="3A4350"/>
          <w:sz w:val="15"/>
          <w:szCs w:val="15"/>
        </w:rPr>
        <w:t xml:space="preserve"> through a shared Brownian path.</w:t>
      </w:r>
    </w:p>
    <w:p>
      <w:pPr>
        <w:spacing w:after="60"/>
        <w:jc w:val="both"/>
      </w:pPr>
      <w:r>
        <w:rPr>
          <w:b/>
          <w:bCs/>
          <w:color w:val="002147"/>
          <w:sz w:val="17"/>
          <w:szCs w:val="17"/>
        </w:rPr>
        <w:t xml:space="preserve">Link to the MAR scheme. </w:t>
      </w:r>
      <w:r>
        <w:rPr>
          <w:sz w:val="17"/>
          <w:szCs w:val="17"/>
        </w:rPr>
        <w:t xml:space="preserve">Belongs to theme Q (uncertainty quantification and robust Bayes, Oxford). The risk that A1 or P10 is intruded is the expectation of the indicator that its head falls below </w:t>
      </w:r>
      <m:oMath>
        <m:sSub>
          <m:e>
            <m:r>
              <m:t>h</m:t>
            </m:r>
          </m:e>
          <m:sub>
            <m:r>
              <m:t>c</m:t>
            </m:r>
          </m:sub>
        </m:sSub>
        <m:r>
          <m:rPr>
            <m:sty m:val="p"/>
          </m:rPr>
          <m:t>=</m:t>
        </m:r>
        <m:r>
          <m:t>1.0</m:t>
        </m:r>
      </m:oMath>
      <w:r>
        <w:rPr>
          <w:sz w:val="17"/>
          <w:szCs w:val="17"/>
        </w:rPr>
        <w:t xml:space="preserve"> m, a "digital option" on the head. For a transient model driven by random recharge or pumping series, path branching keeps MLMC efficient for this probability.</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Published in The Annals of Applied Probability, it removes a known weakness of MLMC: Giles's review of MLMC for discontinuous functions notes the slow variance decay caused by discontinuous payoffs and discusses branching as a remedy; this paper turns branching into an estimator with Lipschitz-like complexity.</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analysis concerns SDE time-stepping, with levels defined by the time step. Whether branching gives the same complexity when levels are spatial meshes of a groundwater PDE with random conductivity, and heads cluster near </w:t>
      </w:r>
      <m:oMath>
        <m:sSub>
          <m:e>
            <m:r>
              <m:t>h</m:t>
            </m:r>
          </m:e>
          <m:sub>
            <m:r>
              <m:t>c</m:t>
            </m:r>
          </m:sub>
        </m:sSub>
      </m:oMath>
      <w:r>
        <w:rPr>
          <w:sz w:val="17"/>
          <w:szCs w:val="17"/>
        </w:rPr>
        <w:t xml:space="preserve">, is open and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splitting approximate paths into correlated sub-paths that share a Brownian path, which smooths the indicator inside each multilevel correction, with a rigorous complexity analysis. Proposed extension: branch in the recharge rather than in time: for each conductivity sample on level </w:t>
      </w:r>
      <m:oMath>
        <m:r>
          <m:rPr>
            <m:sty m:val="p"/>
          </m:rPr>
          <m:t>ℓ</m:t>
        </m:r>
      </m:oMath>
      <w:r>
        <w:rPr>
          <w:sz w:val="17"/>
          <w:szCs w:val="17"/>
        </w:rPr>
        <w:t xml:space="preserve">, draw many recharge scenarios that reuse its solves (heads are linear in </w:t>
      </w:r>
      <m:oMath>
        <m:r>
          <m:t>R</m:t>
        </m:r>
      </m:oMath>
      <w:r>
        <w:rPr>
          <w:sz w:val="17"/>
          <w:szCs w:val="17"/>
        </w:rPr>
        <w:t xml:space="preserve">, so a baseline plus one solve per MAR well suffices), and measure the variance decay of the corrections for </w:t>
      </w:r>
      <m:oMath>
        <m:r>
          <m:rPr>
            <m:scr m:val="double-struck"/>
            <m:sty m:val="p"/>
          </m:rPr>
          <m:t>P</m:t>
        </m:r>
        <m:d>
          <m:dPr>
            <m:begChr m:val="("/>
            <m:sepChr m:val=""/>
            <m:endChr m:val=")"/>
            <m:grow/>
          </m:dPr>
          <m:e>
            <m:sSub>
              <m:e>
                <m:r>
                  <m:t>h</m:t>
                </m:r>
              </m:e>
              <m:sub>
                <m:r>
                  <m:t>A</m:t>
                </m:r>
                <m:r>
                  <m:t>1</m:t>
                </m:r>
              </m:sub>
            </m:sSub>
            <m:r>
              <m:rPr>
                <m:sty m:val="p"/>
              </m:rPr>
              <m:t>&lt;</m:t>
            </m:r>
            <m:sSub>
              <m:e>
                <m:r>
                  <m:t>h</m:t>
                </m:r>
              </m:e>
              <m:sub>
                <m:r>
                  <m:t>c</m:t>
                </m:r>
              </m:sub>
            </m:sSub>
          </m:e>
        </m:d>
      </m:oMath>
      <w:r>
        <w:rPr>
          <w:sz w:val="17"/>
          <w:szCs w:val="17"/>
        </w:rPr>
        <w:t xml:space="preserve">.</w:t>
      </w:r>
    </w:p>
    <w:p>
      <w:pPr>
        <w:keepNext/>
        <w:pBdr>
          <w:top w:val="single" w:color="002147" w:sz="6" w:space="4"/>
        </w:pBdr>
        <w:spacing w:after="60" w:before="220"/>
      </w:pPr>
      <w:r>
        <w:rPr>
          <w:b/>
          <w:bCs/>
          <w:color w:val="002147"/>
          <w:sz w:val="23"/>
          <w:szCs w:val="23"/>
        </w:rPr>
        <w:t xml:space="preserve">Q3  </w:t>
      </w:r>
      <w:r>
        <w:rPr>
          <w:b/>
          <w:bCs/>
          <w:color w:val="1F3864"/>
          <w:sz w:val="23"/>
          <w:szCs w:val="23"/>
        </w:rPr>
        <w:t xml:space="preserve">Target-Aware Bayesian Inference: How to Beat Optimal Conventional Estimators</w:t>
      </w:r>
    </w:p>
    <w:p>
      <w:pPr>
        <w:keepNext/>
        <w:spacing w:after="60" w:line="240" w:lineRule="auto"/>
      </w:pPr>
      <w:r>
        <w:rPr>
          <w:b/>
          <w:bCs/>
          <w:color w:val="333B47"/>
          <w:sz w:val="15"/>
          <w:szCs w:val="15"/>
        </w:rPr>
        <w:t xml:space="preserve">Authors: </w:t>
      </w:r>
      <w:r>
        <w:rPr>
          <w:sz w:val="15"/>
          <w:szCs w:val="15"/>
        </w:rPr>
        <w:t xml:space="preserve">Tom Rainforth, Adam Goliński, Frank Wood, Sheheryar Zaidi</w:t>
      </w:r>
      <w:r>
        <w:rPr>
          <w:sz w:val="15"/>
          <w:szCs w:val="15"/>
        </w:rPr>
        <w:t xml:space="preserve">   </w:t>
      </w:r>
      <w:r>
        <w:rPr>
          <w:b/>
          <w:bCs/>
          <w:color w:val="333B47"/>
          <w:sz w:val="15"/>
          <w:szCs w:val="15"/>
        </w:rPr>
        <w:t xml:space="preserve">Published in: </w:t>
      </w:r>
      <w:r>
        <w:rPr>
          <w:sz w:val="15"/>
          <w:szCs w:val="15"/>
        </w:rPr>
        <w:t xml:space="preserve">Journal of Machine Learning Research, 21(88), 1–54 (2020)</w:t>
      </w:r>
      <w:r>
        <w:rPr>
          <w:sz w:val="15"/>
          <w:szCs w:val="15"/>
        </w:rPr>
        <w:t xml:space="preserve">   </w:t>
      </w:r>
      <w:r>
        <w:rPr>
          <w:b/>
          <w:bCs/>
          <w:color w:val="333B47"/>
          <w:sz w:val="15"/>
          <w:szCs w:val="15"/>
        </w:rPr>
        <w:t xml:space="preserve">Link: </w:t>
      </w:r>
      <w:hyperlink w:history="1" r:id="rIdssyyfq7iwjv6b4yil5dqu">
        <w:r>
          <w:rPr>
            <w:color w:val="1D4ED8"/>
            <w:sz w:val="15"/>
            <w:szCs w:val="15"/>
            <w:u w:val="single"/>
          </w:rPr>
          <w:t xml:space="preserve">https://jmlr.org/papers/v21/19-102.html</w:t>
        </w:r>
      </w:hyperlink>
    </w:p>
    <w:p>
      <w:pPr>
        <w:keepNext/>
        <w:spacing w:after="80" w:line="240" w:lineRule="auto"/>
      </w:pPr>
      <w:r>
        <w:rPr>
          <w:b/>
          <w:bCs/>
          <w:color w:val="333B47"/>
          <w:sz w:val="15"/>
          <w:szCs w:val="15"/>
        </w:rPr>
        <w:t xml:space="preserve">Affiliation: </w:t>
      </w:r>
      <w:r>
        <w:rPr>
          <w:color w:val="3A4350"/>
          <w:sz w:val="15"/>
          <w:szCs w:val="15"/>
        </w:rPr>
        <w:t xml:space="preserve">Department of Statistics, University of Oxford (Rainforth, Goliński, Zaidi; Goliński also Engineering Science), as summarised from the JMLR paper; the article is also listed on an Oxford (intelligent-earth.ox.ac.uk) page. Wood: University of British Columbia.</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Standard Bayesian computation first approximates the posterior and then averages target functions over it, which is wasteful when the targets are known in advance. Target-aware Bayesian inference (TABI) estimates the posterior expectation directly, as a ratio of three normalising constants (for the positive and negative parts of the target and for the evidence), each with its own importance proposal. Conventional estimators have a fundamental error limit for a given sample size; TABI can in theory give arbitrarily accurate estimates from only three samples. With adaptive importance sampling the estimators are shown, theoretically and empirically, to converge faster than the standard </w:t>
      </w:r>
      <m:oMath>
        <m:r>
          <m:t>O</m:t>
        </m:r>
        <m:d>
          <m:dPr>
            <m:begChr m:val="("/>
            <m:sepChr m:val=""/>
            <m:endChr m:val=")"/>
            <m:grow/>
          </m:dPr>
          <m:e>
            <m:r>
              <m:t>1</m:t>
            </m:r>
            <m:r>
              <m:rPr>
                <m:sty m:val="p"/>
              </m:rPr>
              <m:t>/</m:t>
            </m:r>
            <m:r>
              <m:t>N</m:t>
            </m:r>
          </m:e>
        </m:d>
      </m:oMath>
      <w:r>
        <w:rPr>
          <w:sz w:val="17"/>
          <w:szCs w:val="17"/>
        </w:rPr>
        <w:t xml:space="preserve"> Monte Carlo rate, potentially as fast as </w:t>
      </w:r>
      <m:oMath>
        <m:r>
          <m:t>O</m:t>
        </m:r>
        <m:d>
          <m:dPr>
            <m:begChr m:val="("/>
            <m:sepChr m:val=""/>
            <m:endChr m:val=")"/>
            <m:grow/>
          </m:dPr>
          <m:e>
            <m:r>
              <m:t>1</m:t>
            </m:r>
            <m:r>
              <m:rPr>
                <m:sty m:val="p"/>
              </m:rPr>
              <m:t>/</m:t>
            </m:r>
            <m:sSup>
              <m:e>
                <m:r>
                  <m:t>N</m:t>
                </m:r>
              </m:e>
              <m:sup>
                <m:r>
                  <m:t>2</m:t>
                </m:r>
              </m:sup>
            </m:sSup>
          </m:e>
        </m:d>
      </m:oMath>
      <w:r>
        <w:rPr>
          <w:sz w:val="17"/>
          <w:szCs w:val="17"/>
        </w:rPr>
        <w:t xml:space="preserve">.</w:t>
      </w:r>
    </w:p>
    <w:p>
      <w:pPr>
        <w:keepNext/>
        <w:spacing w:after="20" w:before="40"/>
      </w:pPr>
      <w:r>
        <w:rPr>
          <w:b/>
          <w:bCs/>
          <w:color w:val="002147"/>
          <w:sz w:val="17"/>
          <w:szCs w:val="17"/>
        </w:rPr>
        <w:t xml:space="preserve">Key equation.</w:t>
      </w:r>
      <w:r>
        <w:rPr>
          <w:i/>
          <w:iCs/>
          <w:color w:val="5B6573"/>
          <w:sz w:val="15"/>
          <w:szCs w:val="15"/>
        </w:rPr>
        <w:t xml:space="preserve">  Target-aware decomposition of a posterior expectation into three separately estimated normalising constants (representative formulation)</w:t>
      </w:r>
    </w:p>
    <w:p>
      <w:pPr>
        <w:pStyle w:val="Equation"/>
      </w:pPr>
      <m:oMathPara>
        <m:oMathParaPr>
          <m:jc m:val="center"/>
        </m:oMathParaPr>
        <m:oMath>
          <m:sSub>
            <m:e>
              <m:r>
                <m:rPr>
                  <m:scr m:val="double-struck"/>
                  <m:sty m:val="p"/>
                </m:rPr>
                <m:t>E</m:t>
              </m:r>
            </m:e>
            <m:sub>
              <m:r>
                <m:t>π</m:t>
              </m:r>
            </m:sub>
          </m:sSub>
          <m:d>
            <m:dPr>
              <m:begChr m:val="["/>
              <m:sepChr m:val=""/>
              <m:endChr m:val="]"/>
              <m:grow/>
            </m:dPr>
            <m:e>
              <m:r>
                <m:t>f</m:t>
              </m:r>
              <m:d>
                <m:dPr>
                  <m:begChr m:val="("/>
                  <m:sepChr m:val=""/>
                  <m:endChr m:val=")"/>
                  <m:grow/>
                </m:dPr>
                <m:e>
                  <m:r>
                    <m:t>θ</m:t>
                  </m:r>
                </m:e>
              </m:d>
            </m:e>
          </m:d>
          <m:r>
            <m:rPr>
              <m:sty m:val="p"/>
            </m:rPr>
            <m:t>=</m:t>
          </m:r>
          <m:f>
            <m:fPr>
              <m:type m:val="bar"/>
            </m:fPr>
            <m:num>
              <m:sSubSup>
                <m:e>
                  <m:r>
                    <m:t>Z</m:t>
                  </m:r>
                </m:e>
                <m:sub>
                  <m:r>
                    <m:t>1</m:t>
                  </m:r>
                </m:sub>
                <m:sup>
                  <m:r>
                    <m:rPr>
                      <m:nor/>
                    </m:rPr>
                    <m:t>+</m:t>
                  </m:r>
                </m:sup>
              </m:sSubSup>
              <m:r>
                <m:rPr>
                  <m:sty m:val="p"/>
                </m:rPr>
                <m:t>−</m:t>
              </m:r>
              <m:sSubSup>
                <m:e>
                  <m:r>
                    <m:t>Z</m:t>
                  </m:r>
                </m:e>
                <m:sub>
                  <m:r>
                    <m:t>1</m:t>
                  </m:r>
                </m:sub>
                <m:sup>
                  <m:r>
                    <m:rPr>
                      <m:sty m:val="p"/>
                    </m:rPr>
                    <m:t>−</m:t>
                  </m:r>
                </m:sup>
              </m:sSubSup>
            </m:num>
            <m:den>
              <m:sSub>
                <m:e>
                  <m:r>
                    <m:t>Z</m:t>
                  </m:r>
                </m:e>
                <m:sub>
                  <m:r>
                    <m:t>2</m:t>
                  </m:r>
                </m:sub>
              </m:sSub>
            </m:den>
          </m:f>
          <m:r>
            <m:rPr>
              <m:sty m:val="p"/>
            </m:rPr>
            <m:t>,</m:t>
          </m:r>
          <m:r>
            <m:t> </m:t>
          </m:r>
          <m:sSubSup>
            <m:e>
              <m:r>
                <m:t>Z</m:t>
              </m:r>
            </m:e>
            <m:sub>
              <m:r>
                <m:t>1</m:t>
              </m:r>
            </m:sub>
            <m:sup>
              <m:r>
                <m:rPr>
                  <m:sty m:val="p"/>
                </m:rPr>
                <m:t>±</m:t>
              </m:r>
            </m:sup>
          </m:sSubSup>
          <m:r>
            <m:rPr>
              <m:sty m:val="p"/>
            </m:rPr>
            <m:t>=</m:t>
          </m:r>
          <m:r>
            <m:rPr>
              <m:sty m:val="p"/>
            </m:rPr>
            <m:t>∫</m:t>
          </m:r>
          <m:r>
            <m:t>p</m:t>
          </m:r>
          <m:d>
            <m:dPr>
              <m:begChr m:val="("/>
              <m:sepChr m:val=""/>
              <m:endChr m:val=")"/>
              <m:grow/>
            </m:dPr>
            <m:e>
              <m:r>
                <m:t>θ</m:t>
              </m:r>
              <m:r>
                <m:rPr>
                  <m:sty m:val="p"/>
                </m:rPr>
                <m:t>,</m:t>
              </m:r>
              <m:r>
                <m:t>y</m:t>
              </m:r>
            </m:e>
          </m:d>
          <m:r>
            <m:t> </m:t>
          </m:r>
          <m:sSup>
            <m:e>
              <m:r>
                <m:t>f</m:t>
              </m:r>
            </m:e>
            <m:sup>
              <m:r>
                <m:rPr>
                  <m:sty m:val="p"/>
                </m:rPr>
                <m:t>±</m:t>
              </m:r>
            </m:sup>
          </m:sSup>
          <m:d>
            <m:dPr>
              <m:begChr m:val="("/>
              <m:sepChr m:val=""/>
              <m:endChr m:val=")"/>
              <m:grow/>
            </m:dPr>
            <m:e>
              <m:r>
                <m:t>θ</m:t>
              </m:r>
            </m:e>
          </m:d>
          <m:r>
            <m:t> </m:t>
          </m:r>
          <m:r>
            <m:t>d</m:t>
          </m:r>
          <m:r>
            <m:t>θ</m:t>
          </m:r>
          <m:r>
            <m:rPr>
              <m:sty m:val="p"/>
            </m:rPr>
            <m:t>,</m:t>
          </m:r>
          <m:r>
            <m:t> </m:t>
          </m:r>
          <m:sSub>
            <m:e>
              <m:r>
                <m:t>Z</m:t>
              </m:r>
            </m:e>
            <m:sub>
              <m:r>
                <m:t>2</m:t>
              </m:r>
            </m:sub>
          </m:sSub>
          <m:r>
            <m:rPr>
              <m:sty m:val="p"/>
            </m:rPr>
            <m:t>=</m:t>
          </m:r>
          <m:r>
            <m:rPr>
              <m:sty m:val="p"/>
            </m:rPr>
            <m:t>∫</m:t>
          </m:r>
          <m:r>
            <m:t>p</m:t>
          </m:r>
          <m:d>
            <m:dPr>
              <m:begChr m:val="("/>
              <m:sepChr m:val=""/>
              <m:endChr m:val=")"/>
              <m:grow/>
            </m:dPr>
            <m:e>
              <m:r>
                <m:t>θ</m:t>
              </m:r>
              <m:r>
                <m:rPr>
                  <m:sty m:val="p"/>
                </m:rPr>
                <m:t>,</m:t>
              </m:r>
              <m:r>
                <m:t>y</m:t>
              </m:r>
            </m:e>
          </m:d>
          <m:r>
            <m:t> </m:t>
          </m:r>
          <m:r>
            <m:t>d</m:t>
          </m:r>
          <m:r>
            <m:t>θ</m:t>
          </m:r>
        </m:oMath>
      </m:oMathPara>
    </w:p>
    <w:p>
      <w:pPr>
        <w:spacing w:after="60"/>
        <w:jc w:val="both"/>
      </w:pPr>
      <m:oMath>
        <m:r>
          <m:t>π</m:t>
        </m:r>
      </m:oMath>
      <w:r>
        <w:rPr>
          <w:color w:val="3A4350"/>
          <w:sz w:val="15"/>
          <w:szCs w:val="15"/>
        </w:rPr>
        <w:t xml:space="preserve"> is the posterior of the parameters </w:t>
      </w:r>
      <m:oMath>
        <m:r>
          <m:t>θ</m:t>
        </m:r>
      </m:oMath>
      <w:r>
        <w:rPr>
          <w:color w:val="3A4350"/>
          <w:sz w:val="15"/>
          <w:szCs w:val="15"/>
        </w:rPr>
        <w:t xml:space="preserve"> given data </w:t>
      </w:r>
      <m:oMath>
        <m:r>
          <m:t>y</m:t>
        </m:r>
      </m:oMath>
      <w:r>
        <w:rPr>
          <w:color w:val="3A4350"/>
          <w:sz w:val="15"/>
          <w:szCs w:val="15"/>
        </w:rPr>
        <w:t xml:space="preserve">, </w:t>
      </w:r>
      <m:oMath>
        <m:r>
          <m:t>p</m:t>
        </m:r>
        <m:d>
          <m:dPr>
            <m:begChr m:val="("/>
            <m:sepChr m:val=""/>
            <m:endChr m:val=")"/>
            <m:grow/>
          </m:dPr>
          <m:e>
            <m:r>
              <m:t>θ</m:t>
            </m:r>
            <m:r>
              <m:rPr>
                <m:sty m:val="p"/>
              </m:rPr>
              <m:t>,</m:t>
            </m:r>
            <m:r>
              <m:t>y</m:t>
            </m:r>
          </m:e>
        </m:d>
      </m:oMath>
      <w:r>
        <w:rPr>
          <w:color w:val="3A4350"/>
          <w:sz w:val="15"/>
          <w:szCs w:val="15"/>
        </w:rPr>
        <w:t xml:space="preserve"> the joint density, </w:t>
      </w:r>
      <m:oMath>
        <m:sSup>
          <m:e>
            <m:r>
              <m:t>f</m:t>
            </m:r>
          </m:e>
          <m:sup>
            <m:r>
              <m:rPr>
                <m:nor/>
              </m:rPr>
              <m:t>+</m:t>
            </m:r>
          </m:sup>
        </m:sSup>
        <m:r>
          <m:rPr>
            <m:sty m:val="p"/>
          </m:rPr>
          <m:t>=</m:t>
        </m:r>
        <m:r>
          <m:rPr>
            <m:sty m:val="p"/>
          </m:rPr>
          <m:t>max</m:t>
        </m:r>
        <m:d>
          <m:dPr>
            <m:begChr m:val="("/>
            <m:sepChr m:val=""/>
            <m:endChr m:val=")"/>
            <m:grow/>
          </m:dPr>
          <m:e>
            <m:r>
              <m:t>f</m:t>
            </m:r>
            <m:r>
              <m:rPr>
                <m:sty m:val="p"/>
              </m:rPr>
              <m:t>,</m:t>
            </m:r>
            <m:r>
              <m:t>0</m:t>
            </m:r>
          </m:e>
        </m:d>
      </m:oMath>
      <w:r>
        <w:rPr>
          <w:color w:val="3A4350"/>
          <w:sz w:val="15"/>
          <w:szCs w:val="15"/>
        </w:rPr>
        <w:t xml:space="preserve"> and </w:t>
      </w:r>
      <m:oMath>
        <m:sSup>
          <m:e>
            <m:r>
              <m:t>f</m:t>
            </m:r>
          </m:e>
          <m:sup>
            <m:r>
              <m:rPr>
                <m:sty m:val="p"/>
              </m:rPr>
              <m:t>−</m:t>
            </m:r>
          </m:sup>
        </m:sSup>
        <m:r>
          <m:rPr>
            <m:sty m:val="p"/>
          </m:rPr>
          <m:t>=</m:t>
        </m:r>
        <m:r>
          <m:rPr>
            <m:sty m:val="p"/>
          </m:rPr>
          <m:t>max</m:t>
        </m:r>
        <m:d>
          <m:dPr>
            <m:begChr m:val="("/>
            <m:sepChr m:val=""/>
            <m:endChr m:val=")"/>
            <m:grow/>
          </m:dPr>
          <m:e>
            <m:r>
              <m:rPr>
                <m:sty m:val="p"/>
              </m:rPr>
              <m:t>−</m:t>
            </m:r>
            <m:r>
              <m:t>f</m:t>
            </m:r>
            <m:r>
              <m:rPr>
                <m:sty m:val="p"/>
              </m:rPr>
              <m:t>,</m:t>
            </m:r>
            <m:r>
              <m:t>0</m:t>
            </m:r>
          </m:e>
        </m:d>
      </m:oMath>
      <w:r>
        <w:rPr>
          <w:color w:val="3A4350"/>
          <w:sz w:val="15"/>
          <w:szCs w:val="15"/>
        </w:rPr>
        <w:t xml:space="preserve">, and each </w:t>
      </w:r>
      <m:oMath>
        <m:r>
          <m:t>Z</m:t>
        </m:r>
      </m:oMath>
      <w:r>
        <w:rPr>
          <w:color w:val="3A4350"/>
          <w:sz w:val="15"/>
          <w:szCs w:val="15"/>
        </w:rPr>
        <w:t xml:space="preserve"> is estimated by importance sampling with its own proposal, ideally proportional to its integrand.</w:t>
      </w:r>
    </w:p>
    <w:p>
      <w:pPr>
        <w:spacing w:after="60"/>
        <w:jc w:val="both"/>
      </w:pPr>
      <w:r>
        <w:rPr>
          <w:b/>
          <w:bCs/>
          <w:color w:val="002147"/>
          <w:sz w:val="17"/>
          <w:szCs w:val="17"/>
        </w:rPr>
        <w:t xml:space="preserve">Link to the MAR scheme. </w:t>
      </w:r>
      <w:r>
        <w:rPr>
          <w:sz w:val="17"/>
          <w:szCs w:val="17"/>
        </w:rPr>
        <w:t xml:space="preserve">Belongs to theme Q (uncertainty quantification and robust Bayes, Oxford). After the pilot tests, the posterior probability that A1 or P10 is intruded, and the expected head deficit below </w:t>
      </w:r>
      <m:oMath>
        <m:sSub>
          <m:e>
            <m:r>
              <m:t>h</m:t>
            </m:r>
          </m:e>
          <m:sub>
            <m:r>
              <m:t>c</m:t>
            </m:r>
          </m:sub>
        </m:sSub>
      </m:oMath>
      <w:r>
        <w:rPr>
          <w:sz w:val="17"/>
          <w:szCs w:val="17"/>
        </w:rPr>
        <w:t xml:space="preserve">, are posterior expectations of known targets; TABI spends the expensive groundwater runs on the intrusion region instead of on the whole posterior.</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54-page JMLR paper that questions the "approximate the posterior first" pipeline: it shows that the error limit of optimal conventional estimators can be breached when the target is known, and connects the idea to adaptive importance sampling, amortised inference and marginal-likelihood estimators.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zero-variance result needs optimal proposals. How close adaptive proposals get when the target is the indicator of a thin intrusion region in the 12-dimensional log-conductivity space, and how to share proposals across candidate MAR sitings,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making the target part of the inference and splitting its expectation into three separately estimated normalising constants, which can breach the error limit of conventional self-normalised estimators; amortised variants are given. Proposed extension: amortise over MAR designs by learning one proposal </w:t>
      </w:r>
      <m:oMath>
        <m:r>
          <m:t>q</m:t>
        </m:r>
        <m:d>
          <m:dPr>
            <m:begChr m:val="("/>
            <m:sepChr m:val=""/>
            <m:endChr m:val=")"/>
            <m:grow/>
          </m:dPr>
          <m:e>
            <m:r>
              <m:t>θ</m:t>
            </m:r>
            <m:r>
              <m:rPr>
                <m:sty m:val="p"/>
              </m:rPr>
              <m:t>∣</m:t>
            </m:r>
            <m:r>
              <m:t>d</m:t>
            </m:r>
          </m:e>
        </m:d>
      </m:oMath>
      <w:r>
        <w:rPr>
          <w:sz w:val="17"/>
          <w:szCs w:val="17"/>
        </w:rPr>
        <w:t xml:space="preserve"> for the intrusion region as a function of the recharge vector </w:t>
      </w:r>
      <m:oMath>
        <m:r>
          <m:t>d</m:t>
        </m:r>
      </m:oMath>
      <w:r>
        <w:rPr>
          <w:sz w:val="17"/>
          <w:szCs w:val="17"/>
        </w:rPr>
        <w:t xml:space="preserve"> (heads are linear in </w:t>
      </w:r>
      <m:oMath>
        <m:r>
          <m:t>d</m:t>
        </m:r>
      </m:oMath>
      <w:r>
        <w:rPr>
          <w:sz w:val="17"/>
          <w:szCs w:val="17"/>
        </w:rPr>
        <w:t xml:space="preserve">), and compare the error of </w:t>
      </w:r>
      <m:oMath>
        <m:r>
          <m:rPr>
            <m:scr m:val="double-struck"/>
            <m:sty m:val="p"/>
          </m:rPr>
          <m:t>P</m:t>
        </m:r>
        <m:d>
          <m:dPr>
            <m:begChr m:val="("/>
            <m:sepChr m:val=""/>
            <m:endChr m:val=")"/>
            <m:grow/>
          </m:dPr>
          <m:e>
            <m:sSub>
              <m:e>
                <m:r>
                  <m:t>h</m:t>
                </m:r>
              </m:e>
              <m:sub>
                <m:r>
                  <m:t>A</m:t>
                </m:r>
                <m:r>
                  <m:t>1</m:t>
                </m:r>
              </m:sub>
            </m:sSub>
            <m:r>
              <m:rPr>
                <m:sty m:val="p"/>
              </m:rPr>
              <m:t>&lt;</m:t>
            </m:r>
            <m:sSub>
              <m:e>
                <m:r>
                  <m:t>h</m:t>
                </m:r>
              </m:e>
              <m:sub>
                <m:r>
                  <m:t>c</m:t>
                </m:r>
              </m:sub>
            </m:sSub>
            <m:r>
              <m:rPr>
                <m:sty m:val="p"/>
              </m:rPr>
              <m:t>∣</m:t>
            </m:r>
            <m:r>
              <m:t>y</m:t>
            </m:r>
            <m:r>
              <m:rPr>
                <m:sty m:val="p"/>
              </m:rPr>
              <m:t>,</m:t>
            </m:r>
            <m:r>
              <m:t>d</m:t>
            </m:r>
          </m:e>
        </m:d>
      </m:oMath>
      <w:r>
        <w:rPr>
          <w:sz w:val="17"/>
          <w:szCs w:val="17"/>
        </w:rPr>
        <w:t xml:space="preserve"> with self-normalised sampling at equal runs.</w:t>
      </w:r>
    </w:p>
    <w:p>
      <w:pPr>
        <w:keepNext/>
        <w:pBdr>
          <w:top w:val="single" w:color="002147" w:sz="6" w:space="4"/>
        </w:pBdr>
        <w:spacing w:after="60" w:before="220"/>
      </w:pPr>
      <w:r>
        <w:rPr>
          <w:b/>
          <w:bCs/>
          <w:color w:val="002147"/>
          <w:sz w:val="23"/>
          <w:szCs w:val="23"/>
        </w:rPr>
        <w:t xml:space="preserve">Q4  </w:t>
      </w:r>
      <w:r>
        <w:rPr>
          <w:b/>
          <w:bCs/>
          <w:color w:val="1F3864"/>
          <w:sz w:val="23"/>
          <w:szCs w:val="23"/>
        </w:rPr>
        <w:t xml:space="preserve">Sampling-based Nyström Approximation and Kernel Quadrature</w:t>
      </w:r>
    </w:p>
    <w:p>
      <w:pPr>
        <w:keepNext/>
        <w:spacing w:after="60" w:line="240" w:lineRule="auto"/>
      </w:pPr>
      <w:r>
        <w:rPr>
          <w:b/>
          <w:bCs/>
          <w:color w:val="333B47"/>
          <w:sz w:val="15"/>
          <w:szCs w:val="15"/>
        </w:rPr>
        <w:t xml:space="preserve">Authors: </w:t>
      </w:r>
      <w:r>
        <w:rPr>
          <w:sz w:val="15"/>
          <w:szCs w:val="15"/>
        </w:rPr>
        <w:t xml:space="preserve">Satoshi Hayakawa, Harald Oberhauser, Terry Lyons</w:t>
      </w:r>
      <w:r>
        <w:rPr>
          <w:sz w:val="15"/>
          <w:szCs w:val="15"/>
        </w:rPr>
        <w:t xml:space="preserve">   </w:t>
      </w:r>
      <w:r>
        <w:rPr>
          <w:b/>
          <w:bCs/>
          <w:color w:val="333B47"/>
          <w:sz w:val="15"/>
          <w:szCs w:val="15"/>
        </w:rPr>
        <w:t xml:space="preserve">Published in: </w:t>
      </w:r>
      <w:r>
        <w:rPr>
          <w:sz w:val="15"/>
          <w:szCs w:val="15"/>
        </w:rPr>
        <w:t xml:space="preserve">Proceedings of the 40th International Conference on Machine Learning (ICML 2023), PMLR 202, 12678–12699 (2023)</w:t>
      </w:r>
      <w:r>
        <w:rPr>
          <w:sz w:val="15"/>
          <w:szCs w:val="15"/>
        </w:rPr>
        <w:t xml:space="preserve">   </w:t>
      </w:r>
      <w:r>
        <w:rPr>
          <w:b/>
          <w:bCs/>
          <w:color w:val="333B47"/>
          <w:sz w:val="15"/>
          <w:szCs w:val="15"/>
        </w:rPr>
        <w:t xml:space="preserve">Link: </w:t>
      </w:r>
      <w:hyperlink w:history="1" r:id="rIdcd0uvzjld2nhhxvdjc6kc">
        <w:r>
          <w:rPr>
            <w:color w:val="1D4ED8"/>
            <w:sz w:val="15"/>
            <w:szCs w:val="15"/>
            <w:u w:val="single"/>
          </w:rPr>
          <w:t xml:space="preserve">https://proceedings.mlr.press/v202/hayakawa23a.html</w:t>
        </w:r>
      </w:hyperlink>
    </w:p>
    <w:p>
      <w:pPr>
        <w:keepNext/>
        <w:spacing w:after="80" w:line="240" w:lineRule="auto"/>
      </w:pPr>
      <w:r>
        <w:rPr>
          <w:b/>
          <w:bCs/>
          <w:color w:val="333B47"/>
          <w:sz w:val="15"/>
          <w:szCs w:val="15"/>
        </w:rPr>
        <w:t xml:space="preserve">Affiliation: </w:t>
      </w:r>
      <w:r>
        <w:rPr>
          <w:color w:val="3A4350"/>
          <w:sz w:val="15"/>
          <w:szCs w:val="15"/>
        </w:rPr>
        <w:t xml:space="preserve">Mathematical Institute, University of Oxford: the paper has an Oxford University Research Archive (ORA) record and appears in the Oxford Mathematical Institute listing (23 Jan 2023).</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The paper analyses the Nyström low-rank approximation of a positive definite kernel associated with a probability measure, built from sampled landmark points, and its use in convex kernel quadrature (positive weights summing to one). First, it proves a sharper error bound for the standard Nyström approximation with i.i.d. sampling and singular-value decomposition in the continuous regime, using techniques from statistical learning theory. Second, it introduces a refined choice of subspaces whose guarantees also hold for landmark points that are not i.i.d. Third, it turns these results into new theoretical guarantees for convex kernel quadrature, supported by numerical experiments.</w:t>
      </w:r>
    </w:p>
    <w:p>
      <w:pPr>
        <w:keepNext/>
        <w:spacing w:after="20" w:before="40"/>
      </w:pPr>
      <w:r>
        <w:rPr>
          <w:b/>
          <w:bCs/>
          <w:color w:val="002147"/>
          <w:sz w:val="17"/>
          <w:szCs w:val="17"/>
        </w:rPr>
        <w:t xml:space="preserve">Key equation.</w:t>
      </w:r>
      <w:r>
        <w:rPr>
          <w:i/>
          <w:iCs/>
          <w:color w:val="5B6573"/>
          <w:sz w:val="15"/>
          <w:szCs w:val="15"/>
        </w:rPr>
        <w:t xml:space="preserve">  Worst-case error of a convex kernel quadrature rule, the quantity controlled by the Nyström-based guarantees (representative formulation)</w:t>
      </w:r>
    </w:p>
    <w:p>
      <w:pPr>
        <w:pStyle w:val="Equation"/>
      </w:pPr>
      <m:oMathPara>
        <m:oMathParaPr>
          <m:jc m:val="center"/>
        </m:oMathParaPr>
        <m:oMath>
          <m:r>
            <m:rPr>
              <m:nor/>
            </m:rPr>
            <m:t>wce</m:t>
          </m:r>
          <m:d>
            <m:dPr>
              <m:begChr m:val="("/>
              <m:sepChr m:val=""/>
              <m:endChr m:val=")"/>
              <m:grow/>
            </m:dPr>
            <m:e>
              <m:sSub>
                <m:e>
                  <m:r>
                    <m:t>Q</m:t>
                  </m:r>
                </m:e>
                <m:sub>
                  <m:r>
                    <m:t>n</m:t>
                  </m:r>
                </m:sub>
              </m:sSub>
            </m:e>
          </m:d>
          <m:r>
            <m:rPr>
              <m:sty m:val="p"/>
            </m:rPr>
            <m:t>=</m:t>
          </m:r>
          <m:limLow>
            <m:e>
              <m:r>
                <m:rPr>
                  <m:sty m:val="p"/>
                </m:rPr>
                <m:t>max</m:t>
              </m:r>
            </m:e>
            <m:lim>
              <m:r>
                <m:rPr>
                  <m:sty m:val="p"/>
                </m:rPr>
                <m:t>∥</m:t>
              </m:r>
              <m:r>
                <m:t>f</m:t>
              </m:r>
              <m:sSub>
                <m:e>
                  <m:r>
                    <m:rPr>
                      <m:sty m:val="p"/>
                    </m:rPr>
                    <m:t>∥</m:t>
                  </m:r>
                </m:e>
                <m:sub>
                  <m:sSub>
                    <m:e>
                      <m:r>
                        <m:rPr>
                          <m:scr m:val="script"/>
                          <m:sty m:val="p"/>
                        </m:rPr>
                        <m:t>H</m:t>
                      </m:r>
                    </m:e>
                    <m:sub>
                      <m:r>
                        <m:t>k</m:t>
                      </m:r>
                    </m:sub>
                  </m:sSub>
                </m:sub>
              </m:sSub>
              <m:r>
                <m:rPr>
                  <m:sty m:val="p"/>
                </m:rPr>
                <m:t>≤</m:t>
              </m:r>
              <m:r>
                <m:t>1</m:t>
              </m:r>
            </m:lim>
          </m:limLow>
          <m:d>
            <m:dPr>
              <m:begChr m:val="|"/>
              <m:sepChr m:val=""/>
              <m:endChr m:val="|"/>
              <m:grow/>
            </m:dPr>
            <m:e>
              <m:nary>
                <m:naryPr>
                  <m:chr m:val="∫"/>
                  <m:limLoc m:val="subSup"/>
                  <m:subHide m:val="off"/>
                  <m:supHide m:val="on"/>
                </m:naryPr>
                <m:sub>
                  <m:r>
                    <m:rPr>
                      <m:scr m:val="script"/>
                      <m:sty m:val="p"/>
                    </m:rPr>
                    <m:t>X</m:t>
                  </m:r>
                </m:sub>
                <m:sup>
                  <m:r>
                    <m:t>​</m:t>
                  </m:r>
                </m:sup>
                <m:e>
                  <m:r>
                    <m:t>f</m:t>
                  </m:r>
                </m:e>
              </m:nary>
              <m:r>
                <m:t> </m:t>
              </m:r>
              <m:r>
                <m:t>d</m:t>
              </m:r>
              <m:r>
                <m:t>μ</m:t>
              </m:r>
              <m:r>
                <m:rPr>
                  <m:sty m:val="p"/>
                </m:rPr>
                <m:t>−</m:t>
              </m:r>
              <m:nary>
                <m:naryPr>
                  <m:chr m:val="∑"/>
                  <m:limLoc m:val="undOvr"/>
                  <m:subHide m:val="off"/>
                  <m:supHide m:val="off"/>
                </m:naryPr>
                <m:sub>
                  <m:r>
                    <m:t>j</m:t>
                  </m:r>
                  <m:r>
                    <m:rPr>
                      <m:sty m:val="p"/>
                    </m:rPr>
                    <m:t>=</m:t>
                  </m:r>
                  <m:r>
                    <m:t>1</m:t>
                  </m:r>
                </m:sub>
                <m:sup>
                  <m:r>
                    <m:t>n</m:t>
                  </m:r>
                </m:sup>
                <m:e>
                  <m:sSub>
                    <m:e>
                      <m:r>
                        <m:t>w</m:t>
                      </m:r>
                    </m:e>
                    <m:sub>
                      <m:r>
                        <m:t>j</m:t>
                      </m:r>
                    </m:sub>
                  </m:sSub>
                </m:e>
              </m:nary>
              <m:r>
                <m:t>f</m:t>
              </m:r>
              <m:d>
                <m:dPr>
                  <m:begChr m:val="("/>
                  <m:sepChr m:val=""/>
                  <m:endChr m:val=")"/>
                  <m:grow/>
                </m:dPr>
                <m:e>
                  <m:sSub>
                    <m:e>
                      <m:r>
                        <m:t>x</m:t>
                      </m:r>
                    </m:e>
                    <m:sub>
                      <m:r>
                        <m:t>j</m:t>
                      </m:r>
                    </m:sub>
                  </m:sSub>
                </m:e>
              </m:d>
            </m:e>
          </m:d>
          <m:r>
            <m:rPr>
              <m:sty m:val="p"/>
            </m:rPr>
            <m:t>,</m:t>
          </m:r>
          <m:r>
            <m:t> </m:t>
          </m:r>
          <m:sSub>
            <m:e>
              <m:r>
                <m:t>w</m:t>
              </m:r>
            </m:e>
            <m:sub>
              <m:r>
                <m:t>j</m:t>
              </m:r>
            </m:sub>
          </m:sSub>
          <m:r>
            <m:rPr>
              <m:sty m:val="p"/>
            </m:rPr>
            <m:t>≥</m:t>
          </m:r>
          <m:r>
            <m:t>0</m:t>
          </m:r>
          <m:r>
            <m:rPr>
              <m:sty m:val="p"/>
            </m:rPr>
            <m:t>,</m:t>
          </m:r>
          <m:r>
            <m:t> </m:t>
          </m:r>
          <m:nary>
            <m:naryPr>
              <m:chr m:val="∑"/>
              <m:limLoc m:val="undOvr"/>
              <m:subHide m:val="off"/>
              <m:supHide m:val="off"/>
            </m:naryPr>
            <m:sub>
              <m:r>
                <m:t>j</m:t>
              </m:r>
              <m:r>
                <m:rPr>
                  <m:sty m:val="p"/>
                </m:rPr>
                <m:t>=</m:t>
              </m:r>
              <m:r>
                <m:t>1</m:t>
              </m:r>
            </m:sub>
            <m:sup>
              <m:r>
                <m:t>n</m:t>
              </m:r>
            </m:sup>
            <m:e>
              <m:sSub>
                <m:e>
                  <m:r>
                    <m:t>w</m:t>
                  </m:r>
                </m:e>
                <m:sub>
                  <m:r>
                    <m:t>j</m:t>
                  </m:r>
                </m:sub>
              </m:sSub>
            </m:e>
          </m:nary>
          <m:r>
            <m:rPr>
              <m:sty m:val="p"/>
            </m:rPr>
            <m:t>=</m:t>
          </m:r>
          <m:r>
            <m:t>1</m:t>
          </m:r>
        </m:oMath>
      </m:oMathPara>
    </w:p>
    <w:p>
      <w:pPr>
        <w:spacing w:after="60"/>
        <w:jc w:val="both"/>
      </w:pPr>
      <m:oMath>
        <m:sSub>
          <m:e>
            <m:r>
              <m:rPr>
                <m:scr m:val="script"/>
                <m:sty m:val="p"/>
              </m:rPr>
              <m:t>H</m:t>
            </m:r>
          </m:e>
          <m:sub>
            <m:r>
              <m:t>k</m:t>
            </m:r>
          </m:sub>
        </m:sSub>
      </m:oMath>
      <w:r>
        <w:rPr>
          <w:color w:val="3A4350"/>
          <w:sz w:val="15"/>
          <w:szCs w:val="15"/>
        </w:rPr>
        <w:t xml:space="preserve"> is the reproducing kernel Hilbert space of the kernel </w:t>
      </w:r>
      <m:oMath>
        <m:r>
          <m:t>k</m:t>
        </m:r>
      </m:oMath>
      <w:r>
        <w:rPr>
          <w:color w:val="3A4350"/>
          <w:sz w:val="15"/>
          <w:szCs w:val="15"/>
        </w:rPr>
        <w:t xml:space="preserve">, </w:t>
      </w:r>
      <m:oMath>
        <m:r>
          <m:t>μ</m:t>
        </m:r>
      </m:oMath>
      <w:r>
        <w:rPr>
          <w:color w:val="3A4350"/>
          <w:sz w:val="15"/>
          <w:szCs w:val="15"/>
        </w:rPr>
        <w:t xml:space="preserve"> the probability measure (here the prior of the aquifer parameters), and </w:t>
      </w:r>
      <m:oMath>
        <m:d>
          <m:dPr>
            <m:begChr m:val="("/>
            <m:sepChr m:val=""/>
            <m:endChr m:val=")"/>
            <m:grow/>
          </m:dPr>
          <m:e>
            <m:sSub>
              <m:e>
                <m:r>
                  <m:t>x</m:t>
                </m:r>
              </m:e>
              <m:sub>
                <m:r>
                  <m:t>j</m:t>
                </m:r>
              </m:sub>
            </m:sSub>
            <m:r>
              <m:rPr>
                <m:sty m:val="p"/>
              </m:rPr>
              <m:t>,</m:t>
            </m:r>
            <m:sSub>
              <m:e>
                <m:r>
                  <m:t>w</m:t>
                </m:r>
              </m:e>
              <m:sub>
                <m:r>
                  <m:t>j</m:t>
                </m:r>
              </m:sub>
            </m:sSub>
          </m:e>
        </m:d>
      </m:oMath>
      <w:r>
        <w:rPr>
          <w:color w:val="3A4350"/>
          <w:sz w:val="15"/>
          <w:szCs w:val="15"/>
        </w:rPr>
        <w:t xml:space="preserve"> the </w:t>
      </w:r>
      <m:oMath>
        <m:r>
          <m:t>n</m:t>
        </m:r>
      </m:oMath>
      <w:r>
        <w:rPr>
          <w:color w:val="3A4350"/>
          <w:sz w:val="15"/>
          <w:szCs w:val="15"/>
        </w:rPr>
        <w:t xml:space="preserve"> nodes and positive weights; the paper's guarantees control this error through the Nyström approximation of </w:t>
      </w:r>
      <m:oMath>
        <m:r>
          <m:t>k</m:t>
        </m:r>
      </m:oMath>
      <w:r>
        <w:rPr>
          <w:color w:val="3A4350"/>
          <w:sz w:val="15"/>
          <w:szCs w:val="15"/>
        </w:rPr>
        <w:t xml:space="preserve">.</w:t>
      </w:r>
    </w:p>
    <w:p>
      <w:pPr>
        <w:spacing w:after="60"/>
        <w:jc w:val="both"/>
      </w:pPr>
      <w:r>
        <w:rPr>
          <w:b/>
          <w:bCs/>
          <w:color w:val="002147"/>
          <w:sz w:val="17"/>
          <w:szCs w:val="17"/>
        </w:rPr>
        <w:t xml:space="preserve">Link to the MAR scheme. </w:t>
      </w:r>
      <w:r>
        <w:rPr>
          <w:sz w:val="17"/>
          <w:szCs w:val="17"/>
        </w:rPr>
        <w:t xml:space="preserve">Belongs to theme Q (uncertainty quantification and robust Bayes, Oxford). From many cheap prior samples of the 12 log-conductivities it selects a few aquifer scenarios with positive weights, so expectations of smooth head functionals at A1 and P10 need only a small set of groundwater runs, and the weighted set can enter a convex recharge optimisation directly.</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An ICML 2023 main-track paper that sharpens the theory of Nyström approximation, a standard randomised low-rank kernel method, and links it to quadrature with positive weights, building on the authors' NeurIPS 2022 positively weighted kernel quadrature; code is public in their kernel-quadrature repository.</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guarantees hold for integrands in the kernel's RKHS. Whether heads, head deficits or intrusion indicators of the coastal model are well represented there, and how quadrature error turns into error in the optimal recharge rates or siting,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sharper Nyström error bound via statistical learning theory, subspace selection with guarantees for non-i.i.d. landmarks, and convex quadrature guarantees built on both. Proposed extension: reduce </w:t>
      </w:r>
      <m:oMath>
        <m:sSup>
          <m:e>
            <m:r>
              <m:t>10</m:t>
            </m:r>
          </m:e>
          <m:sup>
            <m:r>
              <m:t>4</m:t>
            </m:r>
          </m:sup>
        </m:sSup>
      </m:oMath>
      <w:r>
        <w:rPr>
          <w:sz w:val="17"/>
          <w:szCs w:val="17"/>
        </w:rPr>
        <w:t xml:space="preserve"> prior aquifer samples to about 30 weighted scenarios, solve the convex MAR design on them, and bound the change in optimal value by </w:t>
      </w:r>
      <m:oMath>
        <m:r>
          <m:rPr>
            <m:nor/>
          </m:rPr>
          <m:t>wce</m:t>
        </m:r>
        <m:d>
          <m:dPr>
            <m:begChr m:val="("/>
            <m:sepChr m:val=""/>
            <m:endChr m:val=")"/>
            <m:grow/>
          </m:dPr>
          <m:e>
            <m:sSub>
              <m:e>
                <m:r>
                  <m:t>Q</m:t>
                </m:r>
              </m:e>
              <m:sub>
                <m:r>
                  <m:t>n</m:t>
                </m:r>
              </m:sub>
            </m:sSub>
          </m:e>
        </m:d>
        <m:sSub>
          <m:e>
            <m:r>
              <m:rPr>
                <m:sty m:val="p"/>
              </m:rPr>
              <m:t>max</m:t>
            </m:r>
          </m:e>
          <m:sub>
            <m:r>
              <m:t>d</m:t>
            </m:r>
          </m:sub>
        </m:sSub>
        <m:r>
          <m:rPr>
            <m:sty m:val="p"/>
          </m:rPr>
          <m:t>∥</m:t>
        </m:r>
        <m:r>
          <m:t>F</m:t>
        </m:r>
        <m:d>
          <m:dPr>
            <m:begChr m:val="("/>
            <m:sepChr m:val=""/>
            <m:endChr m:val=")"/>
            <m:grow/>
          </m:dPr>
          <m:e>
            <m:r>
              <m:t>d</m:t>
            </m:r>
            <m:r>
              <m:rPr>
                <m:sty m:val="p"/>
              </m:rPr>
              <m:t>,</m:t>
            </m:r>
            <m:r>
              <m:rPr>
                <m:sty m:val="p"/>
              </m:rPr>
              <m:t>⋅</m:t>
            </m:r>
          </m:e>
        </m:d>
        <m:sSub>
          <m:e>
            <m:r>
              <m:rPr>
                <m:sty m:val="p"/>
              </m:rPr>
              <m:t>∥</m:t>
            </m:r>
          </m:e>
          <m:sub>
            <m:sSub>
              <m:e>
                <m:r>
                  <m:rPr>
                    <m:scr m:val="script"/>
                    <m:sty m:val="p"/>
                  </m:rPr>
                  <m:t>H</m:t>
                </m:r>
              </m:e>
              <m:sub>
                <m:r>
                  <m:t>k</m:t>
                </m:r>
              </m:sub>
            </m:sSub>
          </m:sub>
        </m:sSub>
      </m:oMath>
      <w:r>
        <w:rPr>
          <w:sz w:val="17"/>
          <w:szCs w:val="17"/>
        </w:rPr>
        <w:t xml:space="preserve">, where </w:t>
      </w:r>
      <m:oMath>
        <m:r>
          <m:t>F</m:t>
        </m:r>
      </m:oMath>
      <w:r>
        <w:rPr>
          <w:sz w:val="17"/>
          <w:szCs w:val="17"/>
        </w:rPr>
        <w:t xml:space="preserve"> is the design objective, then test against a full Monte Carlo solution.</w:t>
      </w:r>
    </w:p>
    <w:p>
      <w:pPr>
        <w:keepNext/>
        <w:pBdr>
          <w:top w:val="single" w:color="002147" w:sz="6" w:space="4"/>
        </w:pBdr>
        <w:spacing w:after="60" w:before="220"/>
      </w:pPr>
      <w:r>
        <w:rPr>
          <w:b/>
          <w:bCs/>
          <w:color w:val="002147"/>
          <w:sz w:val="23"/>
          <w:szCs w:val="23"/>
        </w:rPr>
        <w:t xml:space="preserve">Q5  </w:t>
      </w:r>
      <w:r>
        <w:rPr>
          <w:b/>
          <w:bCs/>
          <w:color w:val="1F3864"/>
          <w:sz w:val="23"/>
          <w:szCs w:val="23"/>
        </w:rPr>
        <w:t xml:space="preserve">A Rigorous Link between Deep Ensembles and (Variational) Bayesian Methods</w:t>
      </w:r>
    </w:p>
    <w:p>
      <w:pPr>
        <w:keepNext/>
        <w:spacing w:after="60" w:line="240" w:lineRule="auto"/>
      </w:pPr>
      <w:r>
        <w:rPr>
          <w:b/>
          <w:bCs/>
          <w:color w:val="333B47"/>
          <w:sz w:val="15"/>
          <w:szCs w:val="15"/>
        </w:rPr>
        <w:t xml:space="preserve">Authors: </w:t>
      </w:r>
      <w:r>
        <w:rPr>
          <w:sz w:val="15"/>
          <w:szCs w:val="15"/>
        </w:rPr>
        <w:t xml:space="preserve">Veit David Wild, Sahra Ghalebikesabi, Dino Sejdinovic, Jeremias Knoblauch</w:t>
      </w:r>
      <w:r>
        <w:rPr>
          <w:sz w:val="15"/>
          <w:szCs w:val="15"/>
        </w:rPr>
        <w:t xml:space="preserve">   </w:t>
      </w:r>
      <w:r>
        <w:rPr>
          <w:b/>
          <w:bCs/>
          <w:color w:val="333B47"/>
          <w:sz w:val="15"/>
          <w:szCs w:val="15"/>
        </w:rPr>
        <w:t xml:space="preserve">Published in: </w:t>
      </w:r>
      <w:r>
        <w:rPr>
          <w:sz w:val="15"/>
          <w:szCs w:val="15"/>
        </w:rPr>
        <w:t xml:space="preserve">Advances in Neural Information Processing Systems 36 (NeurIPS 2023), oral (pages not verified)</w:t>
      </w:r>
      <w:r>
        <w:rPr>
          <w:sz w:val="15"/>
          <w:szCs w:val="15"/>
        </w:rPr>
        <w:t xml:space="preserve">   </w:t>
      </w:r>
      <w:r>
        <w:rPr>
          <w:b/>
          <w:bCs/>
          <w:color w:val="333B47"/>
          <w:sz w:val="15"/>
          <w:szCs w:val="15"/>
        </w:rPr>
        <w:t xml:space="preserve">Link: </w:t>
      </w:r>
      <w:hyperlink w:history="1" r:id="rId-4nnqislepis3qgtqpf52">
        <w:r>
          <w:rPr>
            <w:color w:val="1D4ED8"/>
            <w:sz w:val="15"/>
            <w:szCs w:val="15"/>
            <w:u w:val="single"/>
          </w:rPr>
          <w:t xml:space="preserve">https://proceedings.neurips.cc/paper_files/paper/2023/hash/7d25b1db211d99d5750ec45d65fd6e4e-Abstract-Conference.html</w:t>
        </w:r>
      </w:hyperlink>
    </w:p>
    <w:p>
      <w:pPr>
        <w:keepNext/>
        <w:spacing w:after="80" w:line="240" w:lineRule="auto"/>
      </w:pPr>
      <w:r>
        <w:rPr>
          <w:b/>
          <w:bCs/>
          <w:color w:val="333B47"/>
          <w:sz w:val="15"/>
          <w:szCs w:val="15"/>
        </w:rPr>
        <w:t xml:space="preserve">Affiliation: </w:t>
      </w:r>
      <w:r>
        <w:rPr>
          <w:color w:val="3A4350"/>
          <w:sz w:val="15"/>
          <w:szCs w:val="15"/>
        </w:rPr>
        <w:t xml:space="preserve">Department of Statistics, University of Oxford: Wild's Oxford DPhil thesis (ORA, 2024) contains the deep repulsive Langevin ensembles of this paper, and Wild's 2022 companion paper is affiliated with the Oxford Department of Statistics; the PDF is also on UCL Discovery (Knoblauch).</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The paper gives a mathematically rigorous link between Bayesian, variational Bayesian and ensemble methods for uncertainty quantification. It rewrites the non-convex training problem of deep learning as a convex optimisation over probability measures on the parameters, and studies generalised variational inference (an expected loss plus a divergence to the prior) through Wasserstein gradient flows. This offers an explanation for the success of deep ensembles over parameterised variational inference and yields new ensembling schemes, including interacting (repulsive Langevin) ensembles modelled on particle systems in thermodynamics, which are proved to converge to a well-defined global minimiser on the space of probability measures.</w:t>
      </w:r>
    </w:p>
    <w:p>
      <w:pPr>
        <w:keepNext/>
        <w:spacing w:after="20" w:before="40"/>
      </w:pPr>
      <w:r>
        <w:rPr>
          <w:b/>
          <w:bCs/>
          <w:color w:val="002147"/>
          <w:sz w:val="17"/>
          <w:szCs w:val="17"/>
        </w:rPr>
        <w:t xml:space="preserve">Key equation.</w:t>
      </w:r>
      <w:r>
        <w:rPr>
          <w:i/>
          <w:iCs/>
          <w:color w:val="5B6573"/>
          <w:sz w:val="15"/>
          <w:szCs w:val="15"/>
        </w:rPr>
        <w:t xml:space="preserve">  Generalised variational posterior as the minimiser of an expected loss plus a divergence over probability measures (representative formulation)</w:t>
      </w:r>
    </w:p>
    <w:p>
      <w:pPr>
        <w:pStyle w:val="Equation"/>
      </w:pPr>
      <m:oMathPara>
        <m:oMathParaPr>
          <m:jc m:val="center"/>
        </m:oMathParaPr>
        <m:oMath>
          <m:sSup>
            <m:e>
              <m:r>
                <m:t>Q</m:t>
              </m:r>
            </m:e>
            <m:sup>
              <m:r>
                <m:rPr>
                  <m:sty m:val="p"/>
                </m:rPr>
                <m:t>⋆</m:t>
              </m:r>
            </m:sup>
          </m:sSup>
          <m:r>
            <m:rPr>
              <m:sty m:val="p"/>
            </m:rPr>
            <m:t>=</m:t>
          </m:r>
          <m:r>
            <m:rPr>
              <m:sty m:val="p"/>
            </m:rPr>
            <m:t>arg</m:t>
          </m:r>
          <m:limLow>
            <m:e>
              <m:r>
                <m:rPr>
                  <m:sty m:val="p"/>
                </m:rPr>
                <m:t>min</m:t>
              </m:r>
            </m:e>
            <m:lim>
              <m:r>
                <m:t>Q</m:t>
              </m:r>
              <m:r>
                <m:rPr>
                  <m:sty m:val="p"/>
                </m:rPr>
                <m:t>∈</m:t>
              </m:r>
              <m:r>
                <m:rPr>
                  <m:scr m:val="script"/>
                  <m:sty m:val="p"/>
                </m:rPr>
                <m:t>P</m:t>
              </m:r>
              <m:d>
                <m:dPr>
                  <m:begChr m:val="("/>
                  <m:sepChr m:val=""/>
                  <m:endChr m:val=")"/>
                  <m:grow/>
                </m:dPr>
                <m:e>
                  <m:r>
                    <m:t>Θ</m:t>
                  </m:r>
                </m:e>
              </m:d>
            </m:lim>
          </m:limLow>
          <m:d>
            <m:dPr>
              <m:begChr m:val="{"/>
              <m:sepChr m:val=""/>
              <m:endChr m:val="}"/>
              <m:grow/>
            </m:dPr>
            <m:e>
              <m:nary>
                <m:naryPr>
                  <m:chr m:val="∫"/>
                  <m:limLoc m:val="subSup"/>
                  <m:subHide m:val="off"/>
                  <m:supHide m:val="on"/>
                </m:naryPr>
                <m:sub>
                  <m:r>
                    <m:t>Θ</m:t>
                  </m:r>
                </m:sub>
                <m:sup>
                  <m:r>
                    <m:t>​</m:t>
                  </m:r>
                </m:sup>
                <m:e>
                  <m:r>
                    <m:rPr>
                      <m:sty m:val="p"/>
                    </m:rPr>
                    <m:t>ℓ</m:t>
                  </m:r>
                </m:e>
              </m:nary>
              <m:d>
                <m:dPr>
                  <m:begChr m:val="("/>
                  <m:sepChr m:val=""/>
                  <m:endChr m:val=")"/>
                  <m:grow/>
                </m:dPr>
                <m:e>
                  <m:r>
                    <m:t>θ</m:t>
                  </m:r>
                </m:e>
              </m:d>
              <m:r>
                <m:t> </m:t>
              </m:r>
              <m:r>
                <m:t>d</m:t>
              </m:r>
              <m:r>
                <m:t>Q</m:t>
              </m:r>
              <m:d>
                <m:dPr>
                  <m:begChr m:val="("/>
                  <m:sepChr m:val=""/>
                  <m:endChr m:val=")"/>
                  <m:grow/>
                </m:dPr>
                <m:e>
                  <m:r>
                    <m:t>θ</m:t>
                  </m:r>
                </m:e>
              </m:d>
              <m:r>
                <m:rPr>
                  <m:sty m:val="p"/>
                </m:rPr>
                <m:t>+</m:t>
              </m:r>
              <m:r>
                <m:t>λ</m:t>
              </m:r>
              <m:r>
                <m:t> </m:t>
              </m:r>
              <m:r>
                <m:t>D</m:t>
              </m:r>
              <m:d>
                <m:dPr>
                  <m:begChr m:val="("/>
                  <m:sepChr m:val=""/>
                  <m:endChr m:val=")"/>
                  <m:grow/>
                </m:dPr>
                <m:e>
                  <m:r>
                    <m:t>Q</m:t>
                  </m:r>
                  <m:r>
                    <m:rPr>
                      <m:sty m:val="p"/>
                    </m:rPr>
                    <m:t>,</m:t>
                  </m:r>
                  <m:r>
                    <m:t>P</m:t>
                  </m:r>
                </m:e>
              </m:d>
            </m:e>
          </m:d>
        </m:oMath>
      </m:oMathPara>
    </w:p>
    <w:p>
      <w:pPr>
        <w:spacing w:after="60"/>
        <w:jc w:val="both"/>
      </w:pPr>
      <m:oMath>
        <m:r>
          <m:rPr>
            <m:sty m:val="p"/>
          </m:rPr>
          <m:t>ℓ</m:t>
        </m:r>
      </m:oMath>
      <w:r>
        <w:rPr>
          <w:color w:val="3A4350"/>
          <w:sz w:val="15"/>
          <w:szCs w:val="15"/>
        </w:rPr>
        <w:t xml:space="preserve"> is the (possibly robust) loss on the data, </w:t>
      </w:r>
      <m:oMath>
        <m:r>
          <m:t>P</m:t>
        </m:r>
      </m:oMath>
      <w:r>
        <w:rPr>
          <w:color w:val="3A4350"/>
          <w:sz w:val="15"/>
          <w:szCs w:val="15"/>
        </w:rPr>
        <w:t xml:space="preserve"> the prior, </w:t>
      </w:r>
      <m:oMath>
        <m:r>
          <m:t>D</m:t>
        </m:r>
      </m:oMath>
      <w:r>
        <w:rPr>
          <w:color w:val="3A4350"/>
          <w:sz w:val="15"/>
          <w:szCs w:val="15"/>
        </w:rPr>
        <w:t xml:space="preserve"> a divergence such as Kullback–Leibler and </w:t>
      </w:r>
      <m:oMath>
        <m:r>
          <m:t>λ</m:t>
        </m:r>
        <m:r>
          <m:rPr>
            <m:sty m:val="p"/>
          </m:rPr>
          <m:t>&gt;</m:t>
        </m:r>
        <m:r>
          <m:t>0</m:t>
        </m:r>
      </m:oMath>
      <w:r>
        <w:rPr>
          <w:color w:val="3A4350"/>
          <w:sz w:val="15"/>
          <w:szCs w:val="15"/>
        </w:rPr>
        <w:t xml:space="preserve"> its weight; with the Kullback–Leibler divergence the objective is convex in </w:t>
      </w:r>
      <m:oMath>
        <m:r>
          <m:t>Q</m:t>
        </m:r>
      </m:oMath>
      <w:r>
        <w:rPr>
          <w:color w:val="3A4350"/>
          <w:sz w:val="15"/>
          <w:szCs w:val="15"/>
        </w:rPr>
        <w:t xml:space="preserve"> even when </w:t>
      </w:r>
      <m:oMath>
        <m:r>
          <m:rPr>
            <m:sty m:val="p"/>
          </m:rPr>
          <m:t>ℓ</m:t>
        </m:r>
      </m:oMath>
      <w:r>
        <w:rPr>
          <w:color w:val="3A4350"/>
          <w:sz w:val="15"/>
          <w:szCs w:val="15"/>
        </w:rPr>
        <w:t xml:space="preserve"> is non-convex in </w:t>
      </w:r>
      <m:oMath>
        <m:r>
          <m:t>θ</m:t>
        </m:r>
      </m:oMath>
      <w:r>
        <w:rPr>
          <w:color w:val="3A4350"/>
          <w:sz w:val="15"/>
          <w:szCs w:val="15"/>
        </w:rPr>
        <w:t xml:space="preserve">.</w:t>
      </w:r>
    </w:p>
    <w:p>
      <w:pPr>
        <w:spacing w:after="60"/>
        <w:jc w:val="both"/>
      </w:pPr>
      <w:r>
        <w:rPr>
          <w:b/>
          <w:bCs/>
          <w:color w:val="002147"/>
          <w:sz w:val="17"/>
          <w:szCs w:val="17"/>
        </w:rPr>
        <w:t xml:space="preserve">Link to the MAR scheme. </w:t>
      </w:r>
      <w:r>
        <w:rPr>
          <w:sz w:val="17"/>
          <w:szCs w:val="17"/>
        </w:rPr>
        <w:t xml:space="preserve">Belongs to theme Q (uncertainty quantification and robust Bayes, Oxford). Multi-start calibrations of the 12 log-conductivities, or ensembles of neural surrogates of the Fushë-Kuqe model, behave like deep ensembles; the paper says when such ensembles approximate a well-defined generalised posterior, whose loss can be made robust to a wrong flow model or faulty pilot-test heads.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Selected as an oral at NeurIPS 2023, it is presented as the first rigorous link between Bayesian, variational Bayesian and ensemble methods, giving deep ensembles, commonly used for uncertainty quantification, a mathematical footing and new ensembles with proved convergence.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Finite-ensemble error rates for 10–100 members with PDE-constrained losses, and the mapping from ensemble spread to uncertainty in the optimal MAR siting, are not given; both would be new for aquifer design.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generalised variational inference recast as convex optimisation over probability measures and analysed with Wasserstein gradient flows, yielding interacting ensembles with proved convergence to a global minimiser. Proposed extension: calibrate the 12 log-conductivities with a repulsive Langevin ensemble under a Huber loss on pilot-test heads, re-solve the convex recharge design for every member, and report the spread of optimal sitings as a non-uniqueness diagnostic, compared with multi-start least squares.</w:t>
      </w:r>
    </w:p>
    <w:p>
      <w:pPr>
        <w:pStyle w:val="Heading1"/>
      </w:pPr>
      <w:r>
        <w:rPr>
          <w:color w:val="5B21B6"/>
        </w:rPr>
        <w:t xml:space="preserve">6. Risk analysis and robust decisions (Oxford and Caltech)</w:t>
      </w:r>
    </w:p>
    <w:p>
      <w:pPr>
        <w:spacing w:after="120"/>
        <w:jc w:val="both"/>
      </w:pPr>
      <w:r>
        <w:t xml:space="preserve">Risk and robustness come from Oxford's control group and Caltech's online-decision group. Licio Romao, Antonis Papachristodoulou and Kostas Margellos tighten the guarantees of scenario programmes with discarded constraints [K1]; Filippo Fabiani, Kostas Margellos and Paul Goulart certify whole solution sets of uncertain variational inequalities [K2]; Nicolas Christianson, Bo Sun, Steven Low and Adam Wierman make CVaR a competitive criterion [K3]; Nicolas Christianson, Tinashe Handina and Adam Wierman trade robustness against consistency when decisions follow untrusted advice [K4]; and Bo Sun, Adam Wierman and colleagues define distributionally robust competitive ratios for predictions with uncertainty [K5].</w:t>
      </w:r>
    </w:p>
    <w:p>
      <w:pPr>
        <w:keepNext/>
        <w:pBdr>
          <w:top w:val="single" w:color="5B21B6" w:sz="6" w:space="4"/>
        </w:pBdr>
        <w:spacing w:after="60" w:before="220"/>
      </w:pPr>
      <w:r>
        <w:rPr>
          <w:b/>
          <w:bCs/>
          <w:color w:val="5B21B6"/>
          <w:sz w:val="23"/>
          <w:szCs w:val="23"/>
        </w:rPr>
        <w:t xml:space="preserve">K1  </w:t>
      </w:r>
      <w:r>
        <w:rPr>
          <w:b/>
          <w:bCs/>
          <w:color w:val="1F3864"/>
          <w:sz w:val="23"/>
          <w:szCs w:val="23"/>
        </w:rPr>
        <w:t xml:space="preserve">On the Exact Feasibility of Convex Scenario Programs With Discarded Constraints</w:t>
      </w:r>
    </w:p>
    <w:p>
      <w:pPr>
        <w:keepNext/>
        <w:spacing w:after="60" w:line="240" w:lineRule="auto"/>
      </w:pPr>
      <w:r>
        <w:rPr>
          <w:b/>
          <w:bCs/>
          <w:color w:val="333B47"/>
          <w:sz w:val="15"/>
          <w:szCs w:val="15"/>
        </w:rPr>
        <w:t xml:space="preserve">Authors: </w:t>
      </w:r>
      <w:r>
        <w:rPr>
          <w:sz w:val="15"/>
          <w:szCs w:val="15"/>
        </w:rPr>
        <w:t xml:space="preserve">Licio Romao, Antonis Papachristodoulou, Kostas Margellos</w:t>
      </w:r>
      <w:r>
        <w:rPr>
          <w:sz w:val="15"/>
          <w:szCs w:val="15"/>
        </w:rPr>
        <w:t xml:space="preserve">   </w:t>
      </w:r>
      <w:r>
        <w:rPr>
          <w:b/>
          <w:bCs/>
          <w:color w:val="333B47"/>
          <w:sz w:val="15"/>
          <w:szCs w:val="15"/>
        </w:rPr>
        <w:t xml:space="preserve">Published in: </w:t>
      </w:r>
      <w:r>
        <w:rPr>
          <w:sz w:val="15"/>
          <w:szCs w:val="15"/>
        </w:rPr>
        <w:t xml:space="preserve">IEEE Transactions on Automatic Control, 68(4), 1986–2001 (2023); arXiv 2003.13433</w:t>
      </w:r>
      <w:r>
        <w:rPr>
          <w:sz w:val="15"/>
          <w:szCs w:val="15"/>
        </w:rPr>
        <w:t xml:space="preserve">   </w:t>
      </w:r>
      <w:r>
        <w:rPr>
          <w:b/>
          <w:bCs/>
          <w:color w:val="333B47"/>
          <w:sz w:val="15"/>
          <w:szCs w:val="15"/>
        </w:rPr>
        <w:t xml:space="preserve">Link: </w:t>
      </w:r>
      <w:hyperlink w:history="1" r:id="rId5qndjd3gxato-kkns2fk3">
        <w:r>
          <w:rPr>
            <w:color w:val="1D4ED8"/>
            <w:sz w:val="15"/>
            <w:szCs w:val="15"/>
            <w:u w:val="single"/>
          </w:rPr>
          <w:t xml:space="preserve">https://doi.org/10.1109/TAC.2022.3165320</w:t>
        </w:r>
      </w:hyperlink>
    </w:p>
    <w:p>
      <w:pPr>
        <w:keepNext/>
        <w:spacing w:after="80" w:line="240" w:lineRule="auto"/>
      </w:pPr>
      <w:r>
        <w:rPr>
          <w:b/>
          <w:bCs/>
          <w:color w:val="333B47"/>
          <w:sz w:val="15"/>
          <w:szCs w:val="15"/>
        </w:rPr>
        <w:t xml:space="preserve">Affiliation: </w:t>
      </w:r>
      <w:r>
        <w:rPr>
          <w:color w:val="3A4350"/>
          <w:sz w:val="15"/>
          <w:szCs w:val="15"/>
        </w:rPr>
        <w:t xml:space="preserve">University of Oxford: the search summary of the Oxford University Research Archive (ORA) record of this journal article states that all three authors are at Oxford. Departments were not seen in a search result.</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5B21B6"/>
          <w:sz w:val="17"/>
          <w:szCs w:val="17"/>
        </w:rPr>
        <w:t xml:space="preserve">Summary. </w:t>
      </w:r>
      <w:r>
        <w:rPr>
          <w:sz w:val="17"/>
          <w:szCs w:val="17"/>
        </w:rPr>
        <w:t xml:space="preserve">A scenario program replaces a chance constraint by </w:t>
      </w:r>
      <m:oMath>
        <m:r>
          <m:t>N</m:t>
        </m:r>
      </m:oMath>
      <w:r>
        <w:rPr>
          <w:sz w:val="17"/>
          <w:szCs w:val="17"/>
        </w:rPr>
        <w:t xml:space="preserve"> sampled constraints; discarding </w:t>
      </w:r>
      <m:oMath>
        <m:r>
          <m:t>k</m:t>
        </m:r>
      </m:oMath>
      <w:r>
        <w:rPr>
          <w:sz w:val="17"/>
          <w:szCs w:val="17"/>
        </w:rPr>
        <w:t xml:space="preserve"> of them trades feasibility for a better objective, but the classical sampling-and-discarding bound is not tight. The authors analyse a cascade of convex programs that removes, at each step, a superset of the active constraints, with </w:t>
      </w:r>
      <m:oMath>
        <m:r>
          <m:t>k</m:t>
        </m:r>
      </m:oMath>
      <w:r>
        <w:rPr>
          <w:sz w:val="17"/>
          <w:szCs w:val="17"/>
        </w:rPr>
        <w:t xml:space="preserve"> an integer multiple of the number of decision variables </w:t>
      </w:r>
      <m:oMath>
        <m:r>
          <m:t>d</m:t>
        </m:r>
      </m:oMath>
      <w:r>
        <w:rPr>
          <w:sz w:val="17"/>
          <w:szCs w:val="17"/>
        </w:rPr>
        <w:t xml:space="preserve">. Using compression learning theory they prove a bound on the probability that the violation probability of the solution exceeds </w:t>
      </w:r>
      <m:oMath>
        <m:r>
          <m:t>ϵ</m:t>
        </m:r>
      </m:oMath>
      <w:r>
        <w:rPr>
          <w:sz w:val="17"/>
          <w:szCs w:val="17"/>
        </w:rPr>
        <w:t xml:space="preserve"> that is less conservative than the existing bound, and show that it is tight by characterising a class of problems that attains it. A resource-sharing linear program illustrates the gain.</w:t>
      </w:r>
    </w:p>
    <w:p>
      <w:pPr>
        <w:keepNext/>
        <w:spacing w:after="20" w:before="40"/>
      </w:pPr>
      <w:r>
        <w:rPr>
          <w:b/>
          <w:bCs/>
          <w:color w:val="5B21B6"/>
          <w:sz w:val="17"/>
          <w:szCs w:val="17"/>
        </w:rPr>
        <w:t xml:space="preserve">Key equation.</w:t>
      </w:r>
      <w:r>
        <w:rPr>
          <w:i/>
          <w:iCs/>
          <w:color w:val="5B6573"/>
          <w:sz w:val="15"/>
          <w:szCs w:val="15"/>
        </w:rPr>
        <w:t xml:space="preserve">  Compression-based violation bound after cascade discarding of k samples, k a multiple of d (representative formulation)</w:t>
      </w:r>
    </w:p>
    <w:p>
      <w:pPr>
        <w:pStyle w:val="Equation"/>
      </w:pPr>
      <m:oMathPara>
        <m:oMathParaPr>
          <m:jc m:val="center"/>
        </m:oMathParaPr>
        <m:oMath>
          <m:sSup>
            <m:e>
              <m:r>
                <m:rPr>
                  <m:scr m:val="double-struck"/>
                  <m:sty m:val="p"/>
                </m:rPr>
                <m:t>P</m:t>
              </m:r>
            </m:e>
            <m:sup>
              <m:r>
                <m:t>N</m:t>
              </m:r>
            </m:sup>
          </m:sSup>
          <m:d>
            <m:dPr>
              <m:begChr m:val="{"/>
              <m:sepChr m:val=""/>
              <m:endChr m:val="}"/>
              <m:grow/>
            </m:dPr>
            <m:e>
              <m:r>
                <m:t>V</m:t>
              </m:r>
              <m:d>
                <m:dPr>
                  <m:begChr m:val="("/>
                  <m:sepChr m:val=""/>
                  <m:endChr m:val=")"/>
                  <m:grow/>
                </m:dPr>
                <m:e>
                  <m:sSubSup>
                    <m:e>
                      <m:r>
                        <m:t>x</m:t>
                      </m:r>
                    </m:e>
                    <m:sub>
                      <m:r>
                        <m:t>k</m:t>
                      </m:r>
                    </m:sub>
                    <m:sup>
                      <m:r>
                        <m:rPr>
                          <m:sty m:val="p"/>
                        </m:rPr>
                        <m:t>⋆</m:t>
                      </m:r>
                    </m:sup>
                  </m:sSubSup>
                </m:e>
              </m:d>
              <m:r>
                <m:rPr>
                  <m:sty m:val="p"/>
                </m:rPr>
                <m:t>&gt;</m:t>
              </m:r>
              <m:r>
                <m:t>ϵ</m:t>
              </m:r>
            </m:e>
          </m:d>
          <m:r>
            <m:rPr>
              <m:sty m:val="p"/>
            </m:rPr>
            <m:t>≤</m:t>
          </m:r>
          <m:nary>
            <m:naryPr>
              <m:chr m:val="∑"/>
              <m:limLoc m:val="undOvr"/>
              <m:subHide m:val="off"/>
              <m:supHide m:val="off"/>
            </m:naryPr>
            <m:sub>
              <m:r>
                <m:t>i</m:t>
              </m:r>
              <m:r>
                <m:rPr>
                  <m:sty m:val="p"/>
                </m:rPr>
                <m:t>=</m:t>
              </m:r>
              <m:r>
                <m:t>0</m:t>
              </m:r>
            </m:sub>
            <m:sup>
              <m:r>
                <m:t>k</m:t>
              </m:r>
              <m:r>
                <m:rPr>
                  <m:sty m:val="p"/>
                </m:rPr>
                <m:t>+</m:t>
              </m:r>
              <m:r>
                <m:t>d</m:t>
              </m:r>
              <m:r>
                <m:rPr>
                  <m:sty m:val="p"/>
                </m:rPr>
                <m:t>−</m:t>
              </m:r>
              <m:r>
                <m:t>1</m:t>
              </m:r>
            </m:sup>
            <m:e>
              <m:d>
                <m:dPr>
                  <m:begChr m:val="("/>
                  <m:sepChr m:val=""/>
                  <m:endChr m:val=")"/>
                  <m:grow/>
                </m:dPr>
                <m:e>
                  <m:f>
                    <m:fPr>
                      <m:type m:val="noBar"/>
                    </m:fPr>
                    <m:num>
                      <m:r>
                        <m:t>N</m:t>
                      </m:r>
                    </m:num>
                    <m:den>
                      <m:r>
                        <m:t>i</m:t>
                      </m:r>
                    </m:den>
                  </m:f>
                </m:e>
              </m:d>
            </m:e>
          </m:nary>
          <m:sSup>
            <m:e>
              <m:r>
                <m:t>ϵ</m:t>
              </m:r>
            </m:e>
            <m:sup>
              <m:r>
                <m:t>i</m:t>
              </m:r>
            </m:sup>
          </m:sSup>
          <m:sSup>
            <m:e>
              <m:d>
                <m:dPr>
                  <m:begChr m:val="("/>
                  <m:sepChr m:val=""/>
                  <m:endChr m:val=")"/>
                  <m:grow/>
                </m:dPr>
                <m:e>
                  <m:r>
                    <m:t>1</m:t>
                  </m:r>
                  <m:r>
                    <m:rPr>
                      <m:sty m:val="p"/>
                    </m:rPr>
                    <m:t>−</m:t>
                  </m:r>
                  <m:r>
                    <m:t>ϵ</m:t>
                  </m:r>
                </m:e>
              </m:d>
            </m:e>
            <m:sup>
              <m:r>
                <m:t>N</m:t>
              </m:r>
              <m:r>
                <m:rPr>
                  <m:sty m:val="p"/>
                </m:rPr>
                <m:t>−</m:t>
              </m:r>
              <m:r>
                <m:t>i</m:t>
              </m:r>
            </m:sup>
          </m:sSup>
        </m:oMath>
      </m:oMathPara>
    </w:p>
    <w:p>
      <w:pPr>
        <w:spacing w:after="60"/>
        <w:jc w:val="both"/>
      </w:pPr>
      <m:oMath>
        <m:r>
          <m:t>N</m:t>
        </m:r>
      </m:oMath>
      <w:r>
        <w:rPr>
          <w:color w:val="3A4350"/>
          <w:sz w:val="15"/>
          <w:szCs w:val="15"/>
        </w:rPr>
        <w:t xml:space="preserve"> is the number of samples, </w:t>
      </w:r>
      <m:oMath>
        <m:r>
          <m:t>d</m:t>
        </m:r>
      </m:oMath>
      <w:r>
        <w:rPr>
          <w:color w:val="3A4350"/>
          <w:sz w:val="15"/>
          <w:szCs w:val="15"/>
        </w:rPr>
        <w:t xml:space="preserve"> the number of decision variables, </w:t>
      </w:r>
      <m:oMath>
        <m:r>
          <m:t>k</m:t>
        </m:r>
      </m:oMath>
      <w:r>
        <w:rPr>
          <w:color w:val="3A4350"/>
          <w:sz w:val="15"/>
          <w:szCs w:val="15"/>
        </w:rPr>
        <w:t xml:space="preserve"> the number of discarded samples, </w:t>
      </w:r>
      <m:oMath>
        <m:sSubSup>
          <m:e>
            <m:r>
              <m:t>x</m:t>
            </m:r>
          </m:e>
          <m:sub>
            <m:r>
              <m:t>k</m:t>
            </m:r>
          </m:sub>
          <m:sup>
            <m:r>
              <m:rPr>
                <m:sty m:val="p"/>
              </m:rPr>
              <m:t>⋆</m:t>
            </m:r>
          </m:sup>
        </m:sSubSup>
      </m:oMath>
      <w:r>
        <w:rPr>
          <w:color w:val="3A4350"/>
          <w:sz w:val="15"/>
          <w:szCs w:val="15"/>
        </w:rPr>
        <w:t xml:space="preserve"> the solution after cascade removal and </w:t>
      </w:r>
      <m:oMath>
        <m:r>
          <m:t>V</m:t>
        </m:r>
        <m:d>
          <m:dPr>
            <m:begChr m:val="("/>
            <m:sepChr m:val=""/>
            <m:endChr m:val=")"/>
            <m:grow/>
          </m:dPr>
          <m:e>
            <m:r>
              <m:t>x</m:t>
            </m:r>
          </m:e>
        </m:d>
      </m:oMath>
      <w:r>
        <w:rPr>
          <w:color w:val="3A4350"/>
          <w:sz w:val="15"/>
          <w:szCs w:val="15"/>
        </w:rPr>
        <w:t xml:space="preserve"> the probability that a new sampled constraint is violated by </w:t>
      </w:r>
      <m:oMath>
        <m:r>
          <m:t>x</m:t>
        </m:r>
      </m:oMath>
      <w:r>
        <w:rPr>
          <w:color w:val="3A4350"/>
          <w:sz w:val="15"/>
          <w:szCs w:val="15"/>
        </w:rPr>
        <w:t xml:space="preserve">; the classical bound of Campi and Garatti carries an extra factor </w:t>
      </w:r>
      <m:oMath>
        <m:d>
          <m:dPr>
            <m:begChr m:val="("/>
            <m:sepChr m:val=""/>
            <m:endChr m:val=")"/>
            <m:grow/>
          </m:dPr>
          <m:e>
            <m:f>
              <m:fPr>
                <m:type m:val="noBar"/>
              </m:fPr>
              <m:num>
                <m:r>
                  <m:t>k</m:t>
                </m:r>
                <m:r>
                  <m:rPr>
                    <m:sty m:val="p"/>
                  </m:rPr>
                  <m:t>+</m:t>
                </m:r>
                <m:r>
                  <m:t>d</m:t>
                </m:r>
                <m:r>
                  <m:rPr>
                    <m:sty m:val="p"/>
                  </m:rPr>
                  <m:t>−</m:t>
                </m:r>
                <m:r>
                  <m:t>1</m:t>
                </m:r>
              </m:num>
              <m:den>
                <m:r>
                  <m:t>k</m:t>
                </m:r>
              </m:den>
            </m:f>
          </m:e>
        </m:d>
      </m:oMath>
      <w:r>
        <w:rPr>
          <w:color w:val="3A4350"/>
          <w:sz w:val="15"/>
          <w:szCs w:val="15"/>
        </w:rPr>
        <w:t xml:space="preserve">, and the exact constants of the new bound were not seen.</w:t>
      </w:r>
    </w:p>
    <w:p>
      <w:pPr>
        <w:spacing w:after="60"/>
        <w:jc w:val="both"/>
      </w:pPr>
      <w:r>
        <w:rPr>
          <w:b/>
          <w:bCs/>
          <w:color w:val="5B21B6"/>
          <w:sz w:val="17"/>
          <w:szCs w:val="17"/>
        </w:rPr>
        <w:t xml:space="preserve">Link to the MAR scheme. </w:t>
      </w:r>
      <w:r>
        <w:rPr>
          <w:sz w:val="17"/>
          <w:szCs w:val="17"/>
        </w:rPr>
        <w:t xml:space="preserve">Belongs to theme K (risk analysis and robust decisions). Because heads at Fushë-Kuqe are linear in recharge rates, keeping heads at A1 and P10 above </w:t>
      </w:r>
      <m:oMath>
        <m:sSub>
          <m:e>
            <m:r>
              <m:t>h</m:t>
            </m:r>
          </m:e>
          <m:sub>
            <m:r>
              <m:t>c</m:t>
            </m:r>
          </m:sub>
        </m:sSub>
        <m:r>
          <m:rPr>
            <m:sty m:val="p"/>
          </m:rPr>
          <m:t>=</m:t>
        </m:r>
        <m:r>
          <m:t>1.0</m:t>
        </m:r>
      </m:oMath>
      <w:r>
        <w:rPr>
          <w:sz w:val="17"/>
          <w:szCs w:val="17"/>
        </w:rPr>
        <w:t xml:space="preserve"> m for each of </w:t>
      </w:r>
      <m:oMath>
        <m:r>
          <m:t>N</m:t>
        </m:r>
      </m:oMath>
      <w:r>
        <w:rPr>
          <w:sz w:val="17"/>
          <w:szCs w:val="17"/>
        </w:rPr>
        <w:t xml:space="preserve"> prior draws of 12 log-conductivities is a linear scenario program; discarding the </w:t>
      </w:r>
      <m:oMath>
        <m:r>
          <m:t>k</m:t>
        </m:r>
      </m:oMath>
      <w:r>
        <w:rPr>
          <w:sz w:val="17"/>
          <w:szCs w:val="17"/>
        </w:rPr>
        <w:t xml:space="preserve"> worst draws cuts recharge cost, and this bound certifies the resulting intrusion probability.</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removes known conservatism from the scenario approach with discarded samples: the cascade scheme receives a provably less conservative violation bound, and tightness is shown by a class of problems that attains it. Published in IEEE Transactions on Automatic Control; the same Oxford group extended it to any number of discarded samples (Automatica, 2023).</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Tightness needs a convex program and a removal rule tied to the decision dimension; whether comparably tight guarantees hold when well locations are chosen together with rates, a mixed-integer and non-convex scenario program, is open and would be new for recharge design.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compression-learning proof that a cascade removing a superset of the active constraints at each step yields a violation bound less conservative than the classical sampling-and-discarding bound, with a class of problems attaining it. Proposed extension: draw </w:t>
      </w:r>
      <m:oMath>
        <m:r>
          <m:t>N</m:t>
        </m:r>
        <m:r>
          <m:rPr>
            <m:sty m:val="p"/>
          </m:rPr>
          <m:t>=</m:t>
        </m:r>
        <m:r>
          <m:t>500</m:t>
        </m:r>
      </m:oMath>
      <w:r>
        <w:rPr>
          <w:sz w:val="17"/>
          <w:szCs w:val="17"/>
        </w:rPr>
        <w:t xml:space="preserve"> facies realisations, solve the recharge-rate program with cascade discarding, and check on 10 000 fresh realisations that the empirical intrusion frequency at A1 and P10 does not exceed the certified </w:t>
      </w:r>
      <m:oMath>
        <m:r>
          <m:t>ϵ</m:t>
        </m:r>
      </m:oMath>
      <w:r>
        <w:rPr>
          <w:sz w:val="17"/>
          <w:szCs w:val="17"/>
        </w:rPr>
        <w:t xml:space="preserve">.</w:t>
      </w:r>
    </w:p>
    <w:p>
      <w:pPr>
        <w:keepNext/>
        <w:pBdr>
          <w:top w:val="single" w:color="5B21B6" w:sz="6" w:space="4"/>
        </w:pBdr>
        <w:spacing w:after="60" w:before="220"/>
      </w:pPr>
      <w:r>
        <w:rPr>
          <w:b/>
          <w:bCs/>
          <w:color w:val="5B21B6"/>
          <w:sz w:val="23"/>
          <w:szCs w:val="23"/>
        </w:rPr>
        <w:t xml:space="preserve">K2  </w:t>
      </w:r>
      <w:r>
        <w:rPr>
          <w:b/>
          <w:bCs/>
          <w:color w:val="1F3864"/>
          <w:sz w:val="23"/>
          <w:szCs w:val="23"/>
        </w:rPr>
        <w:t xml:space="preserve">Probabilistic feasibility guarantees for solution sets to uncertain variational inequalities</w:t>
      </w:r>
    </w:p>
    <w:p>
      <w:pPr>
        <w:keepNext/>
        <w:spacing w:after="60" w:line="240" w:lineRule="auto"/>
      </w:pPr>
      <w:r>
        <w:rPr>
          <w:b/>
          <w:bCs/>
          <w:color w:val="333B47"/>
          <w:sz w:val="15"/>
          <w:szCs w:val="15"/>
        </w:rPr>
        <w:t xml:space="preserve">Authors: </w:t>
      </w:r>
      <w:r>
        <w:rPr>
          <w:sz w:val="15"/>
          <w:szCs w:val="15"/>
        </w:rPr>
        <w:t xml:space="preserve">Filippo Fabiani, Kostas Margellos, Paul J. Goulart</w:t>
      </w:r>
      <w:r>
        <w:rPr>
          <w:sz w:val="15"/>
          <w:szCs w:val="15"/>
        </w:rPr>
        <w:t xml:space="preserve">   </w:t>
      </w:r>
      <w:r>
        <w:rPr>
          <w:b/>
          <w:bCs/>
          <w:color w:val="333B47"/>
          <w:sz w:val="15"/>
          <w:szCs w:val="15"/>
        </w:rPr>
        <w:t xml:space="preserve">Published in: </w:t>
      </w:r>
      <w:r>
        <w:rPr>
          <w:sz w:val="15"/>
          <w:szCs w:val="15"/>
        </w:rPr>
        <w:t xml:space="preserve">Automatica, 137, article 110120 (2022); arXiv 2005.09420</w:t>
      </w:r>
      <w:r>
        <w:rPr>
          <w:sz w:val="15"/>
          <w:szCs w:val="15"/>
        </w:rPr>
        <w:t xml:space="preserve">   </w:t>
      </w:r>
      <w:r>
        <w:rPr>
          <w:b/>
          <w:bCs/>
          <w:color w:val="333B47"/>
          <w:sz w:val="15"/>
          <w:szCs w:val="15"/>
        </w:rPr>
        <w:t xml:space="preserve">Link: </w:t>
      </w:r>
      <w:hyperlink w:history="1" r:id="rIdhqpy1psj5wsrotbrkl5pm">
        <w:r>
          <w:rPr>
            <w:color w:val="1D4ED8"/>
            <w:sz w:val="15"/>
            <w:szCs w:val="15"/>
            <w:u w:val="single"/>
          </w:rPr>
          <w:t xml:space="preserve">https://doi.org/10.1016/j.automatica.2021.110120</w:t>
        </w:r>
      </w:hyperlink>
    </w:p>
    <w:p>
      <w:pPr>
        <w:keepNext/>
        <w:spacing w:after="80" w:line="240" w:lineRule="auto"/>
      </w:pPr>
      <w:r>
        <w:rPr>
          <w:b/>
          <w:bCs/>
          <w:color w:val="333B47"/>
          <w:sz w:val="15"/>
          <w:szCs w:val="15"/>
        </w:rPr>
        <w:t xml:space="preserve">Affiliation: </w:t>
      </w:r>
      <w:r>
        <w:rPr>
          <w:color w:val="3A4350"/>
          <w:sz w:val="15"/>
          <w:szCs w:val="15"/>
        </w:rPr>
        <w:t xml:space="preserve">University of Oxford, Department of Engineering Science: the paper is listed on Kostas Margellos’s Oxford Engineering Science web page (users.ox.ac.uk/~engs1373, FMG_2022). The affiliations of Fabiani and Goulart at the time were not separately seen.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Many decision problems, from convex programs to Nash equilibria, are variational inequalities (VIs) whose solution need not be unique. The paper takes a VI with a deterministic mapping and an uncertain feasible set represented by </w:t>
      </w:r>
      <m:oMath>
        <m:r>
          <m:t>N</m:t>
        </m:r>
      </m:oMath>
      <w:r>
        <w:rPr>
          <w:sz w:val="17"/>
          <w:szCs w:val="17"/>
        </w:rPr>
        <w:t xml:space="preserve"> sampled constraints, and gives data-driven, a-posteriori certificates that hold for the whole solution set rather than for one selected solution. Earlier scenario results generally needed a singleton solution set and non-degeneracy. Here the violation probability of the set is bounded through the support constraints that shape it, and a general procedure enumerates them without a closed-form description of the set. Robust games fit the framework; electric-vehicle charging illustrates it.</w:t>
      </w:r>
    </w:p>
    <w:p>
      <w:pPr>
        <w:keepNext/>
        <w:spacing w:after="20" w:before="40"/>
      </w:pPr>
      <w:r>
        <w:rPr>
          <w:b/>
          <w:bCs/>
          <w:color w:val="5B21B6"/>
          <w:sz w:val="17"/>
          <w:szCs w:val="17"/>
        </w:rPr>
        <w:t xml:space="preserve">Key equation.</w:t>
      </w:r>
      <w:r>
        <w:rPr>
          <w:i/>
          <w:iCs/>
          <w:color w:val="5B6573"/>
          <w:sz w:val="15"/>
          <w:szCs w:val="15"/>
        </w:rPr>
        <w:t xml:space="preserve">  A-posteriori scenario certificate for the whole solution set of a sampled variational inequality (representative formulation)</w:t>
      </w:r>
    </w:p>
    <w:p>
      <w:pPr>
        <w:pStyle w:val="Equation"/>
      </w:pPr>
      <m:oMathPara>
        <m:oMathParaPr>
          <m:jc m:val="center"/>
        </m:oMathParaPr>
        <m:oMath>
          <m:sSup>
            <m:e>
              <m:r>
                <m:rPr>
                  <m:scr m:val="double-struck"/>
                  <m:sty m:val="p"/>
                </m:rPr>
                <m:t>P</m:t>
              </m:r>
            </m:e>
            <m:sup>
              <m:r>
                <m:t>N</m:t>
              </m:r>
            </m:sup>
          </m:sSup>
          <m:d>
            <m:dPr>
              <m:begChr m:val="{"/>
              <m:sepChr m:val=""/>
              <m:endChr m:val="}"/>
              <m:grow/>
            </m:dPr>
            <m:e>
              <m:r>
                <m:t>V</m:t>
              </m:r>
              <m:d>
                <m:dPr>
                  <m:begChr m:val="("/>
                  <m:sepChr m:val=""/>
                  <m:endChr m:val=")"/>
                  <m:grow/>
                </m:dPr>
                <m:e>
                  <m:sSub>
                    <m:e>
                      <m:r>
                        <m:t>Ω</m:t>
                      </m:r>
                    </m:e>
                    <m:sub>
                      <m:r>
                        <m:t>N</m:t>
                      </m:r>
                    </m:sub>
                  </m:sSub>
                </m:e>
              </m:d>
              <m:r>
                <m:rPr>
                  <m:sty m:val="p"/>
                </m:rPr>
                <m:t>&gt;</m:t>
              </m:r>
              <m:r>
                <m:t>ϵ</m:t>
              </m:r>
              <m:d>
                <m:dPr>
                  <m:begChr m:val="("/>
                  <m:sepChr m:val=""/>
                  <m:endChr m:val=")"/>
                  <m:grow/>
                </m:dPr>
                <m:e>
                  <m:sSub>
                    <m:e>
                      <m:r>
                        <m:t>s</m:t>
                      </m:r>
                    </m:e>
                    <m:sub>
                      <m:r>
                        <m:t>N</m:t>
                      </m:r>
                    </m:sub>
                  </m:sSub>
                </m:e>
              </m:d>
            </m:e>
          </m:d>
          <m:r>
            <m:rPr>
              <m:sty m:val="p"/>
            </m:rPr>
            <m:t>≤</m:t>
          </m:r>
          <m:r>
            <m:t>β</m:t>
          </m:r>
          <m:r>
            <m:rPr>
              <m:sty m:val="p"/>
            </m:rPr>
            <m:t>,</m:t>
          </m:r>
          <m:r>
            <m:t> </m:t>
          </m:r>
          <m:r>
            <m:t>V</m:t>
          </m:r>
          <m:d>
            <m:dPr>
              <m:begChr m:val="("/>
              <m:sepChr m:val=""/>
              <m:endChr m:val=")"/>
              <m:grow/>
            </m:dPr>
            <m:e>
              <m:r>
                <m:t>Ω</m:t>
              </m:r>
            </m:e>
          </m:d>
          <m:r>
            <m:rPr>
              <m:sty m:val="p"/>
            </m:rPr>
            <m:t>=</m:t>
          </m:r>
          <m:r>
            <m:rPr>
              <m:scr m:val="double-struck"/>
              <m:sty m:val="p"/>
            </m:rPr>
            <m:t>P</m:t>
          </m:r>
          <m:d>
            <m:dPr>
              <m:begChr m:val="{"/>
              <m:sepChr m:val=""/>
              <m:endChr m:val="}"/>
              <m:grow/>
            </m:dPr>
            <m:e>
              <m:r>
                <m:t>δ</m:t>
              </m:r>
              <m:r>
                <m:rPr>
                  <m:sty m:val="p"/>
                </m:rPr>
                <m:t>:</m:t>
              </m:r>
              <m:r>
                <m:t>Ω</m:t>
              </m:r>
              <m:r>
                <m:rPr>
                  <m:sty m:val="p"/>
                </m:rPr>
                <m:t>⊈</m:t>
              </m:r>
              <m:sSub>
                <m:e>
                  <m:r>
                    <m:rPr>
                      <m:scr m:val="script"/>
                      <m:sty m:val="p"/>
                    </m:rPr>
                    <m:t>X</m:t>
                  </m:r>
                </m:e>
                <m:sub>
                  <m:r>
                    <m:t>δ</m:t>
                  </m:r>
                </m:sub>
              </m:sSub>
            </m:e>
          </m:d>
          <m:r>
            <m:rPr>
              <m:sty m:val="p"/>
            </m:rPr>
            <m:t>,</m:t>
          </m:r>
          <m:r>
            <m:t> </m:t>
          </m:r>
          <m:r>
            <m:t>ϵ</m:t>
          </m:r>
          <m:d>
            <m:dPr>
              <m:begChr m:val="("/>
              <m:sepChr m:val=""/>
              <m:endChr m:val=")"/>
              <m:grow/>
            </m:dPr>
            <m:e>
              <m:r>
                <m:t>k</m:t>
              </m:r>
            </m:e>
          </m:d>
          <m:r>
            <m:rPr>
              <m:sty m:val="p"/>
            </m:rPr>
            <m:t>=</m:t>
          </m:r>
          <m:r>
            <m:t>1</m:t>
          </m:r>
          <m:r>
            <m:rPr>
              <m:sty m:val="p"/>
            </m:rPr>
            <m:t>−</m:t>
          </m:r>
          <m:sSup>
            <m:e>
              <m:d>
                <m:dPr>
                  <m:begChr m:val="("/>
                  <m:sepChr m:val=""/>
                  <m:endChr m:val=")"/>
                  <m:grow/>
                </m:dPr>
                <m:e>
                  <m:f>
                    <m:fPr>
                      <m:type m:val="bar"/>
                    </m:fPr>
                    <m:num>
                      <m:r>
                        <m:t>β</m:t>
                      </m:r>
                    </m:num>
                    <m:den>
                      <m:r>
                        <m:t>N</m:t>
                      </m:r>
                      <m:d>
                        <m:dPr>
                          <m:begChr m:val="("/>
                          <m:sepChr m:val=""/>
                          <m:endChr m:val=")"/>
                          <m:grow/>
                        </m:dPr>
                        <m:e>
                          <m:f>
                            <m:fPr>
                              <m:type m:val="noBar"/>
                            </m:fPr>
                            <m:num>
                              <m:r>
                                <m:t>N</m:t>
                              </m:r>
                            </m:num>
                            <m:den>
                              <m:r>
                                <m:t>k</m:t>
                              </m:r>
                            </m:den>
                          </m:f>
                        </m:e>
                      </m:d>
                    </m:den>
                  </m:f>
                </m:e>
              </m:d>
            </m:e>
            <m:sup>
              <m:r>
                <m:t>1</m:t>
              </m:r>
              <m:r>
                <m:rPr>
                  <m:sty m:val="p"/>
                </m:rPr>
                <m:t>/</m:t>
              </m:r>
              <m:d>
                <m:dPr>
                  <m:begChr m:val="("/>
                  <m:sepChr m:val=""/>
                  <m:endChr m:val=")"/>
                  <m:grow/>
                </m:dPr>
                <m:e>
                  <m:r>
                    <m:t>N</m:t>
                  </m:r>
                  <m:r>
                    <m:rPr>
                      <m:sty m:val="p"/>
                    </m:rPr>
                    <m:t>−</m:t>
                  </m:r>
                  <m:r>
                    <m:t>k</m:t>
                  </m:r>
                </m:e>
              </m:d>
            </m:sup>
          </m:sSup>
        </m:oMath>
      </m:oMathPara>
    </w:p>
    <w:p>
      <w:pPr>
        <w:spacing w:after="60"/>
        <w:jc w:val="both"/>
      </w:pPr>
      <m:oMath>
        <m:sSub>
          <m:e>
            <m:r>
              <m:t>Ω</m:t>
            </m:r>
          </m:e>
          <m:sub>
            <m:r>
              <m:t>N</m:t>
            </m:r>
          </m:sub>
        </m:sSub>
      </m:oMath>
      <w:r>
        <w:rPr>
          <w:color w:val="3A4350"/>
          <w:sz w:val="15"/>
          <w:szCs w:val="15"/>
        </w:rPr>
        <w:t xml:space="preserve"> is the solution set of the VI with </w:t>
      </w:r>
      <m:oMath>
        <m:r>
          <m:t>N</m:t>
        </m:r>
      </m:oMath>
      <w:r>
        <w:rPr>
          <w:color w:val="3A4350"/>
          <w:sz w:val="15"/>
          <w:szCs w:val="15"/>
        </w:rPr>
        <w:t xml:space="preserve"> sampled constraint sets </w:t>
      </w:r>
      <m:oMath>
        <m:sSub>
          <m:e>
            <m:r>
              <m:rPr>
                <m:scr m:val="script"/>
                <m:sty m:val="p"/>
              </m:rPr>
              <m:t>X</m:t>
            </m:r>
          </m:e>
          <m:sub>
            <m:r>
              <m:t>δ</m:t>
            </m:r>
          </m:sub>
        </m:sSub>
      </m:oMath>
      <w:r>
        <w:rPr>
          <w:color w:val="3A4350"/>
          <w:sz w:val="15"/>
          <w:szCs w:val="15"/>
        </w:rPr>
        <w:t xml:space="preserve">, </w:t>
      </w:r>
      <m:oMath>
        <m:r>
          <m:t>V</m:t>
        </m:r>
        <m:d>
          <m:dPr>
            <m:begChr m:val="("/>
            <m:sepChr m:val=""/>
            <m:endChr m:val=")"/>
            <m:grow/>
          </m:dPr>
          <m:e>
            <m:r>
              <m:t>Ω</m:t>
            </m:r>
          </m:e>
        </m:d>
      </m:oMath>
      <w:r>
        <w:rPr>
          <w:color w:val="3A4350"/>
          <w:sz w:val="15"/>
          <w:szCs w:val="15"/>
        </w:rPr>
        <w:t xml:space="preserve"> the probability that the constraint set of a new sample fails to contain all of </w:t>
      </w:r>
      <m:oMath>
        <m:r>
          <m:t>Ω</m:t>
        </m:r>
      </m:oMath>
      <w:r>
        <w:rPr>
          <w:color w:val="3A4350"/>
          <w:sz w:val="15"/>
          <w:szCs w:val="15"/>
        </w:rPr>
        <w:t xml:space="preserve">, </w:t>
      </w:r>
      <m:oMath>
        <m:sSub>
          <m:e>
            <m:r>
              <m:t>s</m:t>
            </m:r>
          </m:e>
          <m:sub>
            <m:r>
              <m:t>N</m:t>
            </m:r>
          </m:sub>
        </m:sSub>
      </m:oMath>
      <w:r>
        <w:rPr>
          <w:color w:val="3A4350"/>
          <w:sz w:val="15"/>
          <w:szCs w:val="15"/>
        </w:rPr>
        <w:t xml:space="preserve"> the number of support constraints found after solving and </w:t>
      </w:r>
      <m:oMath>
        <m:r>
          <m:t>β</m:t>
        </m:r>
      </m:oMath>
      <w:r>
        <w:rPr>
          <w:color w:val="3A4350"/>
          <w:sz w:val="15"/>
          <w:szCs w:val="15"/>
        </w:rPr>
        <w:t xml:space="preserve"> the confidence parameter; </w:t>
      </w:r>
      <m:oMath>
        <m:r>
          <m:t>ϵ</m:t>
        </m:r>
        <m:d>
          <m:dPr>
            <m:begChr m:val="("/>
            <m:sepChr m:val=""/>
            <m:endChr m:val=")"/>
            <m:grow/>
          </m:dPr>
          <m:e>
            <m:r>
              <m:rPr>
                <m:sty m:val="p"/>
              </m:rPr>
              <m:t>⋅</m:t>
            </m:r>
          </m:e>
        </m:d>
      </m:oMath>
      <w:r>
        <w:rPr>
          <w:color w:val="3A4350"/>
          <w:sz w:val="15"/>
          <w:szCs w:val="15"/>
        </w:rPr>
        <w:t xml:space="preserve"> is shown in the standard compression form, not transcribed from the paper.</w:t>
      </w:r>
    </w:p>
    <w:p>
      <w:pPr>
        <w:spacing w:after="60"/>
        <w:jc w:val="both"/>
      </w:pPr>
      <w:r>
        <w:rPr>
          <w:b/>
          <w:bCs/>
          <w:color w:val="5B21B6"/>
          <w:sz w:val="17"/>
          <w:szCs w:val="17"/>
        </w:rPr>
        <w:t xml:space="preserve">Link to the MAR scheme. </w:t>
      </w:r>
      <w:r>
        <w:rPr>
          <w:sz w:val="17"/>
          <w:szCs w:val="17"/>
        </w:rPr>
        <w:t xml:space="preserve">Belongs to theme K (risk analysis and robust decisions). A linear recharge program can have a flat optimum, with many equally cheap rate combinations across neighbouring cells; certifying only the plan a solver returns is fragile. This result certifies every optimal plan at once, so Fushë-Kuqe planners can choose among them on land access without losing the intrusion guarantee.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lifts the uniqueness requirement of earlier scenario results for variational inequalities and certifies the entire solution set, which matters whenever optima are not unique. Published in Automatica (2022) by the Oxford control group, it connects scenario theory with variational inequalities and robust game theory.</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certificate concerns constraint violation and assumes a deterministic mapping; certifying that the set of optimal plans itself is stable when the cost also depends on the uncertain heads, as in a CVaR objective, is open and would be new for recharge siting.</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violation probability defined for a set of solutions, bounded through the support constraints that shape that set, with an enumeration procedure that needs no closed form of the set. Proposed extension: write the Fushë-Kuqe recharge-rate problem as a VI with a deterministic cost and sampled head constraints, enumerate the support draws of its optimal face, and report the certified intrusion risk of the whole face with its dimension as a measure of non-uniqueness.</w:t>
      </w:r>
    </w:p>
    <w:p>
      <w:pPr>
        <w:keepNext/>
        <w:pBdr>
          <w:top w:val="single" w:color="5B21B6" w:sz="6" w:space="4"/>
        </w:pBdr>
        <w:spacing w:after="60" w:before="220"/>
      </w:pPr>
      <w:r>
        <w:rPr>
          <w:b/>
          <w:bCs/>
          <w:color w:val="5B21B6"/>
          <w:sz w:val="23"/>
          <w:szCs w:val="23"/>
        </w:rPr>
        <w:t xml:space="preserve">K3  </w:t>
      </w:r>
      <w:r>
        <w:rPr>
          <w:b/>
          <w:bCs/>
          <w:color w:val="1F3864"/>
          <w:sz w:val="23"/>
          <w:szCs w:val="23"/>
        </w:rPr>
        <w:t xml:space="preserve">Risk-Sensitive Online Algorithms (Extended Abstract)</w:t>
      </w:r>
    </w:p>
    <w:p>
      <w:pPr>
        <w:keepNext/>
        <w:spacing w:after="60" w:line="240" w:lineRule="auto"/>
      </w:pPr>
      <w:r>
        <w:rPr>
          <w:b/>
          <w:bCs/>
          <w:color w:val="333B47"/>
          <w:sz w:val="15"/>
          <w:szCs w:val="15"/>
        </w:rPr>
        <w:t xml:space="preserve">Authors: </w:t>
      </w:r>
      <w:r>
        <w:rPr>
          <w:sz w:val="15"/>
          <w:szCs w:val="15"/>
        </w:rPr>
        <w:t xml:space="preserve">Nicolas Christianson, Bo Sun, Steven Low, Adam Wierman</w:t>
      </w:r>
      <w:r>
        <w:rPr>
          <w:sz w:val="15"/>
          <w:szCs w:val="15"/>
        </w:rPr>
        <w:t xml:space="preserve">   </w:t>
      </w:r>
      <w:r>
        <w:rPr>
          <w:b/>
          <w:bCs/>
          <w:color w:val="333B47"/>
          <w:sz w:val="15"/>
          <w:szCs w:val="15"/>
        </w:rPr>
        <w:t xml:space="preserve">Published in: </w:t>
      </w:r>
      <w:r>
        <w:rPr>
          <w:sz w:val="15"/>
          <w:szCs w:val="15"/>
        </w:rPr>
        <w:t xml:space="preserve">Conference on Learning Theory (COLT 2024), PMLR 247, 1140–1141 (2024); two-page extended abstract, full version arXiv 2405.09859</w:t>
      </w:r>
      <w:r>
        <w:rPr>
          <w:sz w:val="15"/>
          <w:szCs w:val="15"/>
        </w:rPr>
        <w:t xml:space="preserve">   </w:t>
      </w:r>
      <w:r>
        <w:rPr>
          <w:b/>
          <w:bCs/>
          <w:color w:val="333B47"/>
          <w:sz w:val="15"/>
          <w:szCs w:val="15"/>
        </w:rPr>
        <w:t xml:space="preserve">Link: </w:t>
      </w:r>
      <w:hyperlink w:history="1" r:id="rIderuob1xd3au7a_hnrrhuq">
        <w:r>
          <w:rPr>
            <w:color w:val="1D4ED8"/>
            <w:sz w:val="15"/>
            <w:szCs w:val="15"/>
            <w:u w:val="single"/>
          </w:rPr>
          <w:t xml:space="preserve">https://proceedings.mlr.press/v247/christianson24a.html</w:t>
        </w:r>
      </w:hyperlink>
    </w:p>
    <w:p>
      <w:pPr>
        <w:keepNext/>
        <w:spacing w:after="80" w:line="240" w:lineRule="auto"/>
      </w:pPr>
      <w:r>
        <w:rPr>
          <w:b/>
          <w:bCs/>
          <w:color w:val="333B47"/>
          <w:sz w:val="15"/>
          <w:szCs w:val="15"/>
        </w:rPr>
        <w:t xml:space="preserve">Affiliation: </w:t>
      </w:r>
      <w:r>
        <w:rPr>
          <w:color w:val="3A4350"/>
          <w:sz w:val="15"/>
          <w:szCs w:val="15"/>
        </w:rPr>
        <w:t xml:space="preserve">California Institute of Technology: the paper has a CaltechAUTHORS record (authors.library.caltech.edu/records/xnbgh-ts917). Departments and the affiliation of B. Sun were not seen.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5B21B6"/>
          <w:sz w:val="17"/>
          <w:szCs w:val="17"/>
        </w:rPr>
        <w:t xml:space="preserve">Summary. </w:t>
      </w:r>
      <w:r>
        <w:rPr>
          <w:sz w:val="17"/>
          <w:szCs w:val="17"/>
        </w:rPr>
        <w:t xml:space="preserve">Competitive analysis protects against the single worst case, while randomised algorithms are judged in expectation; neither controls the tail of the cost. The authors define the </w:t>
      </w:r>
      <m:oMath>
        <m:sSub>
          <m:e>
            <m:r>
              <m:rPr>
                <m:nor/>
              </m:rPr>
              <m:t>CVaR</m:t>
            </m:r>
          </m:e>
          <m:sub>
            <m:r>
              <m:t>δ</m:t>
            </m:r>
          </m:sub>
        </m:sSub>
      </m:oMath>
      <w:r>
        <w:rPr>
          <w:sz w:val="17"/>
          <w:szCs w:val="17"/>
        </w:rPr>
        <w:t xml:space="preserve">-competitive ratio, which compares the conditional value-at-risk at level </w:t>
      </w:r>
      <m:oMath>
        <m:r>
          <m:t>δ</m:t>
        </m:r>
      </m:oMath>
      <w:r>
        <w:rPr>
          <w:sz w:val="17"/>
          <w:szCs w:val="17"/>
        </w:rPr>
        <w:t xml:space="preserve"> of an algorithm's random cost with the offline optimum, and solve it for continuous-time and discrete-time ski rental and for one-max search. For continuous-time ski rental the optimal ratio is </w:t>
      </w:r>
      <m:oMath>
        <m:r>
          <m:t>2</m:t>
        </m:r>
        <m:r>
          <m:rPr>
            <m:sty m:val="p"/>
          </m:rPr>
          <m:t>−</m:t>
        </m:r>
        <m:sSup>
          <m:e>
            <m:r>
              <m:t>2</m:t>
            </m:r>
          </m:e>
          <m:sup>
            <m:r>
              <m:rPr>
                <m:sty m:val="p"/>
              </m:rPr>
              <m:t>−</m:t>
            </m:r>
            <m:r>
              <m:t>Θ</m:t>
            </m:r>
            <m:d>
              <m:dPr>
                <m:begChr m:val="("/>
                <m:sepChr m:val=""/>
                <m:endChr m:val=")"/>
                <m:grow/>
              </m:dPr>
              <m:e>
                <m:r>
                  <m:t>1</m:t>
                </m:r>
                <m:r>
                  <m:rPr>
                    <m:sty m:val="p"/>
                  </m:rPr>
                  <m:t>/</m:t>
                </m:r>
                <m:d>
                  <m:dPr>
                    <m:begChr m:val="("/>
                    <m:sepChr m:val=""/>
                    <m:endChr m:val=")"/>
                    <m:grow/>
                  </m:dPr>
                  <m:e>
                    <m:r>
                      <m:t>1</m:t>
                    </m:r>
                    <m:r>
                      <m:rPr>
                        <m:sty m:val="p"/>
                      </m:rPr>
                      <m:t>−</m:t>
                    </m:r>
                    <m:r>
                      <m:t>δ</m:t>
                    </m:r>
                  </m:e>
                </m:d>
              </m:e>
            </m:d>
          </m:sup>
        </m:sSup>
      </m:oMath>
      <w:r>
        <w:rPr>
          <w:sz w:val="17"/>
          <w:szCs w:val="17"/>
        </w:rPr>
        <w:t xml:space="preserve">, attained by an algorithm defined through a delay differential equation; the optimal ratios and algorithms differ markedly across the three problems.</w:t>
      </w:r>
    </w:p>
    <w:p>
      <w:pPr>
        <w:keepNext/>
        <w:spacing w:after="20" w:before="40"/>
      </w:pPr>
      <w:r>
        <w:rPr>
          <w:b/>
          <w:bCs/>
          <w:color w:val="5B21B6"/>
          <w:sz w:val="17"/>
          <w:szCs w:val="17"/>
        </w:rPr>
        <w:t xml:space="preserve">Key equation.</w:t>
      </w:r>
      <w:r>
        <w:rPr>
          <w:i/>
          <w:iCs/>
          <w:color w:val="5B6573"/>
          <w:sz w:val="15"/>
          <w:szCs w:val="15"/>
        </w:rPr>
        <w:t xml:space="preserve">  Optimal CVaR-competitive ratio of continuous-time ski rental (value as stated in the abstract; definition in representative form)</w:t>
      </w:r>
    </w:p>
    <w:p>
      <w:pPr>
        <w:pStyle w:val="Equation"/>
      </w:pPr>
      <m:oMathPara>
        <m:oMathParaPr>
          <m:jc m:val="center"/>
        </m:oMathParaPr>
        <m:oMath>
          <m:limLow>
            <m:e>
              <m:r>
                <m:rPr>
                  <m:sty m:val="p"/>
                </m:rPr>
                <m:t>min</m:t>
              </m:r>
            </m:e>
            <m:lim>
              <m:r>
                <m:rPr>
                  <m:nor/>
                </m:rPr>
                <m:t>ALG</m:t>
              </m:r>
            </m:lim>
          </m:limLow>
          <m:limLow>
            <m:e>
              <m:r>
                <m:rPr>
                  <m:sty m:val="p"/>
                </m:rPr>
                <m:t>max</m:t>
              </m:r>
            </m:e>
            <m:lim>
              <m:r>
                <m:t>I</m:t>
              </m:r>
            </m:lim>
          </m:limLow>
          <m:f>
            <m:fPr>
              <m:type m:val="bar"/>
            </m:fPr>
            <m:num>
              <m:sSub>
                <m:e>
                  <m:r>
                    <m:rPr>
                      <m:nor/>
                    </m:rPr>
                    <m:t>CVaR</m:t>
                  </m:r>
                </m:e>
                <m:sub>
                  <m:r>
                    <m:t>δ</m:t>
                  </m:r>
                </m:sub>
              </m:sSub>
              <m:d>
                <m:dPr>
                  <m:begChr m:val="["/>
                  <m:sepChr m:val=""/>
                  <m:endChr m:val="]"/>
                  <m:grow/>
                </m:dPr>
                <m:e>
                  <m:r>
                    <m:rPr>
                      <m:nor/>
                    </m:rPr>
                    <m:t>ALG</m:t>
                  </m:r>
                  <m:d>
                    <m:dPr>
                      <m:begChr m:val="("/>
                      <m:sepChr m:val=""/>
                      <m:endChr m:val=")"/>
                      <m:grow/>
                    </m:dPr>
                    <m:e>
                      <m:r>
                        <m:t>I</m:t>
                      </m:r>
                    </m:e>
                  </m:d>
                </m:e>
              </m:d>
            </m:num>
            <m:den>
              <m:r>
                <m:rPr>
                  <m:nor/>
                </m:rPr>
                <m:t>OPT</m:t>
              </m:r>
              <m:d>
                <m:dPr>
                  <m:begChr m:val="("/>
                  <m:sepChr m:val=""/>
                  <m:endChr m:val=")"/>
                  <m:grow/>
                </m:dPr>
                <m:e>
                  <m:r>
                    <m:t>I</m:t>
                  </m:r>
                </m:e>
              </m:d>
            </m:den>
          </m:f>
          <m:r>
            <m:rPr>
              <m:sty m:val="p"/>
            </m:rPr>
            <m:t>=</m:t>
          </m:r>
          <m:r>
            <m:t>2</m:t>
          </m:r>
          <m:r>
            <m:rPr>
              <m:sty m:val="p"/>
            </m:rPr>
            <m:t>−</m:t>
          </m:r>
          <m:sSup>
            <m:e>
              <m:r>
                <m:t>2</m:t>
              </m:r>
            </m:e>
            <m:sup>
              <m:r>
                <m:rPr>
                  <m:sty m:val="p"/>
                </m:rPr>
                <m:t>−</m:t>
              </m:r>
              <m:r>
                <m:t>Θ</m:t>
              </m:r>
              <m:d>
                <m:dPr>
                  <m:begChr m:val="("/>
                  <m:sepChr m:val=""/>
                  <m:endChr m:val=")"/>
                  <m:grow/>
                </m:dPr>
                <m:e>
                  <m:r>
                    <m:t>1</m:t>
                  </m:r>
                  <m:r>
                    <m:rPr>
                      <m:sty m:val="p"/>
                    </m:rPr>
                    <m:t>/</m:t>
                  </m:r>
                  <m:d>
                    <m:dPr>
                      <m:begChr m:val="("/>
                      <m:sepChr m:val=""/>
                      <m:endChr m:val=")"/>
                      <m:grow/>
                    </m:dPr>
                    <m:e>
                      <m:r>
                        <m:t>1</m:t>
                      </m:r>
                      <m:r>
                        <m:rPr>
                          <m:sty m:val="p"/>
                        </m:rPr>
                        <m:t>−</m:t>
                      </m:r>
                      <m:r>
                        <m:t>δ</m:t>
                      </m:r>
                    </m:e>
                  </m:d>
                </m:e>
              </m:d>
            </m:sup>
          </m:sSup>
          <m:r>
            <m:rPr>
              <m:sty m:val="p"/>
            </m:rPr>
            <m:t>,</m:t>
          </m:r>
          <m:r>
            <m:t> </m:t>
          </m:r>
          <m:sSub>
            <m:e>
              <m:r>
                <m:rPr>
                  <m:nor/>
                </m:rPr>
                <m:t>CVaR</m:t>
              </m:r>
            </m:e>
            <m:sub>
              <m:r>
                <m:t>δ</m:t>
              </m:r>
            </m:sub>
          </m:sSub>
          <m:d>
            <m:dPr>
              <m:begChr m:val="["/>
              <m:sepChr m:val=""/>
              <m:endChr m:val="]"/>
              <m:grow/>
            </m:dPr>
            <m:e>
              <m:r>
                <m:t>X</m:t>
              </m:r>
            </m:e>
          </m:d>
          <m:r>
            <m:rPr>
              <m:sty m:val="p"/>
            </m:rPr>
            <m:t>=</m:t>
          </m:r>
          <m:limLow>
            <m:e>
              <m:r>
                <m:rPr>
                  <m:sty m:val="p"/>
                </m:rPr>
                <m:t>min</m:t>
              </m:r>
            </m:e>
            <m:lim>
              <m:r>
                <m:t>t</m:t>
              </m:r>
            </m:lim>
          </m:limLow>
          <m:d>
            <m:dPr>
              <m:begChr m:val="{"/>
              <m:sepChr m:val=""/>
              <m:endChr m:val="}"/>
              <m:grow/>
            </m:dPr>
            <m:e>
              <m:r>
                <m:t>t</m:t>
              </m:r>
              <m:r>
                <m:rPr>
                  <m:sty m:val="p"/>
                </m:rPr>
                <m:t>+</m:t>
              </m:r>
              <m:f>
                <m:fPr>
                  <m:type m:val="bar"/>
                </m:fPr>
                <m:num>
                  <m:r>
                    <m:rPr>
                      <m:scr m:val="double-struck"/>
                      <m:sty m:val="p"/>
                    </m:rPr>
                    <m:t>E</m:t>
                  </m:r>
                  <m:d>
                    <m:dPr>
                      <m:begChr m:val="["/>
                      <m:sepChr m:val=""/>
                      <m:endChr m:val="]"/>
                      <m:grow/>
                    </m:dPr>
                    <m:e>
                      <m:sSup>
                        <m:e>
                          <m:d>
                            <m:dPr>
                              <m:begChr m:val="("/>
                              <m:sepChr m:val=""/>
                              <m:endChr m:val=")"/>
                              <m:grow/>
                            </m:dPr>
                            <m:e>
                              <m:r>
                                <m:t>X</m:t>
                              </m:r>
                              <m:r>
                                <m:rPr>
                                  <m:sty m:val="p"/>
                                </m:rPr>
                                <m:t>−</m:t>
                              </m:r>
                              <m:r>
                                <m:t>t</m:t>
                              </m:r>
                            </m:e>
                          </m:d>
                        </m:e>
                        <m:sup>
                          <m:r>
                            <m:rPr>
                              <m:nor/>
                            </m:rPr>
                            <m:t>+</m:t>
                          </m:r>
                        </m:sup>
                      </m:sSup>
                    </m:e>
                  </m:d>
                </m:num>
                <m:den>
                  <m:r>
                    <m:t>1</m:t>
                  </m:r>
                  <m:r>
                    <m:rPr>
                      <m:sty m:val="p"/>
                    </m:rPr>
                    <m:t>−</m:t>
                  </m:r>
                  <m:r>
                    <m:t>δ</m:t>
                  </m:r>
                </m:den>
              </m:f>
            </m:e>
          </m:d>
        </m:oMath>
      </m:oMathPara>
    </w:p>
    <w:p>
      <w:pPr>
        <w:spacing w:after="60"/>
        <w:jc w:val="both"/>
      </w:pPr>
      <m:oMath>
        <m:r>
          <m:rPr>
            <m:nor/>
          </m:rPr>
          <m:t>ALG</m:t>
        </m:r>
        <m:d>
          <m:dPr>
            <m:begChr m:val="("/>
            <m:sepChr m:val=""/>
            <m:endChr m:val=")"/>
            <m:grow/>
          </m:dPr>
          <m:e>
            <m:r>
              <m:t>I</m:t>
            </m:r>
          </m:e>
        </m:d>
      </m:oMath>
      <w:r>
        <w:rPr>
          <w:color w:val="3A4350"/>
          <w:sz w:val="15"/>
          <w:szCs w:val="15"/>
        </w:rPr>
        <w:t xml:space="preserve"> is the random cost of a randomised algorithm on instance </w:t>
      </w:r>
      <m:oMath>
        <m:r>
          <m:t>I</m:t>
        </m:r>
      </m:oMath>
      <w:r>
        <w:rPr>
          <w:color w:val="3A4350"/>
          <w:sz w:val="15"/>
          <w:szCs w:val="15"/>
        </w:rPr>
        <w:t xml:space="preserve">, </w:t>
      </w:r>
      <m:oMath>
        <m:r>
          <m:rPr>
            <m:nor/>
          </m:rPr>
          <m:t>OPT</m:t>
        </m:r>
        <m:d>
          <m:dPr>
            <m:begChr m:val="("/>
            <m:sepChr m:val=""/>
            <m:endChr m:val=")"/>
            <m:grow/>
          </m:dPr>
          <m:e>
            <m:r>
              <m:t>I</m:t>
            </m:r>
          </m:e>
        </m:d>
      </m:oMath>
      <w:r>
        <w:rPr>
          <w:color w:val="3A4350"/>
          <w:sz w:val="15"/>
          <w:szCs w:val="15"/>
        </w:rPr>
        <w:t xml:space="preserve"> the offline optimum and </w:t>
      </w:r>
      <m:oMath>
        <m:sSub>
          <m:e>
            <m:r>
              <m:rPr>
                <m:nor/>
              </m:rPr>
              <m:t>CVaR</m:t>
            </m:r>
          </m:e>
          <m:sub>
            <m:r>
              <m:t>δ</m:t>
            </m:r>
          </m:sub>
        </m:sSub>
      </m:oMath>
      <w:r>
        <w:rPr>
          <w:color w:val="3A4350"/>
          <w:sz w:val="15"/>
          <w:szCs w:val="15"/>
        </w:rPr>
        <w:t xml:space="preserve"> the mean of the worst </w:t>
      </w:r>
      <m:oMath>
        <m:d>
          <m:dPr>
            <m:begChr m:val="("/>
            <m:sepChr m:val=""/>
            <m:endChr m:val=")"/>
            <m:grow/>
          </m:dPr>
          <m:e>
            <m:r>
              <m:t>1</m:t>
            </m:r>
            <m:r>
              <m:rPr>
                <m:sty m:val="p"/>
              </m:rPr>
              <m:t>−</m:t>
            </m:r>
            <m:r>
              <m:t>δ</m:t>
            </m:r>
          </m:e>
        </m:d>
      </m:oMath>
      <w:r>
        <w:rPr>
          <w:color w:val="3A4350"/>
          <w:sz w:val="15"/>
          <w:szCs w:val="15"/>
        </w:rPr>
        <w:t xml:space="preserve"> fraction of outcomes over the algorithm's randomisation; as </w:t>
      </w:r>
      <m:oMath>
        <m:r>
          <m:t>δ</m:t>
        </m:r>
        <m:r>
          <m:rPr>
            <m:sty m:val="p"/>
          </m:rPr>
          <m:t>→</m:t>
        </m:r>
        <m:r>
          <m:t>1</m:t>
        </m:r>
      </m:oMath>
      <w:r>
        <w:rPr>
          <w:color w:val="3A4350"/>
          <w:sz w:val="15"/>
          <w:szCs w:val="15"/>
        </w:rPr>
        <w:t xml:space="preserve"> the ratio tends to 2, the deterministic worst case.</w:t>
      </w:r>
    </w:p>
    <w:p>
      <w:pPr>
        <w:spacing w:after="60"/>
        <w:jc w:val="both"/>
      </w:pPr>
      <w:r>
        <w:rPr>
          <w:b/>
          <w:bCs/>
          <w:color w:val="5B21B6"/>
          <w:sz w:val="17"/>
          <w:szCs w:val="17"/>
        </w:rPr>
        <w:t xml:space="preserve">Link to the MAR scheme. </w:t>
      </w:r>
      <w:r>
        <w:rPr>
          <w:sz w:val="17"/>
          <w:szCs w:val="17"/>
        </w:rPr>
        <w:t xml:space="preserve">Belongs to theme K (risk analysis and robust decisions). Deciding when to stop a pilot injection and build a permanent MAR well is ski rental with an unknown horizon of need; randomised commit rules have the best expected ratio but can be costly in a bad draw, and the CVaR ratio bounds the mean of the worst 10% of outcomes.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opens risk-sensitive competitive analysis: the authors report no earlier competitive online algorithms designed for CVaR objectives, and they characterise the optimal ratio and an algorithm attaining it. Accepted in the COLT 2024 main track (two-page extended abstract in PMLR 247; full version on arXiv).</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Results cover one-dimensional problems with a single uncertain horizon or price; CVaR-competitive algorithms for multi-well, multi-period recharge decisions coupled through a groundwater response matrix, with tail risk measured in head deficit rather than cost, are open and would be new for aquifer management.</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the </w:t>
      </w:r>
      <m:oMath>
        <m:sSub>
          <m:e>
            <m:r>
              <m:rPr>
                <m:nor/>
              </m:rPr>
              <m:t>CVaR</m:t>
            </m:r>
          </m:e>
          <m:sub>
            <m:r>
              <m:t>δ</m:t>
            </m:r>
          </m:sub>
        </m:sSub>
      </m:oMath>
      <w:r>
        <w:rPr>
          <w:sz w:val="17"/>
          <w:szCs w:val="17"/>
        </w:rPr>
        <w:t xml:space="preserve">-competitive ratio as a design criterion, with the optimal continuous-time ski-rental algorithm described by a delay differential equation, interpolating between expected-case and worst-case competitiveness. Proposed extension: cast the pilot-then-build choice at each candidate MAR site as continuous-time ski rental with an unknown horizon of need, compute the optimal randomised rule at </w:t>
      </w:r>
      <m:oMath>
        <m:r>
          <m:t>δ</m:t>
        </m:r>
        <m:r>
          <m:rPr>
            <m:sty m:val="p"/>
          </m:rPr>
          <m:t>=</m:t>
        </m:r>
        <m:r>
          <m:t>0.9</m:t>
        </m:r>
      </m:oMath>
      <w:r>
        <w:rPr>
          <w:sz w:val="17"/>
          <w:szCs w:val="17"/>
        </w:rPr>
        <w:t xml:space="preserve">, and compare the simulated distribution of its cost ratio with the risk-neutral rule over synthetic deficit records.</w:t>
      </w:r>
    </w:p>
    <w:p>
      <w:pPr>
        <w:keepNext/>
        <w:pBdr>
          <w:top w:val="single" w:color="5B21B6" w:sz="6" w:space="4"/>
        </w:pBdr>
        <w:spacing w:after="60" w:before="220"/>
      </w:pPr>
      <w:r>
        <w:rPr>
          <w:b/>
          <w:bCs/>
          <w:color w:val="5B21B6"/>
          <w:sz w:val="23"/>
          <w:szCs w:val="23"/>
        </w:rPr>
        <w:t xml:space="preserve">K4  </w:t>
      </w:r>
      <w:r>
        <w:rPr>
          <w:b/>
          <w:bCs/>
          <w:color w:val="1F3864"/>
          <w:sz w:val="23"/>
          <w:szCs w:val="23"/>
        </w:rPr>
        <w:t xml:space="preserve">Chasing Convex Bodies and Functions with Black-Box Advice</w:t>
      </w:r>
    </w:p>
    <w:p>
      <w:pPr>
        <w:keepNext/>
        <w:spacing w:after="60" w:line="240" w:lineRule="auto"/>
      </w:pPr>
      <w:r>
        <w:rPr>
          <w:b/>
          <w:bCs/>
          <w:color w:val="333B47"/>
          <w:sz w:val="15"/>
          <w:szCs w:val="15"/>
        </w:rPr>
        <w:t xml:space="preserve">Authors: </w:t>
      </w:r>
      <w:r>
        <w:rPr>
          <w:sz w:val="15"/>
          <w:szCs w:val="15"/>
        </w:rPr>
        <w:t xml:space="preserve">Nicolas Christianson, Tinashe Handina, Adam Wierman</w:t>
      </w:r>
      <w:r>
        <w:rPr>
          <w:sz w:val="15"/>
          <w:szCs w:val="15"/>
        </w:rPr>
        <w:t xml:space="preserve">   </w:t>
      </w:r>
      <w:r>
        <w:rPr>
          <w:b/>
          <w:bCs/>
          <w:color w:val="333B47"/>
          <w:sz w:val="15"/>
          <w:szCs w:val="15"/>
        </w:rPr>
        <w:t xml:space="preserve">Published in: </w:t>
      </w:r>
      <w:r>
        <w:rPr>
          <w:sz w:val="15"/>
          <w:szCs w:val="15"/>
        </w:rPr>
        <w:t xml:space="preserve">Proceedings of the 35th Conference on Learning Theory (COLT 2022), PMLR 178, 867–908 (2022); arXiv 2206.11780</w:t>
      </w:r>
      <w:r>
        <w:rPr>
          <w:sz w:val="15"/>
          <w:szCs w:val="15"/>
        </w:rPr>
        <w:t xml:space="preserve">   </w:t>
      </w:r>
      <w:r>
        <w:rPr>
          <w:b/>
          <w:bCs/>
          <w:color w:val="333B47"/>
          <w:sz w:val="15"/>
          <w:szCs w:val="15"/>
        </w:rPr>
        <w:t xml:space="preserve">Link: </w:t>
      </w:r>
      <w:hyperlink w:history="1" r:id="rIdngnr61fgvwep3h8-oc_qo">
        <w:r>
          <w:rPr>
            <w:color w:val="1D4ED8"/>
            <w:sz w:val="15"/>
            <w:szCs w:val="15"/>
            <w:u w:val="single"/>
          </w:rPr>
          <w:t xml:space="preserve">https://proceedings.mlr.press/v178/christianson22a.html</w:t>
        </w:r>
      </w:hyperlink>
    </w:p>
    <w:p>
      <w:pPr>
        <w:keepNext/>
        <w:spacing w:after="80" w:line="240" w:lineRule="auto"/>
      </w:pPr>
      <w:r>
        <w:rPr>
          <w:b/>
          <w:bCs/>
          <w:color w:val="333B47"/>
          <w:sz w:val="15"/>
          <w:szCs w:val="15"/>
        </w:rPr>
        <w:t xml:space="preserve">Affiliation: </w:t>
      </w:r>
      <w:r>
        <w:rPr>
          <w:color w:val="3A4350"/>
          <w:sz w:val="15"/>
          <w:szCs w:val="15"/>
        </w:rPr>
        <w:t xml:space="preserve">California Institute of Technology: the search summary identifies all three authors as Caltech, and the paper has a CaltechAUTHORS record (CaltechAUTHORS:20230316-231309617). Departments were not seen.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5B21B6"/>
          <w:sz w:val="17"/>
          <w:szCs w:val="17"/>
        </w:rPr>
        <w:t xml:space="preserve">Summary. </w:t>
      </w:r>
      <w:r>
        <w:rPr>
          <w:sz w:val="17"/>
          <w:szCs w:val="17"/>
        </w:rPr>
        <w:t xml:space="preserve">In convex function chasing, a decision-maker in a normed space pays at each step a convex hitting cost plus the distance moved. Here it also receives black-box advice, such as the decisions of a machine-learned algorithm, and seeks cost close to the advice when the advice is good (consistency) and a bounded competitive ratio when it is adversarial (robustness). The authors prove that algorithms which switch between the advice and a robust algorithm cannot beat 3-consistency, then give INTERP, </w:t>
      </w:r>
      <m:oMath>
        <m:d>
          <m:dPr>
            <m:begChr m:val="("/>
            <m:sepChr m:val=""/>
            <m:endChr m:val=")"/>
            <m:grow/>
          </m:dPr>
          <m:e>
            <m:rad>
              <m:radPr>
                <m:degHide m:val="on"/>
              </m:radPr>
              <m:deg/>
              <m:e>
                <m:r>
                  <m:t>2</m:t>
                </m:r>
              </m:e>
            </m:rad>
            <m:r>
              <m:rPr>
                <m:sty m:val="p"/>
              </m:rPr>
              <m:t>+</m:t>
            </m:r>
            <m:r>
              <m:t>ϵ</m:t>
            </m:r>
          </m:e>
        </m:d>
      </m:oMath>
      <w:r>
        <w:rPr>
          <w:sz w:val="17"/>
          <w:szCs w:val="17"/>
        </w:rPr>
        <w:t xml:space="preserve">-consistent and </w:t>
      </w:r>
      <m:oMath>
        <m:r>
          <m:t>O</m:t>
        </m:r>
        <m:d>
          <m:dPr>
            <m:begChr m:val="("/>
            <m:sepChr m:val=""/>
            <m:endChr m:val=")"/>
            <m:grow/>
          </m:dPr>
          <m:e>
            <m:r>
              <m:t>C</m:t>
            </m:r>
            <m:r>
              <m:rPr>
                <m:sty m:val="p"/>
              </m:rPr>
              <m:t>/</m:t>
            </m:r>
            <m:sSup>
              <m:e>
                <m:r>
                  <m:t>ϵ</m:t>
                </m:r>
              </m:e>
              <m:sup>
                <m:r>
                  <m:t>2</m:t>
                </m:r>
              </m:sup>
            </m:sSup>
          </m:e>
        </m:d>
      </m:oMath>
      <w:r>
        <w:rPr>
          <w:sz w:val="17"/>
          <w:szCs w:val="17"/>
        </w:rPr>
        <w:t xml:space="preserve">-robust, and BDINTERP, </w:t>
      </w:r>
      <m:oMath>
        <m:d>
          <m:dPr>
            <m:begChr m:val="("/>
            <m:sepChr m:val=""/>
            <m:endChr m:val=")"/>
            <m:grow/>
          </m:dPr>
          <m:e>
            <m:r>
              <m:t>1</m:t>
            </m:r>
            <m:r>
              <m:rPr>
                <m:sty m:val="p"/>
              </m:rPr>
              <m:t>+</m:t>
            </m:r>
            <m:r>
              <m:t>ϵ</m:t>
            </m:r>
          </m:e>
        </m:d>
      </m:oMath>
      <w:r>
        <w:rPr>
          <w:sz w:val="17"/>
          <w:szCs w:val="17"/>
        </w:rPr>
        <w:t xml:space="preserve">-consistent and </w:t>
      </w:r>
      <m:oMath>
        <m:r>
          <m:t>O</m:t>
        </m:r>
        <m:d>
          <m:dPr>
            <m:begChr m:val="("/>
            <m:sepChr m:val=""/>
            <m:endChr m:val=")"/>
            <m:grow/>
          </m:dPr>
          <m:e>
            <m:r>
              <m:t>C</m:t>
            </m:r>
            <m:r>
              <m:t>D</m:t>
            </m:r>
            <m:r>
              <m:rPr>
                <m:sty m:val="p"/>
              </m:rPr>
              <m:t>/</m:t>
            </m:r>
            <m:r>
              <m:t>ϵ</m:t>
            </m:r>
          </m:e>
        </m:d>
      </m:oMath>
      <w:r>
        <w:rPr>
          <w:sz w:val="17"/>
          <w:szCs w:val="17"/>
        </w:rPr>
        <w:t xml:space="preserve">-robust for bounded diameter </w:t>
      </w:r>
      <m:oMath>
        <m:r>
          <m:t>D</m:t>
        </m:r>
      </m:oMath>
      <w:r>
        <w:rPr>
          <w:sz w:val="17"/>
          <w:szCs w:val="17"/>
        </w:rPr>
        <w:t xml:space="preserve">, near-optimal for </w:t>
      </w:r>
      <m:oMath>
        <m:r>
          <m:t>α</m:t>
        </m:r>
      </m:oMath>
      <w:r>
        <w:rPr>
          <w:sz w:val="17"/>
          <w:szCs w:val="17"/>
        </w:rPr>
        <w:t xml:space="preserve">-polyhedral costs; </w:t>
      </w:r>
      <m:oMath>
        <m:r>
          <m:t>C</m:t>
        </m:r>
      </m:oMath>
      <w:r>
        <w:rPr>
          <w:sz w:val="17"/>
          <w:szCs w:val="17"/>
        </w:rPr>
        <w:t xml:space="preserve"> is a robust algorithm's competitive ratio.</w:t>
      </w:r>
    </w:p>
    <w:p>
      <w:pPr>
        <w:keepNext/>
        <w:spacing w:after="20" w:before="40"/>
      </w:pPr>
      <w:r>
        <w:rPr>
          <w:b/>
          <w:bCs/>
          <w:color w:val="5B21B6"/>
          <w:sz w:val="17"/>
          <w:szCs w:val="17"/>
        </w:rPr>
        <w:t xml:space="preserve">Key equation.</w:t>
      </w:r>
      <w:r>
        <w:rPr>
          <w:i/>
          <w:iCs/>
          <w:color w:val="5B6573"/>
          <w:sz w:val="15"/>
          <w:szCs w:val="15"/>
        </w:rPr>
        <w:t xml:space="preserve">  Consistency and robustness guarantee of BDINTERP (representative formulation)</w:t>
      </w:r>
    </w:p>
    <w:p>
      <w:pPr>
        <w:pStyle w:val="Equation"/>
      </w:pPr>
      <m:oMathPara>
        <m:oMathParaPr>
          <m:jc m:val="center"/>
        </m:oMathParaPr>
        <m:oMath>
          <m:r>
            <m:rPr>
              <m:nor/>
            </m:rPr>
            <m:t>cost</m:t>
          </m:r>
          <m:d>
            <m:dPr>
              <m:begChr m:val="("/>
              <m:sepChr m:val=""/>
              <m:endChr m:val=")"/>
              <m:grow/>
            </m:dPr>
            <m:e>
              <m:r>
                <m:rPr>
                  <m:nor/>
                </m:rPr>
                <m:t>BDINTERP</m:t>
              </m:r>
            </m:e>
          </m:d>
          <m:r>
            <m:rPr>
              <m:sty m:val="p"/>
            </m:rPr>
            <m:t>≤</m:t>
          </m:r>
          <m:r>
            <m:rPr>
              <m:sty m:val="p"/>
            </m:rPr>
            <m:t>min</m:t>
          </m:r>
          <m:d>
            <m:dPr>
              <m:begChr m:val="{"/>
              <m:sepChr m:val=""/>
              <m:endChr m:val="}"/>
              <m:grow/>
            </m:dPr>
            <m:e>
              <m:d>
                <m:dPr>
                  <m:begChr m:val="("/>
                  <m:sepChr m:val=""/>
                  <m:endChr m:val=")"/>
                  <m:grow/>
                </m:dPr>
                <m:e>
                  <m:r>
                    <m:t>1</m:t>
                  </m:r>
                  <m:r>
                    <m:rPr>
                      <m:sty m:val="p"/>
                    </m:rPr>
                    <m:t>+</m:t>
                  </m:r>
                  <m:r>
                    <m:t>ϵ</m:t>
                  </m:r>
                </m:e>
              </m:d>
              <m:r>
                <m:t> </m:t>
              </m:r>
              <m:r>
                <m:rPr>
                  <m:nor/>
                </m:rPr>
                <m:t>cost</m:t>
              </m:r>
              <m:d>
                <m:dPr>
                  <m:begChr m:val="("/>
                  <m:sepChr m:val=""/>
                  <m:endChr m:val=")"/>
                  <m:grow/>
                </m:dPr>
                <m:e>
                  <m:r>
                    <m:rPr>
                      <m:nor/>
                    </m:rPr>
                    <m:t>ADV</m:t>
                  </m:r>
                </m:e>
              </m:d>
              <m:r>
                <m:rPr>
                  <m:sty m:val="p"/>
                </m:rPr>
                <m:t>,</m:t>
              </m:r>
              <m:r>
                <m:t> </m:t>
              </m:r>
              <m:r>
                <m:t>O</m:t>
              </m:r>
              <m:d>
                <m:dPr>
                  <m:begChr m:val="("/>
                  <m:sepChr m:val=""/>
                  <m:endChr m:val=")"/>
                  <m:grow/>
                </m:dPr>
                <m:e>
                  <m:f>
                    <m:fPr>
                      <m:type m:val="bar"/>
                    </m:fPr>
                    <m:num>
                      <m:r>
                        <m:t>C</m:t>
                      </m:r>
                      <m:r>
                        <m:t>D</m:t>
                      </m:r>
                    </m:num>
                    <m:den>
                      <m:r>
                        <m:t>ϵ</m:t>
                      </m:r>
                    </m:den>
                  </m:f>
                </m:e>
              </m:d>
              <m:r>
                <m:rPr>
                  <m:nor/>
                </m:rPr>
                <m:t>cost</m:t>
              </m:r>
              <m:d>
                <m:dPr>
                  <m:begChr m:val="("/>
                  <m:sepChr m:val=""/>
                  <m:endChr m:val=")"/>
                  <m:grow/>
                </m:dPr>
                <m:e>
                  <m:r>
                    <m:rPr>
                      <m:nor/>
                    </m:rPr>
                    <m:t>OPT</m:t>
                  </m:r>
                </m:e>
              </m:d>
            </m:e>
          </m:d>
        </m:oMath>
      </m:oMathPara>
    </w:p>
    <w:p>
      <w:pPr>
        <w:spacing w:after="60"/>
        <w:jc w:val="both"/>
      </w:pPr>
      <m:oMath>
        <m:r>
          <m:rPr>
            <m:nor/>
          </m:rPr>
          <m:t>cost</m:t>
        </m:r>
        <m:d>
          <m:dPr>
            <m:begChr m:val="("/>
            <m:sepChr m:val=""/>
            <m:endChr m:val=")"/>
            <m:grow/>
          </m:dPr>
          <m:e>
            <m:r>
              <m:rPr>
                <m:nor/>
              </m:rPr>
              <m:t>ADV</m:t>
            </m:r>
          </m:e>
        </m:d>
      </m:oMath>
      <w:r>
        <w:rPr>
          <w:color w:val="3A4350"/>
          <w:sz w:val="15"/>
          <w:szCs w:val="15"/>
        </w:rPr>
        <w:t xml:space="preserve"> is the cost of following the advice, </w:t>
      </w:r>
      <m:oMath>
        <m:r>
          <m:rPr>
            <m:nor/>
          </m:rPr>
          <m:t>cost</m:t>
        </m:r>
        <m:d>
          <m:dPr>
            <m:begChr m:val="("/>
            <m:sepChr m:val=""/>
            <m:endChr m:val=")"/>
            <m:grow/>
          </m:dPr>
          <m:e>
            <m:r>
              <m:rPr>
                <m:nor/>
              </m:rPr>
              <m:t>OPT</m:t>
            </m:r>
          </m:e>
        </m:d>
      </m:oMath>
      <w:r>
        <w:rPr>
          <w:color w:val="3A4350"/>
          <w:sz w:val="15"/>
          <w:szCs w:val="15"/>
        </w:rPr>
        <w:t xml:space="preserve"> the offline optimum, </w:t>
      </w:r>
      <m:oMath>
        <m:r>
          <m:t>C</m:t>
        </m:r>
      </m:oMath>
      <w:r>
        <w:rPr>
          <w:color w:val="3A4350"/>
          <w:sz w:val="15"/>
          <w:szCs w:val="15"/>
        </w:rPr>
        <w:t xml:space="preserve"> the competitive ratio of a robust convex-function-chasing algorithm, </w:t>
      </w:r>
      <m:oMath>
        <m:r>
          <m:t>D</m:t>
        </m:r>
      </m:oMath>
      <w:r>
        <w:rPr>
          <w:color w:val="3A4350"/>
          <w:sz w:val="15"/>
          <w:szCs w:val="15"/>
        </w:rPr>
        <w:t xml:space="preserve"> the diameter of the decision set and </w:t>
      </w:r>
      <m:oMath>
        <m:r>
          <m:t>ϵ</m:t>
        </m:r>
        <m:r>
          <m:rPr>
            <m:sty m:val="p"/>
          </m:rPr>
          <m:t>&gt;</m:t>
        </m:r>
        <m:r>
          <m:t>0</m:t>
        </m:r>
      </m:oMath>
      <w:r>
        <w:rPr>
          <w:color w:val="3A4350"/>
          <w:sz w:val="15"/>
          <w:szCs w:val="15"/>
        </w:rPr>
        <w:t xml:space="preserve"> the chosen trade-off; constants and additive terms were not seen.</w:t>
      </w:r>
    </w:p>
    <w:p>
      <w:pPr>
        <w:spacing w:after="60"/>
        <w:jc w:val="both"/>
      </w:pPr>
      <w:r>
        <w:rPr>
          <w:b/>
          <w:bCs/>
          <w:color w:val="5B21B6"/>
          <w:sz w:val="17"/>
          <w:szCs w:val="17"/>
        </w:rPr>
        <w:t xml:space="preserve">Link to the MAR scheme. </w:t>
      </w:r>
      <w:r>
        <w:rPr>
          <w:sz w:val="17"/>
          <w:szCs w:val="17"/>
        </w:rPr>
        <w:t xml:space="preserve">Belongs to theme K (risk analysis and robust decisions). Monthly recharge rates at Fushë-Kuqe could follow the calibrated model's plan as advice while paying a convex head-deficit penalty plus a cost for changing injection; BDINTERP costs little more than the plan if the model is right and stays within a bounded ratio of the hindsight optimum if it is wrong.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proves that switching between advice and a robust algorithm is stuck at 3-consistency, and that exploiting convexity breaks this barrier, with explicit robustness prices and near-optimality for polyhedral costs. A COLT 2022 main-track paper (PMLR 178, pp. 867–908) from A. Wierman's group at Caltech.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Guarantees are stated in cost, not in constraint satisfaction; whether a robustness–consistency trade-off can be proved for hard head constraints (</w:t>
      </w:r>
      <m:oMath>
        <m:r>
          <m:t>h</m:t>
        </m:r>
        <m:r>
          <m:rPr>
            <m:sty m:val="p"/>
          </m:rPr>
          <m:t>≥</m:t>
        </m:r>
        <m:sSub>
          <m:e>
            <m:r>
              <m:t>h</m:t>
            </m:r>
          </m:e>
          <m:sub>
            <m:r>
              <m:t>c</m:t>
            </m:r>
          </m:sub>
        </m:sSub>
      </m:oMath>
      <w:r>
        <w:rPr>
          <w:sz w:val="17"/>
          <w:szCs w:val="17"/>
        </w:rPr>
        <w:t xml:space="preserve"> at the supply wells) with linear but uncertain response matrices is open and would be new for aquifer operation.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impossibility result for switching-type algorithms and two algorithms that exploit convexity, with explicit consistency–robustness pairs. Proposed extension: run BDINTERP on a ten-year synthetic recharge record with the posterior-mean model as advice and a robust chasing algorithm as fallback, take the true aquifer from facies realisations far from the posterior mean, and check that the cost ratio to hindsight stays within the proved bound.</w:t>
      </w:r>
    </w:p>
    <w:p>
      <w:pPr>
        <w:keepNext/>
        <w:pBdr>
          <w:top w:val="single" w:color="5B21B6" w:sz="6" w:space="4"/>
        </w:pBdr>
        <w:spacing w:after="60" w:before="220"/>
      </w:pPr>
      <w:r>
        <w:rPr>
          <w:b/>
          <w:bCs/>
          <w:color w:val="5B21B6"/>
          <w:sz w:val="23"/>
          <w:szCs w:val="23"/>
        </w:rPr>
        <w:t xml:space="preserve">K5  </w:t>
      </w:r>
      <w:r>
        <w:rPr>
          <w:b/>
          <w:bCs/>
          <w:color w:val="1F3864"/>
          <w:sz w:val="23"/>
          <w:szCs w:val="23"/>
        </w:rPr>
        <w:t xml:space="preserve">Online Algorithms with Uncertainty-Quantified Predictions</w:t>
      </w:r>
    </w:p>
    <w:p>
      <w:pPr>
        <w:keepNext/>
        <w:spacing w:after="60" w:line="240" w:lineRule="auto"/>
      </w:pPr>
      <w:r>
        <w:rPr>
          <w:b/>
          <w:bCs/>
          <w:color w:val="333B47"/>
          <w:sz w:val="15"/>
          <w:szCs w:val="15"/>
        </w:rPr>
        <w:t xml:space="preserve">Authors: </w:t>
      </w:r>
      <w:r>
        <w:rPr>
          <w:sz w:val="15"/>
          <w:szCs w:val="15"/>
        </w:rPr>
        <w:t xml:space="preserve">Bo Sun, Jerry Huang, Nicolas Christianson, Mohammad Hajiesmaili, Adam Wierman, Raouf Boutaba</w:t>
      </w:r>
      <w:r>
        <w:rPr>
          <w:sz w:val="15"/>
          <w:szCs w:val="15"/>
        </w:rPr>
        <w:t xml:space="preserve">   </w:t>
      </w:r>
      <w:r>
        <w:rPr>
          <w:b/>
          <w:bCs/>
          <w:color w:val="333B47"/>
          <w:sz w:val="15"/>
          <w:szCs w:val="15"/>
        </w:rPr>
        <w:t xml:space="preserve">Published in: </w:t>
      </w:r>
      <w:r>
        <w:rPr>
          <w:sz w:val="15"/>
          <w:szCs w:val="15"/>
        </w:rPr>
        <w:t xml:space="preserve">Proceedings of the 41st International Conference on Machine Learning (ICML 2024), PMLR 235, 47056–47077 (2024); arXiv 2310.11558</w:t>
      </w:r>
      <w:r>
        <w:rPr>
          <w:sz w:val="15"/>
          <w:szCs w:val="15"/>
        </w:rPr>
        <w:t xml:space="preserve">   </w:t>
      </w:r>
      <w:r>
        <w:rPr>
          <w:b/>
          <w:bCs/>
          <w:color w:val="333B47"/>
          <w:sz w:val="15"/>
          <w:szCs w:val="15"/>
        </w:rPr>
        <w:t xml:space="preserve">Link: </w:t>
      </w:r>
      <w:hyperlink w:history="1" r:id="rIdr0qdnurj1_dicmjuv-bmx">
        <w:r>
          <w:rPr>
            <w:color w:val="1D4ED8"/>
            <w:sz w:val="15"/>
            <w:szCs w:val="15"/>
            <w:u w:val="single"/>
          </w:rPr>
          <w:t xml:space="preserve">https://proceedings.mlr.press/v235/sun24f.html</w:t>
        </w:r>
      </w:hyperlink>
    </w:p>
    <w:p>
      <w:pPr>
        <w:keepNext/>
        <w:spacing w:after="80" w:line="240" w:lineRule="auto"/>
      </w:pPr>
      <w:r>
        <w:rPr>
          <w:b/>
          <w:bCs/>
          <w:color w:val="333B47"/>
          <w:sz w:val="15"/>
          <w:szCs w:val="15"/>
        </w:rPr>
        <w:t xml:space="preserve">Affiliation: </w:t>
      </w:r>
      <w:r>
        <w:rPr>
          <w:color w:val="3A4350"/>
          <w:sz w:val="15"/>
          <w:szCs w:val="15"/>
        </w:rPr>
        <w:t xml:space="preserve">California Institute of Technology: the search summary of the arXiv 2310.11558v2 author block lists J. Huang, N. Christianson and A. Wierman at Caltech. The other authors’ affiliations and the departments were not seen.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5B21B6"/>
          <w:sz w:val="17"/>
          <w:szCs w:val="17"/>
        </w:rPr>
        <w:t xml:space="preserve">Summary. </w:t>
      </w:r>
      <w:r>
        <w:rPr>
          <w:sz w:val="17"/>
          <w:szCs w:val="17"/>
        </w:rPr>
        <w:t xml:space="preserve">Learning-augmented algorithms usually treat a prediction as a point of unknown quality. Here the prediction carries uncertainty quantification, for example an interval said to contain the true value with a given probability. The authors form the ambiguity set of all instance distributions consistent with this information and define the distributionally robust competitive ratio (DRCR), the worst expected ratio of algorithm cost to offline optimum over that set, which interpolates between worst-case and average-case analysis. For ski rental and online search with probabilistic interval predictions they obtain algorithms attaining the optimal DRCR, via an auxiliary problem on hard instances, and propose online learning to exploit general uncertainty quantification across instances.</w:t>
      </w:r>
    </w:p>
    <w:p>
      <w:pPr>
        <w:keepNext/>
        <w:spacing w:after="20" w:before="40"/>
      </w:pPr>
      <w:r>
        <w:rPr>
          <w:b/>
          <w:bCs/>
          <w:color w:val="5B21B6"/>
          <w:sz w:val="17"/>
          <w:szCs w:val="17"/>
        </w:rPr>
        <w:t xml:space="preserve">Key equation.</w:t>
      </w:r>
      <w:r>
        <w:rPr>
          <w:i/>
          <w:iCs/>
          <w:color w:val="5B6573"/>
          <w:sz w:val="15"/>
          <w:szCs w:val="15"/>
        </w:rPr>
        <w:t xml:space="preserve">  Distributionally robust competitive ratio under a probabilistic interval prediction (representative formulation)</w:t>
      </w:r>
    </w:p>
    <w:p>
      <w:pPr>
        <w:pStyle w:val="Equation"/>
      </w:pPr>
      <m:oMathPara>
        <m:oMathParaPr>
          <m:jc m:val="center"/>
        </m:oMathParaPr>
        <m:oMath>
          <m:r>
            <m:rPr>
              <m:nor/>
            </m:rPr>
            <m:t>DRCR</m:t>
          </m:r>
          <m:d>
            <m:dPr>
              <m:begChr m:val="("/>
              <m:sepChr m:val=""/>
              <m:endChr m:val=")"/>
              <m:grow/>
            </m:dPr>
            <m:e>
              <m:r>
                <m:rPr>
                  <m:nor/>
                </m:rPr>
                <m:t>ALG</m:t>
              </m:r>
            </m:e>
          </m:d>
          <m:r>
            <m:rPr>
              <m:sty m:val="p"/>
            </m:rPr>
            <m:t>=</m:t>
          </m:r>
          <m:limLow>
            <m:e>
              <m:r>
                <m:rPr>
                  <m:sty m:val="p"/>
                </m:rPr>
                <m:t>max</m:t>
              </m:r>
            </m:e>
            <m:lim>
              <m:r>
                <m:rPr>
                  <m:scr m:val="double-struck"/>
                  <m:sty m:val="p"/>
                </m:rPr>
                <m:t>P</m:t>
              </m:r>
              <m:r>
                <m:rPr>
                  <m:sty m:val="p"/>
                </m:rPr>
                <m:t>∈</m:t>
              </m:r>
              <m:r>
                <m:rPr>
                  <m:scr m:val="script"/>
                  <m:sty m:val="p"/>
                </m:rPr>
                <m:t>P</m:t>
              </m:r>
            </m:lim>
          </m:limLow>
          <m:sSub>
            <m:e>
              <m:r>
                <m:rPr>
                  <m:scr m:val="double-struck"/>
                  <m:sty m:val="p"/>
                </m:rPr>
                <m:t>E</m:t>
              </m:r>
            </m:e>
            <m:sub>
              <m:r>
                <m:t>I</m:t>
              </m:r>
              <m:r>
                <m:rPr>
                  <m:sty m:val="p"/>
                </m:rPr>
                <m:t>∼</m:t>
              </m:r>
              <m:r>
                <m:rPr>
                  <m:scr m:val="double-struck"/>
                  <m:sty m:val="p"/>
                </m:rPr>
                <m:t>P</m:t>
              </m:r>
            </m:sub>
          </m:sSub>
          <m:d>
            <m:dPr>
              <m:begChr m:val="["/>
              <m:sepChr m:val=""/>
              <m:endChr m:val="]"/>
              <m:grow/>
            </m:dPr>
            <m:e>
              <m:f>
                <m:fPr>
                  <m:type m:val="bar"/>
                </m:fPr>
                <m:num>
                  <m:r>
                    <m:rPr>
                      <m:nor/>
                    </m:rPr>
                    <m:t>ALG</m:t>
                  </m:r>
                  <m:d>
                    <m:dPr>
                      <m:begChr m:val="("/>
                      <m:sepChr m:val=""/>
                      <m:endChr m:val=")"/>
                      <m:grow/>
                    </m:dPr>
                    <m:e>
                      <m:r>
                        <m:t>I</m:t>
                      </m:r>
                    </m:e>
                  </m:d>
                </m:num>
                <m:den>
                  <m:r>
                    <m:rPr>
                      <m:nor/>
                    </m:rPr>
                    <m:t>OPT</m:t>
                  </m:r>
                  <m:d>
                    <m:dPr>
                      <m:begChr m:val="("/>
                      <m:sepChr m:val=""/>
                      <m:endChr m:val=")"/>
                      <m:grow/>
                    </m:dPr>
                    <m:e>
                      <m:r>
                        <m:t>I</m:t>
                      </m:r>
                    </m:e>
                  </m:d>
                </m:den>
              </m:f>
            </m:e>
          </m:d>
          <m:r>
            <m:rPr>
              <m:sty m:val="p"/>
            </m:rPr>
            <m:t>,</m:t>
          </m:r>
          <m:r>
            <m:t> </m:t>
          </m:r>
          <m:r>
            <m:rPr>
              <m:scr m:val="script"/>
              <m:sty m:val="p"/>
            </m:rPr>
            <m:t>P</m:t>
          </m:r>
          <m:r>
            <m:rPr>
              <m:sty m:val="p"/>
            </m:rPr>
            <m:t>=</m:t>
          </m:r>
          <m:d>
            <m:dPr>
              <m:begChr m:val="{"/>
              <m:sepChr m:val=""/>
              <m:endChr m:val="}"/>
              <m:grow/>
            </m:dPr>
            <m:e>
              <m:r>
                <m:rPr>
                  <m:scr m:val="double-struck"/>
                  <m:sty m:val="p"/>
                </m:rPr>
                <m:t>P</m:t>
              </m:r>
              <m:r>
                <m:rPr>
                  <m:sty m:val="p"/>
                </m:rPr>
                <m:t>:</m:t>
              </m:r>
              <m:r>
                <m:rPr>
                  <m:scr m:val="double-struck"/>
                  <m:sty m:val="p"/>
                </m:rPr>
                <m:t>P</m:t>
              </m:r>
              <m:d>
                <m:dPr>
                  <m:begChr m:val="("/>
                  <m:sepChr m:val=""/>
                  <m:endChr m:val=")"/>
                  <m:grow/>
                </m:dPr>
                <m:e>
                  <m:r>
                    <m:t>y</m:t>
                  </m:r>
                  <m:d>
                    <m:dPr>
                      <m:begChr m:val="("/>
                      <m:sepChr m:val=""/>
                      <m:endChr m:val=")"/>
                      <m:grow/>
                    </m:dPr>
                    <m:e>
                      <m:r>
                        <m:t>I</m:t>
                      </m:r>
                    </m:e>
                  </m:d>
                  <m:r>
                    <m:rPr>
                      <m:sty m:val="p"/>
                    </m:rPr>
                    <m:t>∈</m:t>
                  </m:r>
                  <m:d>
                    <m:dPr>
                      <m:begChr m:val="["/>
                      <m:sepChr m:val=""/>
                      <m:endChr m:val="]"/>
                      <m:grow/>
                    </m:dPr>
                    <m:e>
                      <m:r>
                        <m:rPr>
                          <m:sty m:val="p"/>
                        </m:rPr>
                        <m:t>ℓ</m:t>
                      </m:r>
                      <m:r>
                        <m:rPr>
                          <m:sty m:val="p"/>
                        </m:rPr>
                        <m:t>,</m:t>
                      </m:r>
                      <m:r>
                        <m:t>u</m:t>
                      </m:r>
                    </m:e>
                  </m:d>
                </m:e>
              </m:d>
              <m:r>
                <m:rPr>
                  <m:sty m:val="p"/>
                </m:rPr>
                <m:t>≥</m:t>
              </m:r>
              <m:r>
                <m:t>δ</m:t>
              </m:r>
            </m:e>
          </m:d>
        </m:oMath>
      </m:oMathPara>
    </w:p>
    <w:p>
      <w:pPr>
        <w:spacing w:after="60"/>
        <w:jc w:val="both"/>
      </w:pPr>
      <m:oMath>
        <m:r>
          <m:t>y</m:t>
        </m:r>
        <m:d>
          <m:dPr>
            <m:begChr m:val="("/>
            <m:sepChr m:val=""/>
            <m:endChr m:val=")"/>
            <m:grow/>
          </m:dPr>
          <m:e>
            <m:r>
              <m:t>I</m:t>
            </m:r>
          </m:e>
        </m:d>
      </m:oMath>
      <w:r>
        <w:rPr>
          <w:color w:val="3A4350"/>
          <w:sz w:val="15"/>
          <w:szCs w:val="15"/>
        </w:rPr>
        <w:t xml:space="preserve"> is the unknown quantity of instance </w:t>
      </w:r>
      <m:oMath>
        <m:r>
          <m:t>I</m:t>
        </m:r>
      </m:oMath>
      <w:r>
        <w:rPr>
          <w:color w:val="3A4350"/>
          <w:sz w:val="15"/>
          <w:szCs w:val="15"/>
        </w:rPr>
        <w:t xml:space="preserve"> (such as the number of ski days or the best price), </w:t>
      </w:r>
      <m:oMath>
        <m:d>
          <m:dPr>
            <m:begChr m:val="["/>
            <m:sepChr m:val=""/>
            <m:endChr m:val="]"/>
            <m:grow/>
          </m:dPr>
          <m:e>
            <m:r>
              <m:rPr>
                <m:sty m:val="p"/>
              </m:rPr>
              <m:t>ℓ</m:t>
            </m:r>
            <m:r>
              <m:rPr>
                <m:sty m:val="p"/>
              </m:rPr>
              <m:t>,</m:t>
            </m:r>
            <m:r>
              <m:t>u</m:t>
            </m:r>
          </m:e>
        </m:d>
      </m:oMath>
      <w:r>
        <w:rPr>
          <w:color w:val="3A4350"/>
          <w:sz w:val="15"/>
          <w:szCs w:val="15"/>
        </w:rPr>
        <w:t xml:space="preserve"> the predicted interval and </w:t>
      </w:r>
      <m:oMath>
        <m:r>
          <m:t>δ</m:t>
        </m:r>
      </m:oMath>
      <w:r>
        <w:rPr>
          <w:color w:val="3A4350"/>
          <w:sz w:val="15"/>
          <w:szCs w:val="15"/>
        </w:rPr>
        <w:t xml:space="preserve"> its stated coverage; </w:t>
      </w:r>
      <m:oMath>
        <m:r>
          <m:rPr>
            <m:nor/>
          </m:rPr>
          <m:t>ALG</m:t>
        </m:r>
        <m:d>
          <m:dPr>
            <m:begChr m:val="("/>
            <m:sepChr m:val=""/>
            <m:endChr m:val=")"/>
            <m:grow/>
          </m:dPr>
          <m:e>
            <m:r>
              <m:t>I</m:t>
            </m:r>
          </m:e>
        </m:d>
      </m:oMath>
      <w:r>
        <w:rPr>
          <w:color w:val="3A4350"/>
          <w:sz w:val="15"/>
          <w:szCs w:val="15"/>
        </w:rPr>
        <w:t xml:space="preserve"> and </w:t>
      </w:r>
      <m:oMath>
        <m:r>
          <m:rPr>
            <m:nor/>
          </m:rPr>
          <m:t>OPT</m:t>
        </m:r>
        <m:d>
          <m:dPr>
            <m:begChr m:val="("/>
            <m:sepChr m:val=""/>
            <m:endChr m:val=")"/>
            <m:grow/>
          </m:dPr>
          <m:e>
            <m:r>
              <m:t>I</m:t>
            </m:r>
          </m:e>
        </m:d>
      </m:oMath>
      <w:r>
        <w:rPr>
          <w:color w:val="3A4350"/>
          <w:sz w:val="15"/>
          <w:szCs w:val="15"/>
        </w:rPr>
        <w:t xml:space="preserve"> are the online and offline costs, and the exact form of the ambiguity set in the paper was not transcribed.</w:t>
      </w:r>
    </w:p>
    <w:p>
      <w:pPr>
        <w:spacing w:after="60"/>
        <w:jc w:val="both"/>
      </w:pPr>
      <w:r>
        <w:rPr>
          <w:b/>
          <w:bCs/>
          <w:color w:val="5B21B6"/>
          <w:sz w:val="17"/>
          <w:szCs w:val="17"/>
        </w:rPr>
        <w:t xml:space="preserve">Link to the MAR scheme. </w:t>
      </w:r>
      <w:r>
        <w:rPr>
          <w:sz w:val="17"/>
          <w:szCs w:val="17"/>
        </w:rPr>
        <w:t xml:space="preserve">Belongs to theme K (risk analysis and robust decisions). Stopping a pilot injection to build a permanent well (ski rental) or accepting a site as tests arrive (online search) can use the model's prediction interval for the head gain at A1; a DRCR-optimal rule keeps its guarantee whenever the interval's coverage holds, whatever the shape of the prior.</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uncertainty-quantified predictions into a decision criterion with provably optimal algorithms, joining distributionally robust optimisation and competitive analysis. ICML 2024 main track (PMLR 235, pp. 47056–47077), with optimal-DRCR theorems for ski rental and online search; three of the six authors are at Caltech.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Optimal DRCR is derived only for two classic problems with a scalar unknown; DRCR-optimal rules for multi-dimensional predictions, such as the 12 zonal log-conductivities, and for constraint risk (intrusion) rather than cost ratios remain open and would be new for groundwater decisions.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ambiguity set built from uncertainty-quantified predictions, the DRCR criterion, and optimal algorithms obtained from an auxiliary problem on hard instances. Proposed extension: treat site selection during sequential pilot tests as online search, where each test reveals a head gain at A1 and the planner accepts or moves on; take </w:t>
      </w:r>
      <m:oMath>
        <m:d>
          <m:dPr>
            <m:begChr m:val="["/>
            <m:sepChr m:val=""/>
            <m:endChr m:val="]"/>
            <m:grow/>
          </m:dPr>
          <m:e>
            <m:r>
              <m:rPr>
                <m:sty m:val="p"/>
              </m:rPr>
              <m:t>ℓ</m:t>
            </m:r>
            <m:r>
              <m:rPr>
                <m:sty m:val="p"/>
              </m:rPr>
              <m:t>,</m:t>
            </m:r>
            <m:r>
              <m:t>u</m:t>
            </m:r>
          </m:e>
        </m:d>
      </m:oMath>
      <w:r>
        <w:rPr>
          <w:sz w:val="17"/>
          <w:szCs w:val="17"/>
        </w:rPr>
        <w:t xml:space="preserve"> and its coverage from the posterior predictive, and compare the DRCR-optimal rule with Bayes-optimal stopping under a deliberately misspecified prior.</w:t>
      </w:r>
    </w:p>
    <w:p>
      <w:pPr>
        <w:pStyle w:val="Heading1"/>
      </w:pPr>
      <w:r>
        <w:rPr>
          <w:color w:val="1E3A8A"/>
        </w:rPr>
        <w:t xml:space="preserve">7. Uniqueness, multiple solutions and well-posed schemes (Oxford and Caltech)</w:t>
      </w:r>
    </w:p>
    <w:p>
      <w:pPr>
        <w:spacing w:after="120"/>
        <w:jc w:val="both"/>
      </w:pPr>
      <w:r>
        <w:t xml:space="preserve">Uniqueness, multiple solutions and well-posed computation come mostly from Oxford's numerical analysis group. Ioannis Papadopoulos, Patrick Farrell and Thomas Surowiec compute multiple solutions of topology optimisation by deflation [N1]; Ioannis Papadopoulos proves that a discontinuous Galerkin method captures every isolated minimiser [N2]; Patrick Farrell, Matteo Croci and Thomas Surowiec extend deflation to semismooth equations [N3]; Coralia Cartis, Estelle Massart and Adilet Otemissov solve global optimisation of functions with low effective dimension [N4]; and Zachary Frangella, Joel Tropp and Madeleine Udell precondition by randomised Nyström approximation, with effective dimension as the key quantity [N5].</w:t>
      </w:r>
    </w:p>
    <w:p>
      <w:pPr>
        <w:keepNext/>
        <w:pBdr>
          <w:top w:val="single" w:color="1E3A8A" w:sz="6" w:space="4"/>
        </w:pBdr>
        <w:spacing w:after="60" w:before="220"/>
      </w:pPr>
      <w:r>
        <w:rPr>
          <w:b/>
          <w:bCs/>
          <w:color w:val="1E3A8A"/>
          <w:sz w:val="23"/>
          <w:szCs w:val="23"/>
        </w:rPr>
        <w:t xml:space="preserve">N1  </w:t>
      </w:r>
      <w:r>
        <w:rPr>
          <w:b/>
          <w:bCs/>
          <w:color w:val="1F3864"/>
          <w:sz w:val="23"/>
          <w:szCs w:val="23"/>
        </w:rPr>
        <w:t xml:space="preserve">Computing multiple solutions of topology optimization problems</w:t>
      </w:r>
    </w:p>
    <w:p>
      <w:pPr>
        <w:keepNext/>
        <w:spacing w:after="60" w:line="240" w:lineRule="auto"/>
      </w:pPr>
      <w:r>
        <w:rPr>
          <w:b/>
          <w:bCs/>
          <w:color w:val="333B47"/>
          <w:sz w:val="15"/>
          <w:szCs w:val="15"/>
        </w:rPr>
        <w:t xml:space="preserve">Authors: </w:t>
      </w:r>
      <w:r>
        <w:rPr>
          <w:sz w:val="15"/>
          <w:szCs w:val="15"/>
        </w:rPr>
        <w:t xml:space="preserve">Ioannis P. A. Papadopoulos, Patrick E. Farrell, Thomas M. Surowiec</w:t>
      </w:r>
      <w:r>
        <w:rPr>
          <w:sz w:val="15"/>
          <w:szCs w:val="15"/>
        </w:rPr>
        <w:t xml:space="preserve">   </w:t>
      </w:r>
      <w:r>
        <w:rPr>
          <w:b/>
          <w:bCs/>
          <w:color w:val="333B47"/>
          <w:sz w:val="15"/>
          <w:szCs w:val="15"/>
        </w:rPr>
        <w:t xml:space="preserve">Published in: </w:t>
      </w:r>
      <w:r>
        <w:rPr>
          <w:sz w:val="15"/>
          <w:szCs w:val="15"/>
        </w:rPr>
        <w:t xml:space="preserve">SIAM Journal on Scientific Computing, 43(3), A1555–A1582 (2021)</w:t>
      </w:r>
      <w:r>
        <w:rPr>
          <w:sz w:val="15"/>
          <w:szCs w:val="15"/>
        </w:rPr>
        <w:t xml:space="preserve">   </w:t>
      </w:r>
      <w:r>
        <w:rPr>
          <w:b/>
          <w:bCs/>
          <w:color w:val="333B47"/>
          <w:sz w:val="15"/>
          <w:szCs w:val="15"/>
        </w:rPr>
        <w:t xml:space="preserve">Link: </w:t>
      </w:r>
      <w:hyperlink w:history="1" r:id="rId7jfyf5ydxwzdugqamvocz">
        <w:r>
          <w:rPr>
            <w:color w:val="1D4ED8"/>
            <w:sz w:val="15"/>
            <w:szCs w:val="15"/>
            <w:u w:val="single"/>
          </w:rPr>
          <w:t xml:space="preserve">https://doi.org/10.1137/20M1326209</w:t>
        </w:r>
      </w:hyperlink>
    </w:p>
    <w:p>
      <w:pPr>
        <w:keepNext/>
        <w:spacing w:after="80" w:line="240" w:lineRule="auto"/>
      </w:pPr>
      <w:r>
        <w:rPr>
          <w:b/>
          <w:bCs/>
          <w:color w:val="333B47"/>
          <w:sz w:val="15"/>
          <w:szCs w:val="15"/>
        </w:rPr>
        <w:t xml:space="preserve">Affiliation: </w:t>
      </w:r>
      <w:r>
        <w:rPr>
          <w:color w:val="3A4350"/>
          <w:sz w:val="15"/>
          <w:szCs w:val="15"/>
        </w:rPr>
        <w:t xml:space="preserve">University of Oxford, Mathematical Institute: the paper is listed (as report 2021-03) in the archive of the Oxford EPSRC CDT in Partial Differential Equations at maths.ox.ac.uk, and Papadopoulos’s 2021 Oxford DPhil thesis of the same title is in ORA; both seen in search results. Volume, issue, pages and DOI from reference lists quoted in a search summary (the SIAM landing page itself was not seen). Surowiec’s affiliation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1E3A8A"/>
          <w:sz w:val="17"/>
          <w:szCs w:val="17"/>
        </w:rPr>
        <w:t xml:space="preserve">Summary. </w:t>
      </w:r>
      <w:r>
        <w:rPr>
          <w:sz w:val="17"/>
          <w:szCs w:val="17"/>
        </w:rPr>
        <w:t xml:space="preserve">Topology optimisation problems are non-convex and often have several local minima; gradient methods with parameter continuation return one, depending on the start, and can fail even on simple cases. The authors propose the deflated barrier method, a second-order search needing no good initial guess. It combines a barrier method for the bound constraints on the material distribution, primal–dual active-set Newton solvers and deflation, which removes every solution already found so that Newton, restarted from the same guess, can only converge to a new one. On fluid-flow design problems it recovered distinct local minima, found 42 stationary points on a Navier–Stokes test with five holes, and was mesh-independent in some cases.</w:t>
      </w:r>
    </w:p>
    <w:p>
      <w:pPr>
        <w:keepNext/>
        <w:spacing w:after="20" w:before="40"/>
      </w:pPr>
      <w:r>
        <w:rPr>
          <w:b/>
          <w:bCs/>
          <w:color w:val="1E3A8A"/>
          <w:sz w:val="17"/>
          <w:szCs w:val="17"/>
        </w:rPr>
        <w:t xml:space="preserve">Key equation.</w:t>
      </w:r>
      <w:r>
        <w:rPr>
          <w:i/>
          <w:iCs/>
          <w:color w:val="5B6573"/>
          <w:sz w:val="15"/>
          <w:szCs w:val="15"/>
        </w:rPr>
        <w:t xml:space="preserve">  Deflated residual that excludes a known solution of the barrier subproblem (representative formulation)</w:t>
      </w:r>
    </w:p>
    <w:p>
      <w:pPr>
        <w:pStyle w:val="Equation"/>
      </w:pPr>
      <m:oMathPara>
        <m:oMathParaPr>
          <m:jc m:val="center"/>
        </m:oMathParaPr>
        <m:oMath>
          <m:sSub>
            <m:e>
              <m:r>
                <m:rPr>
                  <m:scr m:val="script"/>
                  <m:sty m:val="p"/>
                </m:rPr>
                <m:t>G</m:t>
              </m:r>
            </m:e>
            <m:sub>
              <m:r>
                <m:t>μ</m:t>
              </m:r>
            </m:sub>
          </m:sSub>
          <m:d>
            <m:dPr>
              <m:begChr m:val="("/>
              <m:sepChr m:val=""/>
              <m:endChr m:val=")"/>
              <m:grow/>
            </m:dPr>
            <m:e>
              <m:r>
                <m:t>z</m:t>
              </m:r>
            </m:e>
          </m:d>
          <m:r>
            <m:rPr>
              <m:sty m:val="p"/>
            </m:rPr>
            <m:t>=</m:t>
          </m:r>
          <m:d>
            <m:dPr>
              <m:begChr m:val="("/>
              <m:sepChr m:val=""/>
              <m:endChr m:val=")"/>
              <m:grow/>
            </m:dPr>
            <m:e>
              <m:f>
                <m:fPr>
                  <m:type m:val="bar"/>
                </m:fPr>
                <m:num>
                  <m:r>
                    <m:t>1</m:t>
                  </m:r>
                </m:num>
                <m:den>
                  <m:r>
                    <m:rPr>
                      <m:sty m:val="p"/>
                    </m:rPr>
                    <m:t>∥</m:t>
                  </m:r>
                  <m:r>
                    <m:t>z</m:t>
                  </m:r>
                  <m:r>
                    <m:rPr>
                      <m:sty m:val="p"/>
                    </m:rPr>
                    <m:t>−</m:t>
                  </m:r>
                  <m:sSub>
                    <m:e>
                      <m:r>
                        <m:t>z</m:t>
                      </m:r>
                    </m:e>
                    <m:sub>
                      <m:r>
                        <m:t>1</m:t>
                      </m:r>
                    </m:sub>
                  </m:sSub>
                  <m:sSup>
                    <m:e>
                      <m:r>
                        <m:rPr>
                          <m:sty m:val="p"/>
                        </m:rPr>
                        <m:t>∥</m:t>
                      </m:r>
                    </m:e>
                    <m:sup>
                      <m:r>
                        <m:t>p</m:t>
                      </m:r>
                    </m:sup>
                  </m:sSup>
                </m:den>
              </m:f>
              <m:r>
                <m:rPr>
                  <m:sty m:val="p"/>
                </m:rPr>
                <m:t>+</m:t>
              </m:r>
              <m:r>
                <m:t>σ</m:t>
              </m:r>
            </m:e>
          </m:d>
          <m:sSub>
            <m:e>
              <m:r>
                <m:rPr>
                  <m:scr m:val="script"/>
                  <m:sty m:val="p"/>
                </m:rPr>
                <m:t>F</m:t>
              </m:r>
            </m:e>
            <m:sub>
              <m:r>
                <m:t>μ</m:t>
              </m:r>
            </m:sub>
          </m:sSub>
          <m:d>
            <m:dPr>
              <m:begChr m:val="("/>
              <m:sepChr m:val=""/>
              <m:endChr m:val=")"/>
              <m:grow/>
            </m:dPr>
            <m:e>
              <m:r>
                <m:t>z</m:t>
              </m:r>
            </m:e>
          </m:d>
        </m:oMath>
      </m:oMathPara>
    </w:p>
    <w:p>
      <w:pPr>
        <w:spacing w:after="60"/>
        <w:jc w:val="both"/>
      </w:pPr>
      <m:oMath>
        <m:sSub>
          <m:e>
            <m:r>
              <m:rPr>
                <m:scr m:val="script"/>
                <m:sty m:val="p"/>
              </m:rPr>
              <m:t>F</m:t>
            </m:r>
          </m:e>
          <m:sub>
            <m:r>
              <m:t>μ</m:t>
            </m:r>
          </m:sub>
        </m:sSub>
        <m:d>
          <m:dPr>
            <m:begChr m:val="("/>
            <m:sepChr m:val=""/>
            <m:endChr m:val=")"/>
            <m:grow/>
          </m:dPr>
          <m:e>
            <m:r>
              <m:t>z</m:t>
            </m:r>
          </m:e>
        </m:d>
        <m:r>
          <m:rPr>
            <m:sty m:val="p"/>
          </m:rPr>
          <m:t>=</m:t>
        </m:r>
        <m:r>
          <m:t>0</m:t>
        </m:r>
      </m:oMath>
      <w:r>
        <w:rPr>
          <w:color w:val="3A4350"/>
          <w:sz w:val="15"/>
          <w:szCs w:val="15"/>
        </w:rPr>
        <w:t xml:space="preserve"> are the first-order conditions of the barrier subproblem with barrier parameter </w:t>
      </w:r>
      <m:oMath>
        <m:r>
          <m:t>μ</m:t>
        </m:r>
      </m:oMath>
      <w:r>
        <w:rPr>
          <w:color w:val="3A4350"/>
          <w:sz w:val="15"/>
          <w:szCs w:val="15"/>
        </w:rPr>
        <w:t xml:space="preserve"> for the state–design pair </w:t>
      </w:r>
      <m:oMath>
        <m:r>
          <m:t>z</m:t>
        </m:r>
      </m:oMath>
      <w:r>
        <w:rPr>
          <w:color w:val="3A4350"/>
          <w:sz w:val="15"/>
          <w:szCs w:val="15"/>
        </w:rPr>
        <w:t xml:space="preserve">, </w:t>
      </w:r>
      <m:oMath>
        <m:sSub>
          <m:e>
            <m:r>
              <m:t>z</m:t>
            </m:r>
          </m:e>
          <m:sub>
            <m:r>
              <m:t>1</m:t>
            </m:r>
          </m:sub>
        </m:sSub>
      </m:oMath>
      <w:r>
        <w:rPr>
          <w:color w:val="3A4350"/>
          <w:sz w:val="15"/>
          <w:szCs w:val="15"/>
        </w:rPr>
        <w:t xml:space="preserve"> is a solution already found, </w:t>
      </w:r>
      <m:oMath>
        <m:r>
          <m:t>p</m:t>
        </m:r>
        <m:r>
          <m:rPr>
            <m:sty m:val="p"/>
          </m:rPr>
          <m:t>≥</m:t>
        </m:r>
        <m:r>
          <m:t>1</m:t>
        </m:r>
      </m:oMath>
      <w:r>
        <w:rPr>
          <w:color w:val="3A4350"/>
          <w:sz w:val="15"/>
          <w:szCs w:val="15"/>
        </w:rPr>
        <w:t xml:space="preserve"> and </w:t>
      </w:r>
      <m:oMath>
        <m:r>
          <m:t>σ</m:t>
        </m:r>
        <m:r>
          <m:rPr>
            <m:sty m:val="p"/>
          </m:rPr>
          <m:t>&gt;</m:t>
        </m:r>
        <m:r>
          <m:t>0</m:t>
        </m:r>
      </m:oMath>
      <w:r>
        <w:rPr>
          <w:color w:val="3A4350"/>
          <w:sz w:val="15"/>
          <w:szCs w:val="15"/>
        </w:rPr>
        <w:t xml:space="preserve">; the factor grows without bound near </w:t>
      </w:r>
      <m:oMath>
        <m:sSub>
          <m:e>
            <m:r>
              <m:t>z</m:t>
            </m:r>
          </m:e>
          <m:sub>
            <m:r>
              <m:t>1</m:t>
            </m:r>
          </m:sub>
        </m:sSub>
      </m:oMath>
      <w:r>
        <w:rPr>
          <w:color w:val="3A4350"/>
          <w:sz w:val="15"/>
          <w:szCs w:val="15"/>
        </w:rPr>
        <w:t xml:space="preserve">, so Newton's method on </w:t>
      </w:r>
      <m:oMath>
        <m:sSub>
          <m:e>
            <m:r>
              <m:rPr>
                <m:scr m:val="script"/>
                <m:sty m:val="p"/>
              </m:rPr>
              <m:t>G</m:t>
            </m:r>
          </m:e>
          <m:sub>
            <m:r>
              <m:t>μ</m:t>
            </m:r>
          </m:sub>
        </m:sSub>
      </m:oMath>
      <w:r>
        <w:rPr>
          <w:color w:val="3A4350"/>
          <w:sz w:val="15"/>
          <w:szCs w:val="15"/>
        </w:rPr>
        <w:t xml:space="preserve"> is not drawn back to </w:t>
      </w:r>
      <m:oMath>
        <m:sSub>
          <m:e>
            <m:r>
              <m:t>z</m:t>
            </m:r>
          </m:e>
          <m:sub>
            <m:r>
              <m:t>1</m:t>
            </m:r>
          </m:sub>
        </m:sSub>
      </m:oMath>
      <w:r>
        <w:rPr>
          <w:color w:val="3A4350"/>
          <w:sz w:val="15"/>
          <w:szCs w:val="15"/>
        </w:rPr>
        <w:t xml:space="preserve">, while the other roots of </w:t>
      </w:r>
      <m:oMath>
        <m:sSub>
          <m:e>
            <m:r>
              <m:rPr>
                <m:scr m:val="script"/>
                <m:sty m:val="p"/>
              </m:rPr>
              <m:t>F</m:t>
            </m:r>
          </m:e>
          <m:sub>
            <m:r>
              <m:t>μ</m:t>
            </m:r>
          </m:sub>
        </m:sSub>
      </m:oMath>
      <w:r>
        <w:rPr>
          <w:color w:val="3A4350"/>
          <w:sz w:val="15"/>
          <w:szCs w:val="15"/>
        </w:rPr>
        <w:t xml:space="preserve"> remain roots.</w:t>
      </w:r>
    </w:p>
    <w:p>
      <w:pPr>
        <w:spacing w:after="60"/>
        <w:jc w:val="both"/>
      </w:pPr>
      <w:r>
        <w:rPr>
          <w:b/>
          <w:bCs/>
          <w:color w:val="1E3A8A"/>
          <w:sz w:val="17"/>
          <w:szCs w:val="17"/>
        </w:rPr>
        <w:t xml:space="preserve">Link to the MAR scheme. </w:t>
      </w:r>
      <w:r>
        <w:rPr>
          <w:sz w:val="17"/>
          <w:szCs w:val="17"/>
        </w:rPr>
        <w:t xml:space="preserve">Belongs to theme N (uniqueness, multiple optima and robust schemes). MAR siting as a recharge density </w:t>
      </w:r>
      <m:oMath>
        <m:r>
          <m:t>ρ</m:t>
        </m:r>
        <m:r>
          <m:rPr>
            <m:sty m:val="p"/>
          </m:rPr>
          <m:t>∈</m:t>
        </m:r>
        <m:d>
          <m:dPr>
            <m:begChr m:val="["/>
            <m:sepChr m:val=""/>
            <m:endChr m:val="]"/>
            <m:grow/>
          </m:dPr>
          <m:e>
            <m:r>
              <m:t>0</m:t>
            </m:r>
            <m:r>
              <m:rPr>
                <m:sty m:val="p"/>
              </m:rPr>
              <m:t>,</m:t>
            </m:r>
            <m:r>
              <m:t>1</m:t>
            </m:r>
          </m:e>
        </m:d>
      </m:oMath>
      <w:r>
        <w:rPr>
          <w:sz w:val="17"/>
          <w:szCs w:val="17"/>
        </w:rPr>
        <w:t xml:space="preserve"> on the 3 545 cells, with a budget and a 0–1 penalty, is such a bound-constrained non-convex problem. The method would list its distinct local optima and head margins at A1 and P10, showing whether the chosen siting is unique.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made deflation a practical tool for bound-constrained, non-convex PDE-constrained design, the class a siting optimisation belongs to. Published in SIAM J. Sci. Comput.; Papadopoulos &amp; Farrell (2023) extended it to three dimensions, and Baeck et al. (2024 preprint) credit it as the method introduced for computing multiple local minimisers in density-based topology optimisation.</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method finds several minima but gives no certificate that all of them have been found, and its examples are fluid-design problems. Open: a stopping rule or coverage bound for deflation in a siting problem, where the number of distinct optima itself measures non-uniqueness.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is the combination of barrier continuation, primal–dual active-set Newton steps and deflation, exploring the solution set of a box-constrained design problem from one initial guess. Proposed extension: apply it to MAR siting on the Fushë-Kuqe grid with a SIMP-type penalty on </w:t>
      </w:r>
      <m:oMath>
        <m:r>
          <m:t>ρ</m:t>
        </m:r>
      </m:oMath>
      <w:r>
        <w:rPr>
          <w:sz w:val="17"/>
          <w:szCs w:val="17"/>
        </w:rPr>
        <w:t xml:space="preserve">; record each distinct local optimum, its CVaR of head deficit at A1 and P10 and its distance from the best, and repeat on a 125 m grid to see which persist.</w:t>
      </w:r>
    </w:p>
    <w:p>
      <w:pPr>
        <w:keepNext/>
        <w:pBdr>
          <w:top w:val="single" w:color="1E3A8A" w:sz="6" w:space="4"/>
        </w:pBdr>
        <w:spacing w:after="60" w:before="220"/>
      </w:pPr>
      <w:r>
        <w:rPr>
          <w:b/>
          <w:bCs/>
          <w:color w:val="1E3A8A"/>
          <w:sz w:val="23"/>
          <w:szCs w:val="23"/>
        </w:rPr>
        <w:t xml:space="preserve">N2  </w:t>
      </w:r>
      <w:r>
        <w:rPr>
          <w:b/>
          <w:bCs/>
          <w:color w:val="1F3864"/>
          <w:sz w:val="23"/>
          <w:szCs w:val="23"/>
        </w:rPr>
        <w:t xml:space="preserve">Numerical Analysis of a Discontinuous Galerkin Method for the Borrvall–Petersson Topology Optimization Problem</w:t>
      </w:r>
    </w:p>
    <w:p>
      <w:pPr>
        <w:keepNext/>
        <w:spacing w:after="60" w:line="240" w:lineRule="auto"/>
      </w:pPr>
      <w:r>
        <w:rPr>
          <w:b/>
          <w:bCs/>
          <w:color w:val="333B47"/>
          <w:sz w:val="15"/>
          <w:szCs w:val="15"/>
        </w:rPr>
        <w:t xml:space="preserve">Authors: </w:t>
      </w:r>
      <w:r>
        <w:rPr>
          <w:sz w:val="15"/>
          <w:szCs w:val="15"/>
        </w:rPr>
        <w:t xml:space="preserve">Ioannis P. A. Papadopoulos</w:t>
      </w:r>
      <w:r>
        <w:rPr>
          <w:sz w:val="15"/>
          <w:szCs w:val="15"/>
        </w:rPr>
        <w:t xml:space="preserve">   </w:t>
      </w:r>
      <w:r>
        <w:rPr>
          <w:b/>
          <w:bCs/>
          <w:color w:val="333B47"/>
          <w:sz w:val="15"/>
          <w:szCs w:val="15"/>
        </w:rPr>
        <w:t xml:space="preserve">Published in: </w:t>
      </w:r>
      <w:r>
        <w:rPr>
          <w:sz w:val="15"/>
          <w:szCs w:val="15"/>
        </w:rPr>
        <w:t xml:space="preserve">SIAM Journal on Numerical Analysis, 60(5), 2538–2564 (October 2022)</w:t>
      </w:r>
      <w:r>
        <w:rPr>
          <w:sz w:val="15"/>
          <w:szCs w:val="15"/>
        </w:rPr>
        <w:t xml:space="preserve">   </w:t>
      </w:r>
      <w:r>
        <w:rPr>
          <w:b/>
          <w:bCs/>
          <w:color w:val="333B47"/>
          <w:sz w:val="15"/>
          <w:szCs w:val="15"/>
        </w:rPr>
        <w:t xml:space="preserve">Link: </w:t>
      </w:r>
      <w:hyperlink w:history="1" r:id="rIdw73muiujgrhixwlryxn83">
        <w:r>
          <w:rPr>
            <w:color w:val="1D4ED8"/>
            <w:sz w:val="15"/>
            <w:szCs w:val="15"/>
            <w:u w:val="single"/>
          </w:rPr>
          <w:t xml:space="preserve">https://doi.org/10.1137/21M1438943</w:t>
        </w:r>
      </w:hyperlink>
    </w:p>
    <w:p>
      <w:pPr>
        <w:keepNext/>
        <w:spacing w:after="80" w:line="240" w:lineRule="auto"/>
      </w:pPr>
      <w:r>
        <w:rPr>
          <w:b/>
          <w:bCs/>
          <w:color w:val="333B47"/>
          <w:sz w:val="15"/>
          <w:szCs w:val="15"/>
        </w:rPr>
        <w:t xml:space="preserve">Affiliation: </w:t>
      </w:r>
      <w:r>
        <w:rPr>
          <w:color w:val="3A4350"/>
          <w:sz w:val="15"/>
          <w:szCs w:val="15"/>
        </w:rPr>
        <w:t xml:space="preserve">Mathematical Institute, University of Oxford: affiliation stated in a search summary of the arXiv 2108.03930 record (search results also showed a maths.ox.ac.uk page). Volume, issue, pages and DOI from the SIAM landing page (epubs.siam.org) and DBLP, both seen in search results.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1E3A8A"/>
          <w:sz w:val="17"/>
          <w:szCs w:val="17"/>
        </w:rPr>
        <w:t xml:space="preserve">Summary. </w:t>
      </w:r>
      <w:r>
        <w:rPr>
          <w:sz w:val="17"/>
          <w:szCs w:val="17"/>
        </w:rPr>
        <w:t xml:space="preserve">The Borrvall–Petersson model designs a Stokes flow by choosing a material distribution that enters as an inverse permeability. The problem is non-convex, with PDE, box and volume constraints, and often has several minimisers; earlier convergence results, including Papadopoulos &amp; Süli (J. Comput. Appl. Math. 2022), covered only </w:t>
      </w:r>
      <m:oMath>
        <m:sSup>
          <m:e>
            <m:r>
              <m:t>H</m:t>
            </m:r>
          </m:e>
          <m:sup>
            <m:r>
              <m:t>1</m:t>
            </m:r>
          </m:sup>
        </m:sSup>
      </m:oMath>
      <w:r>
        <w:rPr>
          <w:sz w:val="17"/>
          <w:szCs w:val="17"/>
        </w:rPr>
        <w:t xml:space="preserve">-conforming velocity discretisations. This paper analyses divergence-free discontinuous Galerkin methods with interior penalty. Main theorem: for every isolated local minimiser of the infinite-dimensional problem there is a sequence of DG finite-element solutions, each satisfying the discrete first-order optimality conditions, that converges strongly to that minimiser under mesh refinement. Each local optimum, not just an unspecified limit, is therefore captured by the discretisation.</w:t>
      </w:r>
    </w:p>
    <w:p>
      <w:pPr>
        <w:keepNext/>
        <w:spacing w:after="20" w:before="40"/>
      </w:pPr>
      <w:r>
        <w:rPr>
          <w:b/>
          <w:bCs/>
          <w:color w:val="1E3A8A"/>
          <w:sz w:val="17"/>
          <w:szCs w:val="17"/>
        </w:rPr>
        <w:t xml:space="preserve">Key equation.</w:t>
      </w:r>
      <w:r>
        <w:rPr>
          <w:i/>
          <w:iCs/>
          <w:color w:val="5B6573"/>
          <w:sz w:val="15"/>
          <w:szCs w:val="15"/>
        </w:rPr>
        <w:t xml:space="preserve">  Borrvall–Petersson problem whose isolated local minimisers the DG scheme approximates (representative formulation)</w:t>
      </w:r>
    </w:p>
    <w:p>
      <w:pPr>
        <w:pStyle w:val="Equation"/>
      </w:pPr>
      <m:oMathPara>
        <m:oMathParaPr>
          <m:jc m:val="center"/>
        </m:oMathParaPr>
        <m:oMath>
          <m:limLow>
            <m:e>
              <m:r>
                <m:rPr>
                  <m:sty m:val="p"/>
                </m:rPr>
                <m:t>min</m:t>
              </m:r>
            </m:e>
            <m:lim>
              <m:r>
                <m:t>u</m:t>
              </m:r>
              <m:r>
                <m:rPr>
                  <m:sty m:val="p"/>
                </m:rPr>
                <m:t>,</m:t>
              </m:r>
              <m:r>
                <m:t>ρ</m:t>
              </m:r>
            </m:lim>
          </m:limLow>
          <m:r>
            <m:t> </m:t>
          </m:r>
          <m:f>
            <m:fPr>
              <m:type m:val="bar"/>
            </m:fPr>
            <m:num>
              <m:r>
                <m:t>1</m:t>
              </m:r>
            </m:num>
            <m:den>
              <m:r>
                <m:t>2</m:t>
              </m:r>
            </m:den>
          </m:f>
          <m:nary>
            <m:naryPr>
              <m:chr m:val="∫"/>
              <m:limLoc m:val="subSup"/>
              <m:subHide m:val="off"/>
              <m:supHide m:val="on"/>
            </m:naryPr>
            <m:sub>
              <m:r>
                <m:t>Ω</m:t>
              </m:r>
            </m:sub>
            <m:sup>
              <m:r>
                <m:t>​</m:t>
              </m:r>
            </m:sup>
            <m:e>
              <m:d>
                <m:dPr>
                  <m:begChr m:val="("/>
                  <m:sepChr m:val=""/>
                  <m:endChr m:val=")"/>
                  <m:grow/>
                </m:dPr>
                <m:e>
                  <m:r>
                    <m:t>α</m:t>
                  </m:r>
                  <m:d>
                    <m:dPr>
                      <m:begChr m:val="("/>
                      <m:sepChr m:val=""/>
                      <m:endChr m:val=")"/>
                      <m:grow/>
                    </m:dPr>
                    <m:e>
                      <m:r>
                        <m:t>ρ</m:t>
                      </m:r>
                    </m:e>
                  </m:d>
                  <m:sSup>
                    <m:e>
                      <m:d>
                        <m:dPr>
                          <m:begChr m:val="|"/>
                          <m:sepChr m:val=""/>
                          <m:endChr m:val="|"/>
                          <m:grow/>
                        </m:dPr>
                        <m:e>
                          <m:r>
                            <m:t>u</m:t>
                          </m:r>
                        </m:e>
                      </m:d>
                    </m:e>
                    <m:sup>
                      <m:r>
                        <m:t>2</m:t>
                      </m:r>
                    </m:sup>
                  </m:sSup>
                  <m:r>
                    <m:rPr>
                      <m:sty m:val="p"/>
                    </m:rPr>
                    <m:t>+</m:t>
                  </m:r>
                  <m:r>
                    <m:t>ν</m:t>
                  </m:r>
                  <m:sSup>
                    <m:e>
                      <m:d>
                        <m:dPr>
                          <m:begChr m:val="|"/>
                          <m:sepChr m:val=""/>
                          <m:endChr m:val="|"/>
                          <m:grow/>
                        </m:dPr>
                        <m:e>
                          <m:r>
                            <m:rPr>
                              <m:sty m:val="p"/>
                            </m:rPr>
                            <m:t>∇</m:t>
                          </m:r>
                          <m:r>
                            <m:t>u</m:t>
                          </m:r>
                        </m:e>
                      </m:d>
                    </m:e>
                    <m:sup>
                      <m:r>
                        <m:t>2</m:t>
                      </m:r>
                    </m:sup>
                  </m:sSup>
                </m:e>
              </m:d>
            </m:e>
          </m:nary>
          <m:r>
            <m:t>d</m:t>
          </m:r>
          <m:r>
            <m:t>x</m:t>
          </m:r>
          <m:r>
            <m:rPr>
              <m:sty m:val="p"/>
            </m:rPr>
            <m:t>−</m:t>
          </m:r>
          <m:nary>
            <m:naryPr>
              <m:chr m:val="∫"/>
              <m:limLoc m:val="subSup"/>
              <m:subHide m:val="off"/>
              <m:supHide m:val="on"/>
            </m:naryPr>
            <m:sub>
              <m:r>
                <m:t>Ω</m:t>
              </m:r>
            </m:sub>
            <m:sup>
              <m:r>
                <m:t>​</m:t>
              </m:r>
            </m:sup>
            <m:e>
              <m:r>
                <m:t>f</m:t>
              </m:r>
            </m:e>
          </m:nary>
          <m:r>
            <m:rPr>
              <m:sty m:val="p"/>
            </m:rPr>
            <m:t>⋅</m:t>
          </m:r>
          <m:r>
            <m:t>u</m:t>
          </m:r>
          <m:r>
            <m:t> </m:t>
          </m:r>
          <m:r>
            <m:t>d</m:t>
          </m:r>
          <m:r>
            <m:t>x</m:t>
          </m:r>
          <m:r>
            <m:t> </m:t>
          </m:r>
          <m:r>
            <m:rPr>
              <m:nor/>
            </m:rPr>
            <m:t>subject to</m:t>
          </m:r>
          <m:r>
            <m:t> </m:t>
          </m:r>
          <m:r>
            <m:rPr>
              <m:sty m:val="p"/>
            </m:rPr>
            <m:t>∇</m:t>
          </m:r>
          <m:r>
            <m:rPr>
              <m:sty m:val="p"/>
            </m:rPr>
            <m:t>⋅</m:t>
          </m:r>
          <m:r>
            <m:t>u</m:t>
          </m:r>
          <m:r>
            <m:rPr>
              <m:sty m:val="p"/>
            </m:rPr>
            <m:t>=</m:t>
          </m:r>
          <m:r>
            <m:t>0</m:t>
          </m:r>
          <m:r>
            <m:rPr>
              <m:sty m:val="p"/>
            </m:rPr>
            <m:t>,</m:t>
          </m:r>
          <m:r>
            <m:t> </m:t>
          </m:r>
          <m:r>
            <m:t>0</m:t>
          </m:r>
          <m:r>
            <m:rPr>
              <m:sty m:val="p"/>
            </m:rPr>
            <m:t>≤</m:t>
          </m:r>
          <m:r>
            <m:t>ρ</m:t>
          </m:r>
          <m:r>
            <m:rPr>
              <m:sty m:val="p"/>
            </m:rPr>
            <m:t>≤</m:t>
          </m:r>
          <m:r>
            <m:t>1</m:t>
          </m:r>
          <m:r>
            <m:rPr>
              <m:sty m:val="p"/>
            </m:rPr>
            <m:t>,</m:t>
          </m:r>
          <m:r>
            <m:t> </m:t>
          </m:r>
          <m:nary>
            <m:naryPr>
              <m:chr m:val="∫"/>
              <m:limLoc m:val="subSup"/>
              <m:subHide m:val="off"/>
              <m:supHide m:val="on"/>
            </m:naryPr>
            <m:sub>
              <m:r>
                <m:t>Ω</m:t>
              </m:r>
            </m:sub>
            <m:sup>
              <m:r>
                <m:t>​</m:t>
              </m:r>
            </m:sup>
            <m:e>
              <m:r>
                <m:t>ρ</m:t>
              </m:r>
            </m:e>
          </m:nary>
          <m:r>
            <m:t> </m:t>
          </m:r>
          <m:r>
            <m:t>d</m:t>
          </m:r>
          <m:r>
            <m:t>x</m:t>
          </m:r>
          <m:r>
            <m:rPr>
              <m:sty m:val="p"/>
            </m:rPr>
            <m:t>≤</m:t>
          </m:r>
          <m:r>
            <m:t>γ</m:t>
          </m:r>
          <m:d>
            <m:dPr>
              <m:begChr m:val="|"/>
              <m:sepChr m:val=""/>
              <m:endChr m:val="|"/>
              <m:grow/>
            </m:dPr>
            <m:e>
              <m:r>
                <m:t>Ω</m:t>
              </m:r>
            </m:e>
          </m:d>
        </m:oMath>
      </m:oMathPara>
    </w:p>
    <w:p>
      <w:pPr>
        <w:spacing w:after="60"/>
        <w:jc w:val="both"/>
      </w:pPr>
      <m:oMath>
        <m:r>
          <m:t>u</m:t>
        </m:r>
      </m:oMath>
      <w:r>
        <w:rPr>
          <w:color w:val="3A4350"/>
          <w:sz w:val="15"/>
          <w:szCs w:val="15"/>
        </w:rPr>
        <w:t xml:space="preserve"> is the velocity (with prescribed boundary values), </w:t>
      </w:r>
      <m:oMath>
        <m:r>
          <m:t>ρ</m:t>
        </m:r>
      </m:oMath>
      <w:r>
        <w:rPr>
          <w:color w:val="3A4350"/>
          <w:sz w:val="15"/>
          <w:szCs w:val="15"/>
        </w:rPr>
        <w:t xml:space="preserve"> the material distribution (1 fluid, 0 solid), </w:t>
      </w:r>
      <m:oMath>
        <m:r>
          <m:t>α</m:t>
        </m:r>
        <m:d>
          <m:dPr>
            <m:begChr m:val="("/>
            <m:sepChr m:val=""/>
            <m:endChr m:val=")"/>
            <m:grow/>
          </m:dPr>
          <m:e>
            <m:r>
              <m:t>ρ</m:t>
            </m:r>
          </m:e>
        </m:d>
      </m:oMath>
      <w:r>
        <w:rPr>
          <w:color w:val="3A4350"/>
          <w:sz w:val="15"/>
          <w:szCs w:val="15"/>
        </w:rPr>
        <w:t xml:space="preserve"> an inverse permeability that is large where </w:t>
      </w:r>
      <m:oMath>
        <m:r>
          <m:t>ρ</m:t>
        </m:r>
        <m:r>
          <m:rPr>
            <m:sty m:val="p"/>
          </m:rPr>
          <m:t>=</m:t>
        </m:r>
        <m:r>
          <m:t>0</m:t>
        </m:r>
      </m:oMath>
      <w:r>
        <w:rPr>
          <w:color w:val="3A4350"/>
          <w:sz w:val="15"/>
          <w:szCs w:val="15"/>
        </w:rPr>
        <w:t xml:space="preserve">, </w:t>
      </w:r>
      <m:oMath>
        <m:r>
          <m:t>ν</m:t>
        </m:r>
      </m:oMath>
      <w:r>
        <w:rPr>
          <w:color w:val="3A4350"/>
          <w:sz w:val="15"/>
          <w:szCs w:val="15"/>
        </w:rPr>
        <w:t xml:space="preserve"> the viscosity, </w:t>
      </w:r>
      <m:oMath>
        <m:r>
          <m:t>f</m:t>
        </m:r>
      </m:oMath>
      <w:r>
        <w:rPr>
          <w:color w:val="3A4350"/>
          <w:sz w:val="15"/>
          <w:szCs w:val="15"/>
        </w:rPr>
        <w:t xml:space="preserve"> a body force and </w:t>
      </w:r>
      <m:oMath>
        <m:r>
          <m:t>γ</m:t>
        </m:r>
      </m:oMath>
      <w:r>
        <w:rPr>
          <w:color w:val="3A4350"/>
          <w:sz w:val="15"/>
          <w:szCs w:val="15"/>
        </w:rPr>
        <w:t xml:space="preserve"> the admissible fluid volume fraction.</w:t>
      </w:r>
    </w:p>
    <w:p>
      <w:pPr>
        <w:spacing w:after="60"/>
        <w:jc w:val="both"/>
      </w:pPr>
      <w:r>
        <w:rPr>
          <w:b/>
          <w:bCs/>
          <w:color w:val="1E3A8A"/>
          <w:sz w:val="17"/>
          <w:szCs w:val="17"/>
        </w:rPr>
        <w:t xml:space="preserve">Link to the MAR scheme. </w:t>
      </w:r>
      <w:r>
        <w:rPr>
          <w:sz w:val="17"/>
          <w:szCs w:val="17"/>
        </w:rPr>
        <w:t xml:space="preserve">Belongs to theme N (uniqueness, multiple optima and robust schemes). MAR siting as a design field on the 250 m grid is such a problem. The theorem guarantees that each isolated optimum of the continuous problem is the limit of discrete first-order points under refinement; flat optima, typical when heads are linear in recharge, are not covered.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the strongest kind of discretisation result available for a non-convex PDE-constrained design problem: every isolated local minimiser, not merely some limit point, is the strong limit of computable discrete first-order points. Published in SIAM J. Numer. Anal.; it extends the conforming analysis of Papadopoulos &amp; Süli (2022) to divergence-free DG methods.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theorem needs isolated minimisers; it is silent when optima form a continuum. Open: a convergence theory for non-isolated optimal sets, such as the families of equally good recharge plans produced by a linear head response, would be new and is needed for MAR.</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is a strong convergence proof, for each isolated local minimiser separately, under a non-conforming divergence-free DG discretisation, combining interior-penalty estimates with the box and volume constraints of the design. Proposed extension: compute all deflated siting optima on 500 m, 250 m and 125 m grids, track each across refinements, and test isolation by the smallest eigenvalue of the reduced Hessian on the inactive set; optima whose eigenvalue tends to zero flag non-unique recharge plans.</w:t>
      </w:r>
    </w:p>
    <w:p>
      <w:pPr>
        <w:keepNext/>
        <w:pBdr>
          <w:top w:val="single" w:color="1E3A8A" w:sz="6" w:space="4"/>
        </w:pBdr>
        <w:spacing w:after="60" w:before="220"/>
      </w:pPr>
      <w:r>
        <w:rPr>
          <w:b/>
          <w:bCs/>
          <w:color w:val="1E3A8A"/>
          <w:sz w:val="23"/>
          <w:szCs w:val="23"/>
        </w:rPr>
        <w:t xml:space="preserve">N3  </w:t>
      </w:r>
      <w:r>
        <w:rPr>
          <w:b/>
          <w:bCs/>
          <w:color w:val="1F3864"/>
          <w:sz w:val="23"/>
          <w:szCs w:val="23"/>
        </w:rPr>
        <w:t xml:space="preserve">Deflation for semismooth equations</w:t>
      </w:r>
    </w:p>
    <w:p>
      <w:pPr>
        <w:keepNext/>
        <w:spacing w:after="60" w:line="240" w:lineRule="auto"/>
      </w:pPr>
      <w:r>
        <w:rPr>
          <w:b/>
          <w:bCs/>
          <w:color w:val="333B47"/>
          <w:sz w:val="15"/>
          <w:szCs w:val="15"/>
        </w:rPr>
        <w:t xml:space="preserve">Authors: </w:t>
      </w:r>
      <w:r>
        <w:rPr>
          <w:sz w:val="15"/>
          <w:szCs w:val="15"/>
        </w:rPr>
        <w:t xml:space="preserve">Patrick E. Farrell, Matteo Croci, Thomas M. Surowiec</w:t>
      </w:r>
      <w:r>
        <w:rPr>
          <w:sz w:val="15"/>
          <w:szCs w:val="15"/>
        </w:rPr>
        <w:t xml:space="preserve">   </w:t>
      </w:r>
      <w:r>
        <w:rPr>
          <w:b/>
          <w:bCs/>
          <w:color w:val="333B47"/>
          <w:sz w:val="15"/>
          <w:szCs w:val="15"/>
        </w:rPr>
        <w:t xml:space="preserve">Published in: </w:t>
      </w:r>
      <w:r>
        <w:rPr>
          <w:sz w:val="15"/>
          <w:szCs w:val="15"/>
        </w:rPr>
        <w:t xml:space="preserve">Optimization Methods and Software, 35(6), 1248–1271 (2020); preprint arXiv 1904.13299</w:t>
      </w:r>
      <w:r>
        <w:rPr>
          <w:sz w:val="15"/>
          <w:szCs w:val="15"/>
        </w:rPr>
        <w:t xml:space="preserve">   </w:t>
      </w:r>
      <w:r>
        <w:rPr>
          <w:b/>
          <w:bCs/>
          <w:color w:val="333B47"/>
          <w:sz w:val="15"/>
          <w:szCs w:val="15"/>
        </w:rPr>
        <w:t xml:space="preserve">Link: </w:t>
      </w:r>
      <w:hyperlink w:history="1" r:id="rIdp7gbzn8mzydngo68vw0e8">
        <w:r>
          <w:rPr>
            <w:color w:val="1D4ED8"/>
            <w:sz w:val="15"/>
            <w:szCs w:val="15"/>
            <w:u w:val="single"/>
          </w:rPr>
          <w:t xml:space="preserve">https://doi.org/10.1080/10556788.2019.1613655</w:t>
        </w:r>
      </w:hyperlink>
    </w:p>
    <w:p>
      <w:pPr>
        <w:keepNext/>
        <w:spacing w:after="80" w:line="240" w:lineRule="auto"/>
      </w:pPr>
      <w:r>
        <w:rPr>
          <w:b/>
          <w:bCs/>
          <w:color w:val="333B47"/>
          <w:sz w:val="15"/>
          <w:szCs w:val="15"/>
        </w:rPr>
        <w:t xml:space="preserve">Affiliation: </w:t>
      </w:r>
      <w:r>
        <w:rPr>
          <w:color w:val="3A4350"/>
          <w:sz w:val="15"/>
          <w:szCs w:val="15"/>
        </w:rPr>
        <w:t xml:space="preserve">University of Oxford: the published article is held in ORA, the Oxford University Research Archive, which confirms the citation (record seen in search results); departments not shown in the result. Surowiec’s affiliation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1E3A8A"/>
          <w:sz w:val="17"/>
          <w:szCs w:val="17"/>
        </w:rPr>
        <w:t xml:space="preserve">Summary. </w:t>
      </w:r>
      <w:r>
        <w:rPr>
          <w:sz w:val="17"/>
          <w:szCs w:val="17"/>
        </w:rPr>
        <w:t xml:space="preserve">Variational inequalities and complementarity problems, the form that optimality conditions with bound constraints take, can have several distinct solutions. The paper computes them without changing the initial guess: a semismooth Newton method is applied to a deflated residual that eliminates each root already found, so the iteration, started from the same point, cannot converge to that root and may find another. The main theorem proves that deflation is effective under the same assumptions that guarantee locally superlinear convergence of a semismooth Newton method. Finite- and infinite-dimensional examples come from constrained optimisation, game theory, economics and solid mechanics.</w:t>
      </w:r>
    </w:p>
    <w:p>
      <w:pPr>
        <w:keepNext/>
        <w:spacing w:after="20" w:before="40"/>
      </w:pPr>
      <w:r>
        <w:rPr>
          <w:b/>
          <w:bCs/>
          <w:color w:val="1E3A8A"/>
          <w:sz w:val="17"/>
          <w:szCs w:val="17"/>
        </w:rPr>
        <w:t xml:space="preserve">Key equation.</w:t>
      </w:r>
      <w:r>
        <w:rPr>
          <w:i/>
          <w:iCs/>
          <w:color w:val="5B6573"/>
          <w:sz w:val="15"/>
          <w:szCs w:val="15"/>
        </w:rPr>
        <w:t xml:space="preserve">  Deflated min-reformulation of a complementarity problem, solved by semismooth Newton (representative formulation)</w:t>
      </w:r>
    </w:p>
    <w:p>
      <w:pPr>
        <w:pStyle w:val="Equation"/>
      </w:pPr>
      <m:oMathPara>
        <m:oMathParaPr>
          <m:jc m:val="center"/>
        </m:oMathParaPr>
        <m:oMath>
          <m:r>
            <m:rPr>
              <m:scr m:val="script"/>
              <m:sty m:val="p"/>
            </m:rPr>
            <m:t>G</m:t>
          </m:r>
          <m:d>
            <m:dPr>
              <m:begChr m:val="("/>
              <m:sepChr m:val=""/>
              <m:endChr m:val=")"/>
              <m:grow/>
            </m:dPr>
            <m:e>
              <m:r>
                <m:t>x</m:t>
              </m:r>
            </m:e>
          </m:d>
          <m:r>
            <m:rPr>
              <m:sty m:val="p"/>
            </m:rPr>
            <m:t>=</m:t>
          </m:r>
          <m:d>
            <m:dPr>
              <m:begChr m:val="("/>
              <m:sepChr m:val=""/>
              <m:endChr m:val=")"/>
              <m:grow/>
            </m:dPr>
            <m:e>
              <m:f>
                <m:fPr>
                  <m:type m:val="bar"/>
                </m:fPr>
                <m:num>
                  <m:r>
                    <m:t>1</m:t>
                  </m:r>
                </m:num>
                <m:den>
                  <m:r>
                    <m:rPr>
                      <m:sty m:val="p"/>
                    </m:rPr>
                    <m:t>∥</m:t>
                  </m:r>
                  <m:r>
                    <m:t>x</m:t>
                  </m:r>
                  <m:r>
                    <m:rPr>
                      <m:sty m:val="p"/>
                    </m:rPr>
                    <m:t>−</m:t>
                  </m:r>
                  <m:r>
                    <m:t>r</m:t>
                  </m:r>
                  <m:sSup>
                    <m:e>
                      <m:r>
                        <m:rPr>
                          <m:sty m:val="p"/>
                        </m:rPr>
                        <m:t>∥</m:t>
                      </m:r>
                    </m:e>
                    <m:sup>
                      <m:r>
                        <m:t>p</m:t>
                      </m:r>
                    </m:sup>
                  </m:sSup>
                </m:den>
              </m:f>
              <m:r>
                <m:rPr>
                  <m:sty m:val="p"/>
                </m:rPr>
                <m:t>+</m:t>
              </m:r>
              <m:r>
                <m:t>σ</m:t>
              </m:r>
            </m:e>
          </m:d>
          <m:r>
            <m:t>Φ</m:t>
          </m:r>
          <m:d>
            <m:dPr>
              <m:begChr m:val="("/>
              <m:sepChr m:val=""/>
              <m:endChr m:val=")"/>
              <m:grow/>
            </m:dPr>
            <m:e>
              <m:r>
                <m:t>x</m:t>
              </m:r>
            </m:e>
          </m:d>
          <m:r>
            <m:rPr>
              <m:sty m:val="p"/>
            </m:rPr>
            <m:t>,</m:t>
          </m:r>
          <m:r>
            <m:t>  </m:t>
          </m:r>
          <m:r>
            <m:t>Φ</m:t>
          </m:r>
          <m:d>
            <m:dPr>
              <m:begChr m:val="("/>
              <m:sepChr m:val=""/>
              <m:endChr m:val=")"/>
              <m:grow/>
            </m:dPr>
            <m:e>
              <m:r>
                <m:t>x</m:t>
              </m:r>
            </m:e>
          </m:d>
          <m:r>
            <m:rPr>
              <m:sty m:val="p"/>
            </m:rPr>
            <m:t>=</m:t>
          </m:r>
          <m:r>
            <m:rPr>
              <m:sty m:val="p"/>
            </m:rPr>
            <m:t>min</m:t>
          </m:r>
          <m:d>
            <m:dPr>
              <m:begChr m:val="("/>
              <m:sepChr m:val=""/>
              <m:endChr m:val=")"/>
              <m:grow/>
            </m:dPr>
            <m:e>
              <m:r>
                <m:t>x</m:t>
              </m:r>
              <m:r>
                <m:rPr>
                  <m:sty m:val="p"/>
                </m:rPr>
                <m:t>,</m:t>
              </m:r>
              <m:r>
                <m:t> </m:t>
              </m:r>
              <m:r>
                <m:t>F</m:t>
              </m:r>
              <m:d>
                <m:dPr>
                  <m:begChr m:val="("/>
                  <m:sepChr m:val=""/>
                  <m:endChr m:val=")"/>
                  <m:grow/>
                </m:dPr>
                <m:e>
                  <m:r>
                    <m:t>x</m:t>
                  </m:r>
                </m:e>
              </m:d>
            </m:e>
          </m:d>
        </m:oMath>
      </m:oMathPara>
    </w:p>
    <w:p>
      <w:pPr>
        <w:spacing w:after="60"/>
        <w:jc w:val="both"/>
      </w:pPr>
      <m:oMath>
        <m:r>
          <m:t>Φ</m:t>
        </m:r>
        <m:d>
          <m:dPr>
            <m:begChr m:val="("/>
            <m:sepChr m:val=""/>
            <m:endChr m:val=")"/>
            <m:grow/>
          </m:dPr>
          <m:e>
            <m:r>
              <m:t>x</m:t>
            </m:r>
          </m:e>
        </m:d>
        <m:r>
          <m:rPr>
            <m:sty m:val="p"/>
          </m:rPr>
          <m:t>=</m:t>
        </m:r>
        <m:r>
          <m:t>0</m:t>
        </m:r>
      </m:oMath>
      <w:r>
        <w:rPr>
          <w:color w:val="3A4350"/>
          <w:sz w:val="15"/>
          <w:szCs w:val="15"/>
        </w:rPr>
        <w:t xml:space="preserve"> (componentwise minimum) is equivalent to the complementarity problem </w:t>
      </w:r>
      <m:oMath>
        <m:r>
          <m:t>x</m:t>
        </m:r>
        <m:r>
          <m:rPr>
            <m:sty m:val="p"/>
          </m:rPr>
          <m:t>≥</m:t>
        </m:r>
        <m:r>
          <m:t>0</m:t>
        </m:r>
      </m:oMath>
      <w:r>
        <w:rPr>
          <w:color w:val="3A4350"/>
          <w:sz w:val="15"/>
          <w:szCs w:val="15"/>
        </w:rPr>
        <w:t xml:space="preserve">, </w:t>
      </w:r>
      <m:oMath>
        <m:r>
          <m:t>F</m:t>
        </m:r>
        <m:d>
          <m:dPr>
            <m:begChr m:val="("/>
            <m:sepChr m:val=""/>
            <m:endChr m:val=")"/>
            <m:grow/>
          </m:dPr>
          <m:e>
            <m:r>
              <m:t>x</m:t>
            </m:r>
          </m:e>
        </m:d>
        <m:r>
          <m:rPr>
            <m:sty m:val="p"/>
          </m:rPr>
          <m:t>≥</m:t>
        </m:r>
        <m:r>
          <m:t>0</m:t>
        </m:r>
      </m:oMath>
      <w:r>
        <w:rPr>
          <w:color w:val="3A4350"/>
          <w:sz w:val="15"/>
          <w:szCs w:val="15"/>
        </w:rPr>
        <w:t xml:space="preserve">, </w:t>
      </w:r>
      <m:oMath>
        <m:sSup>
          <m:e>
            <m:r>
              <m:t>x</m:t>
            </m:r>
          </m:e>
          <m:sup>
            <m:r>
              <m:rPr>
                <m:sty m:val="p"/>
              </m:rPr>
              <m:t>⊤</m:t>
            </m:r>
          </m:sup>
        </m:sSup>
        <m:r>
          <m:t>F</m:t>
        </m:r>
        <m:d>
          <m:dPr>
            <m:begChr m:val="("/>
            <m:sepChr m:val=""/>
            <m:endChr m:val=")"/>
            <m:grow/>
          </m:dPr>
          <m:e>
            <m:r>
              <m:t>x</m:t>
            </m:r>
          </m:e>
        </m:d>
        <m:r>
          <m:rPr>
            <m:sty m:val="p"/>
          </m:rPr>
          <m:t>=</m:t>
        </m:r>
        <m:r>
          <m:t>0</m:t>
        </m:r>
      </m:oMath>
      <w:r>
        <w:rPr>
          <w:color w:val="3A4350"/>
          <w:sz w:val="15"/>
          <w:szCs w:val="15"/>
        </w:rPr>
        <w:t xml:space="preserve"> and is semismooth but not differentiable; </w:t>
      </w:r>
      <m:oMath>
        <m:r>
          <m:t>r</m:t>
        </m:r>
      </m:oMath>
      <w:r>
        <w:rPr>
          <w:color w:val="3A4350"/>
          <w:sz w:val="15"/>
          <w:szCs w:val="15"/>
        </w:rPr>
        <w:t xml:space="preserve"> is a known root, </w:t>
      </w:r>
      <m:oMath>
        <m:r>
          <m:t>p</m:t>
        </m:r>
        <m:r>
          <m:rPr>
            <m:sty m:val="p"/>
          </m:rPr>
          <m:t>≥</m:t>
        </m:r>
        <m:r>
          <m:t>1</m:t>
        </m:r>
      </m:oMath>
      <w:r>
        <w:rPr>
          <w:color w:val="3A4350"/>
          <w:sz w:val="15"/>
          <w:szCs w:val="15"/>
        </w:rPr>
        <w:t xml:space="preserve"> and </w:t>
      </w:r>
      <m:oMath>
        <m:r>
          <m:t>σ</m:t>
        </m:r>
        <m:r>
          <m:rPr>
            <m:sty m:val="p"/>
          </m:rPr>
          <m:t>≥</m:t>
        </m:r>
        <m:r>
          <m:t>0</m:t>
        </m:r>
      </m:oMath>
      <w:r>
        <w:rPr>
          <w:color w:val="3A4350"/>
          <w:sz w:val="15"/>
          <w:szCs w:val="15"/>
        </w:rPr>
        <w:t xml:space="preserve">.</w:t>
      </w:r>
    </w:p>
    <w:p>
      <w:pPr>
        <w:spacing w:after="60"/>
        <w:jc w:val="both"/>
      </w:pPr>
      <w:r>
        <w:rPr>
          <w:b/>
          <w:bCs/>
          <w:color w:val="1E3A8A"/>
          <w:sz w:val="17"/>
          <w:szCs w:val="17"/>
        </w:rPr>
        <w:t xml:space="preserve">Link to the MAR scheme. </w:t>
      </w:r>
      <w:r>
        <w:rPr>
          <w:sz w:val="17"/>
          <w:szCs w:val="17"/>
        </w:rPr>
        <w:t xml:space="preserve">Belongs to theme N (uniqueness, multiple optima and robust schemes). Optimising MAR rates with bounds </w:t>
      </w:r>
      <m:oMath>
        <m:r>
          <m:t>0</m:t>
        </m:r>
        <m:r>
          <m:rPr>
            <m:sty m:val="p"/>
          </m:rPr>
          <m:t>≤</m:t>
        </m:r>
        <m:sSub>
          <m:e>
            <m:r>
              <m:t>q</m:t>
            </m:r>
          </m:e>
          <m:sub>
            <m:r>
              <m:t>j</m:t>
            </m:r>
          </m:sub>
        </m:sSub>
        <m:r>
          <m:rPr>
            <m:sty m:val="p"/>
          </m:rPr>
          <m:t>≤</m:t>
        </m:r>
        <m:sSub>
          <m:e>
            <m:r>
              <m:t>q</m:t>
            </m:r>
          </m:e>
          <m:sub>
            <m:r>
              <m:rPr>
                <m:sty m:val="p"/>
              </m:rPr>
              <m:t>max</m:t>
            </m:r>
          </m:sub>
        </m:sSub>
      </m:oMath>
      <w:r>
        <w:rPr>
          <w:sz w:val="17"/>
          <w:szCs w:val="17"/>
        </w:rPr>
        <w:t xml:space="preserve"> and head constraints </w:t>
      </w:r>
      <m:oMath>
        <m:r>
          <m:t>h</m:t>
        </m:r>
        <m:r>
          <m:rPr>
            <m:sty m:val="p"/>
          </m:rPr>
          <m:t>≥</m:t>
        </m:r>
        <m:sSub>
          <m:e>
            <m:r>
              <m:t>h</m:t>
            </m:r>
          </m:e>
          <m:sub>
            <m:r>
              <m:t>c</m:t>
            </m:r>
          </m:sub>
        </m:sSub>
        <m:r>
          <m:rPr>
            <m:sty m:val="p"/>
          </m:rPr>
          <m:t>=</m:t>
        </m:r>
        <m:r>
          <m:t>1.0</m:t>
        </m:r>
      </m:oMath>
      <w:r>
        <w:rPr>
          <w:sz w:val="17"/>
          <w:szCs w:val="17"/>
        </w:rPr>
        <w:t xml:space="preserve"> m at A1 and P10 yields exactly such a complementarity system. Deflated semismooth Newton seeks further KKT points; for the convex fixed-aquifer problem, a second KKT point proves that the optimal recharge plan is not unique.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extends deflation from smooth equations to the non-smooth equations that encode inequality constraints, with a proof under the standard semismooth Newton assumptions, so several KKT points of bound-constrained problems can be sought systematically. Published in Optimization Methods and Software; the same group then combined deflation with active-set solvers in the deflated barrier method (N1).</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ensures that known roots are avoided, not that all roots are found, and the examples are small. Open: whether deflation can certify uniqueness, or enumerate the vertices of a degenerate optimal face, for a recharge LP with thousands of candidate cells.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is a proof that deflation keeps what semismooth Newton needs, so a known root is excluded without changing the solver or its initial guess. Proposed extension: solve the Fushë-Kuqe recharge-rate problem through its KKT complementarity system with deflated semismooth Newton from one start; count the distinct KKT points, compare their costs and active cells, and confirm non-uniqueness independently with an LP that maximises the distance from the first solution within the optimal face.</w:t>
      </w:r>
    </w:p>
    <w:p>
      <w:pPr>
        <w:keepNext/>
        <w:pBdr>
          <w:top w:val="single" w:color="1E3A8A" w:sz="6" w:space="4"/>
        </w:pBdr>
        <w:spacing w:after="60" w:before="220"/>
      </w:pPr>
      <w:r>
        <w:rPr>
          <w:b/>
          <w:bCs/>
          <w:color w:val="1E3A8A"/>
          <w:sz w:val="23"/>
          <w:szCs w:val="23"/>
        </w:rPr>
        <w:t xml:space="preserve">N4  </w:t>
      </w:r>
      <w:r>
        <w:rPr>
          <w:b/>
          <w:bCs/>
          <w:color w:val="1F3864"/>
          <w:sz w:val="23"/>
          <w:szCs w:val="23"/>
        </w:rPr>
        <w:t xml:space="preserve">Bound-constrained global optimization of functions with low effective dimensionality using multiple random embeddings</w:t>
      </w:r>
    </w:p>
    <w:p>
      <w:pPr>
        <w:keepNext/>
        <w:spacing w:after="60" w:line="240" w:lineRule="auto"/>
      </w:pPr>
      <w:r>
        <w:rPr>
          <w:b/>
          <w:bCs/>
          <w:color w:val="333B47"/>
          <w:sz w:val="15"/>
          <w:szCs w:val="15"/>
        </w:rPr>
        <w:t xml:space="preserve">Authors: </w:t>
      </w:r>
      <w:r>
        <w:rPr>
          <w:sz w:val="15"/>
          <w:szCs w:val="15"/>
        </w:rPr>
        <w:t xml:space="preserve">Coralia Cartis, Estelle Massart, Adilet Otemissov</w:t>
      </w:r>
      <w:r>
        <w:rPr>
          <w:sz w:val="15"/>
          <w:szCs w:val="15"/>
        </w:rPr>
        <w:t xml:space="preserve">   </w:t>
      </w:r>
      <w:r>
        <w:rPr>
          <w:b/>
          <w:bCs/>
          <w:color w:val="333B47"/>
          <w:sz w:val="15"/>
          <w:szCs w:val="15"/>
        </w:rPr>
        <w:t xml:space="preserve">Published in: </w:t>
      </w:r>
      <w:r>
        <w:rPr>
          <w:sz w:val="15"/>
          <w:szCs w:val="15"/>
        </w:rPr>
        <w:t xml:space="preserve">Mathematical Programming, 198(1), 997–1058 (2023; some records give 2022); preprint arXiv 2009.10446</w:t>
      </w:r>
      <w:r>
        <w:rPr>
          <w:sz w:val="15"/>
          <w:szCs w:val="15"/>
        </w:rPr>
        <w:t xml:space="preserve">   </w:t>
      </w:r>
      <w:r>
        <w:rPr>
          <w:b/>
          <w:bCs/>
          <w:color w:val="333B47"/>
          <w:sz w:val="15"/>
          <w:szCs w:val="15"/>
        </w:rPr>
        <w:t xml:space="preserve">Link: </w:t>
      </w:r>
      <w:hyperlink w:history="1" r:id="rIdgfdd9-bjfim-vexuxzs0x">
        <w:r>
          <w:rPr>
            <w:color w:val="1D4ED8"/>
            <w:sz w:val="15"/>
            <w:szCs w:val="15"/>
            <w:u w:val="single"/>
          </w:rPr>
          <w:t xml:space="preserve">https://doi.org/10.1007/s10107-022-01812-9</w:t>
        </w:r>
      </w:hyperlink>
    </w:p>
    <w:p>
      <w:pPr>
        <w:keepNext/>
        <w:spacing w:after="80" w:line="240" w:lineRule="auto"/>
      </w:pPr>
      <w:r>
        <w:rPr>
          <w:b/>
          <w:bCs/>
          <w:color w:val="333B47"/>
          <w:sz w:val="15"/>
          <w:szCs w:val="15"/>
        </w:rPr>
        <w:t xml:space="preserve">Affiliation: </w:t>
      </w:r>
      <w:r>
        <w:rPr>
          <w:color w:val="3A4350"/>
          <w:sz w:val="15"/>
          <w:szCs w:val="15"/>
        </w:rPr>
        <w:t xml:space="preserve">University of Oxford: the journal article is held in ORA, the Oxford University Research Archive (record seen in search results); departments not shown there. Copies also sit in the UCLouvain and Nazarbayev University repositories (later institutions of Massart and Otemissov, not verified as affiliations at the time).</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1E3A8A"/>
          <w:sz w:val="17"/>
          <w:szCs w:val="17"/>
        </w:rPr>
        <w:t xml:space="preserve">Summary. </w:t>
      </w:r>
      <w:r>
        <w:rPr>
          <w:sz w:val="17"/>
          <w:szCs w:val="17"/>
        </w:rPr>
        <w:t xml:space="preserve">Many objectives are constant along an unknown linear subspace and vary only over a low-dimensional effective subspace. For bound-constrained global optimisation of such functions, the paper restricts the problem to a random low-dimensional affine subspace while keeping the bounds, so every point stays feasible. It proves that, under reasonable assumptions, this reduced problem solves the full problem with positive probability and, when the effective subspace is aligned with the coordinate axes, bounds that probability asymptotically, polynomially in the effective and ambient dimensions. X-REGO solves reduced problems for several embeddings and converges globally with probability one, linearly in the number of embeddings, to an </w:t>
      </w:r>
      <m:oMath>
        <m:r>
          <m:t>ε</m:t>
        </m:r>
      </m:oMath>
      <w:r>
        <w:rPr>
          <w:sz w:val="17"/>
          <w:szCs w:val="17"/>
        </w:rPr>
        <w:t xml:space="preserve">-neighbourhood of a global minimiser.</w:t>
      </w:r>
    </w:p>
    <w:p>
      <w:pPr>
        <w:keepNext/>
        <w:spacing w:after="20" w:before="40"/>
      </w:pPr>
      <w:r>
        <w:rPr>
          <w:b/>
          <w:bCs/>
          <w:color w:val="1E3A8A"/>
          <w:sz w:val="17"/>
          <w:szCs w:val="17"/>
        </w:rPr>
        <w:t xml:space="preserve">Key equation.</w:t>
      </w:r>
      <w:r>
        <w:rPr>
          <w:i/>
          <w:iCs/>
          <w:color w:val="5B6573"/>
          <w:sz w:val="15"/>
          <w:szCs w:val="15"/>
        </w:rPr>
        <w:t xml:space="preserve">  Reduced subproblem over a random feasible embedding, solved repeatedly by X-REGO (representative formulation)</w:t>
      </w:r>
    </w:p>
    <w:p>
      <w:pPr>
        <w:pStyle w:val="Equation"/>
      </w:pPr>
      <m:oMathPara>
        <m:oMathParaPr>
          <m:jc m:val="center"/>
        </m:oMathParaPr>
        <m:oMath>
          <m:limLow>
            <m:e>
              <m:r>
                <m:rPr>
                  <m:sty m:val="p"/>
                </m:rPr>
                <m:t>min</m:t>
              </m:r>
            </m:e>
            <m:lim>
              <m:r>
                <m:t>y</m:t>
              </m:r>
              <m:r>
                <m:rPr>
                  <m:sty m:val="p"/>
                </m:rPr>
                <m:t>∈</m:t>
              </m:r>
              <m:sSup>
                <m:e>
                  <m:r>
                    <m:rPr>
                      <m:scr m:val="double-struck"/>
                      <m:sty m:val="p"/>
                    </m:rPr>
                    <m:t>R</m:t>
                  </m:r>
                </m:e>
                <m:sup>
                  <m:r>
                    <m:t>d</m:t>
                  </m:r>
                </m:sup>
              </m:sSup>
            </m:lim>
          </m:limLow>
          <m:r>
            <m:t> </m:t>
          </m:r>
          <m:r>
            <m:t>f</m:t>
          </m:r>
          <m:d>
            <m:dPr>
              <m:begChr m:val="("/>
              <m:sepChr m:val=""/>
              <m:endChr m:val=")"/>
              <m:grow/>
            </m:dPr>
            <m:e>
              <m:r>
                <m:t>A</m:t>
              </m:r>
              <m:r>
                <m:t>y</m:t>
              </m:r>
              <m:r>
                <m:rPr>
                  <m:sty m:val="p"/>
                </m:rPr>
                <m:t>+</m:t>
              </m:r>
              <m:r>
                <m:t>p</m:t>
              </m:r>
            </m:e>
          </m:d>
          <m:r>
            <m:t> </m:t>
          </m:r>
          <m:r>
            <m:rPr>
              <m:nor/>
            </m:rPr>
            <m:t>subject to</m:t>
          </m:r>
          <m:r>
            <m:t> </m:t>
          </m:r>
          <m:r>
            <m:t>A</m:t>
          </m:r>
          <m:r>
            <m:t>y</m:t>
          </m:r>
          <m:r>
            <m:rPr>
              <m:sty m:val="p"/>
            </m:rPr>
            <m:t>+</m:t>
          </m:r>
          <m:r>
            <m:t>p</m:t>
          </m:r>
          <m:r>
            <m:rPr>
              <m:sty m:val="p"/>
            </m:rPr>
            <m:t>∈</m:t>
          </m:r>
          <m:r>
            <m:rPr>
              <m:scr m:val="script"/>
              <m:sty m:val="p"/>
            </m:rPr>
            <m:t>X</m:t>
          </m:r>
        </m:oMath>
      </m:oMathPara>
    </w:p>
    <w:p>
      <w:pPr>
        <w:spacing w:after="60"/>
        <w:jc w:val="both"/>
      </w:pPr>
      <m:oMath>
        <m:r>
          <m:t>f</m:t>
        </m:r>
      </m:oMath>
      <w:r>
        <w:rPr>
          <w:color w:val="3A4350"/>
          <w:sz w:val="15"/>
          <w:szCs w:val="15"/>
        </w:rPr>
        <w:t xml:space="preserve"> is defined on the box of bounds </w:t>
      </w:r>
      <m:oMath>
        <m:r>
          <m:rPr>
            <m:scr m:val="script"/>
            <m:sty m:val="p"/>
          </m:rPr>
          <m:t>X</m:t>
        </m:r>
        <m:r>
          <m:rPr>
            <m:sty m:val="p"/>
          </m:rPr>
          <m:t>⊂</m:t>
        </m:r>
        <m:sSup>
          <m:e>
            <m:r>
              <m:rPr>
                <m:scr m:val="double-struck"/>
                <m:sty m:val="p"/>
              </m:rPr>
              <m:t>R</m:t>
            </m:r>
          </m:e>
          <m:sup>
            <m:r>
              <m:t>D</m:t>
            </m:r>
          </m:sup>
        </m:sSup>
      </m:oMath>
      <w:r>
        <w:rPr>
          <w:color w:val="3A4350"/>
          <w:sz w:val="15"/>
          <w:szCs w:val="15"/>
        </w:rPr>
        <w:t xml:space="preserve">, is constant along an unknown subspace and varies only on an effective subspace of dimension </w:t>
      </w:r>
      <m:oMath>
        <m:sSub>
          <m:e>
            <m:r>
              <m:t>d</m:t>
            </m:r>
          </m:e>
          <m:sub>
            <m:r>
              <m:t>e</m:t>
            </m:r>
          </m:sub>
        </m:sSub>
        <m:r>
          <m:rPr>
            <m:sty m:val="p"/>
          </m:rPr>
          <m:t>≤</m:t>
        </m:r>
        <m:r>
          <m:t>d</m:t>
        </m:r>
        <m:r>
          <m:rPr>
            <m:sty m:val="p"/>
          </m:rPr>
          <m:t>≪</m:t>
        </m:r>
        <m:r>
          <m:t>D</m:t>
        </m:r>
      </m:oMath>
      <w:r>
        <w:rPr>
          <w:color w:val="3A4350"/>
          <w:sz w:val="15"/>
          <w:szCs w:val="15"/>
        </w:rPr>
        <w:t xml:space="preserve">; </w:t>
      </w:r>
      <m:oMath>
        <m:r>
          <m:t>A</m:t>
        </m:r>
      </m:oMath>
      <w:r>
        <w:rPr>
          <w:color w:val="3A4350"/>
          <w:sz w:val="15"/>
          <w:szCs w:val="15"/>
        </w:rPr>
        <w:t xml:space="preserve"> is a </w:t>
      </w:r>
      <m:oMath>
        <m:r>
          <m:t>D</m:t>
        </m:r>
        <m:r>
          <m:rPr>
            <m:sty m:val="p"/>
          </m:rPr>
          <m:t>×</m:t>
        </m:r>
        <m:r>
          <m:t>d</m:t>
        </m:r>
      </m:oMath>
      <w:r>
        <w:rPr>
          <w:color w:val="3A4350"/>
          <w:sz w:val="15"/>
          <w:szCs w:val="15"/>
        </w:rPr>
        <w:t xml:space="preserve"> random (Gaussian) matrix and </w:t>
      </w:r>
      <m:oMath>
        <m:r>
          <m:t>p</m:t>
        </m:r>
        <m:r>
          <m:rPr>
            <m:sty m:val="p"/>
          </m:rPr>
          <m:t>∈</m:t>
        </m:r>
        <m:r>
          <m:rPr>
            <m:scr m:val="script"/>
            <m:sty m:val="p"/>
          </m:rPr>
          <m:t>X</m:t>
        </m:r>
      </m:oMath>
      <w:r>
        <w:rPr>
          <w:color w:val="3A4350"/>
          <w:sz w:val="15"/>
          <w:szCs w:val="15"/>
        </w:rPr>
        <w:t xml:space="preserve"> a feasible anchor point.</w:t>
      </w:r>
    </w:p>
    <w:p>
      <w:pPr>
        <w:spacing w:after="60"/>
        <w:jc w:val="both"/>
      </w:pPr>
      <w:r>
        <w:rPr>
          <w:b/>
          <w:bCs/>
          <w:color w:val="1E3A8A"/>
          <w:sz w:val="17"/>
          <w:szCs w:val="17"/>
        </w:rPr>
        <w:t xml:space="preserve">Link to the MAR scheme. </w:t>
      </w:r>
      <w:r>
        <w:rPr>
          <w:sz w:val="17"/>
          <w:szCs w:val="17"/>
        </w:rPr>
        <w:t xml:space="preserve">Belongs to theme N (uniqueness, multiple optima and robust schemes). As heads are linear in recharge, an objective using only heads at A1 and P10 has effective dimension two: it is constant along the null space of the two-row response matrix. Optimal rates are then non-unique unless costs or bounds pin them down; X-REGO searches sitings in small random subspaces.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proves success probabilities and almost-sure global convergence that depend on the effective rather than the ambient dimension, while keeping bound constraints feasible. Published in Mathematical Programming, with a companion paper on unconstrained problems in the same journal (200(2), 781–829); Cartis also presented this line of work in a NeurIPS 2021 talk.</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assumes an exactly low effective dimension and a fixed unknown subspace. Open: guarantees when the effective subspace is only approximately low-dimensional, as when the 12 uncertain conductivities perturb the response matrix, and for mixed-integer choices of where to drill.</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is a feasible random-embedding formulation for bound-constrained problems, with a success-probability bound polynomial in both dimensions and almost-sure convergence of X-REGO, linear in the number of embeddings. Proposed extension: compute the response matrix of A1 and P10 for all candidate cells, check its rank, run X-REGO on the siting objective with embeddings of dimension 2 to 6, and compare the optimal sets found with the exact null-space description of the non-unique rate set.</w:t>
      </w:r>
    </w:p>
    <w:p>
      <w:pPr>
        <w:keepNext/>
        <w:pBdr>
          <w:top w:val="single" w:color="1E3A8A" w:sz="6" w:space="4"/>
        </w:pBdr>
        <w:spacing w:after="60" w:before="220"/>
      </w:pPr>
      <w:r>
        <w:rPr>
          <w:b/>
          <w:bCs/>
          <w:color w:val="1E3A8A"/>
          <w:sz w:val="23"/>
          <w:szCs w:val="23"/>
        </w:rPr>
        <w:t xml:space="preserve">N5  </w:t>
      </w:r>
      <w:r>
        <w:rPr>
          <w:b/>
          <w:bCs/>
          <w:color w:val="1F3864"/>
          <w:sz w:val="23"/>
          <w:szCs w:val="23"/>
        </w:rPr>
        <w:t xml:space="preserve">Randomized Nyström Preconditioning</w:t>
      </w:r>
    </w:p>
    <w:p>
      <w:pPr>
        <w:keepNext/>
        <w:spacing w:after="60" w:line="240" w:lineRule="auto"/>
      </w:pPr>
      <w:r>
        <w:rPr>
          <w:b/>
          <w:bCs/>
          <w:color w:val="333B47"/>
          <w:sz w:val="15"/>
          <w:szCs w:val="15"/>
        </w:rPr>
        <w:t xml:space="preserve">Authors: </w:t>
      </w:r>
      <w:r>
        <w:rPr>
          <w:sz w:val="15"/>
          <w:szCs w:val="15"/>
        </w:rPr>
        <w:t xml:space="preserve">Zachary Frangella, Joel A. Tropp, Madeleine Udell</w:t>
      </w:r>
      <w:r>
        <w:rPr>
          <w:sz w:val="15"/>
          <w:szCs w:val="15"/>
        </w:rPr>
        <w:t xml:space="preserve">   </w:t>
      </w:r>
      <w:r>
        <w:rPr>
          <w:b/>
          <w:bCs/>
          <w:color w:val="333B47"/>
          <w:sz w:val="15"/>
          <w:szCs w:val="15"/>
        </w:rPr>
        <w:t xml:space="preserve">Published in: </w:t>
      </w:r>
      <w:r>
        <w:rPr>
          <w:sz w:val="15"/>
          <w:szCs w:val="15"/>
        </w:rPr>
        <w:t xml:space="preserve">SIAM Journal on Matrix Analysis and Applications, 44(2), 718–752 (published electronically 30 May 2023); preprint arXiv 2110.02820</w:t>
      </w:r>
      <w:r>
        <w:rPr>
          <w:sz w:val="15"/>
          <w:szCs w:val="15"/>
        </w:rPr>
        <w:t xml:space="preserve">   </w:t>
      </w:r>
      <w:r>
        <w:rPr>
          <w:b/>
          <w:bCs/>
          <w:color w:val="333B47"/>
          <w:sz w:val="15"/>
          <w:szCs w:val="15"/>
        </w:rPr>
        <w:t xml:space="preserve">Link: </w:t>
      </w:r>
      <w:hyperlink w:history="1" r:id="rIdysxyim0t-uff-vppvssug">
        <w:r>
          <w:rPr>
            <w:color w:val="1D4ED8"/>
            <w:sz w:val="15"/>
            <w:szCs w:val="15"/>
            <w:u w:val="single"/>
          </w:rPr>
          <w:t xml:space="preserve">https://doi.org/10.1137/21M1466244</w:t>
        </w:r>
      </w:hyperlink>
    </w:p>
    <w:p>
      <w:pPr>
        <w:keepNext/>
        <w:spacing w:after="80" w:line="240" w:lineRule="auto"/>
      </w:pPr>
      <w:r>
        <w:rPr>
          <w:b/>
          <w:bCs/>
          <w:color w:val="333B47"/>
          <w:sz w:val="15"/>
          <w:szCs w:val="15"/>
        </w:rPr>
        <w:t xml:space="preserve">Affiliation: </w:t>
      </w:r>
      <w:r>
        <w:rPr>
          <w:color w:val="3A4350"/>
          <w:sz w:val="15"/>
          <w:szCs w:val="15"/>
        </w:rPr>
        <w:t xml:space="preserve">California Institute of Technology and Stanford University: both listed as affiliations in the CaltechAUTHORS journal-article record (per-author split not shown; the published PDF is hosted on Tropp’s Caltech page). Volume, pages, DOI and online date from that PDF, seen in search results.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1E3A8A"/>
          <w:sz w:val="17"/>
          <w:szCs w:val="17"/>
        </w:rPr>
        <w:t xml:space="preserve">Summary. </w:t>
      </w:r>
      <w:r>
        <w:rPr>
          <w:sz w:val="17"/>
          <w:szCs w:val="17"/>
        </w:rPr>
        <w:t xml:space="preserve">Regularised positive-definite systems </w:t>
      </w:r>
      <m:oMath>
        <m:d>
          <m:dPr>
            <m:begChr m:val="("/>
            <m:sepChr m:val=""/>
            <m:endChr m:val=")"/>
            <m:grow/>
          </m:dPr>
          <m:e>
            <m:r>
              <m:t>A</m:t>
            </m:r>
            <m:r>
              <m:rPr>
                <m:sty m:val="p"/>
              </m:rPr>
              <m:t>+</m:t>
            </m:r>
            <m:r>
              <m:t>μ</m:t>
            </m:r>
            <m:r>
              <m:t>I</m:t>
            </m:r>
          </m:e>
        </m:d>
        <m:r>
          <m:t>x</m:t>
        </m:r>
        <m:r>
          <m:rPr>
            <m:sty m:val="p"/>
          </m:rPr>
          <m:t>=</m:t>
        </m:r>
        <m:r>
          <m:t>b</m:t>
        </m:r>
      </m:oMath>
      <w:r>
        <w:rPr>
          <w:sz w:val="17"/>
          <w:szCs w:val="17"/>
        </w:rPr>
        <w:t xml:space="preserve"> arise in ridge and kernel regression and in Gauss–Newton steps of Bayesian inversion, and can be badly conditioned. Nyström PCG builds a randomised low-rank Nyström approximation of </w:t>
      </w:r>
      <m:oMath>
        <m:r>
          <m:t>A</m:t>
        </m:r>
      </m:oMath>
      <w:r>
        <w:rPr>
          <w:sz w:val="17"/>
          <w:szCs w:val="17"/>
        </w:rPr>
        <w:t xml:space="preserve"> from a modest number of matrix–vector products and uses it as a preconditioner for conjugate gradients. The analysis shows that the preconditioned system has a constant condition number as soon as the approximation rank is comparable with the effective dimension </w:t>
      </w:r>
      <m:oMath>
        <m:sSub>
          <m:e>
            <m:r>
              <m:t>d</m:t>
            </m:r>
          </m:e>
          <m:sub>
            <m:r>
              <m:rPr>
                <m:nor/>
              </m:rPr>
              <m:t>eff</m:t>
            </m:r>
          </m:sub>
        </m:sSub>
        <m:d>
          <m:dPr>
            <m:begChr m:val="("/>
            <m:sepChr m:val=""/>
            <m:endChr m:val=")"/>
            <m:grow/>
          </m:dPr>
          <m:e>
            <m:r>
              <m:t>μ</m:t>
            </m:r>
          </m:e>
        </m:d>
      </m:oMath>
      <w:r>
        <w:rPr>
          <w:sz w:val="17"/>
          <w:szCs w:val="17"/>
        </w:rPr>
        <w:t xml:space="preserve">, so the iteration count no longer depends on the original conditioning. Adaptive variants provably achieve similar performance without knowing </w:t>
      </w:r>
      <m:oMath>
        <m:sSub>
          <m:e>
            <m:r>
              <m:t>d</m:t>
            </m:r>
          </m:e>
          <m:sub>
            <m:r>
              <m:rPr>
                <m:nor/>
              </m:rPr>
              <m:t>eff</m:t>
            </m:r>
          </m:sub>
        </m:sSub>
        <m:d>
          <m:dPr>
            <m:begChr m:val="("/>
            <m:sepChr m:val=""/>
            <m:endChr m:val=")"/>
            <m:grow/>
          </m:dPr>
          <m:e>
            <m:r>
              <m:t>μ</m:t>
            </m:r>
          </m:e>
        </m:d>
      </m:oMath>
      <w:r>
        <w:rPr>
          <w:sz w:val="17"/>
          <w:szCs w:val="17"/>
        </w:rPr>
        <w:t xml:space="preserve"> in advance.</w:t>
      </w:r>
    </w:p>
    <w:p>
      <w:pPr>
        <w:keepNext/>
        <w:spacing w:after="20" w:before="40"/>
      </w:pPr>
      <w:r>
        <w:rPr>
          <w:b/>
          <w:bCs/>
          <w:color w:val="1E3A8A"/>
          <w:sz w:val="17"/>
          <w:szCs w:val="17"/>
        </w:rPr>
        <w:t xml:space="preserve">Key equation.</w:t>
      </w:r>
      <w:r>
        <w:rPr>
          <w:i/>
          <w:iCs/>
          <w:color w:val="5B6573"/>
          <w:sz w:val="15"/>
          <w:szCs w:val="15"/>
        </w:rPr>
        <w:t xml:space="preserve">  Effective dimension and the main preconditioning guarantee (representative formulation; constants omitted)</w:t>
      </w:r>
    </w:p>
    <w:p>
      <w:pPr>
        <w:pStyle w:val="Equation"/>
      </w:pPr>
      <m:oMathPara>
        <m:oMathParaPr>
          <m:jc m:val="center"/>
        </m:oMathParaPr>
        <m:oMath>
          <m:sSub>
            <m:e>
              <m:r>
                <m:t>d</m:t>
              </m:r>
            </m:e>
            <m:sub>
              <m:r>
                <m:rPr>
                  <m:nor/>
                </m:rPr>
                <m:t>eff</m:t>
              </m:r>
            </m:sub>
          </m:sSub>
          <m:d>
            <m:dPr>
              <m:begChr m:val="("/>
              <m:sepChr m:val=""/>
              <m:endChr m:val=")"/>
              <m:grow/>
            </m:dPr>
            <m:e>
              <m:r>
                <m:t>μ</m:t>
              </m:r>
            </m:e>
          </m:d>
          <m:r>
            <m:rPr>
              <m:sty m:val="p"/>
            </m:rPr>
            <m:t>=</m:t>
          </m:r>
          <m:r>
            <m:rPr>
              <m:nor/>
            </m:rPr>
            <m:t>tr</m:t>
          </m:r>
          <m:d>
            <m:dPr>
              <m:begChr m:val="("/>
              <m:sepChr m:val=""/>
              <m:endChr m:val=")"/>
              <m:grow/>
            </m:dPr>
            <m:e>
              <m:r>
                <m:t>A</m:t>
              </m:r>
              <m:sSup>
                <m:e>
                  <m:d>
                    <m:dPr>
                      <m:begChr m:val="("/>
                      <m:sepChr m:val=""/>
                      <m:endChr m:val=")"/>
                      <m:grow/>
                    </m:dPr>
                    <m:e>
                      <m:r>
                        <m:t>A</m:t>
                      </m:r>
                      <m:r>
                        <m:rPr>
                          <m:sty m:val="p"/>
                        </m:rPr>
                        <m:t>+</m:t>
                      </m:r>
                      <m:r>
                        <m:t>μ</m:t>
                      </m:r>
                      <m:r>
                        <m:t>I</m:t>
                      </m:r>
                    </m:e>
                  </m:d>
                </m:e>
                <m:sup>
                  <m:r>
                    <m:rPr>
                      <m:sty m:val="p"/>
                    </m:rPr>
                    <m:t>−</m:t>
                  </m:r>
                  <m:r>
                    <m:t>1</m:t>
                  </m:r>
                </m:sup>
              </m:sSup>
            </m:e>
          </m:d>
          <m:r>
            <m:rPr>
              <m:sty m:val="p"/>
            </m:rPr>
            <m:t>,</m:t>
          </m:r>
          <m:r>
            <m:t>  </m:t>
          </m:r>
          <m:r>
            <m:rPr>
              <m:sty m:val="p"/>
            </m:rPr>
            <m:t>ℓ</m:t>
          </m:r>
          <m:r>
            <m:rPr>
              <m:sty m:val="p"/>
            </m:rPr>
            <m:t>≥</m:t>
          </m:r>
          <m:r>
            <m:t>c</m:t>
          </m:r>
          <m:r>
            <m:t> </m:t>
          </m:r>
          <m:sSub>
            <m:e>
              <m:r>
                <m:t>d</m:t>
              </m:r>
            </m:e>
            <m:sub>
              <m:r>
                <m:rPr>
                  <m:nor/>
                </m:rPr>
                <m:t>eff</m:t>
              </m:r>
            </m:sub>
          </m:sSub>
          <m:d>
            <m:dPr>
              <m:begChr m:val="("/>
              <m:sepChr m:val=""/>
              <m:endChr m:val=")"/>
              <m:grow/>
            </m:dPr>
            <m:e>
              <m:r>
                <m:t>μ</m:t>
              </m:r>
            </m:e>
          </m:d>
          <m:r>
            <m:t> </m:t>
          </m:r>
          <m:r>
            <m:rPr>
              <m:sty m:val="p"/>
            </m:rPr>
            <m:t>⇒</m:t>
          </m:r>
          <m:r>
            <m:t> </m:t>
          </m:r>
          <m:r>
            <m:t>κ</m:t>
          </m:r>
          <m:d>
            <m:dPr>
              <m:begChr m:val="("/>
              <m:sepChr m:val=""/>
              <m:endChr m:val=")"/>
              <m:grow/>
            </m:dPr>
            <m:e>
              <m:sSup>
                <m:e>
                  <m:r>
                    <m:t>P</m:t>
                  </m:r>
                </m:e>
                <m:sup>
                  <m:r>
                    <m:rPr>
                      <m:sty m:val="p"/>
                    </m:rPr>
                    <m:t>−</m:t>
                  </m:r>
                  <m:r>
                    <m:t>1</m:t>
                  </m:r>
                  <m:r>
                    <m:rPr>
                      <m:sty m:val="p"/>
                    </m:rPr>
                    <m:t>/</m:t>
                  </m:r>
                  <m:r>
                    <m:t>2</m:t>
                  </m:r>
                </m:sup>
              </m:sSup>
              <m:d>
                <m:dPr>
                  <m:begChr m:val="("/>
                  <m:sepChr m:val=""/>
                  <m:endChr m:val=")"/>
                  <m:grow/>
                </m:dPr>
                <m:e>
                  <m:r>
                    <m:t>A</m:t>
                  </m:r>
                  <m:r>
                    <m:rPr>
                      <m:sty m:val="p"/>
                    </m:rPr>
                    <m:t>+</m:t>
                  </m:r>
                  <m:r>
                    <m:t>μ</m:t>
                  </m:r>
                  <m:r>
                    <m:t>I</m:t>
                  </m:r>
                </m:e>
              </m:d>
              <m:sSup>
                <m:e>
                  <m:r>
                    <m:t>P</m:t>
                  </m:r>
                </m:e>
                <m:sup>
                  <m:r>
                    <m:rPr>
                      <m:sty m:val="p"/>
                    </m:rPr>
                    <m:t>−</m:t>
                  </m:r>
                  <m:r>
                    <m:t>1</m:t>
                  </m:r>
                  <m:r>
                    <m:rPr>
                      <m:sty m:val="p"/>
                    </m:rPr>
                    <m:t>/</m:t>
                  </m:r>
                  <m:r>
                    <m:t>2</m:t>
                  </m:r>
                </m:sup>
              </m:sSup>
            </m:e>
          </m:d>
          <m:r>
            <m:rPr>
              <m:sty m:val="p"/>
            </m:rPr>
            <m:t>≤</m:t>
          </m:r>
          <m:r>
            <m:t>C</m:t>
          </m:r>
        </m:oMath>
      </m:oMathPara>
    </w:p>
    <w:p>
      <w:pPr>
        <w:spacing w:after="60"/>
        <w:jc w:val="both"/>
      </w:pPr>
      <m:oMath>
        <m:r>
          <m:t>A</m:t>
        </m:r>
      </m:oMath>
      <w:r>
        <w:rPr>
          <w:color w:val="3A4350"/>
          <w:sz w:val="15"/>
          <w:szCs w:val="15"/>
        </w:rPr>
        <w:t xml:space="preserve"> is symmetric positive semidefinite, </w:t>
      </w:r>
      <m:oMath>
        <m:r>
          <m:t>μ</m:t>
        </m:r>
        <m:r>
          <m:rPr>
            <m:sty m:val="p"/>
          </m:rPr>
          <m:t>&gt;</m:t>
        </m:r>
        <m:r>
          <m:t>0</m:t>
        </m:r>
      </m:oMath>
      <w:r>
        <w:rPr>
          <w:color w:val="3A4350"/>
          <w:sz w:val="15"/>
          <w:szCs w:val="15"/>
        </w:rPr>
        <w:t xml:space="preserve"> the regularisation, </w:t>
      </w:r>
      <m:oMath>
        <m:r>
          <m:rPr>
            <m:sty m:val="p"/>
          </m:rPr>
          <m:t>ℓ</m:t>
        </m:r>
      </m:oMath>
      <w:r>
        <w:rPr>
          <w:color w:val="3A4350"/>
          <w:sz w:val="15"/>
          <w:szCs w:val="15"/>
        </w:rPr>
        <w:t xml:space="preserve"> the rank of the randomised Nyström approximation, </w:t>
      </w:r>
      <m:oMath>
        <m:r>
          <m:t>P</m:t>
        </m:r>
      </m:oMath>
      <w:r>
        <w:rPr>
          <w:color w:val="3A4350"/>
          <w:sz w:val="15"/>
          <w:szCs w:val="15"/>
        </w:rPr>
        <w:t xml:space="preserve"> the resulting preconditioner and </w:t>
      </w:r>
      <m:oMath>
        <m:r>
          <m:t>κ</m:t>
        </m:r>
      </m:oMath>
      <w:r>
        <w:rPr>
          <w:color w:val="3A4350"/>
          <w:sz w:val="15"/>
          <w:szCs w:val="15"/>
        </w:rPr>
        <w:t xml:space="preserve"> the condition number; </w:t>
      </w:r>
      <m:oMath>
        <m:r>
          <m:t>c</m:t>
        </m:r>
      </m:oMath>
      <w:r>
        <w:rPr>
          <w:color w:val="3A4350"/>
          <w:sz w:val="15"/>
          <w:szCs w:val="15"/>
        </w:rPr>
        <w:t xml:space="preserve"> and </w:t>
      </w:r>
      <m:oMath>
        <m:r>
          <m:t>C</m:t>
        </m:r>
      </m:oMath>
      <w:r>
        <w:rPr>
          <w:color w:val="3A4350"/>
          <w:sz w:val="15"/>
          <w:szCs w:val="15"/>
        </w:rPr>
        <w:t xml:space="preserve"> are moderate absolute constants, and the guarantee is probabilistic.</w:t>
      </w:r>
    </w:p>
    <w:p>
      <w:pPr>
        <w:spacing w:after="60"/>
        <w:jc w:val="both"/>
      </w:pPr>
      <w:r>
        <w:rPr>
          <w:b/>
          <w:bCs/>
          <w:color w:val="1E3A8A"/>
          <w:sz w:val="17"/>
          <w:szCs w:val="17"/>
        </w:rPr>
        <w:t xml:space="preserve">Link to the MAR scheme. </w:t>
      </w:r>
      <w:r>
        <w:rPr>
          <w:sz w:val="17"/>
          <w:szCs w:val="17"/>
        </w:rPr>
        <w:t xml:space="preserve">Belongs to theme N (uniqueness, multiple optima and robust schemes). Calibrating a cell-wise facies field (3 545 unknowns) against heads leads to systems </w:t>
      </w:r>
      <m:oMath>
        <m:d>
          <m:dPr>
            <m:begChr m:val="("/>
            <m:sepChr m:val=""/>
            <m:endChr m:val=")"/>
            <m:grow/>
          </m:dPr>
          <m:e>
            <m:r>
              <m:t>H</m:t>
            </m:r>
            <m:r>
              <m:rPr>
                <m:sty m:val="p"/>
              </m:rPr>
              <m:t>+</m:t>
            </m:r>
            <m:r>
              <m:t>I</m:t>
            </m:r>
          </m:e>
        </m:d>
        <m:r>
          <m:t>x</m:t>
        </m:r>
        <m:r>
          <m:rPr>
            <m:sty m:val="p"/>
          </m:rPr>
          <m:t>=</m:t>
        </m:r>
        <m:r>
          <m:t>b</m:t>
        </m:r>
      </m:oMath>
      <w:r>
        <w:rPr>
          <w:sz w:val="17"/>
          <w:szCs w:val="17"/>
        </w:rPr>
        <w:t xml:space="preserve"> with the prior-preconditioned misfit Hessian </w:t>
      </w:r>
      <m:oMath>
        <m:r>
          <m:t>H</m:t>
        </m:r>
      </m:oMath>
      <w:r>
        <w:rPr>
          <w:sz w:val="17"/>
          <w:szCs w:val="17"/>
        </w:rPr>
        <w:t xml:space="preserve">. Then </w:t>
      </w:r>
      <m:oMath>
        <m:sSub>
          <m:e>
            <m:r>
              <m:t>d</m:t>
            </m:r>
          </m:e>
          <m:sub>
            <m:r>
              <m:rPr>
                <m:nor/>
              </m:rPr>
              <m:t>eff</m:t>
            </m:r>
          </m:sub>
        </m:sSub>
        <m:d>
          <m:dPr>
            <m:begChr m:val="("/>
            <m:sepChr m:val=""/>
            <m:endChr m:val=")"/>
            <m:grow/>
          </m:dPr>
          <m:e>
            <m:r>
              <m:t>1</m:t>
            </m:r>
          </m:e>
        </m:d>
      </m:oMath>
      <w:r>
        <w:rPr>
          <w:sz w:val="17"/>
          <w:szCs w:val="17"/>
        </w:rPr>
        <w:t xml:space="preserve"> counts the parameter directions the head data actually inform, an identifiability measure, and Nyström PCG solves these systems in a bounded number of iterations.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made randomised preconditioning with a provable, condition-number-free guarantee practical for large regularised systems. Published in SIAM J. Matrix Anal. Appl.; Díaz, Epperly, Frangella, Tropp &amp; Webber built on it for kernel ridge regression (2023 preprint), and later related work calls Nyström preconditioners the most popular choice for PCG in that setting.</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guarantee concerns solving one regularised system, not whether its solution is identifiable or unique. Open: using the same sketch that builds the preconditioner to certify how many conductivity directions the observed heads and pilot tests identify, with error bounds.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is a preconditioner whose quality is tied to the effective dimension, with adaptive rank selection that keeps the guarantee without knowing that dimension. Proposed extension: for the Fushë-Kuqe calibration, form the prior-preconditioned Gauss–Newton Hessian, estimate </w:t>
      </w:r>
      <m:oMath>
        <m:sSub>
          <m:e>
            <m:r>
              <m:t>d</m:t>
            </m:r>
          </m:e>
          <m:sub>
            <m:r>
              <m:rPr>
                <m:nor/>
              </m:rPr>
              <m:t>eff</m:t>
            </m:r>
          </m:sub>
        </m:sSub>
        <m:d>
          <m:dPr>
            <m:begChr m:val="("/>
            <m:sepChr m:val=""/>
            <m:endChr m:val=")"/>
            <m:grow/>
          </m:dPr>
          <m:e>
            <m:r>
              <m:t>1</m:t>
            </m:r>
          </m:e>
        </m:d>
      </m:oMath>
      <w:r>
        <w:rPr>
          <w:sz w:val="17"/>
          <w:szCs w:val="17"/>
        </w:rPr>
        <w:t xml:space="preserve"> from the Nyström sketch before and after each candidate pilot test, and rank candidate MAR pilot sites by how much they raise this count of identified directions.</w:t>
      </w:r>
    </w:p>
    <w:p>
      <w:pPr>
        <w:pStyle w:val="Heading1"/>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Uncertainty quantification and the risk of a scheme</w:t>
            </w:r>
          </w:p>
        </w:tc>
        <w:tc>
          <w:tcPr>
            <w:tcW w:type="dxa" w:w="5338"/>
            <w:tcMar>
              <w:top w:type="dxa" w:w="60"/>
              <w:left w:type="dxa" w:w="100"/>
              <w:bottom w:type="dxa" w:w="60"/>
              <w:right w:type="dxa" w:w="100"/>
            </w:tcMar>
            <w:vAlign w:val="top"/>
          </w:tcPr>
          <w:p>
            <w:r>
              <w:rPr>
                <w:sz w:val="17"/>
                <w:szCs w:val="17"/>
              </w:rPr>
              <w:t xml:space="preserve">[C1], [C2], [C3], [C4], [Q1], [Q2], [Q3], [Q4], [Q5]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Risk measures</w:t>
            </w:r>
          </w:p>
        </w:tc>
        <w:tc>
          <w:tcPr>
            <w:tcW w:type="dxa" w:w="5338"/>
            <w:shd w:fill="F7F9FC" w:color="auto" w:val="clear"/>
            <w:tcMar>
              <w:top w:type="dxa" w:w="60"/>
              <w:left w:type="dxa" w:w="100"/>
              <w:bottom w:type="dxa" w:w="60"/>
              <w:right w:type="dxa" w:w="100"/>
            </w:tcMar>
            <w:vAlign w:val="top"/>
          </w:tcPr>
          <w:p>
            <w:r>
              <w:rPr>
                <w:sz w:val="17"/>
                <w:szCs w:val="17"/>
              </w:rPr>
              <w:t xml:space="preserve">[K3], [Q2]</w:t>
            </w:r>
          </w:p>
        </w:tc>
      </w:tr>
      <w:tr>
        <w:trPr>
          <w:cantSplit/>
        </w:trPr>
        <w:tc>
          <w:tcPr>
            <w:tcW w:type="dxa" w:w="4300"/>
            <w:tcMar>
              <w:top w:type="dxa" w:w="60"/>
              <w:left w:type="dxa" w:w="100"/>
              <w:bottom w:type="dxa" w:w="60"/>
              <w:right w:type="dxa" w:w="100"/>
            </w:tcMar>
            <w:vAlign w:val="top"/>
          </w:tcPr>
          <w:p>
            <w:r>
              <w:rPr>
                <w:sz w:val="17"/>
                <w:szCs w:val="17"/>
              </w:rPr>
              <w:t xml:space="preserve">1.3 Robustness to sampling: the scenario approach</w:t>
            </w:r>
          </w:p>
        </w:tc>
        <w:tc>
          <w:tcPr>
            <w:tcW w:type="dxa" w:w="5338"/>
            <w:tcMar>
              <w:top w:type="dxa" w:w="60"/>
              <w:left w:type="dxa" w:w="100"/>
              <w:bottom w:type="dxa" w:w="60"/>
              <w:right w:type="dxa" w:w="100"/>
            </w:tcMar>
            <w:vAlign w:val="top"/>
          </w:tcPr>
          <w:p>
            <w:r>
              <w:rPr>
                <w:sz w:val="17"/>
                <w:szCs w:val="17"/>
              </w:rPr>
              <w:t xml:space="preserve">[K1], [K2]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Robustness to the model</w:t>
            </w:r>
          </w:p>
        </w:tc>
        <w:tc>
          <w:tcPr>
            <w:tcW w:type="dxa" w:w="5338"/>
            <w:shd w:fill="F7F9FC" w:color="auto" w:val="clear"/>
            <w:tcMar>
              <w:top w:type="dxa" w:w="60"/>
              <w:left w:type="dxa" w:w="100"/>
              <w:bottom w:type="dxa" w:w="60"/>
              <w:right w:type="dxa" w:w="100"/>
            </w:tcMar>
            <w:vAlign w:val="top"/>
          </w:tcPr>
          <w:p>
            <w:r>
              <w:rPr>
                <w:sz w:val="17"/>
                <w:szCs w:val="17"/>
              </w:rPr>
              <w:t xml:space="preserve">[K4], [K5], [C5]</w:t>
            </w:r>
          </w:p>
        </w:tc>
      </w:tr>
      <w:tr>
        <w:trPr>
          <w:cantSplit/>
        </w:trPr>
        <w:tc>
          <w:tcPr>
            <w:tcW w:type="dxa" w:w="4300"/>
            <w:tcMar>
              <w:top w:type="dxa" w:w="60"/>
              <w:left w:type="dxa" w:w="100"/>
              <w:bottom w:type="dxa" w:w="60"/>
              <w:right w:type="dxa" w:w="100"/>
            </w:tcMar>
            <w:vAlign w:val="top"/>
          </w:tcPr>
          <w:p>
            <w:r>
              <w:rPr>
                <w:sz w:val="17"/>
                <w:szCs w:val="17"/>
              </w:rPr>
              <w:t xml:space="preserve">1.5 Uniqueness, well-posedness, identifiability</w:t>
            </w:r>
          </w:p>
        </w:tc>
        <w:tc>
          <w:tcPr>
            <w:tcW w:type="dxa" w:w="5338"/>
            <w:tcMar>
              <w:top w:type="dxa" w:w="60"/>
              <w:left w:type="dxa" w:w="100"/>
              <w:bottom w:type="dxa" w:w="60"/>
              <w:right w:type="dxa" w:w="100"/>
            </w:tcMar>
            <w:vAlign w:val="top"/>
          </w:tcPr>
          <w:p>
            <w:r>
              <w:rPr>
                <w:sz w:val="17"/>
                <w:szCs w:val="17"/>
              </w:rPr>
              <w:t xml:space="preserve">[N1], [N2], [N3], [N4], [N5], [C3]</w:t>
            </w:r>
          </w:p>
        </w:tc>
      </w:tr>
    </w:tbl>
    <w:p>
      <w:pPr>
        <w:spacing w:after="160"/>
      </w:pPr>
    </w:p>
    <w:p>
      <w:pPr>
        <w:pStyle w:val="Heading3"/>
      </w:pPr>
      <w:r>
        <w:rPr>
          <w:color w:val="1F3864"/>
        </w:rPr>
        <w:t xml:space="preserve">8.2 Uncertainty: computing the risk of a scheme well</w:t>
      </w:r>
    </w:p>
    <w:p>
      <w:pPr>
        <w:spacing w:after="120"/>
        <w:jc w:val="both"/>
      </w:pPr>
      <w:r>
        <w:t xml:space="preserve">The UQ papers answer how to compute posteriors and expectations with guarantees: samplers whose geometry and approximation error are now understood [C1, C2, C4], conditioning of Gaussian priors on nonlinear data with a representer theorem [C3], multilevel estimators that keep their efficiency for random-field PDEs [Q1] and even for indicators of threshold events [Q2], and estimators aimed at one target expectation [Q3, Q4]. For a recharge scheme the target is a probability of intrusion, the indicator of a head falling below </w:t>
      </w:r>
      <m:oMath>
        <m:sSub>
          <m:e>
            <m:r>
              <m:t>h</m:t>
            </m:r>
          </m:e>
          <m:sub>
            <m:r>
              <m:t>c</m:t>
            </m:r>
          </m:sub>
        </m:sSub>
      </m:oMath>
      <w:r>
        <w:t xml:space="preserve">; Q2 and Q3 address exactly that structure but not yet for a groundwater PDE. None of them reports the law over plausible aquifers of the risk itself, which is what a utility needs to judge how sure the scheme is.</w:t>
      </w:r>
    </w:p>
    <w:p>
      <w:pPr>
        <w:pStyle w:val="Heading3"/>
      </w:pPr>
      <w:r>
        <w:rPr>
          <w:color w:val="1F3864"/>
        </w:rPr>
        <w:t xml:space="preserve">8.3 Risk and robustness: what can be guaranteed</w:t>
      </w:r>
    </w:p>
    <w:p>
      <w:pPr>
        <w:spacing w:after="120"/>
        <w:jc w:val="both"/>
      </w:pPr>
      <w:r>
        <w:t xml:space="preserve">Scenario theory gives distribution-free guarantees from samples [K1, K2], CVaR makes tails a design criterion with optimal ratios [K3], and robustness to untrusted predictions or to a range of distributions can be traded against performance [K4, K5, C5]. Two conditions recur: convexity and uniqueness of the solution. A recharge scheme provides the first, because heads are affine in the rates and the delivered rate is concave in the pumped rate; the second must be checked, and K2 shows how to certify a whole set of solutions when it fails.</w:t>
      </w:r>
    </w:p>
    <w:p>
      <w:pPr>
        <w:pStyle w:val="Heading3"/>
      </w:pPr>
      <w:r>
        <w:rPr>
          <w:color w:val="1F3864"/>
        </w:rPr>
        <w:t xml:space="preserve">8.4 Uniqueness: one scheme or many</w:t>
      </w:r>
    </w:p>
    <w:p>
      <w:pPr>
        <w:spacing w:after="120"/>
        <w:jc w:val="both"/>
      </w:pPr>
      <w:r>
        <w:t xml:space="preserve">Deflation finds distinct solutions of non-convex problems [N1, N3, NR1], discretisations converge to each isolated minimiser [N2], and low effective dimension explains why a global search can succeed [N4, N5]. For siting the question is discrete: are several different triples of wells equally good? Section 9 answers it by exhaustive search over every admissible triple and a discrete deflation, and finds that the answer depends on what one is uncertain about.</w:t>
      </w:r>
    </w:p>
    <w:p>
      <w:pPr>
        <w:pStyle w:val="Heading3"/>
      </w:pPr>
      <w:r>
        <w:rPr>
          <w:color w:val="1F3864"/>
        </w:rPr>
        <w:t xml:space="preserve">8.5 Map of opportunities</w:t>
      </w:r>
    </w:p>
    <w:p>
      <w:pPr>
        <w:spacing w:after="120"/>
        <w:jc w:val="both"/>
      </w:pPr>
      <w:r>
        <w:t xml:space="preserve">Each row joins the open problems of several cards into one research question that, to the extent of the searches of 26 October 2026, no published work has answered for a groundwater scheme. Row 1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A certificate for a recharge scheme</w:t>
            </w:r>
          </w:p>
        </w:tc>
        <w:tc>
          <w:tcPr>
            <w:tcW w:type="dxa" w:w="1800"/>
            <w:tcMar>
              <w:top w:type="dxa" w:w="60"/>
              <w:left w:type="dxa" w:w="100"/>
              <w:bottom w:type="dxa" w:w="60"/>
              <w:right w:type="dxa" w:w="100"/>
            </w:tcMar>
            <w:vAlign w:val="top"/>
          </w:tcPr>
          <w:p>
            <w:r>
              <w:rPr>
                <w:sz w:val="16"/>
                <w:szCs w:val="16"/>
              </w:rPr>
              <w:t xml:space="preserve">[K1], [K2], [B1], [B5]</w:t>
            </w:r>
          </w:p>
        </w:tc>
        <w:tc>
          <w:tcPr>
            <w:tcW w:type="dxa" w:w="4838"/>
            <w:tcMar>
              <w:top w:type="dxa" w:w="60"/>
              <w:left w:type="dxa" w:w="100"/>
              <w:bottom w:type="dxa" w:w="60"/>
              <w:right w:type="dxa" w:w="100"/>
            </w:tcMar>
            <w:vAlign w:val="top"/>
          </w:tcPr>
          <w:p>
            <w:r>
              <w:rPr>
                <w:sz w:val="16"/>
                <w:szCs w:val="16"/>
              </w:rPr>
              <w:t xml:space="preserve">Uncertainty, risk, distribution-free and model-robust guarantees and uniqueness, assembled for one scheme and checked on fresh scenarios. Begun in section 9 (SIGURIA-GO).</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Scenario guarantees for siting and rates together</w:t>
            </w:r>
          </w:p>
        </w:tc>
        <w:tc>
          <w:tcPr>
            <w:tcW w:type="dxa" w:w="1800"/>
            <w:shd w:fill="F7F9FC" w:color="auto" w:val="clear"/>
            <w:tcMar>
              <w:top w:type="dxa" w:w="60"/>
              <w:left w:type="dxa" w:w="100"/>
              <w:bottom w:type="dxa" w:w="60"/>
              <w:right w:type="dxa" w:w="100"/>
            </w:tcMar>
            <w:vAlign w:val="top"/>
          </w:tcPr>
          <w:p>
            <w:r>
              <w:rPr>
                <w:sz w:val="16"/>
                <w:szCs w:val="16"/>
              </w:rPr>
              <w:t xml:space="preserve">[K1], [K2], [N4]</w:t>
            </w:r>
          </w:p>
        </w:tc>
        <w:tc>
          <w:tcPr>
            <w:tcW w:type="dxa" w:w="4838"/>
            <w:shd w:fill="F7F9FC" w:color="auto" w:val="clear"/>
            <w:tcMar>
              <w:top w:type="dxa" w:w="60"/>
              <w:left w:type="dxa" w:w="100"/>
              <w:bottom w:type="dxa" w:w="60"/>
              <w:right w:type="dxa" w:w="100"/>
            </w:tcMar>
            <w:vAlign w:val="top"/>
          </w:tcPr>
          <w:p>
            <w:r>
              <w:rPr>
                <w:sz w:val="16"/>
                <w:szCs w:val="16"/>
              </w:rPr>
              <w:t xml:space="preserve">A mixed-integer scenario programme (which sites, which rates) with a compression bound that does not need a unique solution.</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Multilevel estimation of small intrusion probabilities</w:t>
            </w:r>
          </w:p>
        </w:tc>
        <w:tc>
          <w:tcPr>
            <w:tcW w:type="dxa" w:w="1800"/>
            <w:tcMar>
              <w:top w:type="dxa" w:w="60"/>
              <w:left w:type="dxa" w:w="100"/>
              <w:bottom w:type="dxa" w:w="60"/>
              <w:right w:type="dxa" w:w="100"/>
            </w:tcMar>
            <w:vAlign w:val="top"/>
          </w:tcPr>
          <w:p>
            <w:r>
              <w:rPr>
                <w:sz w:val="16"/>
                <w:szCs w:val="16"/>
              </w:rPr>
              <w:t xml:space="preserve">[Q1], [Q2], [Q3]</w:t>
            </w:r>
          </w:p>
        </w:tc>
        <w:tc>
          <w:tcPr>
            <w:tcW w:type="dxa" w:w="4838"/>
            <w:tcMar>
              <w:top w:type="dxa" w:w="60"/>
              <w:left w:type="dxa" w:w="100"/>
              <w:bottom w:type="dxa" w:w="60"/>
              <w:right w:type="dxa" w:w="100"/>
            </w:tcMar>
            <w:vAlign w:val="top"/>
          </w:tcPr>
          <w:p>
            <w:r>
              <w:rPr>
                <w:sz w:val="16"/>
                <w:szCs w:val="16"/>
              </w:rPr>
              <w:t xml:space="preserve">Branching or target-aware multilevel estimators for the indicator that a supply-well head falls below the threshold, with mesh levels of the groundwater model.</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Posterior samplers whose rates hold for groundwater posteriors</w:t>
            </w:r>
          </w:p>
        </w:tc>
        <w:tc>
          <w:tcPr>
            <w:tcW w:type="dxa" w:w="1800"/>
            <w:shd w:fill="F7F9FC" w:color="auto" w:val="clear"/>
            <w:tcMar>
              <w:top w:type="dxa" w:w="60"/>
              <w:left w:type="dxa" w:w="100"/>
              <w:bottom w:type="dxa" w:w="60"/>
              <w:right w:type="dxa" w:w="100"/>
            </w:tcMar>
            <w:vAlign w:val="top"/>
          </w:tcPr>
          <w:p>
            <w:r>
              <w:rPr>
                <w:sz w:val="16"/>
                <w:szCs w:val="16"/>
              </w:rPr>
              <w:t xml:space="preserve">[C1], [C2], [C4], [Q5]</w:t>
            </w:r>
          </w:p>
        </w:tc>
        <w:tc>
          <w:tcPr>
            <w:tcW w:type="dxa" w:w="4838"/>
            <w:shd w:fill="F7F9FC" w:color="auto" w:val="clear"/>
            <w:tcMar>
              <w:top w:type="dxa" w:w="60"/>
              <w:left w:type="dxa" w:w="100"/>
              <w:bottom w:type="dxa" w:w="60"/>
              <w:right w:type="dxa" w:w="100"/>
            </w:tcMar>
            <w:vAlign w:val="top"/>
          </w:tcPr>
          <w:p>
            <w:r>
              <w:rPr>
                <w:sz w:val="16"/>
                <w:szCs w:val="16"/>
              </w:rPr>
              <w:t xml:space="preserve">Rates for ensemble and transport samplers when the forward model is a steady flow equation in log-conductivity, and their effect on the computed risk.</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Robustness radii in physical units</w:t>
            </w:r>
          </w:p>
        </w:tc>
        <w:tc>
          <w:tcPr>
            <w:tcW w:type="dxa" w:w="1800"/>
            <w:tcMar>
              <w:top w:type="dxa" w:w="60"/>
              <w:left w:type="dxa" w:w="100"/>
              <w:bottom w:type="dxa" w:w="60"/>
              <w:right w:type="dxa" w:w="100"/>
            </w:tcMar>
            <w:vAlign w:val="top"/>
          </w:tcPr>
          <w:p>
            <w:r>
              <w:rPr>
                <w:sz w:val="16"/>
                <w:szCs w:val="16"/>
              </w:rPr>
              <w:t xml:space="preserve">[K5], [C5], [B5]</w:t>
            </w:r>
          </w:p>
        </w:tc>
        <w:tc>
          <w:tcPr>
            <w:tcW w:type="dxa" w:w="4838"/>
            <w:tcMar>
              <w:top w:type="dxa" w:w="60"/>
              <w:left w:type="dxa" w:w="100"/>
              <w:bottom w:type="dxa" w:w="60"/>
              <w:right w:type="dxa" w:w="100"/>
            </w:tcMar>
            <w:vAlign w:val="top"/>
          </w:tcPr>
          <w:p>
            <w:r>
              <w:rPr>
                <w:sz w:val="16"/>
                <w:szCs w:val="16"/>
              </w:rPr>
              <w:t xml:space="preserve">Ambiguity sets measured in metres of head, so that model error estimated in the field can be compared with what a scheme tolerates.</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Counting the distinct good schemes</w:t>
            </w:r>
          </w:p>
        </w:tc>
        <w:tc>
          <w:tcPr>
            <w:tcW w:type="dxa" w:w="1800"/>
            <w:shd w:fill="F7F9FC" w:color="auto" w:val="clear"/>
            <w:tcMar>
              <w:top w:type="dxa" w:w="60"/>
              <w:left w:type="dxa" w:w="100"/>
              <w:bottom w:type="dxa" w:w="60"/>
              <w:right w:type="dxa" w:w="100"/>
            </w:tcMar>
            <w:vAlign w:val="top"/>
          </w:tcPr>
          <w:p>
            <w:r>
              <w:rPr>
                <w:sz w:val="16"/>
                <w:szCs w:val="16"/>
              </w:rPr>
              <w:t xml:space="preserve">[N1], [N2], [N3], [K2]</w:t>
            </w:r>
          </w:p>
        </w:tc>
        <w:tc>
          <w:tcPr>
            <w:tcW w:type="dxa" w:w="4838"/>
            <w:shd w:fill="F7F9FC" w:color="auto" w:val="clear"/>
            <w:tcMar>
              <w:top w:type="dxa" w:w="60"/>
              <w:left w:type="dxa" w:w="100"/>
              <w:bottom w:type="dxa" w:w="60"/>
              <w:right w:type="dxa" w:w="100"/>
            </w:tcMar>
            <w:vAlign w:val="top"/>
          </w:tcPr>
          <w:p>
            <w:r>
              <w:rPr>
                <w:sz w:val="16"/>
                <w:szCs w:val="16"/>
              </w:rPr>
              <w:t xml:space="preserve">Deflation for discrete siting, with a stopping rule that bounds the number of distinct near-optimal schemes not yet found.</w:t>
            </w:r>
          </w:p>
        </w:tc>
      </w:tr>
    </w:tbl>
    <w:p>
      <w:pPr>
        <w:pStyle w:val="Heading1"/>
        <w:pageBreakBefore/>
      </w:pPr>
      <w:r>
        <w:rPr>
          <w:color w:val="92400E"/>
        </w:rPr>
        <w:t xml:space="preserve">9. The proposed innovation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rPr>
          <w:b/>
          <w:bCs/>
        </w:rPr>
        <w:t xml:space="preserve">SIGURIA-GO</w:t>
      </w:r>
      <w:r>
        <w:t xml:space="preserve"> (</w:t>
      </w:r>
      <w:r>
        <w:rPr>
          <w:i/>
          <w:iCs/>
        </w:rPr>
        <w:t xml:space="preserve">siguria</w:t>
      </w:r>
      <w:r>
        <w:t xml:space="preserve">: safety) is a certificate for a managed-aquifer-recharge scheme in four parts: the law over plausible aquifers of its intrusion risk (U), the probability of intrusion and the conditional value-at-risk of the head deficit (R), a distribution-free guarantee from samples and a robustness radius in metres of head (B), and the uniqueness of its rates and of its siting (N). It rests on one structural fact: heads are affine in the recharge rates and the rate a well delivers is concave in the rate asked of it, so every risk statement is a convex problem (Proposition S1) with exact guarantees (Propositions S2 and S3). At Fushë-Kuqe it shows that </w:t>
      </w:r>
      <w:r>
        <w:rPr>
          <w:b/>
          <w:bCs/>
        </w:rPr>
        <w:t xml:space="preserve">before any pilot test no three-well scheme can be certified</w:t>
      </w:r>
      <w:r>
        <w:t xml:space="preserve">: the best of 380,364 candidate schemes has </w:t>
      </w:r>
      <m:oMath>
        <m:r>
          <m:t>P</m:t>
        </m:r>
        <m:d>
          <m:dPr>
            <m:begChr m:val="("/>
            <m:sepChr m:val=""/>
            <m:endChr m:val=")"/>
            <m:grow/>
          </m:dPr>
          <m:e>
            <m:r>
              <m:rPr>
                <m:nor/>
              </m:rPr>
              <m:t>A or B intruded</m:t>
            </m:r>
          </m:e>
        </m:d>
        <m:r>
          <m:rPr>
            <m:sty m:val="p"/>
          </m:rPr>
          <m:t>=</m:t>
        </m:r>
        <m:r>
          <m:t>0.23</m:t>
        </m:r>
      </m:oMath>
      <w:r>
        <w:t xml:space="preserve">, in 14% of plausible futures no rate can save both wells, and the 12-zone model alone reports 0.10 for its own optimum. </w:t>
      </w:r>
      <w:r>
        <w:rPr>
          <w:b/>
          <w:bCs/>
        </w:rPr>
        <w:t xml:space="preserve">After the pilot tests VENDI-GO chooses</w:t>
      </w:r>
      <w:r>
        <w:t xml:space="preserve">, the scheme it builds is certified at the 5% level in 12 of 24 test aquifers and at the 10% level in 16, the posterior risk tracks the true risk, and re-splitting the same recharge by the CVaR programme lowers the risk of the typical scheme from 0.024 to 0.0024. The optimal rates are unique; the optimal siting is unique only once the aquifer is known.</w:t>
      </w:r>
    </w:p>
    <w:p>
      <w:pPr>
        <w:pStyle w:val="Heading3"/>
      </w:pPr>
      <w:r>
        <w:rPr>
          <w:color w:val="1F3864"/>
        </w:rPr>
        <w:t xml:space="preserve">9.1 The scheme and what is uncertain</w:t>
      </w:r>
    </w:p>
    <w:p>
      <w:pPr>
        <w:spacing w:after="120"/>
        <w:jc w:val="both"/>
      </w:pPr>
      <w:r>
        <w:t xml:space="preserve">A scheme is a set of three sites, at least 6 km apart in northing, and their rates </w:t>
      </w:r>
      <m:oMath>
        <m:r>
          <m:t>q</m:t>
        </m:r>
        <m:r>
          <m:rPr>
            <m:sty m:val="p"/>
          </m:rPr>
          <m:t>∈</m:t>
        </m:r>
        <m:sSup>
          <m:e>
            <m:d>
              <m:dPr>
                <m:begChr m:val="["/>
                <m:sepChr m:val=""/>
                <m:endChr m:val="]"/>
                <m:grow/>
              </m:dPr>
              <m:e>
                <m:r>
                  <m:t>0</m:t>
                </m:r>
                <m:r>
                  <m:rPr>
                    <m:sty m:val="p"/>
                  </m:rPr>
                  <m:t>,</m:t>
                </m:r>
                <m:sSub>
                  <m:e>
                    <m:r>
                      <m:t>q</m:t>
                    </m:r>
                  </m:e>
                  <m:sub>
                    <m:r>
                      <m:rPr>
                        <m:sty m:val="p"/>
                      </m:rPr>
                      <m:t>max</m:t>
                    </m:r>
                  </m:sub>
                </m:sSub>
              </m:e>
            </m:d>
          </m:e>
          <m:sup>
            <m:r>
              <m:t>3</m:t>
            </m:r>
          </m:sup>
        </m:sSup>
      </m:oMath>
      <w:r>
        <w:t xml:space="preserve">. Its outcome depends on what VENDI-GO (review 53) also treats as unknown: the twelve zonal log-conductivities and a finer field the zones cannot represent, the injectivity </w:t>
      </w:r>
      <m:oMath>
        <m:sSub>
          <m:e>
            <m:r>
              <m:t>c</m:t>
            </m:r>
          </m:e>
          <m:sub>
            <m:r>
              <m:t>k</m:t>
            </m:r>
          </m:sub>
        </m:sSub>
      </m:oMath>
      <w:r>
        <w:t xml:space="preserve"> of each well and the future change </w:t>
      </w:r>
      <m:oMath>
        <m:r>
          <m:t>ξ</m:t>
        </m:r>
      </m:oMath>
      <w:r>
        <w:t xml:space="preserve"> of mean recharge. For one draw of all of them the heads of the supply wells are </w:t>
      </w:r>
      <m:oMath>
        <m:sSub>
          <m:e>
            <m:r>
              <m:t>H</m:t>
            </m:r>
          </m:e>
          <m:sub>
            <m:r>
              <m:t>w</m:t>
            </m:r>
          </m:sub>
        </m:sSub>
        <m:d>
          <m:dPr>
            <m:begChr m:val="("/>
            <m:sepChr m:val=""/>
            <m:endChr m:val=")"/>
            <m:grow/>
          </m:dPr>
          <m:e>
            <m:r>
              <m:t>q</m:t>
            </m:r>
          </m:e>
        </m:d>
        <m:r>
          <m:rPr>
            <m:sty m:val="p"/>
          </m:rPr>
          <m:t>=</m:t>
        </m:r>
        <m:d>
          <m:dPr>
            <m:begChr m:val="("/>
            <m:sepChr m:val=""/>
            <m:endChr m:val=")"/>
            <m:grow/>
          </m:dPr>
          <m:e>
            <m:r>
              <m:t>1</m:t>
            </m:r>
            <m:r>
              <m:rPr>
                <m:sty m:val="p"/>
              </m:rPr>
              <m:t>+</m:t>
            </m:r>
            <m:r>
              <m:t>ξ</m:t>
            </m:r>
          </m:e>
        </m:d>
        <m:sSub>
          <m:e>
            <m:r>
              <m:t>h</m:t>
            </m:r>
          </m:e>
          <m:sub>
            <m:r>
              <m:t>n</m:t>
            </m:r>
            <m:r>
              <m:rPr>
                <m:sty m:val="p"/>
              </m:rPr>
              <m:t>,</m:t>
            </m:r>
            <m:r>
              <m:t>w</m:t>
            </m:r>
          </m:sub>
        </m:sSub>
        <m:r>
          <m:rPr>
            <m:sty m:val="p"/>
          </m:rPr>
          <m:t>−</m:t>
        </m:r>
        <m:sSub>
          <m:e>
            <m:r>
              <m:t>Q</m:t>
            </m:r>
          </m:e>
          <m:sub>
            <m:r>
              <m:t>A</m:t>
            </m:r>
          </m:sub>
        </m:sSub>
        <m:sSub>
          <m:e>
            <m:r>
              <m:t>g</m:t>
            </m:r>
          </m:e>
          <m:sub>
            <m:r>
              <m:t>w</m:t>
            </m:r>
          </m:sub>
        </m:sSub>
        <m:d>
          <m:dPr>
            <m:begChr m:val="("/>
            <m:sepChr m:val=""/>
            <m:endChr m:val=")"/>
            <m:grow/>
          </m:dPr>
          <m:e>
            <m:r>
              <m:rPr>
                <m:nor/>
              </m:rPr>
              <m:t>A</m:t>
            </m:r>
          </m:e>
        </m:d>
        <m:r>
          <m:rPr>
            <m:sty m:val="p"/>
          </m:rPr>
          <m:t>−</m:t>
        </m:r>
        <m:sSub>
          <m:e>
            <m:r>
              <m:t>Q</m:t>
            </m:r>
          </m:e>
          <m:sub>
            <m:r>
              <m:t>B</m:t>
            </m:r>
          </m:sub>
        </m:sSub>
        <m:sSub>
          <m:e>
            <m:r>
              <m:t>g</m:t>
            </m:r>
          </m:e>
          <m:sub>
            <m:r>
              <m:t>w</m:t>
            </m:r>
          </m:sub>
        </m:sSub>
        <m:d>
          <m:dPr>
            <m:begChr m:val="("/>
            <m:sepChr m:val=""/>
            <m:endChr m:val=")"/>
            <m:grow/>
          </m:dPr>
          <m:e>
            <m:r>
              <m:rPr>
                <m:nor/>
              </m:rPr>
              <m:t>B</m:t>
            </m:r>
          </m:e>
        </m:d>
        <m:r>
          <m:rPr>
            <m:sty m:val="p"/>
          </m:rPr>
          <m:t>+</m:t>
        </m:r>
        <m:nary>
          <m:naryPr>
            <m:chr m:val="∑"/>
            <m:limLoc m:val="undOvr"/>
            <m:subHide m:val="off"/>
            <m:supHide m:val="on"/>
          </m:naryPr>
          <m:sub>
            <m:r>
              <m:t>k</m:t>
            </m:r>
          </m:sub>
          <m:sup>
            <m:r>
              <m:t>​</m:t>
            </m:r>
          </m:sup>
          <m:e>
            <m:sSub>
              <m:e>
                <m:r>
                  <m:t>g</m:t>
                </m:r>
              </m:e>
              <m:sub>
                <m:r>
                  <m:t>w</m:t>
                </m:r>
              </m:sub>
            </m:sSub>
          </m:e>
        </m:nary>
        <m:d>
          <m:dPr>
            <m:begChr m:val="("/>
            <m:sepChr m:val=""/>
            <m:endChr m:val=")"/>
            <m:grow/>
          </m:dPr>
          <m:e>
            <m:r>
              <m:t>k</m:t>
            </m:r>
          </m:e>
        </m:d>
        <m:r>
          <m:rPr>
            <m:sty m:val="p"/>
          </m:rPr>
          <m:t>min</m:t>
        </m:r>
        <m:d>
          <m:dPr>
            <m:begChr m:val="("/>
            <m:sepChr m:val=""/>
            <m:endChr m:val=")"/>
            <m:grow/>
          </m:dPr>
          <m:e>
            <m:sSub>
              <m:e>
                <m:r>
                  <m:t>q</m:t>
                </m:r>
              </m:e>
              <m:sub>
                <m:r>
                  <m:t>k</m:t>
                </m:r>
              </m:sub>
            </m:sSub>
            <m:r>
              <m:rPr>
                <m:sty m:val="p"/>
              </m:rPr>
              <m:t>,</m:t>
            </m:r>
            <m:sSub>
              <m:e>
                <m:r>
                  <m:t>c</m:t>
                </m:r>
              </m:e>
              <m:sub>
                <m:r>
                  <m:t>k</m:t>
                </m:r>
              </m:sub>
            </m:sSub>
          </m:e>
        </m:d>
      </m:oMath>
      <w:r>
        <w:t xml:space="preserve">. SIGURIA-GO is built on the same generator: 4,000 draws to search and optimise, 4,000 more for the linear programmes and 20,000 fresh draws to check every statement, plus 4,000 draws of the 12-zone model alone, paired with the search draws, to measure the cost of ignoring the finer field.</w:t>
      </w:r>
    </w:p>
    <w:p>
      <w:pPr>
        <w:pStyle w:val="Heading3"/>
      </w:pPr>
      <w:r>
        <w:rPr>
          <w:color w:val="1F3864"/>
        </w:rPr>
        <w:t xml:space="preserve">9.2 Proposition S1: the risk of a scheme is convex in its rates</w:t>
      </w:r>
    </w:p>
    <w:p>
      <w:pPr>
        <w:spacing w:after="120"/>
        <w:jc w:val="both"/>
      </w:pPr>
      <w:r>
        <w:rPr>
          <w:b/>
          <w:bCs/>
        </w:rPr>
        <w:t xml:space="preserve">Proposition S1.</w:t>
      </w:r>
      <w:r>
        <w:t xml:space="preserve"> For every draw the head deficit </w:t>
      </w:r>
      <m:oMath>
        <m:r>
          <m:t>D</m:t>
        </m:r>
        <m:d>
          <m:dPr>
            <m:begChr m:val="("/>
            <m:sepChr m:val=""/>
            <m:endChr m:val=")"/>
            <m:grow/>
          </m:dPr>
          <m:e>
            <m:r>
              <m:t>q</m:t>
            </m:r>
          </m:e>
        </m:d>
        <m:r>
          <m:rPr>
            <m:sty m:val="p"/>
          </m:rPr>
          <m:t>=</m:t>
        </m:r>
        <m:sSub>
          <m:e>
            <m:r>
              <m:rPr>
                <m:sty m:val="p"/>
              </m:rPr>
              <m:t>max</m:t>
            </m:r>
          </m:e>
          <m:sub>
            <m:r>
              <m:t>w</m:t>
            </m:r>
          </m:sub>
        </m:sSub>
        <m:d>
          <m:dPr>
            <m:begChr m:val="("/>
            <m:sepChr m:val=""/>
            <m:endChr m:val=")"/>
            <m:grow/>
          </m:dPr>
          <m:e>
            <m:sSub>
              <m:e>
                <m:r>
                  <m:t>h</m:t>
                </m:r>
              </m:e>
              <m:sub>
                <m:r>
                  <m:t>c</m:t>
                </m:r>
              </m:sub>
            </m:sSub>
            <m:r>
              <m:rPr>
                <m:sty m:val="p"/>
              </m:rPr>
              <m:t>−</m:t>
            </m:r>
            <m:sSub>
              <m:e>
                <m:r>
                  <m:t>H</m:t>
                </m:r>
              </m:e>
              <m:sub>
                <m:r>
                  <m:t>w</m:t>
                </m:r>
              </m:sub>
            </m:sSub>
            <m:d>
              <m:dPr>
                <m:begChr m:val="("/>
                <m:sepChr m:val=""/>
                <m:endChr m:val=")"/>
                <m:grow/>
              </m:dPr>
              <m:e>
                <m:r>
                  <m:t>q</m:t>
                </m:r>
              </m:e>
            </m:d>
          </m:e>
        </m:d>
      </m:oMath>
      <w:r>
        <w:t xml:space="preserve"> is convex in </w:t>
      </w:r>
      <m:oMath>
        <m:r>
          <m:t>q</m:t>
        </m:r>
      </m:oMath>
      <w:r>
        <w:t xml:space="preserve">, so </w:t>
      </w:r>
      <m:oMath>
        <m:sSub>
          <m:e>
            <m:r>
              <m:rPr>
                <m:nor/>
              </m:rPr>
              <m:t>CVaR</m:t>
            </m:r>
          </m:e>
          <m:sub>
            <m:r>
              <m:t>α</m:t>
            </m:r>
          </m:sub>
        </m:sSub>
        <m:d>
          <m:dPr>
            <m:begChr m:val="("/>
            <m:sepChr m:val=""/>
            <m:endChr m:val=")"/>
            <m:grow/>
          </m:dPr>
          <m:e>
            <m:r>
              <m:t>D</m:t>
            </m:r>
            <m:d>
              <m:dPr>
                <m:begChr m:val="("/>
                <m:sepChr m:val=""/>
                <m:endChr m:val=")"/>
                <m:grow/>
              </m:dPr>
              <m:e>
                <m:r>
                  <m:t>q</m:t>
                </m:r>
              </m:e>
            </m:d>
          </m:e>
        </m:d>
      </m:oMath>
      <w:r>
        <w:t xml:space="preserve"> is convex, and on </w:t>
      </w:r>
      <m:oMath>
        <m:r>
          <m:t>N</m:t>
        </m:r>
      </m:oMath>
      <w:r>
        <w:t xml:space="preserve"> scenarios the scheme of least CVaR for a recharge budget </w:t>
      </w:r>
      <m:oMath>
        <m:r>
          <m:t>B</m:t>
        </m:r>
      </m:oMath>
      <w:r>
        <w:t xml:space="preserve"> is the linear programme</w:t>
      </w:r>
    </w:p>
    <w:p>
      <w:pPr>
        <w:pStyle w:val="Equation"/>
      </w:pPr>
      <m:oMathPara>
        <m:oMathParaPr>
          <m:jc m:val="center"/>
        </m:oMathParaPr>
        <m:oMath>
          <m:limLow>
            <m:e>
              <m:r>
                <m:rPr>
                  <m:sty m:val="p"/>
                </m:rPr>
                <m:t>min</m:t>
              </m:r>
            </m:e>
            <m:lim>
              <m:r>
                <m:t>q</m:t>
              </m:r>
              <m:r>
                <m:rPr>
                  <m:sty m:val="p"/>
                </m:rPr>
                <m:t>,</m:t>
              </m:r>
              <m:r>
                <m:t>d</m:t>
              </m:r>
              <m:r>
                <m:rPr>
                  <m:sty m:val="p"/>
                </m:rPr>
                <m:t>,</m:t>
              </m:r>
              <m:r>
                <m:t>t</m:t>
              </m:r>
              <m:r>
                <m:rPr>
                  <m:sty m:val="p"/>
                </m:rPr>
                <m:t>,</m:t>
              </m:r>
              <m:r>
                <m:t>u</m:t>
              </m:r>
            </m:lim>
          </m:limLow>
          <m:r>
            <m:t> </m:t>
          </m:r>
          <m:r>
            <m:t>t</m:t>
          </m:r>
          <m:r>
            <m:rPr>
              <m:sty m:val="p"/>
            </m:rPr>
            <m:t>+</m:t>
          </m:r>
          <m:f>
            <m:fPr>
              <m:type m:val="bar"/>
            </m:fPr>
            <m:num>
              <m:r>
                <m:t>1</m:t>
              </m:r>
            </m:num>
            <m:den>
              <m:r>
                <m:t>α</m:t>
              </m:r>
              <m:r>
                <m:t>N</m:t>
              </m:r>
            </m:den>
          </m:f>
          <m:nary>
            <m:naryPr>
              <m:chr m:val="∑"/>
              <m:limLoc m:val="undOvr"/>
              <m:subHide m:val="off"/>
              <m:supHide m:val="off"/>
            </m:naryPr>
            <m:sub>
              <m:r>
                <m:t>i</m:t>
              </m:r>
              <m:r>
                <m:rPr>
                  <m:sty m:val="p"/>
                </m:rPr>
                <m:t>=</m:t>
              </m:r>
              <m:r>
                <m:t>1</m:t>
              </m:r>
            </m:sub>
            <m:sup>
              <m:r>
                <m:t>N</m:t>
              </m:r>
            </m:sup>
            <m:e>
              <m:sSub>
                <m:e>
                  <m:r>
                    <m:t>u</m:t>
                  </m:r>
                </m:e>
                <m:sub>
                  <m:r>
                    <m:t>i</m:t>
                  </m:r>
                </m:sub>
              </m:sSub>
            </m:e>
          </m:nary>
          <m:r>
            <m:t> </m:t>
          </m:r>
          <m:r>
            <m:rPr>
              <m:nor/>
            </m:rPr>
            <m:t>s.t.</m:t>
          </m:r>
          <m:r>
            <m:t> </m:t>
          </m:r>
          <m:sSub>
            <m:e>
              <m:r>
                <m:t>u</m:t>
              </m:r>
            </m:e>
            <m:sub>
              <m:r>
                <m:t>i</m:t>
              </m:r>
            </m:sub>
          </m:sSub>
          <m:r>
            <m:rPr>
              <m:sty m:val="p"/>
            </m:rPr>
            <m:t>≥</m:t>
          </m:r>
          <m:sSub>
            <m:e>
              <m:r>
                <m:t>h</m:t>
              </m:r>
            </m:e>
            <m:sub>
              <m:r>
                <m:t>c</m:t>
              </m:r>
            </m:sub>
          </m:sSub>
          <m:r>
            <m:rPr>
              <m:sty m:val="p"/>
            </m:rPr>
            <m:t>−</m:t>
          </m:r>
          <m:sSubSup>
            <m:e>
              <m:r>
                <m:t>H</m:t>
              </m:r>
            </m:e>
            <m:sub>
              <m:r>
                <m:t>i</m:t>
              </m:r>
              <m:r>
                <m:t>w</m:t>
              </m:r>
            </m:sub>
            <m:sup>
              <m:r>
                <m:t>0</m:t>
              </m:r>
            </m:sup>
          </m:sSubSup>
          <m:r>
            <m:rPr>
              <m:sty m:val="p"/>
            </m:rPr>
            <m:t>−</m:t>
          </m:r>
          <m:nary>
            <m:naryPr>
              <m:chr m:val="∑"/>
              <m:limLoc m:val="undOvr"/>
              <m:subHide m:val="off"/>
              <m:supHide m:val="on"/>
            </m:naryPr>
            <m:sub>
              <m:r>
                <m:t>k</m:t>
              </m:r>
            </m:sub>
            <m:sup>
              <m:r>
                <m:t>​</m:t>
              </m:r>
            </m:sup>
            <m:e>
              <m:sSub>
                <m:e>
                  <m:r>
                    <m:t>g</m:t>
                  </m:r>
                </m:e>
                <m:sub>
                  <m:r>
                    <m:t>i</m:t>
                  </m:r>
                  <m:r>
                    <m:t>w</m:t>
                  </m:r>
                  <m:r>
                    <m:t>k</m:t>
                  </m:r>
                </m:sub>
              </m:sSub>
            </m:e>
          </m:nary>
          <m:r>
            <m:t> </m:t>
          </m:r>
          <m:sSub>
            <m:e>
              <m:r>
                <m:t>d</m:t>
              </m:r>
            </m:e>
            <m:sub>
              <m:r>
                <m:t>i</m:t>
              </m:r>
              <m:r>
                <m:t>k</m:t>
              </m:r>
            </m:sub>
          </m:sSub>
          <m:r>
            <m:rPr>
              <m:sty m:val="p"/>
            </m:rPr>
            <m:t>−</m:t>
          </m:r>
          <m:r>
            <m:t>t</m:t>
          </m:r>
          <m:r>
            <m:rPr>
              <m:sty m:val="p"/>
            </m:rPr>
            <m:t>,</m:t>
          </m:r>
          <m:r>
            <m:t> </m:t>
          </m:r>
          <m:r>
            <m:t> </m:t>
          </m:r>
          <m:sSub>
            <m:e>
              <m:r>
                <m:t>u</m:t>
              </m:r>
            </m:e>
            <m:sub>
              <m:r>
                <m:t>i</m:t>
              </m:r>
            </m:sub>
          </m:sSub>
          <m:r>
            <m:rPr>
              <m:sty m:val="p"/>
            </m:rPr>
            <m:t>≥</m:t>
          </m:r>
          <m:r>
            <m:t>0</m:t>
          </m:r>
          <m:r>
            <m:rPr>
              <m:sty m:val="p"/>
            </m:rPr>
            <m:t>,</m:t>
          </m:r>
          <m:r>
            <m:t> </m:t>
          </m:r>
          <m:r>
            <m:t> </m:t>
          </m:r>
          <m:sSub>
            <m:e>
              <m:r>
                <m:t>d</m:t>
              </m:r>
            </m:e>
            <m:sub>
              <m:r>
                <m:t>i</m:t>
              </m:r>
              <m:r>
                <m:t>k</m:t>
              </m:r>
            </m:sub>
          </m:sSub>
          <m:r>
            <m:rPr>
              <m:sty m:val="p"/>
            </m:rPr>
            <m:t>≤</m:t>
          </m:r>
          <m:sSub>
            <m:e>
              <m:r>
                <m:t>q</m:t>
              </m:r>
            </m:e>
            <m:sub>
              <m:r>
                <m:t>k</m:t>
              </m:r>
            </m:sub>
          </m:sSub>
          <m:r>
            <m:rPr>
              <m:sty m:val="p"/>
            </m:rPr>
            <m:t>,</m:t>
          </m:r>
          <m:r>
            <m:t> </m:t>
          </m:r>
          <m:r>
            <m:t> </m:t>
          </m:r>
          <m:sSub>
            <m:e>
              <m:r>
                <m:t>d</m:t>
              </m:r>
            </m:e>
            <m:sub>
              <m:r>
                <m:t>i</m:t>
              </m:r>
              <m:r>
                <m:t>k</m:t>
              </m:r>
            </m:sub>
          </m:sSub>
          <m:r>
            <m:rPr>
              <m:sty m:val="p"/>
            </m:rPr>
            <m:t>≤</m:t>
          </m:r>
          <m:sSub>
            <m:e>
              <m:r>
                <m:t>c</m:t>
              </m:r>
            </m:e>
            <m:sub>
              <m:r>
                <m:t>i</m:t>
              </m:r>
              <m:r>
                <m:t>k</m:t>
              </m:r>
            </m:sub>
          </m:sSub>
          <m:r>
            <m:rPr>
              <m:sty m:val="p"/>
            </m:rPr>
            <m:t>,</m:t>
          </m:r>
          <m:r>
            <m:t> </m:t>
          </m:r>
          <m:r>
            <m:t> </m:t>
          </m:r>
          <m:nary>
            <m:naryPr>
              <m:chr m:val="∑"/>
              <m:limLoc m:val="undOvr"/>
              <m:subHide m:val="off"/>
              <m:supHide m:val="on"/>
            </m:naryPr>
            <m:sub>
              <m:r>
                <m:t>k</m:t>
              </m:r>
            </m:sub>
            <m:sup>
              <m:r>
                <m:t>​</m:t>
              </m:r>
            </m:sup>
            <m:e>
              <m:sSub>
                <m:e>
                  <m:r>
                    <m:t>q</m:t>
                  </m:r>
                </m:e>
                <m:sub>
                  <m:r>
                    <m:t>k</m:t>
                  </m:r>
                </m:sub>
              </m:sSub>
            </m:e>
          </m:nary>
          <m:r>
            <m:rPr>
              <m:sty m:val="p"/>
            </m:rPr>
            <m:t>≤</m:t>
          </m:r>
          <m:r>
            <m:t>B</m:t>
          </m:r>
        </m:oMath>
      </m:oMathPara>
    </w:p>
    <w:p>
      <w:pPr>
        <w:spacing w:after="120"/>
        <w:jc w:val="both"/>
      </w:pPr>
      <w:r>
        <w:t xml:space="preserve">with </w:t>
      </w:r>
      <m:oMath>
        <m:sSubSup>
          <m:e>
            <m:r>
              <m:t>H</m:t>
            </m:r>
          </m:e>
          <m:sub>
            <m:r>
              <m:t>i</m:t>
            </m:r>
            <m:r>
              <m:t>w</m:t>
            </m:r>
          </m:sub>
          <m:sup>
            <m:r>
              <m:t>0</m:t>
            </m:r>
          </m:sup>
        </m:sSubSup>
      </m:oMath>
      <w:r>
        <w:t xml:space="preserve"> the head without recharge in scenario </w:t>
      </w:r>
      <m:oMath>
        <m:r>
          <m:t>i</m:t>
        </m:r>
      </m:oMath>
      <w:r>
        <w:t xml:space="preserve">; replacing the objective by </w:t>
      </w:r>
      <m:oMath>
        <m:nary>
          <m:naryPr>
            <m:chr m:val="∑"/>
            <m:limLoc m:val="undOvr"/>
            <m:subHide m:val="off"/>
            <m:supHide m:val="on"/>
          </m:naryPr>
          <m:sub>
            <m:r>
              <m:t>k</m:t>
            </m:r>
          </m:sub>
          <m:sup>
            <m:r>
              <m:t>​</m:t>
            </m:r>
          </m:sup>
          <m:e>
            <m:sSub>
              <m:e>
                <m:r>
                  <m:t>q</m:t>
                </m:r>
              </m:e>
              <m:sub>
                <m:r>
                  <m:t>k</m:t>
                </m:r>
              </m:sub>
            </m:sSub>
          </m:e>
        </m:nary>
      </m:oMath>
      <w:r>
        <w:t xml:space="preserve"> and the CVaR by the constraints </w:t>
      </w:r>
      <m:oMath>
        <m:sSub>
          <m:e>
            <m:r>
              <m:t>D</m:t>
            </m:r>
          </m:e>
          <m:sub>
            <m:r>
              <m:t>i</m:t>
            </m:r>
          </m:sub>
        </m:sSub>
        <m:d>
          <m:dPr>
            <m:begChr m:val="("/>
            <m:sepChr m:val=""/>
            <m:endChr m:val=")"/>
            <m:grow/>
          </m:dPr>
          <m:e>
            <m:r>
              <m:t>q</m:t>
            </m:r>
          </m:e>
        </m:d>
        <m:r>
          <m:rPr>
            <m:sty m:val="p"/>
          </m:rPr>
          <m:t>≤</m:t>
        </m:r>
        <m:r>
          <m:t>0</m:t>
        </m:r>
      </m:oMath>
      <w:r>
        <w:t xml:space="preserve"> gives the minimum-recharge scheme that is safe in every kept scenario. </w:t>
      </w:r>
      <w:r>
        <w:rPr>
          <w:i/>
          <w:iCs/>
        </w:rPr>
        <w:t xml:space="preserve">Proof.</w:t>
      </w:r>
      <w:r>
        <w:t xml:space="preserve"> </w:t>
      </w:r>
      <m:oMath>
        <m:r>
          <m:rPr>
            <m:sty m:val="p"/>
          </m:rPr>
          <m:t>min</m:t>
        </m:r>
        <m:d>
          <m:dPr>
            <m:begChr m:val="("/>
            <m:sepChr m:val=""/>
            <m:endChr m:val=")"/>
            <m:grow/>
          </m:dPr>
          <m:e>
            <m:sSub>
              <m:e>
                <m:r>
                  <m:t>q</m:t>
                </m:r>
              </m:e>
              <m:sub>
                <m:r>
                  <m:t>k</m:t>
                </m:r>
              </m:sub>
            </m:sSub>
            <m:r>
              <m:rPr>
                <m:sty m:val="p"/>
              </m:rPr>
              <m:t>,</m:t>
            </m:r>
            <m:sSub>
              <m:e>
                <m:r>
                  <m:t>c</m:t>
                </m:r>
              </m:e>
              <m:sub>
                <m:r>
                  <m:t>k</m:t>
                </m:r>
              </m:sub>
            </m:sSub>
          </m:e>
        </m:d>
      </m:oMath>
      <w:r>
        <w:t xml:space="preserve"> is concave and non-decreasing and </w:t>
      </w:r>
      <m:oMath>
        <m:sSub>
          <m:e>
            <m:r>
              <m:t>g</m:t>
            </m:r>
          </m:e>
          <m:sub>
            <m:r>
              <m:t>w</m:t>
            </m:r>
            <m:r>
              <m:t>k</m:t>
            </m:r>
          </m:sub>
        </m:sSub>
        <m:r>
          <m:rPr>
            <m:sty m:val="p"/>
          </m:rPr>
          <m:t>≥</m:t>
        </m:r>
        <m:r>
          <m:t>0</m:t>
        </m:r>
      </m:oMath>
      <w:r>
        <w:t xml:space="preserve">, so each </w:t>
      </w:r>
      <m:oMath>
        <m:sSub>
          <m:e>
            <m:r>
              <m:t>H</m:t>
            </m:r>
          </m:e>
          <m:sub>
            <m:r>
              <m:t>w</m:t>
            </m:r>
          </m:sub>
        </m:sSub>
      </m:oMath>
      <w:r>
        <w:t xml:space="preserve"> is concave and each </w:t>
      </w:r>
      <m:oMath>
        <m:sSub>
          <m:e>
            <m:r>
              <m:t>h</m:t>
            </m:r>
          </m:e>
          <m:sub>
            <m:r>
              <m:t>c</m:t>
            </m:r>
          </m:sub>
        </m:sSub>
        <m:r>
          <m:rPr>
            <m:sty m:val="p"/>
          </m:rPr>
          <m:t>−</m:t>
        </m:r>
        <m:sSub>
          <m:e>
            <m:r>
              <m:t>H</m:t>
            </m:r>
          </m:e>
          <m:sub>
            <m:r>
              <m:t>w</m:t>
            </m:r>
          </m:sub>
        </m:sSub>
      </m:oMath>
      <w:r>
        <w:t xml:space="preserve"> convex; a maximum of convex functions is convex, and CVaR, an infimum over </w:t>
      </w:r>
      <m:oMath>
        <m:r>
          <m:t>t</m:t>
        </m:r>
      </m:oMath>
      <w:r>
        <w:t xml:space="preserve"> of an expectation of the convex function </w:t>
      </w:r>
      <m:oMath>
        <m:sSup>
          <m:e>
            <m:d>
              <m:dPr>
                <m:begChr m:val="("/>
                <m:sepChr m:val=""/>
                <m:endChr m:val=")"/>
                <m:grow/>
              </m:dPr>
              <m:e>
                <m:r>
                  <m:t>D</m:t>
                </m:r>
                <m:r>
                  <m:rPr>
                    <m:sty m:val="p"/>
                  </m:rPr>
                  <m:t>−</m:t>
                </m:r>
                <m:r>
                  <m:t>t</m:t>
                </m:r>
              </m:e>
            </m:d>
          </m:e>
          <m:sup>
            <m:r>
              <m:rPr>
                <m:nor/>
              </m:rPr>
              <m:t>+</m:t>
            </m:r>
          </m:sup>
        </m:sSup>
      </m:oMath>
      <w:r>
        <w:t xml:space="preserve"> jointly convex in </w:t>
      </w:r>
      <m:oMath>
        <m:d>
          <m:dPr>
            <m:begChr m:val="("/>
            <m:sepChr m:val=""/>
            <m:endChr m:val=")"/>
            <m:grow/>
          </m:dPr>
          <m:e>
            <m:r>
              <m:t>q</m:t>
            </m:r>
            <m:r>
              <m:rPr>
                <m:sty m:val="p"/>
              </m:rPr>
              <m:t>,</m:t>
            </m:r>
            <m:r>
              <m:t>t</m:t>
            </m:r>
          </m:e>
        </m:d>
      </m:oMath>
      <w:r>
        <w:t xml:space="preserve">, is convex [B1]. In the programme the delivered rate </w:t>
      </w:r>
      <m:oMath>
        <m:sSub>
          <m:e>
            <m:r>
              <m:t>d</m:t>
            </m:r>
          </m:e>
          <m:sub>
            <m:r>
              <m:t>i</m:t>
            </m:r>
            <m:r>
              <m:t>k</m:t>
            </m:r>
          </m:sub>
        </m:sSub>
      </m:oMath>
      <w:r>
        <w:t xml:space="preserve"> can be raised to </w:t>
      </w:r>
      <m:oMath>
        <m:r>
          <m:rPr>
            <m:sty m:val="p"/>
          </m:rPr>
          <m:t>min</m:t>
        </m:r>
        <m:d>
          <m:dPr>
            <m:begChr m:val="("/>
            <m:sepChr m:val=""/>
            <m:endChr m:val=")"/>
            <m:grow/>
          </m:dPr>
          <m:e>
            <m:sSub>
              <m:e>
                <m:r>
                  <m:t>q</m:t>
                </m:r>
              </m:e>
              <m:sub>
                <m:r>
                  <m:t>k</m:t>
                </m:r>
              </m:sub>
            </m:sSub>
            <m:r>
              <m:rPr>
                <m:sty m:val="p"/>
              </m:rPr>
              <m:t>,</m:t>
            </m:r>
            <m:sSub>
              <m:e>
                <m:r>
                  <m:t>c</m:t>
                </m:r>
              </m:e>
              <m:sub>
                <m:r>
                  <m:t>k</m:t>
                </m:r>
              </m:sub>
            </m:sSub>
          </m:e>
        </m:d>
      </m:oMath>
      <w:r>
        <w:t xml:space="preserve"> without increasing any </w:t>
      </w:r>
      <m:oMath>
        <m:sSub>
          <m:e>
            <m:r>
              <m:t>u</m:t>
            </m:r>
          </m:e>
          <m:sub>
            <m:r>
              <m:t>i</m:t>
            </m:r>
          </m:sub>
        </m:sSub>
      </m:oMath>
      <w:r>
        <w:t xml:space="preserve">, so the relaxation </w:t>
      </w:r>
      <m:oMath>
        <m:sSub>
          <m:e>
            <m:r>
              <m:t>d</m:t>
            </m:r>
          </m:e>
          <m:sub>
            <m:r>
              <m:t>i</m:t>
            </m:r>
            <m:r>
              <m:t>k</m:t>
            </m:r>
          </m:sub>
        </m:sSub>
        <m:r>
          <m:rPr>
            <m:sty m:val="p"/>
          </m:rPr>
          <m:t>≤</m:t>
        </m:r>
        <m:r>
          <m:rPr>
            <m:sty m:val="p"/>
          </m:rPr>
          <m:t>min</m:t>
        </m:r>
        <m:d>
          <m:dPr>
            <m:begChr m:val="("/>
            <m:sepChr m:val=""/>
            <m:endChr m:val=")"/>
            <m:grow/>
          </m:dPr>
          <m:e>
            <m:sSub>
              <m:e>
                <m:r>
                  <m:t>q</m:t>
                </m:r>
              </m:e>
              <m:sub>
                <m:r>
                  <m:t>k</m:t>
                </m:r>
              </m:sub>
            </m:sSub>
            <m:r>
              <m:rPr>
                <m:sty m:val="p"/>
              </m:rPr>
              <m:t>,</m:t>
            </m:r>
            <m:sSub>
              <m:e>
                <m:r>
                  <m:t>c</m:t>
                </m:r>
              </m:e>
              <m:sub>
                <m:r>
                  <m:t>k</m:t>
                </m:r>
              </m:sub>
            </m:sSub>
          </m:e>
        </m:d>
      </m:oMath>
      <w:r>
        <w:t xml:space="preserve"> is exact. </w:t>
      </w:r>
      <m:oMath>
        <m:r>
          <m:rPr>
            <m:sty m:val="p"/>
          </m:rPr>
          <m:t>▫</m:t>
        </m:r>
      </m:oMath>
    </w:p>
    <w:p>
      <w:pPr>
        <w:pStyle w:val="Heading3"/>
      </w:pPr>
      <w:r>
        <w:rPr>
          <w:color w:val="1F3864"/>
        </w:rPr>
        <w:t xml:space="preserve">9.3 Propositions S2 and S3: a guarantee from samples and a radius in metres</w:t>
      </w:r>
    </w:p>
    <w:p>
      <w:pPr>
        <w:spacing w:after="120"/>
        <w:jc w:val="both"/>
      </w:pPr>
      <w:r>
        <w:rPr>
          <w:b/>
          <w:bCs/>
        </w:rPr>
        <w:t xml:space="preserve">Proposition S2 (scenario certificate).</w:t>
      </w:r>
      <w:r>
        <w:t xml:space="preserve"> Discard the </w:t>
      </w:r>
      <m:oMath>
        <m:r>
          <m:t>r</m:t>
        </m:r>
      </m:oMath>
      <w:r>
        <w:t xml:space="preserve"> scenarios in which no rates up to </w:t>
      </w:r>
      <m:oMath>
        <m:sSub>
          <m:e>
            <m:r>
              <m:t>q</m:t>
            </m:r>
          </m:e>
          <m:sub>
            <m:r>
              <m:rPr>
                <m:sty m:val="p"/>
              </m:rPr>
              <m:t>max</m:t>
            </m:r>
          </m:sub>
        </m:sSub>
      </m:oMath>
      <w:r>
        <w:t xml:space="preserve"> keep both supply wells safe (they are violated by every scheme) and solve the minimum-recharge programme on the rest. If its solution is unique, then with </w:t>
      </w:r>
      <m:oMath>
        <m:r>
          <m:t>d</m:t>
        </m:r>
        <m:r>
          <m:rPr>
            <m:sty m:val="p"/>
          </m:rPr>
          <m:t>=</m:t>
        </m:r>
        <m:r>
          <m:t>3</m:t>
        </m:r>
      </m:oMath>
      <w:r>
        <w:t xml:space="preserve"> rates [B4]</w:t>
      </w:r>
    </w:p>
    <w:p>
      <w:pPr>
        <w:pStyle w:val="Equation"/>
      </w:pPr>
      <m:oMathPara>
        <m:oMathParaPr>
          <m:jc m:val="center"/>
        </m:oMathParaPr>
        <m:oMath>
          <m:sSup>
            <m:e>
              <m:r>
                <m:rPr>
                  <m:scr m:val="double-struck"/>
                  <m:sty m:val="p"/>
                </m:rPr>
                <m:t>P</m:t>
              </m:r>
            </m:e>
            <m:sup>
              <m:r>
                <m:t>N</m:t>
              </m:r>
            </m:sup>
          </m:sSup>
          <m:d>
            <m:dPr>
              <m:begChr m:val="{"/>
              <m:sepChr m:val=""/>
              <m:endChr m:val="}"/>
              <m:grow/>
            </m:dPr>
            <m:e>
              <m:r>
                <m:rPr>
                  <m:scr m:val="double-struck"/>
                  <m:sty m:val="p"/>
                </m:rPr>
                <m:t>P</m:t>
              </m:r>
              <m:d>
                <m:dPr>
                  <m:begChr m:val="("/>
                  <m:sepChr m:val=""/>
                  <m:endChr m:val=")"/>
                  <m:grow/>
                </m:dPr>
                <m:e>
                  <m:r>
                    <m:t>D</m:t>
                  </m:r>
                  <m:d>
                    <m:dPr>
                      <m:begChr m:val="("/>
                      <m:sepChr m:val=""/>
                      <m:endChr m:val=")"/>
                      <m:grow/>
                    </m:dPr>
                    <m:e>
                      <m:sSup>
                        <m:e>
                          <m:r>
                            <m:t>q</m:t>
                          </m:r>
                        </m:e>
                        <m:sup>
                          <m:r>
                            <m:rPr>
                              <m:sty m:val="p"/>
                            </m:rPr>
                            <m:t>⋆</m:t>
                          </m:r>
                        </m:sup>
                      </m:sSup>
                    </m:e>
                  </m:d>
                  <m:r>
                    <m:rPr>
                      <m:sty m:val="p"/>
                    </m:rPr>
                    <m:t>&gt;</m:t>
                  </m:r>
                  <m:r>
                    <m:t>0</m:t>
                  </m:r>
                </m:e>
              </m:d>
              <m:r>
                <m:rPr>
                  <m:sty m:val="p"/>
                </m:rPr>
                <m:t>&gt;</m:t>
              </m:r>
              <m:r>
                <m:t>ε</m:t>
              </m:r>
            </m:e>
          </m:d>
          <m:r>
            <m:rPr>
              <m:sty m:val="p"/>
            </m:rPr>
            <m:t>≤</m:t>
          </m:r>
          <m:d>
            <m:dPr>
              <m:begChr m:val="("/>
              <m:sepChr m:val=""/>
              <m:endChr m:val=")"/>
              <m:grow/>
            </m:dPr>
            <m:e>
              <m:f>
                <m:fPr>
                  <m:type m:val="noBar"/>
                </m:fPr>
                <m:num>
                  <m:r>
                    <m:t>r</m:t>
                  </m:r>
                  <m:r>
                    <m:rPr>
                      <m:sty m:val="p"/>
                    </m:rPr>
                    <m:t>+</m:t>
                  </m:r>
                  <m:r>
                    <m:t>2</m:t>
                  </m:r>
                </m:num>
                <m:den>
                  <m:r>
                    <m:t>r</m:t>
                  </m:r>
                </m:den>
              </m:f>
            </m:e>
          </m:d>
          <m:nary>
            <m:naryPr>
              <m:chr m:val="∑"/>
              <m:limLoc m:val="undOvr"/>
              <m:subHide m:val="off"/>
              <m:supHide m:val="off"/>
            </m:naryPr>
            <m:sub>
              <m:r>
                <m:t>i</m:t>
              </m:r>
              <m:r>
                <m:rPr>
                  <m:sty m:val="p"/>
                </m:rPr>
                <m:t>=</m:t>
              </m:r>
              <m:r>
                <m:t>0</m:t>
              </m:r>
            </m:sub>
            <m:sup>
              <m:r>
                <m:t>r</m:t>
              </m:r>
              <m:r>
                <m:rPr>
                  <m:sty m:val="p"/>
                </m:rPr>
                <m:t>+</m:t>
              </m:r>
              <m:r>
                <m:t>2</m:t>
              </m:r>
            </m:sup>
            <m:e>
              <m:d>
                <m:dPr>
                  <m:begChr m:val="("/>
                  <m:sepChr m:val=""/>
                  <m:endChr m:val=")"/>
                  <m:grow/>
                </m:dPr>
                <m:e>
                  <m:f>
                    <m:fPr>
                      <m:type m:val="noBar"/>
                    </m:fPr>
                    <m:num>
                      <m:r>
                        <m:t>N</m:t>
                      </m:r>
                    </m:num>
                    <m:den>
                      <m:r>
                        <m:t>i</m:t>
                      </m:r>
                    </m:den>
                  </m:f>
                </m:e>
              </m:d>
            </m:e>
          </m:nary>
          <m:sSup>
            <m:e>
              <m:r>
                <m:t>ε</m:t>
              </m:r>
            </m:e>
            <m:sup>
              <m:r>
                <m:t>i</m:t>
              </m:r>
            </m:sup>
          </m:sSup>
          <m:sSup>
            <m:e>
              <m:d>
                <m:dPr>
                  <m:begChr m:val="("/>
                  <m:sepChr m:val=""/>
                  <m:endChr m:val=")"/>
                  <m:grow/>
                </m:dPr>
                <m:e>
                  <m:r>
                    <m:t>1</m:t>
                  </m:r>
                  <m:r>
                    <m:rPr>
                      <m:sty m:val="p"/>
                    </m:rPr>
                    <m:t>−</m:t>
                  </m:r>
                  <m:r>
                    <m:t>ε</m:t>
                  </m:r>
                </m:e>
              </m:d>
            </m:e>
            <m:sup>
              <m:r>
                <m:t>N</m:t>
              </m:r>
              <m:r>
                <m:rPr>
                  <m:sty m:val="p"/>
                </m:rPr>
                <m:t>−</m:t>
              </m:r>
              <m:r>
                <m:t>i</m:t>
              </m:r>
            </m:sup>
          </m:sSup>
          <m:r>
            <m:rPr>
              <m:sty m:val="p"/>
            </m:rPr>
            <m:t>=</m:t>
          </m:r>
          <m:r>
            <m:t>β</m:t>
          </m:r>
        </m:oMath>
      </m:oMathPara>
    </w:p>
    <w:p>
      <w:pPr>
        <w:spacing w:after="120"/>
        <w:jc w:val="both"/>
      </w:pPr>
      <w:r>
        <w:t xml:space="preserve">whatever the law of the scenarios, so at confidence </w:t>
      </w:r>
      <m:oMath>
        <m:r>
          <m:t>1</m:t>
        </m:r>
        <m:r>
          <m:rPr>
            <m:sty m:val="p"/>
          </m:rPr>
          <m:t>−</m:t>
        </m:r>
        <m:r>
          <m:t>β</m:t>
        </m:r>
      </m:oMath>
      <w:r>
        <w:t xml:space="preserve"> the scheme fails with probability at most </w:t>
      </w:r>
      <m:oMath>
        <m:r>
          <m:t>ε</m:t>
        </m:r>
      </m:oMath>
      <w:r>
        <w:t xml:space="preserve"> under the generator. Uniqueness is checked by the face ranges of section 1.5; it is part of the certificate, not an assumption taken on trust.</w:t>
      </w:r>
    </w:p>
    <w:p>
      <w:pPr>
        <w:spacing w:after="120"/>
        <w:jc w:val="both"/>
      </w:pPr>
      <w:r>
        <w:rPr>
          <w:b/>
          <w:bCs/>
        </w:rPr>
        <w:t xml:space="preserve">Proposition S3 (robustness radius in metres of head).</w:t>
      </w:r>
      <w:r>
        <w:t xml:space="preserve"> Let </w:t>
      </w:r>
      <m:oMath>
        <m:r>
          <m:t>P</m:t>
        </m:r>
      </m:oMath>
      <w:r>
        <w:t xml:space="preserve"> be the law of the two supply-well heads </w:t>
      </w:r>
      <m:oMath>
        <m:d>
          <m:dPr>
            <m:begChr m:val="("/>
            <m:sepChr m:val=""/>
            <m:endChr m:val=")"/>
            <m:grow/>
          </m:dPr>
          <m:e>
            <m:sSub>
              <m:e>
                <m:r>
                  <m:t>H</m:t>
                </m:r>
              </m:e>
              <m:sub>
                <m:r>
                  <m:t>A</m:t>
                </m:r>
              </m:sub>
            </m:sSub>
            <m:r>
              <m:rPr>
                <m:sty m:val="p"/>
              </m:rPr>
              <m:t>,</m:t>
            </m:r>
            <m:sSub>
              <m:e>
                <m:r>
                  <m:t>H</m:t>
                </m:r>
              </m:e>
              <m:sub>
                <m:r>
                  <m:t>B</m:t>
                </m:r>
              </m:sub>
            </m:sSub>
          </m:e>
        </m:d>
      </m:oMath>
      <w:r>
        <w:t xml:space="preserve"> under the scheme and </w:t>
      </w:r>
      <m:oMath>
        <m:sSub>
          <m:e>
            <m:r>
              <m:t>W</m:t>
            </m:r>
          </m:e>
          <m:sub>
            <m:r>
              <m:t>1</m:t>
            </m:r>
          </m:sub>
        </m:sSub>
      </m:oMath>
      <w:r>
        <w:t xml:space="preserve"> the Wasserstein distance with ground metric </w:t>
      </w:r>
      <m:oMath>
        <m:sSub>
          <m:e>
            <m:d>
              <m:dPr>
                <m:begChr m:val="∥"/>
                <m:sepChr m:val=""/>
                <m:endChr m:val="∥"/>
                <m:grow/>
              </m:dPr>
              <m:e>
                <m:r>
                  <m:rPr>
                    <m:sty m:val="p"/>
                  </m:rPr>
                  <m:t>⋅</m:t>
                </m:r>
              </m:e>
            </m:d>
          </m:e>
          <m:sub>
            <m:r>
              <m:rPr>
                <m:sty m:val="p"/>
              </m:rPr>
              <m:t>∞</m:t>
            </m:r>
          </m:sub>
        </m:sSub>
      </m:oMath>
      <w:r>
        <w:t xml:space="preserve">. For every law </w:t>
      </w:r>
      <m:oMath>
        <m:r>
          <m:rPr>
            <m:scr m:val="double-struck"/>
            <m:sty m:val="p"/>
          </m:rPr>
          <m:t>Q</m:t>
        </m:r>
      </m:oMath>
      <w:r>
        <w:t xml:space="preserve"> with </w:t>
      </w:r>
      <m:oMath>
        <m:sSub>
          <m:e>
            <m:r>
              <m:t>W</m:t>
            </m:r>
          </m:e>
          <m:sub>
            <m:r>
              <m:t>1</m:t>
            </m:r>
          </m:sub>
        </m:sSub>
        <m:d>
          <m:dPr>
            <m:begChr m:val="("/>
            <m:sepChr m:val=""/>
            <m:endChr m:val=")"/>
            <m:grow/>
          </m:dPr>
          <m:e>
            <m:r>
              <m:rPr>
                <m:scr m:val="double-struck"/>
                <m:sty m:val="p"/>
              </m:rPr>
              <m:t>Q</m:t>
            </m:r>
            <m:r>
              <m:rPr>
                <m:sty m:val="p"/>
              </m:rPr>
              <m:t>,</m:t>
            </m:r>
            <m:r>
              <m:t>P</m:t>
            </m:r>
          </m:e>
        </m:d>
        <m:r>
          <m:rPr>
            <m:sty m:val="p"/>
          </m:rPr>
          <m:t>≤</m:t>
        </m:r>
        <m:r>
          <m:t>ρ</m:t>
        </m:r>
      </m:oMath>
      <w:r>
        <w:t xml:space="preserve">,</w:t>
      </w:r>
    </w:p>
    <w:p>
      <w:pPr>
        <w:pStyle w:val="Equation"/>
      </w:pPr>
      <m:oMathPara>
        <m:oMathParaPr>
          <m:jc m:val="center"/>
        </m:oMathParaPr>
        <m:oMath>
          <m:sSubSup>
            <m:e>
              <m:r>
                <m:rPr>
                  <m:nor/>
                </m:rPr>
                <m:t>CVaR</m:t>
              </m:r>
            </m:e>
            <m:sub>
              <m:r>
                <m:t>α</m:t>
              </m:r>
            </m:sub>
            <m:sup>
              <m:r>
                <m:rPr>
                  <m:scr m:val="double-struck"/>
                  <m:sty m:val="p"/>
                </m:rPr>
                <m:t>Q</m:t>
              </m:r>
            </m:sup>
          </m:sSubSup>
          <m:d>
            <m:dPr>
              <m:begChr m:val="("/>
              <m:sepChr m:val=""/>
              <m:endChr m:val=")"/>
              <m:grow/>
            </m:dPr>
            <m:e>
              <m:r>
                <m:t>D</m:t>
              </m:r>
            </m:e>
          </m:d>
          <m:r>
            <m:rPr>
              <m:sty m:val="p"/>
            </m:rPr>
            <m:t>≤</m:t>
          </m:r>
          <m:sSubSup>
            <m:e>
              <m:r>
                <m:rPr>
                  <m:nor/>
                </m:rPr>
                <m:t>CVaR</m:t>
              </m:r>
            </m:e>
            <m:sub>
              <m:r>
                <m:t>α</m:t>
              </m:r>
            </m:sub>
            <m:sup>
              <m:r>
                <m:t>P</m:t>
              </m:r>
            </m:sup>
          </m:sSubSup>
          <m:d>
            <m:dPr>
              <m:begChr m:val="("/>
              <m:sepChr m:val=""/>
              <m:endChr m:val=")"/>
              <m:grow/>
            </m:dPr>
            <m:e>
              <m:r>
                <m:t>D</m:t>
              </m:r>
            </m:e>
          </m:d>
          <m:r>
            <m:rPr>
              <m:sty m:val="p"/>
            </m:rPr>
            <m:t>+</m:t>
          </m:r>
          <m:f>
            <m:fPr>
              <m:type m:val="bar"/>
            </m:fPr>
            <m:num>
              <m:r>
                <m:t>ρ</m:t>
              </m:r>
            </m:num>
            <m:den>
              <m:r>
                <m:t>α</m:t>
              </m:r>
            </m:den>
          </m:f>
          <m:r>
            <m:rPr>
              <m:sty m:val="p"/>
            </m:rPr>
            <m:t>,</m:t>
          </m:r>
          <m:r>
            <m:t>  </m:t>
          </m:r>
          <m:r>
            <m:rPr>
              <m:nor/>
            </m:rPr>
            <m:t>so the scheme keeps </m:t>
          </m:r>
          <m:sSub>
            <m:e>
              <m:r>
                <m:rPr>
                  <m:nor/>
                </m:rPr>
                <m:t>CVaR</m:t>
              </m:r>
            </m:e>
            <m:sub>
              <m:r>
                <m:t>α</m:t>
              </m:r>
            </m:sub>
          </m:sSub>
          <m:d>
            <m:dPr>
              <m:begChr m:val="("/>
              <m:sepChr m:val=""/>
              <m:endChr m:val=")"/>
              <m:grow/>
            </m:dPr>
            <m:e>
              <m:r>
                <m:t>D</m:t>
              </m:r>
            </m:e>
          </m:d>
          <m:r>
            <m:rPr>
              <m:sty m:val="p"/>
            </m:rPr>
            <m:t>≤</m:t>
          </m:r>
          <m:r>
            <m:t>0</m:t>
          </m:r>
          <m:r>
            <m:rPr>
              <m:nor/>
            </m:rPr>
            <m:t> for every </m:t>
          </m:r>
          <m:r>
            <m:t>ρ</m:t>
          </m:r>
          <m:r>
            <m:rPr>
              <m:sty m:val="p"/>
            </m:rPr>
            <m:t>≤</m:t>
          </m:r>
          <m:sSup>
            <m:e>
              <m:r>
                <m:t>ρ</m:t>
              </m:r>
            </m:e>
            <m:sup>
              <m:r>
                <m:rPr>
                  <m:sty m:val="p"/>
                </m:rPr>
                <m:t>⋆</m:t>
              </m:r>
            </m:sup>
          </m:sSup>
          <m:r>
            <m:rPr>
              <m:sty m:val="p"/>
            </m:rPr>
            <m:t>=</m:t>
          </m:r>
          <m:r>
            <m:t>α</m:t>
          </m:r>
          <m:r>
            <m:rPr>
              <m:sty m:val="p"/>
            </m:rPr>
            <m:t>max</m:t>
          </m:r>
          <m:d>
            <m:dPr>
              <m:begChr m:val="{"/>
              <m:sepChr m:val=""/>
              <m:endChr m:val="}"/>
              <m:grow/>
            </m:dPr>
            <m:e>
              <m:r>
                <m:t>0</m:t>
              </m:r>
              <m:r>
                <m:rPr>
                  <m:sty m:val="p"/>
                </m:rPr>
                <m:t>,</m:t>
              </m:r>
              <m:r>
                <m:rPr>
                  <m:sty m:val="p"/>
                </m:rPr>
                <m:t>−</m:t>
              </m:r>
              <m:sSubSup>
                <m:e>
                  <m:r>
                    <m:rPr>
                      <m:nor/>
                    </m:rPr>
                    <m:t>CVaR</m:t>
                  </m:r>
                </m:e>
                <m:sub>
                  <m:r>
                    <m:t>α</m:t>
                  </m:r>
                </m:sub>
                <m:sup>
                  <m:r>
                    <m:t>P</m:t>
                  </m:r>
                </m:sup>
              </m:sSubSup>
              <m:d>
                <m:dPr>
                  <m:begChr m:val="("/>
                  <m:sepChr m:val=""/>
                  <m:endChr m:val=")"/>
                  <m:grow/>
                </m:dPr>
                <m:e>
                  <m:r>
                    <m:t>D</m:t>
                  </m:r>
                </m:e>
              </m:d>
            </m:e>
          </m:d>
        </m:oMath>
      </m:oMathPara>
    </w:p>
    <w:p>
      <w:pPr>
        <w:spacing w:after="120"/>
        <w:jc w:val="both"/>
      </w:pPr>
      <w:r>
        <w:rPr>
          <w:i/>
          <w:iCs/>
        </w:rPr>
        <w:t xml:space="preserve">Proof.</w:t>
      </w:r>
      <w:r>
        <w:t xml:space="preserve"> </w:t>
      </w:r>
      <m:oMath>
        <m:r>
          <m:t>D</m:t>
        </m:r>
        <m:r>
          <m:rPr>
            <m:sty m:val="p"/>
          </m:rPr>
          <m:t>=</m:t>
        </m:r>
        <m:sSub>
          <m:e>
            <m:r>
              <m:rPr>
                <m:sty m:val="p"/>
              </m:rPr>
              <m:t>max</m:t>
            </m:r>
          </m:e>
          <m:sub>
            <m:r>
              <m:t>w</m:t>
            </m:r>
          </m:sub>
        </m:sSub>
        <m:d>
          <m:dPr>
            <m:begChr m:val="("/>
            <m:sepChr m:val=""/>
            <m:endChr m:val=")"/>
            <m:grow/>
          </m:dPr>
          <m:e>
            <m:sSub>
              <m:e>
                <m:r>
                  <m:t>h</m:t>
                </m:r>
              </m:e>
              <m:sub>
                <m:r>
                  <m:t>c</m:t>
                </m:r>
              </m:sub>
            </m:sSub>
            <m:r>
              <m:rPr>
                <m:sty m:val="p"/>
              </m:rPr>
              <m:t>−</m:t>
            </m:r>
            <m:sSub>
              <m:e>
                <m:r>
                  <m:t>H</m:t>
                </m:r>
              </m:e>
              <m:sub>
                <m:r>
                  <m:t>w</m:t>
                </m:r>
              </m:sub>
            </m:sSub>
          </m:e>
        </m:d>
      </m:oMath>
      <w:r>
        <w:t xml:space="preserve"> is 1-Lipschitz in </w:t>
      </w:r>
      <m:oMath>
        <m:d>
          <m:dPr>
            <m:begChr m:val="("/>
            <m:sepChr m:val=""/>
            <m:endChr m:val=")"/>
            <m:grow/>
          </m:dPr>
          <m:e>
            <m:sSub>
              <m:e>
                <m:r>
                  <m:t>H</m:t>
                </m:r>
              </m:e>
              <m:sub>
                <m:r>
                  <m:t>A</m:t>
                </m:r>
              </m:sub>
            </m:sSub>
            <m:r>
              <m:rPr>
                <m:sty m:val="p"/>
              </m:rPr>
              <m:t>,</m:t>
            </m:r>
            <m:sSub>
              <m:e>
                <m:r>
                  <m:t>H</m:t>
                </m:r>
              </m:e>
              <m:sub>
                <m:r>
                  <m:t>B</m:t>
                </m:r>
              </m:sub>
            </m:sSub>
          </m:e>
        </m:d>
      </m:oMath>
      <w:r>
        <w:t xml:space="preserve"> for the sup-norm, hence so is </w:t>
      </w:r>
      <m:oMath>
        <m:sSup>
          <m:e>
            <m:d>
              <m:dPr>
                <m:begChr m:val="("/>
                <m:sepChr m:val=""/>
                <m:endChr m:val=")"/>
                <m:grow/>
              </m:dPr>
              <m:e>
                <m:r>
                  <m:t>D</m:t>
                </m:r>
                <m:r>
                  <m:rPr>
                    <m:sty m:val="p"/>
                  </m:rPr>
                  <m:t>−</m:t>
                </m:r>
                <m:r>
                  <m:t>t</m:t>
                </m:r>
              </m:e>
            </m:d>
          </m:e>
          <m:sup>
            <m:r>
              <m:rPr>
                <m:nor/>
              </m:rPr>
              <m:t>+</m:t>
            </m:r>
          </m:sup>
        </m:sSup>
      </m:oMath>
      <w:r>
        <w:t xml:space="preserve"> for every </w:t>
      </w:r>
      <m:oMath>
        <m:r>
          <m:t>t</m:t>
        </m:r>
      </m:oMath>
      <w:r>
        <w:t xml:space="preserve">; by Kantorovich–Rubinstein duality </w:t>
      </w:r>
      <m:oMath>
        <m:sSub>
          <m:e>
            <m:r>
              <m:rPr>
                <m:scr m:val="double-struck"/>
                <m:sty m:val="p"/>
              </m:rPr>
              <m:t>E</m:t>
            </m:r>
          </m:e>
          <m:sub>
            <m:r>
              <m:rPr>
                <m:scr m:val="double-struck"/>
                <m:sty m:val="p"/>
              </m:rPr>
              <m:t>Q</m:t>
            </m:r>
          </m:sub>
        </m:sSub>
        <m:d>
          <m:dPr>
            <m:begChr m:val="["/>
            <m:sepChr m:val=""/>
            <m:endChr m:val="]"/>
            <m:grow/>
          </m:dPr>
          <m:e>
            <m:sSup>
              <m:e>
                <m:d>
                  <m:dPr>
                    <m:begChr m:val="("/>
                    <m:sepChr m:val=""/>
                    <m:endChr m:val=")"/>
                    <m:grow/>
                  </m:dPr>
                  <m:e>
                    <m:r>
                      <m:t>D</m:t>
                    </m:r>
                    <m:r>
                      <m:rPr>
                        <m:sty m:val="p"/>
                      </m:rPr>
                      <m:t>−</m:t>
                    </m:r>
                    <m:r>
                      <m:t>t</m:t>
                    </m:r>
                  </m:e>
                </m:d>
              </m:e>
              <m:sup>
                <m:r>
                  <m:rPr>
                    <m:nor/>
                  </m:rPr>
                  <m:t>+</m:t>
                </m:r>
              </m:sup>
            </m:sSup>
          </m:e>
        </m:d>
        <m:r>
          <m:rPr>
            <m:sty m:val="p"/>
          </m:rPr>
          <m:t>≤</m:t>
        </m:r>
        <m:sSub>
          <m:e>
            <m:r>
              <m:rPr>
                <m:scr m:val="double-struck"/>
                <m:sty m:val="p"/>
              </m:rPr>
              <m:t>E</m:t>
            </m:r>
          </m:e>
          <m:sub>
            <m:r>
              <m:t>P</m:t>
            </m:r>
          </m:sub>
        </m:sSub>
        <m:d>
          <m:dPr>
            <m:begChr m:val="["/>
            <m:sepChr m:val=""/>
            <m:endChr m:val="]"/>
            <m:grow/>
          </m:dPr>
          <m:e>
            <m:sSup>
              <m:e>
                <m:d>
                  <m:dPr>
                    <m:begChr m:val="("/>
                    <m:sepChr m:val=""/>
                    <m:endChr m:val=")"/>
                    <m:grow/>
                  </m:dPr>
                  <m:e>
                    <m:r>
                      <m:t>D</m:t>
                    </m:r>
                    <m:r>
                      <m:rPr>
                        <m:sty m:val="p"/>
                      </m:rPr>
                      <m:t>−</m:t>
                    </m:r>
                    <m:r>
                      <m:t>t</m:t>
                    </m:r>
                  </m:e>
                </m:d>
              </m:e>
              <m:sup>
                <m:r>
                  <m:rPr>
                    <m:nor/>
                  </m:rPr>
                  <m:t>+</m:t>
                </m:r>
              </m:sup>
            </m:sSup>
          </m:e>
        </m:d>
        <m:r>
          <m:rPr>
            <m:sty m:val="p"/>
          </m:rPr>
          <m:t>+</m:t>
        </m:r>
        <m:r>
          <m:t>ρ</m:t>
        </m:r>
      </m:oMath>
      <w:r>
        <w:t xml:space="preserve">, and taking the infimum over </w:t>
      </w:r>
      <m:oMath>
        <m:r>
          <m:t>t</m:t>
        </m:r>
      </m:oMath>
      <w:r>
        <w:t xml:space="preserve"> in the Rockafellar–Uryasev formula gives the bound [B1, B5]. </w:t>
      </w:r>
      <m:oMath>
        <m:r>
          <m:rPr>
            <m:sty m:val="p"/>
          </m:rPr>
          <m:t>▫</m:t>
        </m:r>
      </m:oMath>
      <w:r>
        <w:t xml:space="preserve"> The radius is in metres: shifting both heads by 1 cm in every scenario moves the law by exactly 1 cm. Model error is measured on the same scale: pairing each draw of the 12-zone model with the draw that adds the finer field gives the coupling bound </w:t>
      </w:r>
      <m:oMath>
        <m:sSub>
          <m:e>
            <m:r>
              <m:t>W</m:t>
            </m:r>
          </m:e>
          <m:sub>
            <m:r>
              <m:t>1</m:t>
            </m:r>
          </m:sub>
        </m:sSub>
        <m:r>
          <m:rPr>
            <m:sty m:val="p"/>
          </m:rPr>
          <m:t>≤</m:t>
        </m:r>
        <m:r>
          <m:rPr>
            <m:scr m:val="double-struck"/>
            <m:sty m:val="p"/>
          </m:rPr>
          <m:t>E</m:t>
        </m:r>
        <m:sSub>
          <m:e>
            <m:d>
              <m:dPr>
                <m:begChr m:val="∥"/>
                <m:sepChr m:val=""/>
                <m:endChr m:val="∥"/>
                <m:grow/>
              </m:dPr>
              <m:e>
                <m:sSup>
                  <m:e>
                    <m:r>
                      <m:t>H</m:t>
                    </m:r>
                  </m:e>
                  <m:sup>
                    <m:r>
                      <m:rPr>
                        <m:nor/>
                      </m:rPr>
                      <m:t>model</m:t>
                    </m:r>
                  </m:sup>
                </m:sSup>
                <m:r>
                  <m:rPr>
                    <m:sty m:val="p"/>
                  </m:rPr>
                  <m:t>−</m:t>
                </m:r>
                <m:sSup>
                  <m:e>
                    <m:r>
                      <m:t>H</m:t>
                    </m:r>
                  </m:e>
                  <m:sup>
                    <m:r>
                      <m:rPr>
                        <m:nor/>
                      </m:rPr>
                      <m:t>truth</m:t>
                    </m:r>
                  </m:sup>
                </m:sSup>
              </m:e>
            </m:d>
          </m:e>
          <m:sub>
            <m:r>
              <m:rPr>
                <m:sty m:val="p"/>
              </m:rPr>
              <m:t>∞</m:t>
            </m:r>
          </m:sub>
        </m:sSub>
      </m:oMath>
      <w:r>
        <w:t xml:space="preserve">, and a scheme designed on the model is certified for the truth if this bound is below its radius.</w:t>
      </w:r>
    </w:p>
    <w:p>
      <w:pPr>
        <w:pStyle w:val="Heading3"/>
      </w:pPr>
      <w:r>
        <w:rPr>
          <w:color w:val="1F3864"/>
        </w:rPr>
        <w:t xml:space="preserve">9.4 Uniqueness: of the rates and of the siting</w:t>
      </w:r>
    </w:p>
    <w:p>
      <w:pPr>
        <w:spacing w:after="120"/>
        <w:jc w:val="both"/>
      </w:pPr>
      <w:r>
        <w:t xml:space="preserve">For the rates, the range of each </w:t>
      </w:r>
      <m:oMath>
        <m:sSub>
          <m:e>
            <m:r>
              <m:t>q</m:t>
            </m:r>
          </m:e>
          <m:sub>
            <m:r>
              <m:t>k</m:t>
            </m:r>
          </m:sub>
        </m:sSub>
      </m:oMath>
      <w:r>
        <w:t xml:space="preserve"> over the optimal face of the programme is computed with two linear programmes per rate (section 1.5). For the siting, every one of the 380,364 admissible lattice triples is evaluated on the search draws, with the climate integrated exactly; four statements follow: the size of the set of triples within a given margin of the best (the near-optimal set), a simultaneous confidence set for the best triple (a triple is kept unless some other triple is significantly better on the 20,000 fresh draws, Bonferroni-corrected), a discrete deflation that removes every triple sharing a well within 2 km of a triple already found [B10], and the law of the triple that would be optimal if the aquifer were known, which measures how much the optimum depends on what is uncertain.</w:t>
      </w:r>
    </w:p>
    <w:p>
      <w:pPr>
        <w:pStyle w:val="Heading3"/>
      </w:pPr>
      <w:r>
        <w:rPr>
          <w:color w:val="1F3864"/>
        </w:rPr>
        <w:t xml:space="preserve">9.5 The certificate at Fushë-Kuqe</w:t>
      </w:r>
    </w:p>
    <w:p>
      <w:pPr>
        <w:spacing w:after="120"/>
        <w:jc w:val="both"/>
      </w:pPr>
      <w:r>
        <w:t xml:space="preserve">Table 9.1 gives the certificate of three schemes: the best triple of the exhaustive search before any test, the PRAG-MAR triple on the same lattice, and the triple VENDI-GO built for prior truth 18 after 3 pilot tests, certified under the posterior of VENDI-GO (20,000 draws of its linearised belief, measured injectivities kept). Truth 18 is the typical case: its posterior risk is the median of the 24 aquifers 0–23 on which the same certificate was computed after the tests (Figure S1b).</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3000"/>
        <w:gridCol w:w="1950"/>
        <w:gridCol w:w="1800"/>
        <w:gridCol w:w="188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5"/>
                <w:szCs w:val="15"/>
              </w:rPr>
              <w:t xml:space="preserve">Part</w:t>
            </w:r>
          </w:p>
        </w:tc>
        <w:tc>
          <w:tcPr>
            <w:tcW w:type="dxa" w:w="3000"/>
            <w:shd w:fill="1F3864" w:color="auto" w:val="clear"/>
            <w:tcMar>
              <w:top w:type="dxa" w:w="60"/>
              <w:left w:type="dxa" w:w="100"/>
              <w:bottom w:type="dxa" w:w="60"/>
              <w:right w:type="dxa" w:w="100"/>
            </w:tcMar>
            <w:vAlign w:val="top"/>
          </w:tcPr>
          <w:p>
            <w:r>
              <w:rPr>
                <w:b/>
                <w:bCs/>
                <w:color w:val="FFFFFF"/>
                <w:sz w:val="15"/>
                <w:szCs w:val="15"/>
              </w:rPr>
              <w:t xml:space="preserve">Quantity</w:t>
            </w:r>
          </w:p>
        </w:tc>
        <w:tc>
          <w:tcPr>
            <w:tcW w:type="dxa" w:w="1950"/>
            <w:shd w:fill="1F3864" w:color="auto" w:val="clear"/>
            <w:tcMar>
              <w:top w:type="dxa" w:w="60"/>
              <w:left w:type="dxa" w:w="100"/>
              <w:bottom w:type="dxa" w:w="60"/>
              <w:right w:type="dxa" w:w="100"/>
            </w:tcMar>
            <w:vAlign w:val="top"/>
          </w:tcPr>
          <w:p>
            <w:r>
              <w:rPr>
                <w:b/>
                <w:bCs/>
                <w:color w:val="FFFFFF"/>
                <w:sz w:val="15"/>
                <w:szCs w:val="15"/>
              </w:rPr>
              <w:t xml:space="preserve">Best scheme, before tests</w:t>
            </w:r>
          </w:p>
        </w:tc>
        <w:tc>
          <w:tcPr>
            <w:tcW w:type="dxa" w:w="1800"/>
            <w:shd w:fill="1F3864" w:color="auto" w:val="clear"/>
            <w:tcMar>
              <w:top w:type="dxa" w:w="60"/>
              <w:left w:type="dxa" w:w="100"/>
              <w:bottom w:type="dxa" w:w="60"/>
              <w:right w:type="dxa" w:w="100"/>
            </w:tcMar>
            <w:vAlign w:val="top"/>
          </w:tcPr>
          <w:p>
            <w:r>
              <w:rPr>
                <w:b/>
                <w:bCs/>
                <w:color w:val="FFFFFF"/>
                <w:sz w:val="15"/>
                <w:szCs w:val="15"/>
              </w:rPr>
              <w:t xml:space="preserve">PRAG-MAR scheme, before tests</w:t>
            </w:r>
          </w:p>
        </w:tc>
        <w:tc>
          <w:tcPr>
            <w:tcW w:type="dxa" w:w="1888"/>
            <w:shd w:fill="1F3864" w:color="auto" w:val="clear"/>
            <w:tcMar>
              <w:top w:type="dxa" w:w="60"/>
              <w:left w:type="dxa" w:w="100"/>
              <w:bottom w:type="dxa" w:w="60"/>
              <w:right w:type="dxa" w:w="100"/>
            </w:tcMar>
            <w:vAlign w:val="top"/>
          </w:tcPr>
          <w:p>
            <w:r>
              <w:rPr>
                <w:b/>
                <w:bCs/>
                <w:color w:val="FFFFFF"/>
                <w:sz w:val="15"/>
                <w:szCs w:val="15"/>
              </w:rPr>
              <w:t xml:space="preserve">VENDI-GO scheme, after tests (truth 18)</w:t>
            </w:r>
          </w:p>
        </w:tc>
      </w:tr>
      <w:tr>
        <w:trPr>
          <w:cantSplit/>
        </w:trPr>
        <w:tc>
          <w:tcPr>
            <w:tcW w:type="dxa" w:w="1000"/>
            <w:tcMar>
              <w:top w:type="dxa" w:w="60"/>
              <w:left w:type="dxa" w:w="100"/>
              <w:bottom w:type="dxa" w:w="60"/>
              <w:right w:type="dxa" w:w="100"/>
            </w:tcMar>
            <w:vAlign w:val="top"/>
          </w:tcPr>
          <w:p>
            <w:r>
              <w:rPr>
                <w:sz w:val="15"/>
                <w:szCs w:val="15"/>
              </w:rPr>
              <w:t xml:space="preserve">Uncertainty</w:t>
            </w:r>
          </w:p>
        </w:tc>
        <w:tc>
          <w:tcPr>
            <w:tcW w:type="dxa" w:w="3000"/>
            <w:tcMar>
              <w:top w:type="dxa" w:w="60"/>
              <w:left w:type="dxa" w:w="100"/>
              <w:bottom w:type="dxa" w:w="60"/>
              <w:right w:type="dxa" w:w="100"/>
            </w:tcMar>
            <w:vAlign w:val="top"/>
          </w:tcPr>
          <w:p>
            <w:r>
              <w:rPr>
                <w:sz w:val="15"/>
                <w:szCs w:val="15"/>
              </w:rPr>
              <w:t xml:space="preserve">P(A or B intruded) at 5,000 m³/d per well</w:t>
            </w:r>
          </w:p>
        </w:tc>
        <w:tc>
          <w:tcPr>
            <w:tcW w:type="dxa" w:w="1950"/>
            <w:tcMar>
              <w:top w:type="dxa" w:w="60"/>
              <w:left w:type="dxa" w:w="100"/>
              <w:bottom w:type="dxa" w:w="60"/>
              <w:right w:type="dxa" w:w="100"/>
            </w:tcMar>
            <w:vAlign w:val="top"/>
          </w:tcPr>
          <w:p>
            <w:r>
              <w:rPr>
                <w:sz w:val="15"/>
                <w:szCs w:val="15"/>
              </w:rPr>
              <w:t xml:space="preserve">0.226 ± 0.003</w:t>
            </w:r>
          </w:p>
        </w:tc>
        <w:tc>
          <w:tcPr>
            <w:tcW w:type="dxa" w:w="1800"/>
            <w:tcMar>
              <w:top w:type="dxa" w:w="60"/>
              <w:left w:type="dxa" w:w="100"/>
              <w:bottom w:type="dxa" w:w="60"/>
              <w:right w:type="dxa" w:w="100"/>
            </w:tcMar>
            <w:vAlign w:val="top"/>
          </w:tcPr>
          <w:p>
            <w:r>
              <w:rPr>
                <w:sz w:val="15"/>
                <w:szCs w:val="15"/>
              </w:rPr>
              <w:t xml:space="preserve">0.228 ± 0.003</w:t>
            </w:r>
          </w:p>
        </w:tc>
        <w:tc>
          <w:tcPr>
            <w:tcW w:type="dxa" w:w="1888"/>
            <w:tcMar>
              <w:top w:type="dxa" w:w="60"/>
              <w:left w:type="dxa" w:w="100"/>
              <w:bottom w:type="dxa" w:w="60"/>
              <w:right w:type="dxa" w:w="100"/>
            </w:tcMar>
            <w:vAlign w:val="top"/>
          </w:tcPr>
          <w:p>
            <w:r>
              <w:rPr>
                <w:sz w:val="15"/>
                <w:szCs w:val="15"/>
              </w:rPr>
              <w:t xml:space="preserve">0.024</w:t>
            </w:r>
          </w:p>
        </w:tc>
      </w:tr>
      <w:tr>
        <w:trPr>
          <w:cantSplit/>
        </w:trPr>
        <w:tc>
          <w:tcPr>
            <w:tcW w:type="dxa" w:w="1000"/>
            <w:shd w:fill="F7F9FC" w:color="auto" w:val="clear"/>
            <w:tcMar>
              <w:top w:type="dxa" w:w="60"/>
              <w:left w:type="dxa" w:w="100"/>
              <w:bottom w:type="dxa" w:w="60"/>
              <w:right w:type="dxa" w:w="100"/>
            </w:tcMar>
            <w:vAlign w:val="top"/>
          </w:tcPr>
          <w:p/>
        </w:tc>
        <w:tc>
          <w:tcPr>
            <w:tcW w:type="dxa" w:w="3000"/>
            <w:shd w:fill="F7F9FC" w:color="auto" w:val="clear"/>
            <w:tcMar>
              <w:top w:type="dxa" w:w="60"/>
              <w:left w:type="dxa" w:w="100"/>
              <w:bottom w:type="dxa" w:w="60"/>
              <w:right w:type="dxa" w:w="100"/>
            </w:tcMar>
            <w:vAlign w:val="top"/>
          </w:tcPr>
          <w:p>
            <w:r>
              <w:rPr>
                <w:sz w:val="15"/>
                <w:szCs w:val="15"/>
              </w:rPr>
              <w:t xml:space="preserve">Risk for one plausible aquifer: median / 90% / 99% quantile</w:t>
            </w:r>
          </w:p>
        </w:tc>
        <w:tc>
          <w:tcPr>
            <w:tcW w:type="dxa" w:w="1950"/>
            <w:shd w:fill="F7F9FC" w:color="auto" w:val="clear"/>
            <w:tcMar>
              <w:top w:type="dxa" w:w="60"/>
              <w:left w:type="dxa" w:w="100"/>
              <w:bottom w:type="dxa" w:w="60"/>
              <w:right w:type="dxa" w:w="100"/>
            </w:tcMar>
            <w:vAlign w:val="top"/>
          </w:tcPr>
          <w:p>
            <w:r>
              <w:rPr>
                <w:sz w:val="15"/>
                <w:szCs w:val="15"/>
              </w:rPr>
              <w:t xml:space="preserve">0.06 / 0.82 / 1.00</w:t>
            </w:r>
          </w:p>
        </w:tc>
        <w:tc>
          <w:tcPr>
            <w:tcW w:type="dxa" w:w="1800"/>
            <w:shd w:fill="F7F9FC" w:color="auto" w:val="clear"/>
            <w:tcMar>
              <w:top w:type="dxa" w:w="60"/>
              <w:left w:type="dxa" w:w="100"/>
              <w:bottom w:type="dxa" w:w="60"/>
              <w:right w:type="dxa" w:w="100"/>
            </w:tcMar>
            <w:vAlign w:val="top"/>
          </w:tcPr>
          <w:p>
            <w:r>
              <w:rPr>
                <w:sz w:val="15"/>
                <w:szCs w:val="15"/>
              </w:rPr>
              <w:t xml:space="preserve">0.06 / 0.83 / 1.00</w:t>
            </w:r>
          </w:p>
        </w:tc>
        <w:tc>
          <w:tcPr>
            <w:tcW w:type="dxa" w:w="1888"/>
            <w:shd w:fill="F7F9FC" w:color="auto" w:val="clear"/>
            <w:tcMar>
              <w:top w:type="dxa" w:w="60"/>
              <w:left w:type="dxa" w:w="100"/>
              <w:bottom w:type="dxa" w:w="60"/>
              <w:right w:type="dxa" w:w="100"/>
            </w:tcMar>
            <w:vAlign w:val="top"/>
          </w:tcPr>
          <w:p>
            <w:r>
              <w:rPr>
                <w:sz w:val="15"/>
                <w:szCs w:val="15"/>
              </w:rPr>
              <w:t xml:space="preserve">0.022 / 0.044 / 0.076</w:t>
            </w:r>
          </w:p>
        </w:tc>
      </w:tr>
      <w:tr>
        <w:trPr>
          <w:cantSplit/>
        </w:trPr>
        <w:tc>
          <w:tcPr>
            <w:tcW w:type="dxa" w:w="1000"/>
            <w:tcMar>
              <w:top w:type="dxa" w:w="60"/>
              <w:left w:type="dxa" w:w="100"/>
              <w:bottom w:type="dxa" w:w="60"/>
              <w:right w:type="dxa" w:w="100"/>
            </w:tcMar>
            <w:vAlign w:val="top"/>
          </w:tcPr>
          <w:p/>
        </w:tc>
        <w:tc>
          <w:tcPr>
            <w:tcW w:type="dxa" w:w="3000"/>
            <w:tcMar>
              <w:top w:type="dxa" w:w="60"/>
              <w:left w:type="dxa" w:w="100"/>
              <w:bottom w:type="dxa" w:w="60"/>
              <w:right w:type="dxa" w:w="100"/>
            </w:tcMar>
            <w:vAlign w:val="top"/>
          </w:tcPr>
          <w:p>
            <w:r>
              <w:rPr>
                <w:sz w:val="15"/>
                <w:szCs w:val="15"/>
              </w:rPr>
              <w:t xml:space="preserve">Scenarios no rate up to 20,000 m³/d per well can save</w:t>
            </w:r>
          </w:p>
        </w:tc>
        <w:tc>
          <w:tcPr>
            <w:tcW w:type="dxa" w:w="1950"/>
            <w:tcMar>
              <w:top w:type="dxa" w:w="60"/>
              <w:left w:type="dxa" w:w="100"/>
              <w:bottom w:type="dxa" w:w="60"/>
              <w:right w:type="dxa" w:w="100"/>
            </w:tcMar>
            <w:vAlign w:val="top"/>
          </w:tcPr>
          <w:p>
            <w:r>
              <w:rPr>
                <w:sz w:val="15"/>
                <w:szCs w:val="15"/>
              </w:rPr>
              <w:t xml:space="preserve">13.9%</w:t>
            </w:r>
          </w:p>
        </w:tc>
        <w:tc>
          <w:tcPr>
            <w:tcW w:type="dxa" w:w="1800"/>
            <w:tcMar>
              <w:top w:type="dxa" w:w="60"/>
              <w:left w:type="dxa" w:w="100"/>
              <w:bottom w:type="dxa" w:w="60"/>
              <w:right w:type="dxa" w:w="100"/>
            </w:tcMar>
            <w:vAlign w:val="top"/>
          </w:tcPr>
          <w:p>
            <w:r>
              <w:rPr>
                <w:sz w:val="15"/>
                <w:szCs w:val="15"/>
              </w:rPr>
              <w:t xml:space="preserve">—</w:t>
            </w:r>
          </w:p>
        </w:tc>
        <w:tc>
          <w:tcPr>
            <w:tcW w:type="dxa" w:w="1888"/>
            <w:tcMar>
              <w:top w:type="dxa" w:w="60"/>
              <w:left w:type="dxa" w:w="100"/>
              <w:bottom w:type="dxa" w:w="60"/>
              <w:right w:type="dxa" w:w="100"/>
            </w:tcMar>
            <w:vAlign w:val="top"/>
          </w:tcPr>
          <w:p>
            <w:r>
              <w:rPr>
                <w:sz w:val="15"/>
                <w:szCs w:val="15"/>
              </w:rPr>
              <w:t xml:space="preserve">0.0%</w:t>
            </w:r>
          </w:p>
        </w:tc>
      </w:tr>
      <w:tr>
        <w:trPr>
          <w:cantSplit/>
        </w:trPr>
        <w:tc>
          <w:tcPr>
            <w:tcW w:type="dxa" w:w="1000"/>
            <w:shd w:fill="F7F9FC" w:color="auto" w:val="clear"/>
            <w:tcMar>
              <w:top w:type="dxa" w:w="60"/>
              <w:left w:type="dxa" w:w="100"/>
              <w:bottom w:type="dxa" w:w="60"/>
              <w:right w:type="dxa" w:w="100"/>
            </w:tcMar>
            <w:vAlign w:val="top"/>
          </w:tcPr>
          <w:p>
            <w:r>
              <w:rPr>
                <w:sz w:val="15"/>
                <w:szCs w:val="15"/>
              </w:rPr>
              <w:t xml:space="preserve">Risk</w:t>
            </w:r>
          </w:p>
        </w:tc>
        <w:tc>
          <w:tcPr>
            <w:tcW w:type="dxa" w:w="3000"/>
            <w:shd w:fill="F7F9FC" w:color="auto" w:val="clear"/>
            <w:tcMar>
              <w:top w:type="dxa" w:w="60"/>
              <w:left w:type="dxa" w:w="100"/>
              <w:bottom w:type="dxa" w:w="60"/>
              <w:right w:type="dxa" w:w="100"/>
            </w:tcMar>
            <w:vAlign w:val="top"/>
          </w:tcPr>
          <w:p>
            <w:r>
              <w:rPr>
                <w:sz w:val="15"/>
                <w:szCs w:val="15"/>
              </w:rPr>
              <w:t xml:space="preserve">CVaR of the head deficit at 5% / 10% (m)</w:t>
            </w:r>
          </w:p>
        </w:tc>
        <w:tc>
          <w:tcPr>
            <w:tcW w:type="dxa" w:w="1950"/>
            <w:shd w:fill="F7F9FC" w:color="auto" w:val="clear"/>
            <w:tcMar>
              <w:top w:type="dxa" w:w="60"/>
              <w:left w:type="dxa" w:w="100"/>
              <w:bottom w:type="dxa" w:w="60"/>
              <w:right w:type="dxa" w:w="100"/>
            </w:tcMar>
            <w:vAlign w:val="top"/>
          </w:tcPr>
          <w:p>
            <w:r>
              <w:rPr>
                <w:sz w:val="15"/>
                <w:szCs w:val="15"/>
              </w:rPr>
              <w:t xml:space="preserve">+0.98 / +0.69</w:t>
            </w:r>
          </w:p>
        </w:tc>
        <w:tc>
          <w:tcPr>
            <w:tcW w:type="dxa" w:w="1800"/>
            <w:shd w:fill="F7F9FC" w:color="auto" w:val="clear"/>
            <w:tcMar>
              <w:top w:type="dxa" w:w="60"/>
              <w:left w:type="dxa" w:w="100"/>
              <w:bottom w:type="dxa" w:w="60"/>
              <w:right w:type="dxa" w:w="100"/>
            </w:tcMar>
            <w:vAlign w:val="top"/>
          </w:tcPr>
          <w:p>
            <w:r>
              <w:rPr>
                <w:sz w:val="15"/>
                <w:szCs w:val="15"/>
              </w:rPr>
              <w:t xml:space="preserve">+0.93 / +0.64</w:t>
            </w:r>
          </w:p>
        </w:tc>
        <w:tc>
          <w:tcPr>
            <w:tcW w:type="dxa" w:w="1888"/>
            <w:shd w:fill="F7F9FC" w:color="auto" w:val="clear"/>
            <w:tcMar>
              <w:top w:type="dxa" w:w="60"/>
              <w:left w:type="dxa" w:w="100"/>
              <w:bottom w:type="dxa" w:w="60"/>
              <w:right w:type="dxa" w:w="100"/>
            </w:tcMar>
            <w:vAlign w:val="top"/>
          </w:tcPr>
          <w:p>
            <w:r>
              <w:rPr>
                <w:sz w:val="15"/>
                <w:szCs w:val="15"/>
              </w:rPr>
              <w:t xml:space="preserve">+0.01 / −0.04</w:t>
            </w:r>
          </w:p>
        </w:tc>
      </w:tr>
      <w:tr>
        <w:trPr>
          <w:cantSplit/>
        </w:trPr>
        <w:tc>
          <w:tcPr>
            <w:tcW w:type="dxa" w:w="1000"/>
            <w:tcMar>
              <w:top w:type="dxa" w:w="60"/>
              <w:left w:type="dxa" w:w="100"/>
              <w:bottom w:type="dxa" w:w="60"/>
              <w:right w:type="dxa" w:w="100"/>
            </w:tcMar>
            <w:vAlign w:val="top"/>
          </w:tcPr>
          <w:p/>
        </w:tc>
        <w:tc>
          <w:tcPr>
            <w:tcW w:type="dxa" w:w="3000"/>
            <w:tcMar>
              <w:top w:type="dxa" w:w="60"/>
              <w:left w:type="dxa" w:w="100"/>
              <w:bottom w:type="dxa" w:w="60"/>
              <w:right w:type="dxa" w:w="100"/>
            </w:tcMar>
            <w:vAlign w:val="top"/>
          </w:tcPr>
          <w:p>
            <w:r>
              <w:rPr>
                <w:sz w:val="15"/>
                <w:szCs w:val="15"/>
              </w:rPr>
              <w:t xml:space="preserve">Gaussian approximation of P</w:t>
            </w:r>
          </w:p>
        </w:tc>
        <w:tc>
          <w:tcPr>
            <w:tcW w:type="dxa" w:w="1950"/>
            <w:tcMar>
              <w:top w:type="dxa" w:w="60"/>
              <w:left w:type="dxa" w:w="100"/>
              <w:bottom w:type="dxa" w:w="60"/>
              <w:right w:type="dxa" w:w="100"/>
            </w:tcMar>
            <w:vAlign w:val="top"/>
          </w:tcPr>
          <w:p>
            <w:r>
              <w:rPr>
                <w:sz w:val="15"/>
                <w:szCs w:val="15"/>
              </w:rPr>
              <w:t xml:space="preserve">0.252</w:t>
            </w:r>
          </w:p>
        </w:tc>
        <w:tc>
          <w:tcPr>
            <w:tcW w:type="dxa" w:w="1800"/>
            <w:tcMar>
              <w:top w:type="dxa" w:w="60"/>
              <w:left w:type="dxa" w:w="100"/>
              <w:bottom w:type="dxa" w:w="60"/>
              <w:right w:type="dxa" w:w="100"/>
            </w:tcMar>
            <w:vAlign w:val="top"/>
          </w:tcPr>
          <w:p>
            <w:r>
              <w:rPr>
                <w:sz w:val="15"/>
                <w:szCs w:val="15"/>
              </w:rPr>
              <w:t xml:space="preserve">0.249</w:t>
            </w:r>
          </w:p>
        </w:tc>
        <w:tc>
          <w:tcPr>
            <w:tcW w:type="dxa" w:w="1888"/>
            <w:tcMar>
              <w:top w:type="dxa" w:w="60"/>
              <w:left w:type="dxa" w:w="100"/>
              <w:bottom w:type="dxa" w:w="60"/>
              <w:right w:type="dxa" w:w="100"/>
            </w:tcMar>
            <w:vAlign w:val="top"/>
          </w:tcPr>
          <w:p>
            <w:r>
              <w:rPr>
                <w:sz w:val="15"/>
                <w:szCs w:val="15"/>
              </w:rPr>
              <w:t xml:space="preserve">—</w:t>
            </w:r>
          </w:p>
        </w:tc>
      </w:tr>
      <w:tr>
        <w:trPr>
          <w:cantSplit/>
        </w:trPr>
        <w:tc>
          <w:tcPr>
            <w:tcW w:type="dxa" w:w="1000"/>
            <w:shd w:fill="F7F9FC" w:color="auto" w:val="clear"/>
            <w:tcMar>
              <w:top w:type="dxa" w:w="60"/>
              <w:left w:type="dxa" w:w="100"/>
              <w:bottom w:type="dxa" w:w="60"/>
              <w:right w:type="dxa" w:w="100"/>
            </w:tcMar>
            <w:vAlign w:val="top"/>
          </w:tcPr>
          <w:p>
            <w:r>
              <w:rPr>
                <w:sz w:val="15"/>
                <w:szCs w:val="15"/>
              </w:rPr>
              <w:t xml:space="preserve">Robustness</w:t>
            </w:r>
          </w:p>
        </w:tc>
        <w:tc>
          <w:tcPr>
            <w:tcW w:type="dxa" w:w="3000"/>
            <w:shd w:fill="F7F9FC" w:color="auto" w:val="clear"/>
            <w:tcMar>
              <w:top w:type="dxa" w:w="60"/>
              <w:left w:type="dxa" w:w="100"/>
              <w:bottom w:type="dxa" w:w="60"/>
              <w:right w:type="dxa" w:w="100"/>
            </w:tcMar>
            <w:vAlign w:val="top"/>
          </w:tcPr>
          <w:p>
            <w:r>
              <w:rPr>
                <w:sz w:val="15"/>
                <w:szCs w:val="15"/>
              </w:rPr>
              <w:t xml:space="preserve">Radius </w:t>
            </w:r>
            <m:oMath>
              <m:sSup>
                <m:e>
                  <m:r>
                    <m:t>ρ</m:t>
                  </m:r>
                </m:e>
                <m:sup>
                  <m:r>
                    <m:rPr>
                      <m:sty m:val="p"/>
                    </m:rPr>
                    <m:t>⋆</m:t>
                  </m:r>
                </m:sup>
              </m:sSup>
            </m:oMath>
            <w:r>
              <w:rPr>
                <w:sz w:val="15"/>
                <w:szCs w:val="15"/>
              </w:rPr>
              <w:t xml:space="preserve"> at 5% / 10% (equal rates)</w:t>
            </w:r>
          </w:p>
        </w:tc>
        <w:tc>
          <w:tcPr>
            <w:tcW w:type="dxa" w:w="1950"/>
            <w:shd w:fill="F7F9FC" w:color="auto" w:val="clear"/>
            <w:tcMar>
              <w:top w:type="dxa" w:w="60"/>
              <w:left w:type="dxa" w:w="100"/>
              <w:bottom w:type="dxa" w:w="60"/>
              <w:right w:type="dxa" w:w="100"/>
            </w:tcMar>
            <w:vAlign w:val="top"/>
          </w:tcPr>
          <w:p>
            <w:r>
              <w:rPr>
                <w:sz w:val="15"/>
                <w:szCs w:val="15"/>
              </w:rPr>
              <w:t xml:space="preserve">0.0 cm / 0.0 cm</w:t>
            </w:r>
          </w:p>
        </w:tc>
        <w:tc>
          <w:tcPr>
            <w:tcW w:type="dxa" w:w="1800"/>
            <w:shd w:fill="F7F9FC" w:color="auto" w:val="clear"/>
            <w:tcMar>
              <w:top w:type="dxa" w:w="60"/>
              <w:left w:type="dxa" w:w="100"/>
              <w:bottom w:type="dxa" w:w="60"/>
              <w:right w:type="dxa" w:w="100"/>
            </w:tcMar>
            <w:vAlign w:val="top"/>
          </w:tcPr>
          <w:p>
            <w:r>
              <w:rPr>
                <w:sz w:val="15"/>
                <w:szCs w:val="15"/>
              </w:rPr>
              <w:t xml:space="preserve">0.0 cm / 0.0 cm</w:t>
            </w:r>
          </w:p>
        </w:tc>
        <w:tc>
          <w:tcPr>
            <w:tcW w:type="dxa" w:w="1888"/>
            <w:shd w:fill="F7F9FC" w:color="auto" w:val="clear"/>
            <w:tcMar>
              <w:top w:type="dxa" w:w="60"/>
              <w:left w:type="dxa" w:w="100"/>
              <w:bottom w:type="dxa" w:w="60"/>
              <w:right w:type="dxa" w:w="100"/>
            </w:tcMar>
            <w:vAlign w:val="top"/>
          </w:tcPr>
          <w:p>
            <w:r>
              <w:rPr>
                <w:sz w:val="15"/>
                <w:szCs w:val="15"/>
              </w:rPr>
              <w:t xml:space="preserve">0.0 cm / 0.4 cm</w:t>
            </w:r>
          </w:p>
        </w:tc>
      </w:tr>
      <w:tr>
        <w:trPr>
          <w:cantSplit/>
        </w:trPr>
        <w:tc>
          <w:tcPr>
            <w:tcW w:type="dxa" w:w="1000"/>
            <w:tcMar>
              <w:top w:type="dxa" w:w="60"/>
              <w:left w:type="dxa" w:w="100"/>
              <w:bottom w:type="dxa" w:w="60"/>
              <w:right w:type="dxa" w:w="100"/>
            </w:tcMar>
            <w:vAlign w:val="top"/>
          </w:tcPr>
          <w:p/>
        </w:tc>
        <w:tc>
          <w:tcPr>
            <w:tcW w:type="dxa" w:w="3000"/>
            <w:tcMar>
              <w:top w:type="dxa" w:w="60"/>
              <w:left w:type="dxa" w:w="100"/>
              <w:bottom w:type="dxa" w:w="60"/>
              <w:right w:type="dxa" w:w="100"/>
            </w:tcMar>
            <w:vAlign w:val="top"/>
          </w:tcPr>
          <w:p>
            <w:r>
              <w:rPr>
                <w:sz w:val="15"/>
                <w:szCs w:val="15"/>
              </w:rPr>
              <w:t xml:space="preserve">P according to the 12-zone model alone</w:t>
            </w:r>
          </w:p>
        </w:tc>
        <w:tc>
          <w:tcPr>
            <w:tcW w:type="dxa" w:w="1950"/>
            <w:tcMar>
              <w:top w:type="dxa" w:w="60"/>
              <w:left w:type="dxa" w:w="100"/>
              <w:bottom w:type="dxa" w:w="60"/>
              <w:right w:type="dxa" w:w="100"/>
            </w:tcMar>
            <w:vAlign w:val="top"/>
          </w:tcPr>
          <w:p>
            <w:r>
              <w:rPr>
                <w:sz w:val="15"/>
                <w:szCs w:val="15"/>
              </w:rPr>
              <w:t xml:space="preserve">0.098</w:t>
            </w:r>
          </w:p>
        </w:tc>
        <w:tc>
          <w:tcPr>
            <w:tcW w:type="dxa" w:w="1800"/>
            <w:tcMar>
              <w:top w:type="dxa" w:w="60"/>
              <w:left w:type="dxa" w:w="100"/>
              <w:bottom w:type="dxa" w:w="60"/>
              <w:right w:type="dxa" w:w="100"/>
            </w:tcMar>
            <w:vAlign w:val="top"/>
          </w:tcPr>
          <w:p>
            <w:r>
              <w:rPr>
                <w:sz w:val="15"/>
                <w:szCs w:val="15"/>
              </w:rPr>
              <w:t xml:space="preserve">0.098</w:t>
            </w:r>
          </w:p>
        </w:tc>
        <w:tc>
          <w:tcPr>
            <w:tcW w:type="dxa" w:w="1888"/>
            <w:tcMar>
              <w:top w:type="dxa" w:w="60"/>
              <w:left w:type="dxa" w:w="100"/>
              <w:bottom w:type="dxa" w:w="60"/>
              <w:right w:type="dxa" w:w="100"/>
            </w:tcMar>
            <w:vAlign w:val="top"/>
          </w:tcPr>
          <w:p>
            <w:r>
              <w:rPr>
                <w:sz w:val="15"/>
                <w:szCs w:val="15"/>
              </w:rPr>
              <w:t xml:space="preserve">—</w:t>
            </w:r>
          </w:p>
        </w:tc>
      </w:tr>
      <w:tr>
        <w:trPr>
          <w:cantSplit/>
        </w:trPr>
        <w:tc>
          <w:tcPr>
            <w:tcW w:type="dxa" w:w="1000"/>
            <w:shd w:fill="F7F9FC" w:color="auto" w:val="clear"/>
            <w:tcMar>
              <w:top w:type="dxa" w:w="60"/>
              <w:left w:type="dxa" w:w="100"/>
              <w:bottom w:type="dxa" w:w="60"/>
              <w:right w:type="dxa" w:w="100"/>
            </w:tcMar>
            <w:vAlign w:val="top"/>
          </w:tcPr>
          <w:p>
            <w:r>
              <w:rPr>
                <w:sz w:val="15"/>
                <w:szCs w:val="15"/>
              </w:rPr>
              <w:t xml:space="preserve">Rates</w:t>
            </w:r>
          </w:p>
        </w:tc>
        <w:tc>
          <w:tcPr>
            <w:tcW w:type="dxa" w:w="3000"/>
            <w:shd w:fill="F7F9FC" w:color="auto" w:val="clear"/>
            <w:tcMar>
              <w:top w:type="dxa" w:w="60"/>
              <w:left w:type="dxa" w:w="100"/>
              <w:bottom w:type="dxa" w:w="60"/>
              <w:right w:type="dxa" w:w="100"/>
            </w:tcMar>
            <w:vAlign w:val="top"/>
          </w:tcPr>
          <w:p>
            <w:r>
              <w:rPr>
                <w:sz w:val="15"/>
                <w:szCs w:val="15"/>
              </w:rPr>
              <w:t xml:space="preserve">Best split of 15,000 m³/d by CVaR (m³/d)</w:t>
            </w:r>
          </w:p>
        </w:tc>
        <w:tc>
          <w:tcPr>
            <w:tcW w:type="dxa" w:w="1950"/>
            <w:shd w:fill="F7F9FC" w:color="auto" w:val="clear"/>
            <w:tcMar>
              <w:top w:type="dxa" w:w="60"/>
              <w:left w:type="dxa" w:w="100"/>
              <w:bottom w:type="dxa" w:w="60"/>
              <w:right w:type="dxa" w:w="100"/>
            </w:tcMar>
            <w:vAlign w:val="top"/>
          </w:tcPr>
          <w:p>
            <w:r>
              <w:rPr>
                <w:sz w:val="15"/>
                <w:szCs w:val="15"/>
              </w:rPr>
              <w:t xml:space="preserve">5,095 / 4,272 / 5,634</w:t>
            </w:r>
          </w:p>
        </w:tc>
        <w:tc>
          <w:tcPr>
            <w:tcW w:type="dxa" w:w="1800"/>
            <w:shd w:fill="F7F9FC" w:color="auto" w:val="clear"/>
            <w:tcMar>
              <w:top w:type="dxa" w:w="60"/>
              <w:left w:type="dxa" w:w="100"/>
              <w:bottom w:type="dxa" w:w="60"/>
              <w:right w:type="dxa" w:w="100"/>
            </w:tcMar>
            <w:vAlign w:val="top"/>
          </w:tcPr>
          <w:p>
            <w:r>
              <w:rPr>
                <w:sz w:val="15"/>
                <w:szCs w:val="15"/>
              </w:rPr>
              <w:t xml:space="preserve">—</w:t>
            </w:r>
          </w:p>
        </w:tc>
        <w:tc>
          <w:tcPr>
            <w:tcW w:type="dxa" w:w="1888"/>
            <w:shd w:fill="F7F9FC" w:color="auto" w:val="clear"/>
            <w:tcMar>
              <w:top w:type="dxa" w:w="60"/>
              <w:left w:type="dxa" w:w="100"/>
              <w:bottom w:type="dxa" w:w="60"/>
              <w:right w:type="dxa" w:w="100"/>
            </w:tcMar>
            <w:vAlign w:val="top"/>
          </w:tcPr>
          <w:p>
            <w:r>
              <w:rPr>
                <w:sz w:val="15"/>
                <w:szCs w:val="15"/>
              </w:rPr>
              <w:t xml:space="preserve">9,479 / 5,431 / 91</w:t>
            </w:r>
          </w:p>
        </w:tc>
      </w:tr>
      <w:tr>
        <w:trPr>
          <w:cantSplit/>
        </w:trPr>
        <w:tc>
          <w:tcPr>
            <w:tcW w:type="dxa" w:w="1000"/>
            <w:tcMar>
              <w:top w:type="dxa" w:w="60"/>
              <w:left w:type="dxa" w:w="100"/>
              <w:bottom w:type="dxa" w:w="60"/>
              <w:right w:type="dxa" w:w="100"/>
            </w:tcMar>
            <w:vAlign w:val="top"/>
          </w:tcPr>
          <w:p/>
        </w:tc>
        <w:tc>
          <w:tcPr>
            <w:tcW w:type="dxa" w:w="3000"/>
            <w:tcMar>
              <w:top w:type="dxa" w:w="60"/>
              <w:left w:type="dxa" w:w="100"/>
              <w:bottom w:type="dxa" w:w="60"/>
              <w:right w:type="dxa" w:w="100"/>
            </w:tcMar>
            <w:vAlign w:val="top"/>
          </w:tcPr>
          <w:p>
            <w:r>
              <w:rPr>
                <w:sz w:val="15"/>
                <w:szCs w:val="15"/>
              </w:rPr>
              <w:t xml:space="preserve">Its CVaR at 5% (m) and P</w:t>
            </w:r>
          </w:p>
        </w:tc>
        <w:tc>
          <w:tcPr>
            <w:tcW w:type="dxa" w:w="1950"/>
            <w:tcMar>
              <w:top w:type="dxa" w:w="60"/>
              <w:left w:type="dxa" w:w="100"/>
              <w:bottom w:type="dxa" w:w="60"/>
              <w:right w:type="dxa" w:w="100"/>
            </w:tcMar>
            <w:vAlign w:val="top"/>
          </w:tcPr>
          <w:p>
            <w:r>
              <w:rPr>
                <w:sz w:val="15"/>
                <w:szCs w:val="15"/>
              </w:rPr>
              <w:t xml:space="preserve">+0.98, 0.224</w:t>
            </w:r>
          </w:p>
        </w:tc>
        <w:tc>
          <w:tcPr>
            <w:tcW w:type="dxa" w:w="1800"/>
            <w:tcMar>
              <w:top w:type="dxa" w:w="60"/>
              <w:left w:type="dxa" w:w="100"/>
              <w:bottom w:type="dxa" w:w="60"/>
              <w:right w:type="dxa" w:w="100"/>
            </w:tcMar>
            <w:vAlign w:val="top"/>
          </w:tcPr>
          <w:p>
            <w:r>
              <w:rPr>
                <w:sz w:val="15"/>
                <w:szCs w:val="15"/>
              </w:rPr>
              <w:t xml:space="preserve">—</w:t>
            </w:r>
          </w:p>
        </w:tc>
        <w:tc>
          <w:tcPr>
            <w:tcW w:type="dxa" w:w="1888"/>
            <w:tcMar>
              <w:top w:type="dxa" w:w="60"/>
              <w:left w:type="dxa" w:w="100"/>
              <w:bottom w:type="dxa" w:w="60"/>
              <w:right w:type="dxa" w:w="100"/>
            </w:tcMar>
            <w:vAlign w:val="top"/>
          </w:tcPr>
          <w:p>
            <w:r>
              <w:rPr>
                <w:sz w:val="15"/>
                <w:szCs w:val="15"/>
              </w:rPr>
              <w:t xml:space="preserve">−0.13, 0.0024</w:t>
            </w:r>
          </w:p>
        </w:tc>
      </w:tr>
      <w:tr>
        <w:trPr>
          <w:cantSplit/>
        </w:trPr>
        <w:tc>
          <w:tcPr>
            <w:tcW w:type="dxa" w:w="1000"/>
            <w:shd w:fill="F7F9FC" w:color="auto" w:val="clear"/>
            <w:tcMar>
              <w:top w:type="dxa" w:w="60"/>
              <w:left w:type="dxa" w:w="100"/>
              <w:bottom w:type="dxa" w:w="60"/>
              <w:right w:type="dxa" w:w="100"/>
            </w:tcMar>
            <w:vAlign w:val="top"/>
          </w:tcPr>
          <w:p/>
        </w:tc>
        <w:tc>
          <w:tcPr>
            <w:tcW w:type="dxa" w:w="3000"/>
            <w:shd w:fill="F7F9FC" w:color="auto" w:val="clear"/>
            <w:tcMar>
              <w:top w:type="dxa" w:w="60"/>
              <w:left w:type="dxa" w:w="100"/>
              <w:bottom w:type="dxa" w:w="60"/>
              <w:right w:type="dxa" w:w="100"/>
            </w:tcMar>
            <w:vAlign w:val="top"/>
          </w:tcPr>
          <w:p>
            <w:r>
              <w:rPr>
                <w:sz w:val="15"/>
                <w:szCs w:val="15"/>
              </w:rPr>
              <w:t xml:space="preserve">Scenario programme: total rate, discarded, guarantee ε</w:t>
            </w:r>
          </w:p>
        </w:tc>
        <w:tc>
          <w:tcPr>
            <w:tcW w:type="dxa" w:w="1950"/>
            <w:shd w:fill="F7F9FC" w:color="auto" w:val="clear"/>
            <w:tcMar>
              <w:top w:type="dxa" w:w="60"/>
              <w:left w:type="dxa" w:w="100"/>
              <w:bottom w:type="dxa" w:w="60"/>
              <w:right w:type="dxa" w:w="100"/>
            </w:tcMar>
            <w:vAlign w:val="top"/>
          </w:tcPr>
          <w:p>
            <w:r>
              <w:rPr>
                <w:sz w:val="15"/>
                <w:szCs w:val="15"/>
              </w:rPr>
              <w:t xml:space="preserve">55,689 m³/d, 14.7%, 18.8%</w:t>
            </w:r>
          </w:p>
        </w:tc>
        <w:tc>
          <w:tcPr>
            <w:tcW w:type="dxa" w:w="1800"/>
            <w:shd w:fill="F7F9FC" w:color="auto" w:val="clear"/>
            <w:tcMar>
              <w:top w:type="dxa" w:w="60"/>
              <w:left w:type="dxa" w:w="100"/>
              <w:bottom w:type="dxa" w:w="60"/>
              <w:right w:type="dxa" w:w="100"/>
            </w:tcMar>
            <w:vAlign w:val="top"/>
          </w:tcPr>
          <w:p>
            <w:r>
              <w:rPr>
                <w:sz w:val="15"/>
                <w:szCs w:val="15"/>
              </w:rPr>
              <w:t xml:space="preserve">—</w:t>
            </w:r>
          </w:p>
        </w:tc>
        <w:tc>
          <w:tcPr>
            <w:tcW w:type="dxa" w:w="1888"/>
            <w:shd w:fill="F7F9FC" w:color="auto" w:val="clear"/>
            <w:tcMar>
              <w:top w:type="dxa" w:w="60"/>
              <w:left w:type="dxa" w:w="100"/>
              <w:bottom w:type="dxa" w:w="60"/>
              <w:right w:type="dxa" w:w="100"/>
            </w:tcMar>
            <w:vAlign w:val="top"/>
          </w:tcPr>
          <w:p>
            <w:r>
              <w:rPr>
                <w:sz w:val="15"/>
                <w:szCs w:val="15"/>
              </w:rPr>
              <w:t xml:space="preserve">23,003 m³/d, 0, 0.48%</w:t>
            </w:r>
          </w:p>
        </w:tc>
      </w:tr>
      <w:tr>
        <w:trPr>
          <w:cantSplit/>
        </w:trPr>
        <w:tc>
          <w:tcPr>
            <w:tcW w:type="dxa" w:w="1000"/>
            <w:tcMar>
              <w:top w:type="dxa" w:w="60"/>
              <w:left w:type="dxa" w:w="100"/>
              <w:bottom w:type="dxa" w:w="60"/>
              <w:right w:type="dxa" w:w="100"/>
            </w:tcMar>
            <w:vAlign w:val="top"/>
          </w:tcPr>
          <w:p>
            <w:r>
              <w:rPr>
                <w:sz w:val="15"/>
                <w:szCs w:val="15"/>
              </w:rPr>
              <w:t xml:space="preserve">Check</w:t>
            </w:r>
          </w:p>
        </w:tc>
        <w:tc>
          <w:tcPr>
            <w:tcW w:type="dxa" w:w="3000"/>
            <w:tcMar>
              <w:top w:type="dxa" w:w="60"/>
              <w:left w:type="dxa" w:w="100"/>
              <w:bottom w:type="dxa" w:w="60"/>
              <w:right w:type="dxa" w:w="100"/>
            </w:tcMar>
            <w:vAlign w:val="top"/>
          </w:tcPr>
          <w:p>
            <w:r>
              <w:rPr>
                <w:sz w:val="15"/>
                <w:szCs w:val="15"/>
              </w:rPr>
              <w:t xml:space="preserve">Risk in the true aquifer: equal rates / CVaR split / scenario rates</w:t>
            </w:r>
          </w:p>
        </w:tc>
        <w:tc>
          <w:tcPr>
            <w:tcW w:type="dxa" w:w="1950"/>
            <w:tcMar>
              <w:top w:type="dxa" w:w="60"/>
              <w:left w:type="dxa" w:w="100"/>
              <w:bottom w:type="dxa" w:w="60"/>
              <w:right w:type="dxa" w:w="100"/>
            </w:tcMar>
            <w:vAlign w:val="top"/>
          </w:tcPr>
          <w:p>
            <w:r>
              <w:rPr>
                <w:sz w:val="15"/>
                <w:szCs w:val="15"/>
              </w:rPr>
              <w:t xml:space="preserve">—</w:t>
            </w:r>
          </w:p>
        </w:tc>
        <w:tc>
          <w:tcPr>
            <w:tcW w:type="dxa" w:w="1800"/>
            <w:tcMar>
              <w:top w:type="dxa" w:w="60"/>
              <w:left w:type="dxa" w:w="100"/>
              <w:bottom w:type="dxa" w:w="60"/>
              <w:right w:type="dxa" w:w="100"/>
            </w:tcMar>
            <w:vAlign w:val="top"/>
          </w:tcPr>
          <w:p>
            <w:r>
              <w:rPr>
                <w:sz w:val="15"/>
                <w:szCs w:val="15"/>
              </w:rPr>
              <w:t xml:space="preserve">—</w:t>
            </w:r>
          </w:p>
        </w:tc>
        <w:tc>
          <w:tcPr>
            <w:tcW w:type="dxa" w:w="1888"/>
            <w:tcMar>
              <w:top w:type="dxa" w:w="60"/>
              <w:left w:type="dxa" w:w="100"/>
              <w:bottom w:type="dxa" w:w="60"/>
              <w:right w:type="dxa" w:w="100"/>
            </w:tcMar>
            <w:vAlign w:val="top"/>
          </w:tcPr>
          <w:p>
            <w:r>
              <w:rPr>
                <w:sz w:val="15"/>
                <w:szCs w:val="15"/>
              </w:rPr>
              <w:t xml:space="preserve">0.051 / 0.0082 / 0.0004</w:t>
            </w:r>
          </w:p>
        </w:tc>
      </w:tr>
    </w:tbl>
    <w:p>
      <w:pPr>
        <w:spacing w:after="160"/>
      </w:pPr>
    </w:p>
    <w:p>
      <w:pPr>
        <w:spacing w:after="120"/>
      </w:pPr>
      <w:r>
        <w:rPr>
          <w:i/>
          <w:iCs/>
          <w:color w:val="5B6573"/>
          <w:sz w:val="18"/>
          <w:szCs w:val="18"/>
        </w:rPr>
        <w:t xml:space="preserve">Table 9.1. Before tests: 20,000 fresh draws of the generator (aquifer, injectivities and future recharge); after tests: 20,000 draws of the posterior of VENDI-GO. A radius is zero when the CVaR is positive, that is, when the worst 5% (or 10%) of cases are, on average, intruded. The scenario guarantee holds at confidence </w:t>
      </w:r>
      <m:oMath>
        <m:r>
          <m:t>1</m:t>
        </m:r>
        <m:r>
          <m:rPr>
            <m:sty m:val="p"/>
          </m:rPr>
          <m:t>−</m:t>
        </m:r>
        <m:sSup>
          <m:e>
            <m:r>
              <m:t>10</m:t>
            </m:r>
          </m:e>
          <m:sup>
            <m:r>
              <m:rPr>
                <m:sty m:val="p"/>
              </m:rPr>
              <m:t>−</m:t>
            </m:r>
            <m:r>
              <m:t>6</m:t>
            </m:r>
          </m:sup>
        </m:sSup>
      </m:oMath>
      <w:r>
        <w:rPr>
          <w:i/>
          <w:iCs/>
          <w:color w:val="5B6573"/>
          <w:sz w:val="18"/>
          <w:szCs w:val="18"/>
        </w:rPr>
        <w:t xml:space="preserve">.</w:t>
      </w:r>
    </w:p>
    <w:p>
      <w:pPr>
        <w:keepNext/>
        <w:spacing w:after="60" w:before="120"/>
        <w:jc w:val="center"/>
      </w:pPr>
      <w:r>
        <w:drawing>
          <wp:inline distT="0" distB="0" distL="0" distR="0">
            <wp:extent cx="5943600" cy="2276475"/>
            <wp:effectExtent t="0" r="0" b="0" l="0"/>
            <wp:docPr id="1" name="Law of the intrusion risk over aquifers before and after tests, posterior against true risk for 24 aquifers, and a map of how often each site belongs to the optimal scheme of a plausible aquifer" descr="Law of the intrusion risk over aquifers before and after tests, posterior against true risk for 24 aquifers, and a map of how often each site belongs to the optimal scheme of a plausible aquifer" title="Law of the intrusion risk over aquifers before and after tests, posterior against true risk for 24 aquifers, and a map of how often each site belongs to the optimal scheme of a plausible aqui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76475"/>
                    </a:xfrm>
                    <a:prstGeom prst="rect">
                      <a:avLst/>
                    </a:prstGeom>
                  </pic:spPr>
                </pic:pic>
              </a:graphicData>
            </a:graphic>
          </wp:inline>
        </w:drawing>
      </w:r>
    </w:p>
    <w:p>
      <w:pPr>
        <w:spacing w:after="200"/>
        <w:jc w:val="both"/>
      </w:pPr>
      <w:r>
        <w:rPr>
          <w:b/>
          <w:bCs/>
          <w:color w:val="3A4350"/>
          <w:sz w:val="18"/>
          <w:szCs w:val="18"/>
        </w:rPr>
        <w:t xml:space="preserve">Figure S1.</w:t>
      </w:r>
      <w:r>
        <w:rPr>
          <w:color w:val="3A4350"/>
          <w:sz w:val="18"/>
          <w:szCs w:val="18"/>
        </w:rPr>
        <w:t xml:space="preserve"> (a) Cumulative law over plausible aquifers of the intrusion probability of the scheme VENDI-GO built for prior truth 18, before the tests (prior) and after them (posterior), with the value for the true aquifer. (b) For the schemes VENDI-GO built in 24 prior truths: posterior risk against the risk in the true aquifer, and whether the scheme is certified at the 5% or the 10% level. (c) For each candidate site, the share of plausible aquifers whose own optimal triple uses it (shade and size), the best triple before tests (1, squares) and four alternatives found by deflation (2–5).</w:t>
      </w:r>
    </w:p>
    <w:p>
      <w:pPr>
        <w:pStyle w:val="Heading3"/>
      </w:pPr>
      <w:r>
        <w:rPr>
          <w:color w:val="1F3864"/>
        </w:rPr>
        <w:t xml:space="preserve">9.6 What the certificate says</w:t>
      </w:r>
    </w:p>
    <w:p>
      <w:pPr>
        <w:pStyle w:val="ListParagraph"/>
        <w:numPr>
          <w:ilvl w:val="0"/>
          <w:numId w:val="2"/>
        </w:numPr>
        <w:spacing w:after="60"/>
        <w:jc w:val="both"/>
      </w:pPr>
      <w:r>
        <w:rPr>
          <w:b/>
          <w:bCs/>
        </w:rPr>
        <w:t xml:space="preserve">U: before the tests the risk is itself very uncertain.</w:t>
      </w:r>
      <w:r>
        <w:t xml:space="preserve"> The best scheme has </w:t>
      </w:r>
      <m:oMath>
        <m:r>
          <m:t>P</m:t>
        </m:r>
        <m:r>
          <m:rPr>
            <m:sty m:val="p"/>
          </m:rPr>
          <m:t>=</m:t>
        </m:r>
        <m:r>
          <m:t>0.226</m:t>
        </m:r>
      </m:oMath>
      <w:r>
        <w:t xml:space="preserve">, but the risk for one plausible aquifer has median 0.06 and 90% quantile 0.82: it exceeds 10% for 43% of the plausible aquifers. After the tests the same kind of statement is narrow: for truth 18 the 90% quantile is 0.044, and the prior law of that very scheme had a 90% quantile of 0.83 (Figure S1a).</w:t>
      </w:r>
    </w:p>
    <w:p>
      <w:pPr>
        <w:pStyle w:val="ListParagraph"/>
        <w:numPr>
          <w:ilvl w:val="0"/>
          <w:numId w:val="2"/>
        </w:numPr>
        <w:spacing w:after="60"/>
        <w:jc w:val="both"/>
      </w:pPr>
      <w:r>
        <w:rPr>
          <w:b/>
          <w:bCs/>
        </w:rPr>
        <w:t xml:space="preserve">R and B before the tests: nothing can be certified.</w:t>
      </w:r>
      <w:r>
        <w:t xml:space="preserve"> The CVaR of the deficit is +0.98 m at 5% and +0.69 m at 10%, so the robustness radius is zero. The scenario programme must discard the 14.7% of scenarios that no rates can save, needs 55,689 m³/d, close to the pump limit at every well, and still guarantees only </w:t>
      </w:r>
      <m:oMath>
        <m:r>
          <m:t>ε</m:t>
        </m:r>
        <m:r>
          <m:rPr>
            <m:sty m:val="p"/>
          </m:rPr>
          <m:t>=</m:t>
        </m:r>
        <m:r>
          <m:t>18.8</m:t>
        </m:r>
      </m:oMath>
      <w:r>
        <w:t xml:space="preserve">; on fresh scenarios it fails in 13.9%, within the guarantee.</w:t>
      </w:r>
    </w:p>
    <w:p>
      <w:pPr>
        <w:pStyle w:val="ListParagraph"/>
        <w:numPr>
          <w:ilvl w:val="0"/>
          <w:numId w:val="2"/>
        </w:numPr>
        <w:spacing w:after="60"/>
        <w:jc w:val="both"/>
      </w:pPr>
      <w:r>
        <w:rPr>
          <w:b/>
          <w:bCs/>
        </w:rPr>
        <w:t xml:space="preserve">R and B after the tests: certificates become possible, and the rates matter.</w:t>
      </w:r>
      <w:r>
        <w:t xml:space="preserve"> For truth 18 the scheme at equal rates has CVaR +0.01 m at 5%, so it is certified only at 10% (radius 0.4 cm). The CVaR programme splits the same 15,000 m³/d as 9,479, 5,431, 91 m³/d, almost abandoning the third well, which lowers the CVaR to −0.13 m (radius 0.7 cm at 5%), the posterior risk from 0.024 to 0.0024 and the risk in the true aquifer from 0.051 to 0.0082. The scenario programme needs no discard and 23,003 m³/d for a guarantee of 0.48%; its true risk is 0.0004. Over the 24 aquifers the scheme is certified at 5% in 12 (median radius 0.9 cm) and at 10% in 16 (median 1.9 cm); the mean posterior risk is 0.187 against a true 0.195; the scenario guarantee has median 1.2% and holds in the true aquifer in 22 of 24; every scheme left uncertified has a posterior risk of at least 0.08, so the certificate says honestly where three wells at these rates are not enough.</w:t>
      </w:r>
    </w:p>
    <w:p>
      <w:pPr>
        <w:pStyle w:val="ListParagraph"/>
        <w:numPr>
          <w:ilvl w:val="0"/>
          <w:numId w:val="2"/>
        </w:numPr>
        <w:spacing w:after="60"/>
        <w:jc w:val="both"/>
      </w:pPr>
      <w:r>
        <w:rPr>
          <w:b/>
          <w:bCs/>
        </w:rPr>
        <w:t xml:space="preserve">B: the 12-zone model alone must not be used to certify.</w:t>
      </w:r>
      <w:r>
        <w:t xml:space="preserve"> On paired draws it gives </w:t>
      </w:r>
      <m:oMath>
        <m:r>
          <m:t>P</m:t>
        </m:r>
        <m:r>
          <m:rPr>
            <m:sty m:val="p"/>
          </m:rPr>
          <m:t>=</m:t>
        </m:r>
        <m:r>
          <m:t>0.098</m:t>
        </m:r>
      </m:oMath>
      <w:r>
        <w:t xml:space="preserve"> where the generator with the finer field gives 0.232 for the same scheme, and the coupling bound on the distance between the two laws of the supply-well heads is 43.4 cm, far beyond the largest radius found (5.8 cm). The certificate is valid relative to a belief that carries the model error, as VENDI-GO's does.</w:t>
      </w:r>
    </w:p>
    <w:p>
      <w:pPr>
        <w:pStyle w:val="ListParagraph"/>
        <w:numPr>
          <w:ilvl w:val="0"/>
          <w:numId w:val="2"/>
        </w:numPr>
        <w:spacing w:after="60"/>
        <w:jc w:val="both"/>
      </w:pPr>
      <w:r>
        <w:rPr>
          <w:b/>
          <w:bCs/>
        </w:rPr>
        <w:t xml:space="preserve">N: the rates are unique.</w:t>
      </w:r>
      <w:r>
        <w:t xml:space="preserve"> Before the tests the CVaR split is 5,095, 4,272, 5,634 m³/d and each rate varies by at most 5 m³/d over the optimal face (0.04% of the budget); after the tests, and for both scenario programmes, by less than 1 m³/d. The uniqueness that Proposition S2 needs therefore holds.</w:t>
      </w:r>
    </w:p>
    <w:p>
      <w:pPr>
        <w:pStyle w:val="ListParagraph"/>
        <w:numPr>
          <w:ilvl w:val="0"/>
          <w:numId w:val="2"/>
        </w:numPr>
        <w:spacing w:after="60"/>
        <w:jc w:val="both"/>
      </w:pPr>
      <w:r>
        <w:rPr>
          <w:b/>
          <w:bCs/>
        </w:rPr>
        <w:t xml:space="preserve">N: the siting is not unique, and the reason is the aquifer.</w:t>
      </w:r>
      <w:r>
        <w:t xml:space="preserve"> The best triple has risk 0.2318 on the search draws; the PRAG-MAR triple, which is also the optimum of the 12-zone model, ranks second at 0.2319; 13 triples lie within 0.0025 of the best, 75 within 0.01 and 479 within 0.02. On the fresh draws 3 triples, using 5 wells, cannot be distinguished from the best at the 95% level. Deflation finds four more schemes that share no well within 2 km with the best, at risks 0.251, 0.270, 0.273, 0.284. Most telling, the triple that would be optimal if the aquifer were known equals the best prior triple in only 1.5% of plausible aquifers (all wells within 2 km in 11%), across 1,169 distinct optimal triples (8.87 bits of entropy; the most frequent is optimal in 3.4%): the optimum is unique for a known aquifer but not across the aquifers the data allow. Pilot tests are what make it unique, which is why VENDI-GO comes first.</w:t>
      </w:r>
    </w:p>
    <w:p>
      <w:pPr>
        <w:pStyle w:val="Heading3"/>
      </w:pPr>
      <w:r>
        <w:rPr>
          <w:color w:val="1F3864"/>
        </w:rPr>
        <w:t xml:space="preserve">9.7 What it means for Fushë-Kuqe, and the limits</w:t>
      </w:r>
    </w:p>
    <w:p>
      <w:pPr>
        <w:spacing w:after="120"/>
        <w:jc w:val="both"/>
      </w:pPr>
      <w:r>
        <w:t xml:space="preserve">For the COST Action and the field programme the certificate gives a rule: do not certify a recharge scheme from the 12-zone model and the prior; run Stage 0 and the pilot tests VENDI-GO chooses, re-split the recharge by the CVaR programme, then certify under the posterior with the model error included, and report the four parts together: the law of the risk, the CVaR, the scenario guarantee with its discarded share, the radius in centimetres of head, and the uniqueness of rates and siting. The limits: the certificate is relative to the generator (12 zones, a finer field, an injectivity model and a change of mean recharge) and to steady flow; the posterior after tests is the linearised belief of VENDI-GO; the radius covers errors that move the law of the supply-well heads, not errors in the structure of the decision; and the siting search is over a 1 km lattice.</w:t>
      </w:r>
    </w:p>
    <w:p>
      <w:pPr>
        <w:pStyle w:val="Heading1"/>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50"/>
        <w:ind w:left="567" w:hanging="567"/>
        <w:jc w:val="left"/>
      </w:pPr>
      <w:r>
        <w:rPr>
          <w:b/>
          <w:bCs/>
          <w:color w:val="1F3864"/>
          <w:sz w:val="17"/>
          <w:szCs w:val="17"/>
        </w:rPr>
        <w:t xml:space="preserve">[B1]	</w:t>
      </w:r>
      <w:r>
        <w:rPr>
          <w:sz w:val="17"/>
          <w:szCs w:val="17"/>
        </w:rPr>
        <w:t xml:space="preserve">Rockafellar, R. T. &amp; Uryasev, S. (2000). Optimization of conditional value-at-risk. </w:t>
      </w:r>
      <w:r>
        <w:rPr>
          <w:i/>
          <w:iCs/>
          <w:sz w:val="17"/>
          <w:szCs w:val="17"/>
        </w:rPr>
        <w:t xml:space="preserve">Journal of Risk</w:t>
      </w:r>
      <w:r>
        <w:rPr>
          <w:sz w:val="17"/>
          <w:szCs w:val="17"/>
        </w:rPr>
        <w:t xml:space="preserve">, 2(3), 21–41 (DOI not verified).</w:t>
      </w:r>
    </w:p>
    <w:p>
      <w:pPr>
        <w:tabs>
          <w:tab w:val="left" w:pos="567"/>
        </w:tabs>
        <w:spacing w:after="50"/>
        <w:ind w:left="567" w:hanging="567"/>
        <w:jc w:val="left"/>
      </w:pPr>
      <w:r>
        <w:rPr>
          <w:b/>
          <w:bCs/>
          <w:color w:val="1F3864"/>
          <w:sz w:val="17"/>
          <w:szCs w:val="17"/>
        </w:rPr>
        <w:t xml:space="preserve">[B2]	</w:t>
      </w:r>
      <w:r>
        <w:rPr>
          <w:sz w:val="17"/>
          <w:szCs w:val="17"/>
        </w:rPr>
        <w:t xml:space="preserve">Artzner, P., Delbaen, F., Eber, J.-M. &amp; Heath, D. (1999). Coherent measures of risk. </w:t>
      </w:r>
      <w:r>
        <w:rPr>
          <w:i/>
          <w:iCs/>
          <w:sz w:val="17"/>
          <w:szCs w:val="17"/>
        </w:rPr>
        <w:t xml:space="preserve">Mathematical Finance</w:t>
      </w:r>
      <w:r>
        <w:rPr>
          <w:sz w:val="17"/>
          <w:szCs w:val="17"/>
        </w:rPr>
        <w:t xml:space="preserve">, 9(3), 203–228.</w:t>
      </w:r>
      <w:r>
        <w:rPr>
          <w:sz w:val="17"/>
          <w:szCs w:val="17"/>
        </w:rPr>
        <w:t xml:space="preserve"> </w:t>
      </w:r>
      <w:hyperlink w:history="1" r:id="rIdneohefazvzlhvzqkcah3d">
        <w:r>
          <w:rPr>
            <w:color w:val="1D4ED8"/>
            <w:sz w:val="17"/>
            <w:szCs w:val="17"/>
            <w:u w:val="single"/>
          </w:rPr>
          <w:t xml:space="preserve">https://doi.org/10.1111/1467-9965.00068</w:t>
        </w:r>
      </w:hyperlink>
    </w:p>
    <w:p>
      <w:pPr>
        <w:tabs>
          <w:tab w:val="left" w:pos="567"/>
        </w:tabs>
        <w:spacing w:after="50"/>
        <w:ind w:left="567" w:hanging="567"/>
        <w:jc w:val="left"/>
      </w:pPr>
      <w:r>
        <w:rPr>
          <w:b/>
          <w:bCs/>
          <w:color w:val="1F3864"/>
          <w:sz w:val="17"/>
          <w:szCs w:val="17"/>
        </w:rPr>
        <w:t xml:space="preserve">[B3]	</w:t>
      </w:r>
      <w:r>
        <w:rPr>
          <w:sz w:val="17"/>
          <w:szCs w:val="17"/>
        </w:rPr>
        <w:t xml:space="preserve">Campi, M. C. &amp; Garatti, S. (2008). The exact feasibility of randomized solutions of uncertain convex programs. </w:t>
      </w:r>
      <w:r>
        <w:rPr>
          <w:i/>
          <w:iCs/>
          <w:sz w:val="17"/>
          <w:szCs w:val="17"/>
        </w:rPr>
        <w:t xml:space="preserve">SIAM Journal on Optimization</w:t>
      </w:r>
      <w:r>
        <w:rPr>
          <w:sz w:val="17"/>
          <w:szCs w:val="17"/>
        </w:rPr>
        <w:t xml:space="preserve">, 19(3), 1211–1230 (DOI not verified).</w:t>
      </w:r>
    </w:p>
    <w:p>
      <w:pPr>
        <w:tabs>
          <w:tab w:val="left" w:pos="567"/>
        </w:tabs>
        <w:spacing w:after="50"/>
        <w:ind w:left="567" w:hanging="567"/>
        <w:jc w:val="left"/>
      </w:pPr>
      <w:r>
        <w:rPr>
          <w:b/>
          <w:bCs/>
          <w:color w:val="1F3864"/>
          <w:sz w:val="17"/>
          <w:szCs w:val="17"/>
        </w:rPr>
        <w:t xml:space="preserve">[B4]	</w:t>
      </w:r>
      <w:r>
        <w:rPr>
          <w:sz w:val="17"/>
          <w:szCs w:val="17"/>
        </w:rPr>
        <w:t xml:space="preserve">Campi, M. C. &amp; Garatti, S. (2011). A sampling-and-discarding approach to chance-constrained optimization: feasibility and optimality. </w:t>
      </w:r>
      <w:r>
        <w:rPr>
          <w:i/>
          <w:iCs/>
          <w:sz w:val="17"/>
          <w:szCs w:val="17"/>
        </w:rPr>
        <w:t xml:space="preserve">Journal of Optimization Theory and Applications</w:t>
      </w:r>
      <w:r>
        <w:rPr>
          <w:sz w:val="17"/>
          <w:szCs w:val="17"/>
        </w:rPr>
        <w:t xml:space="preserve">, 148(2), 257–280.</w:t>
      </w:r>
      <w:r>
        <w:rPr>
          <w:sz w:val="17"/>
          <w:szCs w:val="17"/>
        </w:rPr>
        <w:t xml:space="preserve"> </w:t>
      </w:r>
      <w:hyperlink w:history="1" r:id="rIdryrjdmbv0-giknyby36m5">
        <w:r>
          <w:rPr>
            <w:color w:val="1D4ED8"/>
            <w:sz w:val="17"/>
            <w:szCs w:val="17"/>
            <w:u w:val="single"/>
          </w:rPr>
          <w:t xml:space="preserve">https://doi.org/10.1007/s10957-010-9754-6</w:t>
        </w:r>
      </w:hyperlink>
    </w:p>
    <w:p>
      <w:pPr>
        <w:tabs>
          <w:tab w:val="left" w:pos="567"/>
        </w:tabs>
        <w:spacing w:after="50"/>
        <w:ind w:left="567" w:hanging="567"/>
        <w:jc w:val="left"/>
      </w:pPr>
      <w:r>
        <w:rPr>
          <w:b/>
          <w:bCs/>
          <w:color w:val="1F3864"/>
          <w:sz w:val="17"/>
          <w:szCs w:val="17"/>
        </w:rPr>
        <w:t xml:space="preserve">[B5]	</w:t>
      </w:r>
      <w:r>
        <w:rPr>
          <w:sz w:val="17"/>
          <w:szCs w:val="17"/>
        </w:rPr>
        <w:t xml:space="preserve">Mohajerin Esfahani, P. &amp; Kuhn, D. (2018). Data-driven distributionally robust optimization using the Wasserstein metric: performance guarantees and tractable reformulations. </w:t>
      </w:r>
      <w:r>
        <w:rPr>
          <w:i/>
          <w:iCs/>
          <w:sz w:val="17"/>
          <w:szCs w:val="17"/>
        </w:rPr>
        <w:t xml:space="preserve">Mathematical Programming</w:t>
      </w:r>
      <w:r>
        <w:rPr>
          <w:sz w:val="17"/>
          <w:szCs w:val="17"/>
        </w:rPr>
        <w:t xml:space="preserve">, 171(1–2), 115–166.</w:t>
      </w:r>
      <w:r>
        <w:rPr>
          <w:sz w:val="17"/>
          <w:szCs w:val="17"/>
        </w:rPr>
        <w:t xml:space="preserve"> </w:t>
      </w:r>
      <w:hyperlink w:history="1" r:id="rIdtbsksmdhcfspeltphjjkj">
        <w:r>
          <w:rPr>
            <w:color w:val="1D4ED8"/>
            <w:sz w:val="17"/>
            <w:szCs w:val="17"/>
            <w:u w:val="single"/>
          </w:rPr>
          <w:t xml:space="preserve">https://doi.org/10.1007/s10107-017-1172-1</w:t>
        </w:r>
      </w:hyperlink>
    </w:p>
    <w:p>
      <w:pPr>
        <w:tabs>
          <w:tab w:val="left" w:pos="567"/>
        </w:tabs>
        <w:spacing w:after="50"/>
        <w:ind w:left="567" w:hanging="567"/>
        <w:jc w:val="left"/>
      </w:pPr>
      <w:r>
        <w:rPr>
          <w:b/>
          <w:bCs/>
          <w:color w:val="1F3864"/>
          <w:sz w:val="17"/>
          <w:szCs w:val="17"/>
        </w:rPr>
        <w:t xml:space="preserve">[B6]	</w:t>
      </w:r>
      <w:r>
        <w:rPr>
          <w:sz w:val="17"/>
          <w:szCs w:val="17"/>
        </w:rPr>
        <w:t xml:space="preserve">Vandenberghe, L., Boyd, S. &amp; Comanor, K. (2007). Generalized Chebyshev bounds via semidefinite programming. </w:t>
      </w:r>
      <w:r>
        <w:rPr>
          <w:i/>
          <w:iCs/>
          <w:sz w:val="17"/>
          <w:szCs w:val="17"/>
        </w:rPr>
        <w:t xml:space="preserve">SIAM Review</w:t>
      </w:r>
      <w:r>
        <w:rPr>
          <w:sz w:val="17"/>
          <w:szCs w:val="17"/>
        </w:rPr>
        <w:t xml:space="preserve">, 49(1), 52–64.</w:t>
      </w:r>
      <w:r>
        <w:rPr>
          <w:sz w:val="17"/>
          <w:szCs w:val="17"/>
        </w:rPr>
        <w:t xml:space="preserve"> </w:t>
      </w:r>
      <w:hyperlink w:history="1" r:id="rIdk_yfb7nv9lrs2np8qgxd_">
        <w:r>
          <w:rPr>
            <w:color w:val="1D4ED8"/>
            <w:sz w:val="17"/>
            <w:szCs w:val="17"/>
            <w:u w:val="single"/>
          </w:rPr>
          <w:t xml:space="preserve">https://doi.org/10.1137/S0036144504440543</w:t>
        </w:r>
      </w:hyperlink>
    </w:p>
    <w:p>
      <w:pPr>
        <w:tabs>
          <w:tab w:val="left" w:pos="567"/>
        </w:tabs>
        <w:spacing w:after="50"/>
        <w:ind w:left="567" w:hanging="567"/>
        <w:jc w:val="left"/>
      </w:pPr>
      <w:r>
        <w:rPr>
          <w:b/>
          <w:bCs/>
          <w:color w:val="1F3864"/>
          <w:sz w:val="17"/>
          <w:szCs w:val="17"/>
        </w:rPr>
        <w:t xml:space="preserve">[B7]	</w:t>
      </w:r>
      <w:r>
        <w:rPr>
          <w:sz w:val="17"/>
          <w:szCs w:val="17"/>
        </w:rPr>
        <w:t xml:space="preserve">Kaipio, J. &amp; Somersalo, E. (2007). Statistical inverse problems: Discretization, model reduction and inverse crimes. </w:t>
      </w:r>
      <w:r>
        <w:rPr>
          <w:i/>
          <w:iCs/>
          <w:sz w:val="17"/>
          <w:szCs w:val="17"/>
        </w:rPr>
        <w:t xml:space="preserve">Journal of Computational and Applied Mathematics</w:t>
      </w:r>
      <w:r>
        <w:rPr>
          <w:sz w:val="17"/>
          <w:szCs w:val="17"/>
        </w:rPr>
        <w:t xml:space="preserve">, 198(2), 493–504.</w:t>
      </w:r>
      <w:r>
        <w:rPr>
          <w:sz w:val="17"/>
          <w:szCs w:val="17"/>
        </w:rPr>
        <w:t xml:space="preserve"> </w:t>
      </w:r>
      <w:hyperlink w:history="1" r:id="rIdiwib5bp7vm0wm7sz-qewm">
        <w:r>
          <w:rPr>
            <w:color w:val="1D4ED8"/>
            <w:sz w:val="17"/>
            <w:szCs w:val="17"/>
            <w:u w:val="single"/>
          </w:rPr>
          <w:t xml:space="preserve">https://doi.org/10.1016/j.cam.2005.09.027</w:t>
        </w:r>
      </w:hyperlink>
    </w:p>
    <w:p>
      <w:pPr>
        <w:tabs>
          <w:tab w:val="left" w:pos="567"/>
        </w:tabs>
        <w:spacing w:after="50"/>
        <w:ind w:left="567" w:hanging="567"/>
        <w:jc w:val="left"/>
      </w:pPr>
      <w:r>
        <w:rPr>
          <w:b/>
          <w:bCs/>
          <w:color w:val="1F3864"/>
          <w:sz w:val="17"/>
          <w:szCs w:val="17"/>
        </w:rPr>
        <w:t xml:space="preserve">[B8]	</w:t>
      </w:r>
      <w:r>
        <w:rPr>
          <w:sz w:val="17"/>
          <w:szCs w:val="17"/>
        </w:rPr>
        <w:t xml:space="preserve">Hadamard, J. (1923). </w:t>
      </w:r>
      <w:r>
        <w:rPr>
          <w:i/>
          <w:iCs/>
          <w:sz w:val="17"/>
          <w:szCs w:val="17"/>
        </w:rPr>
        <w:t xml:space="preserve">Lectures on Cauchy's Problem in Linear Partial Differential Equations</w:t>
      </w:r>
      <w:r>
        <w:rPr>
          <w:sz w:val="17"/>
          <w:szCs w:val="17"/>
        </w:rPr>
        <w:t xml:space="preserve">. Yale University Press, New Haven.</w:t>
      </w:r>
    </w:p>
    <w:p>
      <w:pPr>
        <w:tabs>
          <w:tab w:val="left" w:pos="567"/>
        </w:tabs>
        <w:spacing w:after="50"/>
        <w:ind w:left="567" w:hanging="567"/>
        <w:jc w:val="left"/>
      </w:pPr>
      <w:r>
        <w:rPr>
          <w:b/>
          <w:bCs/>
          <w:color w:val="1F3864"/>
          <w:sz w:val="17"/>
          <w:szCs w:val="17"/>
        </w:rPr>
        <w:t xml:space="preserve">[B9]	</w:t>
      </w:r>
      <w:r>
        <w:rPr>
          <w:sz w:val="17"/>
          <w:szCs w:val="17"/>
        </w:rPr>
        <w:t xml:space="preserve">Mangasarian, O. L. (1979). Uniqueness of solution in linear programming. </w:t>
      </w:r>
      <w:r>
        <w:rPr>
          <w:i/>
          <w:iCs/>
          <w:sz w:val="17"/>
          <w:szCs w:val="17"/>
        </w:rPr>
        <w:t xml:space="preserve">Linear Algebra and its Applications</w:t>
      </w:r>
      <w:r>
        <w:rPr>
          <w:sz w:val="17"/>
          <w:szCs w:val="17"/>
        </w:rPr>
        <w:t xml:space="preserve"> (volume, pages and DOI not verified).</w:t>
      </w:r>
    </w:p>
    <w:p>
      <w:pPr>
        <w:tabs>
          <w:tab w:val="left" w:pos="567"/>
        </w:tabs>
        <w:spacing w:after="50"/>
        <w:ind w:left="567" w:hanging="567"/>
        <w:jc w:val="left"/>
      </w:pPr>
      <w:r>
        <w:rPr>
          <w:b/>
          <w:bCs/>
          <w:color w:val="1F3864"/>
          <w:sz w:val="17"/>
          <w:szCs w:val="17"/>
        </w:rPr>
        <w:t xml:space="preserve">[B10]	</w:t>
      </w:r>
      <w:r>
        <w:rPr>
          <w:sz w:val="17"/>
          <w:szCs w:val="17"/>
        </w:rPr>
        <w:t xml:space="preserve">Farrell, P. E., Birkisson, Á. &amp; Funke, S. W. (2015). Deflation techniques for finding distinct solutions of nonlinear partial differential equations. </w:t>
      </w:r>
      <w:r>
        <w:rPr>
          <w:i/>
          <w:iCs/>
          <w:sz w:val="17"/>
          <w:szCs w:val="17"/>
        </w:rPr>
        <w:t xml:space="preserve">SIAM Journal on Scientific Computing</w:t>
      </w:r>
      <w:r>
        <w:rPr>
          <w:sz w:val="17"/>
          <w:szCs w:val="17"/>
        </w:rPr>
        <w:t xml:space="preserve">, 37, A2026–A2045.</w:t>
      </w:r>
      <w:r>
        <w:rPr>
          <w:sz w:val="17"/>
          <w:szCs w:val="17"/>
        </w:rPr>
        <w:t xml:space="preserve"> </w:t>
      </w:r>
      <w:hyperlink w:history="1" r:id="rIdx-uvhvn6qto5lvmhoswth">
        <w:r>
          <w:rPr>
            <w:color w:val="1D4ED8"/>
            <w:sz w:val="17"/>
            <w:szCs w:val="17"/>
            <w:u w:val="single"/>
          </w:rPr>
          <w:t xml:space="preserve">https://doi.org/10.1137/140984798</w:t>
        </w:r>
      </w:hyperlink>
    </w:p>
    <w:p>
      <w:pPr>
        <w:pStyle w:val="Heading3"/>
      </w:pPr>
      <w:r>
        <w:rPr>
          <w:color w:val="1F3864"/>
        </w:rPr>
        <w:t xml:space="preserve">References of Part II (the 20 papers)</w:t>
      </w:r>
    </w:p>
    <w:p>
      <w:pPr>
        <w:tabs>
          <w:tab w:val="left" w:pos="567"/>
        </w:tabs>
        <w:spacing w:after="50"/>
        <w:ind w:left="567" w:hanging="567"/>
        <w:jc w:val="left"/>
      </w:pPr>
      <w:r>
        <w:rPr>
          <w:b/>
          <w:bCs/>
          <w:color w:val="B4410C"/>
          <w:sz w:val="17"/>
          <w:szCs w:val="17"/>
        </w:rPr>
        <w:t xml:space="preserve">[C1]	</w:t>
      </w:r>
      <w:r>
        <w:rPr>
          <w:sz w:val="17"/>
          <w:szCs w:val="17"/>
        </w:rPr>
        <w:t xml:space="preserve">Burger, M., Erbar, M., Hoffmann, F., Matthes, D. &amp; Schlichting, A. (2025). Covariance-modulated optimal transport and gradient flows. </w:t>
      </w:r>
      <w:r>
        <w:rPr>
          <w:i/>
          <w:iCs/>
          <w:sz w:val="17"/>
          <w:szCs w:val="17"/>
        </w:rPr>
        <w:t xml:space="preserve">Archive for Rational Mechanics and Analysis</w:t>
      </w:r>
      <w:r>
        <w:rPr>
          <w:sz w:val="17"/>
          <w:szCs w:val="17"/>
        </w:rPr>
        <w:t xml:space="preserve">, 249(1), 7.</w:t>
      </w:r>
      <w:r>
        <w:rPr>
          <w:sz w:val="17"/>
          <w:szCs w:val="17"/>
        </w:rPr>
        <w:t xml:space="preserve"> </w:t>
      </w:r>
      <w:hyperlink w:history="1" r:id="rIdpvxtgyevz2naf1hvrb7_o">
        <w:r>
          <w:rPr>
            <w:color w:val="1D4ED8"/>
            <w:sz w:val="17"/>
            <w:szCs w:val="17"/>
            <w:u w:val="single"/>
          </w:rPr>
          <w:t xml:space="preserve">https://portal.fis.tum.de/en/publications/covariance-modulated-optimal-transport-and-gradient-flows/</w:t>
        </w:r>
      </w:hyperlink>
    </w:p>
    <w:p>
      <w:pPr>
        <w:tabs>
          <w:tab w:val="left" w:pos="567"/>
        </w:tabs>
        <w:spacing w:after="50"/>
        <w:ind w:left="567" w:hanging="567"/>
        <w:jc w:val="left"/>
      </w:pPr>
      <w:r>
        <w:rPr>
          <w:b/>
          <w:bCs/>
          <w:color w:val="B4410C"/>
          <w:sz w:val="17"/>
          <w:szCs w:val="17"/>
        </w:rPr>
        <w:t xml:space="preserve">[C2]	</w:t>
      </w:r>
      <w:r>
        <w:rPr>
          <w:sz w:val="17"/>
          <w:szCs w:val="17"/>
        </w:rPr>
        <w:t xml:space="preserve">Baptista, R., Hosseini, B., Kovachki, N. B., Marzouk, Y. &amp; Sagiv, A. (2025). An approximation theory framework for measure-transport sampling algorithms. </w:t>
      </w:r>
      <w:r>
        <w:rPr>
          <w:i/>
          <w:iCs/>
          <w:sz w:val="17"/>
          <w:szCs w:val="17"/>
        </w:rPr>
        <w:t xml:space="preserve">Mathematics of Computation</w:t>
      </w:r>
      <w:r>
        <w:rPr>
          <w:sz w:val="17"/>
          <w:szCs w:val="17"/>
        </w:rPr>
        <w:t xml:space="preserve">, 94(354), 1863–1909.</w:t>
      </w:r>
      <w:r>
        <w:rPr>
          <w:sz w:val="17"/>
          <w:szCs w:val="17"/>
        </w:rPr>
        <w:t xml:space="preserve"> </w:t>
      </w:r>
      <w:hyperlink w:history="1" r:id="rIdcbju_yvknluqei9qr0p_h">
        <w:r>
          <w:rPr>
            <w:color w:val="1D4ED8"/>
            <w:sz w:val="17"/>
            <w:szCs w:val="17"/>
            <w:u w:val="single"/>
          </w:rPr>
          <w:t xml:space="preserve">https://doi.org/10.1090/mcom/4013</w:t>
        </w:r>
      </w:hyperlink>
    </w:p>
    <w:p>
      <w:pPr>
        <w:tabs>
          <w:tab w:val="left" w:pos="567"/>
        </w:tabs>
        <w:spacing w:after="50"/>
        <w:ind w:left="567" w:hanging="567"/>
        <w:jc w:val="left"/>
      </w:pPr>
      <w:r>
        <w:rPr>
          <w:b/>
          <w:bCs/>
          <w:color w:val="B4410C"/>
          <w:sz w:val="17"/>
          <w:szCs w:val="17"/>
        </w:rPr>
        <w:t xml:space="preserve">[C3]	</w:t>
      </w:r>
      <w:r>
        <w:rPr>
          <w:sz w:val="17"/>
          <w:szCs w:val="17"/>
        </w:rPr>
        <w:t xml:space="preserve">Chen, Y., Hosseini, B., Owhadi, H. &amp; Stuart, A. M. (2025). Gaussian measures conditioned on nonlinear observations: consistency, MAP estimators, and simulation. </w:t>
      </w:r>
      <w:r>
        <w:rPr>
          <w:i/>
          <w:iCs/>
          <w:sz w:val="17"/>
          <w:szCs w:val="17"/>
        </w:rPr>
        <w:t xml:space="preserve">Statistics and Computing</w:t>
      </w:r>
      <w:r>
        <w:rPr>
          <w:sz w:val="17"/>
          <w:szCs w:val="17"/>
        </w:rPr>
        <w:t xml:space="preserve">, 35(1), 10.</w:t>
      </w:r>
      <w:r>
        <w:rPr>
          <w:sz w:val="17"/>
          <w:szCs w:val="17"/>
        </w:rPr>
        <w:t xml:space="preserve"> </w:t>
      </w:r>
      <w:hyperlink w:history="1" r:id="rIdwoiijnvddpnwam5xrzswu">
        <w:r>
          <w:rPr>
            <w:color w:val="1D4ED8"/>
            <w:sz w:val="17"/>
            <w:szCs w:val="17"/>
            <w:u w:val="single"/>
          </w:rPr>
          <w:t xml:space="preserve">https://doi.org/10.1007/s11222-024-10535-0</w:t>
        </w:r>
      </w:hyperlink>
    </w:p>
    <w:p>
      <w:pPr>
        <w:tabs>
          <w:tab w:val="left" w:pos="567"/>
        </w:tabs>
        <w:spacing w:after="50"/>
        <w:ind w:left="567" w:hanging="567"/>
        <w:jc w:val="left"/>
      </w:pPr>
      <w:r>
        <w:rPr>
          <w:b/>
          <w:bCs/>
          <w:color w:val="B4410C"/>
          <w:sz w:val="17"/>
          <w:szCs w:val="17"/>
        </w:rPr>
        <w:t xml:space="preserve">[C4]	</w:t>
      </w:r>
      <w:r>
        <w:rPr>
          <w:sz w:val="17"/>
          <w:szCs w:val="17"/>
        </w:rPr>
        <w:t xml:space="preserve">Pavliotis, G. A., Stuart, A. M. &amp; Vaes, U. (2022). Derivative-free Bayesian inversion using multiscale dynamics. </w:t>
      </w:r>
      <w:r>
        <w:rPr>
          <w:i/>
          <w:iCs/>
          <w:sz w:val="17"/>
          <w:szCs w:val="17"/>
        </w:rPr>
        <w:t xml:space="preserve">SIAM Journal on Applied Dynamical Systems</w:t>
      </w:r>
      <w:r>
        <w:rPr>
          <w:sz w:val="17"/>
          <w:szCs w:val="17"/>
        </w:rPr>
        <w:t xml:space="preserve">, 21(1), 284–326.</w:t>
      </w:r>
      <w:r>
        <w:rPr>
          <w:sz w:val="17"/>
          <w:szCs w:val="17"/>
        </w:rPr>
        <w:t xml:space="preserve"> </w:t>
      </w:r>
      <w:hyperlink w:history="1" r:id="rIdnivwqdh5afghvzvyugbwl">
        <w:r>
          <w:rPr>
            <w:color w:val="1D4ED8"/>
            <w:sz w:val="17"/>
            <w:szCs w:val="17"/>
            <w:u w:val="single"/>
          </w:rPr>
          <w:t xml:space="preserve">https://authors.library.caltech.edu/records/dne8g-tx986</w:t>
        </w:r>
      </w:hyperlink>
    </w:p>
    <w:p>
      <w:pPr>
        <w:tabs>
          <w:tab w:val="left" w:pos="567"/>
        </w:tabs>
        <w:spacing w:after="50"/>
        <w:ind w:left="567" w:hanging="567"/>
        <w:jc w:val="left"/>
      </w:pPr>
      <w:r>
        <w:rPr>
          <w:b/>
          <w:bCs/>
          <w:color w:val="B4410C"/>
          <w:sz w:val="17"/>
          <w:szCs w:val="17"/>
        </w:rPr>
        <w:t xml:space="preserve">[C5]	</w:t>
      </w:r>
      <w:r>
        <w:rPr>
          <w:sz w:val="17"/>
          <w:szCs w:val="17"/>
        </w:rPr>
        <w:t xml:space="preserve">Bajgiran, H. H., Batlle, P., Owhadi, H., Samir, M., Scovel, C., Shirdel, M., Stanley, M. &amp; Tavallali, P. (2022). Uncertainty quantification of the 4th kind; optimal posterior accuracy-uncertainty tradeoff with the minimum enclosing ball. </w:t>
      </w:r>
      <w:r>
        <w:rPr>
          <w:i/>
          <w:iCs/>
          <w:sz w:val="17"/>
          <w:szCs w:val="17"/>
        </w:rPr>
        <w:t xml:space="preserve">Journal of Computational Physics</w:t>
      </w:r>
      <w:r>
        <w:rPr>
          <w:sz w:val="17"/>
          <w:szCs w:val="17"/>
        </w:rPr>
        <w:t xml:space="preserve">, 471, 111608.</w:t>
      </w:r>
      <w:r>
        <w:rPr>
          <w:sz w:val="17"/>
          <w:szCs w:val="17"/>
        </w:rPr>
        <w:t xml:space="preserve"> </w:t>
      </w:r>
      <w:hyperlink w:history="1" r:id="rIdhxxq8-eifun_dssrbkswn">
        <w:r>
          <w:rPr>
            <w:color w:val="1D4ED8"/>
            <w:sz w:val="17"/>
            <w:szCs w:val="17"/>
            <w:u w:val="single"/>
          </w:rPr>
          <w:t xml:space="preserve">https://resolver.caltech.edu/CaltechAUTHORS:20220524-180308552</w:t>
        </w:r>
      </w:hyperlink>
    </w:p>
    <w:p>
      <w:pPr>
        <w:tabs>
          <w:tab w:val="left" w:pos="567"/>
        </w:tabs>
        <w:spacing w:after="50"/>
        <w:ind w:left="567" w:hanging="567"/>
        <w:jc w:val="left"/>
      </w:pPr>
      <w:r>
        <w:rPr>
          <w:b/>
          <w:bCs/>
          <w:color w:val="002147"/>
          <w:sz w:val="17"/>
          <w:szCs w:val="17"/>
        </w:rPr>
        <w:t xml:space="preserve">[Q1]	</w:t>
      </w:r>
      <w:r>
        <w:rPr>
          <w:sz w:val="17"/>
          <w:szCs w:val="17"/>
        </w:rPr>
        <w:t xml:space="preserve">Croci, M., Giles, M. B. &amp; Farrell, P. (2021). Multilevel quasi Monte Carlo methods for elliptic PDEs with random field coefficients via fast white noise sampling. </w:t>
      </w:r>
      <w:r>
        <w:rPr>
          <w:i/>
          <w:iCs/>
          <w:sz w:val="17"/>
          <w:szCs w:val="17"/>
        </w:rPr>
        <w:t xml:space="preserve">SIAM Journal on Scientific Computing</w:t>
      </w:r>
      <w:r>
        <w:rPr>
          <w:sz w:val="17"/>
          <w:szCs w:val="17"/>
        </w:rPr>
        <w:t xml:space="preserve">, 43(4), A2840–A2868.</w:t>
      </w:r>
      <w:r>
        <w:rPr>
          <w:sz w:val="17"/>
          <w:szCs w:val="17"/>
        </w:rPr>
        <w:t xml:space="preserve"> </w:t>
      </w:r>
      <w:hyperlink w:history="1" r:id="rIddsjmg8b_dcd0x4nsup94d">
        <w:r>
          <w:rPr>
            <w:color w:val="1D4ED8"/>
            <w:sz w:val="17"/>
            <w:szCs w:val="17"/>
            <w:u w:val="single"/>
          </w:rPr>
          <w:t xml:space="preserve">https://doi.org/10.1137/20M1329044</w:t>
        </w:r>
      </w:hyperlink>
    </w:p>
    <w:p>
      <w:pPr>
        <w:tabs>
          <w:tab w:val="left" w:pos="567"/>
        </w:tabs>
        <w:spacing w:after="50"/>
        <w:ind w:left="567" w:hanging="567"/>
        <w:jc w:val="left"/>
      </w:pPr>
      <w:r>
        <w:rPr>
          <w:b/>
          <w:bCs/>
          <w:color w:val="002147"/>
          <w:sz w:val="17"/>
          <w:szCs w:val="17"/>
        </w:rPr>
        <w:t xml:space="preserve">[Q2]	</w:t>
      </w:r>
      <w:r>
        <w:rPr>
          <w:sz w:val="17"/>
          <w:szCs w:val="17"/>
        </w:rPr>
        <w:t xml:space="preserve">Giles, M. B. &amp; Haji-Ali, A.-L. (2024). Multilevel path branching for digital options. </w:t>
      </w:r>
      <w:r>
        <w:rPr>
          <w:i/>
          <w:iCs/>
          <w:sz w:val="17"/>
          <w:szCs w:val="17"/>
        </w:rPr>
        <w:t xml:space="preserve">The Annals of Applied Probability</w:t>
      </w:r>
      <w:r>
        <w:rPr>
          <w:sz w:val="17"/>
          <w:szCs w:val="17"/>
        </w:rPr>
        <w:t xml:space="preserve">, 34(5), 4836–4862.</w:t>
      </w:r>
      <w:r>
        <w:rPr>
          <w:sz w:val="17"/>
          <w:szCs w:val="17"/>
        </w:rPr>
        <w:t xml:space="preserve"> </w:t>
      </w:r>
      <w:hyperlink w:history="1" r:id="rIdefkvhz_hfvvycw8x3h6g3">
        <w:r>
          <w:rPr>
            <w:color w:val="1D4ED8"/>
            <w:sz w:val="17"/>
            <w:szCs w:val="17"/>
            <w:u w:val="single"/>
          </w:rPr>
          <w:t xml:space="preserve">https://doi.org/10.1214/24-AAP2083</w:t>
        </w:r>
      </w:hyperlink>
    </w:p>
    <w:p>
      <w:pPr>
        <w:tabs>
          <w:tab w:val="left" w:pos="567"/>
        </w:tabs>
        <w:spacing w:after="50"/>
        <w:ind w:left="567" w:hanging="567"/>
        <w:jc w:val="left"/>
      </w:pPr>
      <w:r>
        <w:rPr>
          <w:b/>
          <w:bCs/>
          <w:color w:val="002147"/>
          <w:sz w:val="17"/>
          <w:szCs w:val="17"/>
        </w:rPr>
        <w:t xml:space="preserve">[Q3]	</w:t>
      </w:r>
      <w:r>
        <w:rPr>
          <w:sz w:val="17"/>
          <w:szCs w:val="17"/>
        </w:rPr>
        <w:t xml:space="preserve">Rainforth, T., Goliński, A., Wood, F. &amp; Zaidi, S. (2020). Target-aware Bayesian inference: how to beat optimal conventional estimators. </w:t>
      </w:r>
      <w:r>
        <w:rPr>
          <w:i/>
          <w:iCs/>
          <w:sz w:val="17"/>
          <w:szCs w:val="17"/>
        </w:rPr>
        <w:t xml:space="preserve">Journal of Machine Learning Research</w:t>
      </w:r>
      <w:r>
        <w:rPr>
          <w:sz w:val="17"/>
          <w:szCs w:val="17"/>
        </w:rPr>
        <w:t xml:space="preserve">, 21(88), 1–54.</w:t>
      </w:r>
      <w:r>
        <w:rPr>
          <w:sz w:val="17"/>
          <w:szCs w:val="17"/>
        </w:rPr>
        <w:t xml:space="preserve"> </w:t>
      </w:r>
      <w:hyperlink w:history="1" r:id="rIdq4pwheqhybaetunrs2imv">
        <w:r>
          <w:rPr>
            <w:color w:val="1D4ED8"/>
            <w:sz w:val="17"/>
            <w:szCs w:val="17"/>
            <w:u w:val="single"/>
          </w:rPr>
          <w:t xml:space="preserve">https://jmlr.org/papers/v21/19-102.html</w:t>
        </w:r>
      </w:hyperlink>
    </w:p>
    <w:p>
      <w:pPr>
        <w:tabs>
          <w:tab w:val="left" w:pos="567"/>
        </w:tabs>
        <w:spacing w:after="50"/>
        <w:ind w:left="567" w:hanging="567"/>
        <w:jc w:val="left"/>
      </w:pPr>
      <w:r>
        <w:rPr>
          <w:b/>
          <w:bCs/>
          <w:color w:val="002147"/>
          <w:sz w:val="17"/>
          <w:szCs w:val="17"/>
        </w:rPr>
        <w:t xml:space="preserve">[Q4]	</w:t>
      </w:r>
      <w:r>
        <w:rPr>
          <w:sz w:val="17"/>
          <w:szCs w:val="17"/>
        </w:rPr>
        <w:t xml:space="preserve">Hayakawa, S., Oberhauser, H. &amp; Lyons, T. (2023). Sampling-based Nyström approximation and kernel quadrature. </w:t>
      </w:r>
      <w:r>
        <w:rPr>
          <w:i/>
          <w:iCs/>
          <w:sz w:val="17"/>
          <w:szCs w:val="17"/>
        </w:rPr>
        <w:t xml:space="preserve">Proceedings of the 40th International Conference on Machine Learning</w:t>
      </w:r>
      <w:r>
        <w:rPr>
          <w:sz w:val="17"/>
          <w:szCs w:val="17"/>
        </w:rPr>
        <w:t xml:space="preserve">, PMLR 202, 12678–12699.</w:t>
      </w:r>
      <w:r>
        <w:rPr>
          <w:sz w:val="17"/>
          <w:szCs w:val="17"/>
        </w:rPr>
        <w:t xml:space="preserve"> </w:t>
      </w:r>
      <w:hyperlink w:history="1" r:id="rIdr_sfsudagpnukpkqbqnwk">
        <w:r>
          <w:rPr>
            <w:color w:val="1D4ED8"/>
            <w:sz w:val="17"/>
            <w:szCs w:val="17"/>
            <w:u w:val="single"/>
          </w:rPr>
          <w:t xml:space="preserve">https://proceedings.mlr.press/v202/hayakawa23a.html</w:t>
        </w:r>
      </w:hyperlink>
    </w:p>
    <w:p>
      <w:pPr>
        <w:tabs>
          <w:tab w:val="left" w:pos="567"/>
        </w:tabs>
        <w:spacing w:after="50"/>
        <w:ind w:left="567" w:hanging="567"/>
        <w:jc w:val="left"/>
      </w:pPr>
      <w:r>
        <w:rPr>
          <w:b/>
          <w:bCs/>
          <w:color w:val="002147"/>
          <w:sz w:val="17"/>
          <w:szCs w:val="17"/>
        </w:rPr>
        <w:t xml:space="preserve">[Q5]	</w:t>
      </w:r>
      <w:r>
        <w:rPr>
          <w:sz w:val="17"/>
          <w:szCs w:val="17"/>
        </w:rPr>
        <w:t xml:space="preserve">Wild, V. D., Ghalebikesabi, S., Sejdinovic, D. &amp; Knoblauch, J. (2023). A rigorous link between deep ensembles and (variational) Bayesian methods. </w:t>
      </w:r>
      <w:r>
        <w:rPr>
          <w:i/>
          <w:iCs/>
          <w:sz w:val="17"/>
          <w:szCs w:val="17"/>
        </w:rPr>
        <w:t xml:space="preserve">Advances in Neural Information Processing Systems</w:t>
      </w:r>
      <w:r>
        <w:rPr>
          <w:sz w:val="17"/>
          <w:szCs w:val="17"/>
        </w:rPr>
        <w:t xml:space="preserve">, 36.</w:t>
      </w:r>
      <w:r>
        <w:rPr>
          <w:sz w:val="17"/>
          <w:szCs w:val="17"/>
        </w:rPr>
        <w:t xml:space="preserve"> </w:t>
      </w:r>
      <w:hyperlink w:history="1" r:id="rId8rh9vtfkkrihmntpju6vt">
        <w:r>
          <w:rPr>
            <w:color w:val="1D4ED8"/>
            <w:sz w:val="17"/>
            <w:szCs w:val="17"/>
            <w:u w:val="single"/>
          </w:rPr>
          <w:t xml:space="preserve">https://proceedings.neurips.cc/paper_files/paper/2023/hash/7d25b1db211d99d5750ec45d65fd6e4e-Abstract-Conference.html</w:t>
        </w:r>
      </w:hyperlink>
    </w:p>
    <w:p>
      <w:pPr>
        <w:tabs>
          <w:tab w:val="left" w:pos="567"/>
        </w:tabs>
        <w:spacing w:after="50"/>
        <w:ind w:left="567" w:hanging="567"/>
        <w:jc w:val="left"/>
      </w:pPr>
      <w:r>
        <w:rPr>
          <w:b/>
          <w:bCs/>
          <w:color w:val="5B21B6"/>
          <w:sz w:val="17"/>
          <w:szCs w:val="17"/>
        </w:rPr>
        <w:t xml:space="preserve">[K1]	</w:t>
      </w:r>
      <w:r>
        <w:rPr>
          <w:sz w:val="17"/>
          <w:szCs w:val="17"/>
        </w:rPr>
        <w:t xml:space="preserve">Romao, L., Papachristodoulou, A. &amp; Margellos, K. (2023). On the exact feasibility of convex scenario programs with discarded constraints. </w:t>
      </w:r>
      <w:r>
        <w:rPr>
          <w:i/>
          <w:iCs/>
          <w:sz w:val="17"/>
          <w:szCs w:val="17"/>
        </w:rPr>
        <w:t xml:space="preserve">IEEE Transactions on Automatic Control</w:t>
      </w:r>
      <w:r>
        <w:rPr>
          <w:sz w:val="17"/>
          <w:szCs w:val="17"/>
        </w:rPr>
        <w:t xml:space="preserve">, 68(4), 1986–2001.</w:t>
      </w:r>
      <w:r>
        <w:rPr>
          <w:sz w:val="17"/>
          <w:szCs w:val="17"/>
        </w:rPr>
        <w:t xml:space="preserve"> </w:t>
      </w:r>
      <w:hyperlink w:history="1" r:id="rIdpqdofytpkkchm-m4tmxjs">
        <w:r>
          <w:rPr>
            <w:color w:val="1D4ED8"/>
            <w:sz w:val="17"/>
            <w:szCs w:val="17"/>
            <w:u w:val="single"/>
          </w:rPr>
          <w:t xml:space="preserve">https://doi.org/10.1109/TAC.2022.3165320</w:t>
        </w:r>
      </w:hyperlink>
    </w:p>
    <w:p>
      <w:pPr>
        <w:tabs>
          <w:tab w:val="left" w:pos="567"/>
        </w:tabs>
        <w:spacing w:after="50"/>
        <w:ind w:left="567" w:hanging="567"/>
        <w:jc w:val="left"/>
      </w:pPr>
      <w:r>
        <w:rPr>
          <w:b/>
          <w:bCs/>
          <w:color w:val="5B21B6"/>
          <w:sz w:val="17"/>
          <w:szCs w:val="17"/>
        </w:rPr>
        <w:t xml:space="preserve">[K2]	</w:t>
      </w:r>
      <w:r>
        <w:rPr>
          <w:sz w:val="17"/>
          <w:szCs w:val="17"/>
        </w:rPr>
        <w:t xml:space="preserve">Fabiani, F., Margellos, K. &amp; Goulart, P. J. (2022). Probabilistic feasibility guarantees for solution sets to uncertain variational inequalities. </w:t>
      </w:r>
      <w:r>
        <w:rPr>
          <w:i/>
          <w:iCs/>
          <w:sz w:val="17"/>
          <w:szCs w:val="17"/>
        </w:rPr>
        <w:t xml:space="preserve">Automatica</w:t>
      </w:r>
      <w:r>
        <w:rPr>
          <w:sz w:val="17"/>
          <w:szCs w:val="17"/>
        </w:rPr>
        <w:t xml:space="preserve">, 137, 110120.</w:t>
      </w:r>
      <w:r>
        <w:rPr>
          <w:sz w:val="17"/>
          <w:szCs w:val="17"/>
        </w:rPr>
        <w:t xml:space="preserve"> </w:t>
      </w:r>
      <w:hyperlink w:history="1" r:id="rIdonsli5nkld26nittim35a">
        <w:r>
          <w:rPr>
            <w:color w:val="1D4ED8"/>
            <w:sz w:val="17"/>
            <w:szCs w:val="17"/>
            <w:u w:val="single"/>
          </w:rPr>
          <w:t xml:space="preserve">https://doi.org/10.1016/j.automatica.2021.110120</w:t>
        </w:r>
      </w:hyperlink>
    </w:p>
    <w:p>
      <w:pPr>
        <w:tabs>
          <w:tab w:val="left" w:pos="567"/>
        </w:tabs>
        <w:spacing w:after="50"/>
        <w:ind w:left="567" w:hanging="567"/>
        <w:jc w:val="left"/>
      </w:pPr>
      <w:r>
        <w:rPr>
          <w:b/>
          <w:bCs/>
          <w:color w:val="5B21B6"/>
          <w:sz w:val="17"/>
          <w:szCs w:val="17"/>
        </w:rPr>
        <w:t xml:space="preserve">[K3]	</w:t>
      </w:r>
      <w:r>
        <w:rPr>
          <w:sz w:val="17"/>
          <w:szCs w:val="17"/>
        </w:rPr>
        <w:t xml:space="preserve">Christianson, N., Sun, B., Low, S. &amp; Wierman, A. (2024). Risk-sensitive online algorithms (extended abstract). </w:t>
      </w:r>
      <w:r>
        <w:rPr>
          <w:i/>
          <w:iCs/>
          <w:sz w:val="17"/>
          <w:szCs w:val="17"/>
        </w:rPr>
        <w:t xml:space="preserve">Conference on Learning Theory (COLT 2024)</w:t>
      </w:r>
      <w:r>
        <w:rPr>
          <w:sz w:val="17"/>
          <w:szCs w:val="17"/>
        </w:rPr>
        <w:t xml:space="preserve">, PMLR 247, 1140–1141.</w:t>
      </w:r>
      <w:r>
        <w:rPr>
          <w:sz w:val="17"/>
          <w:szCs w:val="17"/>
        </w:rPr>
        <w:t xml:space="preserve"> </w:t>
      </w:r>
      <w:hyperlink w:history="1" r:id="rIdcjaiu4xkmkntueeaxihgr">
        <w:r>
          <w:rPr>
            <w:color w:val="1D4ED8"/>
            <w:sz w:val="17"/>
            <w:szCs w:val="17"/>
            <w:u w:val="single"/>
          </w:rPr>
          <w:t xml:space="preserve">https://proceedings.mlr.press/v247/christianson24a.html</w:t>
        </w:r>
      </w:hyperlink>
    </w:p>
    <w:p>
      <w:pPr>
        <w:tabs>
          <w:tab w:val="left" w:pos="567"/>
        </w:tabs>
        <w:spacing w:after="50"/>
        <w:ind w:left="567" w:hanging="567"/>
        <w:jc w:val="left"/>
      </w:pPr>
      <w:r>
        <w:rPr>
          <w:b/>
          <w:bCs/>
          <w:color w:val="5B21B6"/>
          <w:sz w:val="17"/>
          <w:szCs w:val="17"/>
        </w:rPr>
        <w:t xml:space="preserve">[K4]	</w:t>
      </w:r>
      <w:r>
        <w:rPr>
          <w:sz w:val="17"/>
          <w:szCs w:val="17"/>
        </w:rPr>
        <w:t xml:space="preserve">Christianson, N., Handina, T. &amp; Wierman, A. (2022). Chasing convex bodies and functions with black-box advice. </w:t>
      </w:r>
      <w:r>
        <w:rPr>
          <w:i/>
          <w:iCs/>
          <w:sz w:val="17"/>
          <w:szCs w:val="17"/>
        </w:rPr>
        <w:t xml:space="preserve">Proceedings of the 35th Conference on Learning Theory</w:t>
      </w:r>
      <w:r>
        <w:rPr>
          <w:sz w:val="17"/>
          <w:szCs w:val="17"/>
        </w:rPr>
        <w:t xml:space="preserve">, PMLR 178, 867–908.</w:t>
      </w:r>
      <w:r>
        <w:rPr>
          <w:sz w:val="17"/>
          <w:szCs w:val="17"/>
        </w:rPr>
        <w:t xml:space="preserve"> </w:t>
      </w:r>
      <w:hyperlink w:history="1" r:id="rIdk8uqo--yji25qz4ev7j0h">
        <w:r>
          <w:rPr>
            <w:color w:val="1D4ED8"/>
            <w:sz w:val="17"/>
            <w:szCs w:val="17"/>
            <w:u w:val="single"/>
          </w:rPr>
          <w:t xml:space="preserve">https://proceedings.mlr.press/v178/christianson22a.html</w:t>
        </w:r>
      </w:hyperlink>
    </w:p>
    <w:p>
      <w:pPr>
        <w:tabs>
          <w:tab w:val="left" w:pos="567"/>
        </w:tabs>
        <w:spacing w:after="50"/>
        <w:ind w:left="567" w:hanging="567"/>
        <w:jc w:val="left"/>
      </w:pPr>
      <w:r>
        <w:rPr>
          <w:b/>
          <w:bCs/>
          <w:color w:val="5B21B6"/>
          <w:sz w:val="17"/>
          <w:szCs w:val="17"/>
        </w:rPr>
        <w:t xml:space="preserve">[K5]	</w:t>
      </w:r>
      <w:r>
        <w:rPr>
          <w:sz w:val="17"/>
          <w:szCs w:val="17"/>
        </w:rPr>
        <w:t xml:space="preserve">Sun, B., Huang, J., Christianson, N., Hajiesmaili, M., Wierman, A. &amp; Boutaba, R. (2024). Online algorithms with uncertainty-quantified predictions. </w:t>
      </w:r>
      <w:r>
        <w:rPr>
          <w:i/>
          <w:iCs/>
          <w:sz w:val="17"/>
          <w:szCs w:val="17"/>
        </w:rPr>
        <w:t xml:space="preserve">Proceedings of the 41st International Conference on Machine Learning</w:t>
      </w:r>
      <w:r>
        <w:rPr>
          <w:sz w:val="17"/>
          <w:szCs w:val="17"/>
        </w:rPr>
        <w:t xml:space="preserve">, PMLR 235, 47056–47077.</w:t>
      </w:r>
      <w:r>
        <w:rPr>
          <w:sz w:val="17"/>
          <w:szCs w:val="17"/>
        </w:rPr>
        <w:t xml:space="preserve"> </w:t>
      </w:r>
      <w:hyperlink w:history="1" r:id="rIdww0zhazzzuh3kmzq2kz2p">
        <w:r>
          <w:rPr>
            <w:color w:val="1D4ED8"/>
            <w:sz w:val="17"/>
            <w:szCs w:val="17"/>
            <w:u w:val="single"/>
          </w:rPr>
          <w:t xml:space="preserve">https://proceedings.mlr.press/v235/sun24f.html</w:t>
        </w:r>
      </w:hyperlink>
    </w:p>
    <w:p>
      <w:pPr>
        <w:tabs>
          <w:tab w:val="left" w:pos="567"/>
        </w:tabs>
        <w:spacing w:after="50"/>
        <w:ind w:left="567" w:hanging="567"/>
        <w:jc w:val="left"/>
      </w:pPr>
      <w:r>
        <w:rPr>
          <w:b/>
          <w:bCs/>
          <w:color w:val="1E3A8A"/>
          <w:sz w:val="17"/>
          <w:szCs w:val="17"/>
        </w:rPr>
        <w:t xml:space="preserve">[N1]	</w:t>
      </w:r>
      <w:r>
        <w:rPr>
          <w:sz w:val="17"/>
          <w:szCs w:val="17"/>
        </w:rPr>
        <w:t xml:space="preserve">Papadopoulos, I. P. A., Farrell, P. E. &amp; Surowiec, T. M. (2021). Computing multiple solutions of topology optimization problems. </w:t>
      </w:r>
      <w:r>
        <w:rPr>
          <w:i/>
          <w:iCs/>
          <w:sz w:val="17"/>
          <w:szCs w:val="17"/>
        </w:rPr>
        <w:t xml:space="preserve">SIAM Journal on Scientific Computing</w:t>
      </w:r>
      <w:r>
        <w:rPr>
          <w:sz w:val="17"/>
          <w:szCs w:val="17"/>
        </w:rPr>
        <w:t xml:space="preserve">, 43(3), A1555–A1582.</w:t>
      </w:r>
      <w:r>
        <w:rPr>
          <w:sz w:val="17"/>
          <w:szCs w:val="17"/>
        </w:rPr>
        <w:t xml:space="preserve"> </w:t>
      </w:r>
      <w:hyperlink w:history="1" r:id="rIdid1tugztpb-s2qakqcmf0">
        <w:r>
          <w:rPr>
            <w:color w:val="1D4ED8"/>
            <w:sz w:val="17"/>
            <w:szCs w:val="17"/>
            <w:u w:val="single"/>
          </w:rPr>
          <w:t xml:space="preserve">https://doi.org/10.1137/20M1326209</w:t>
        </w:r>
      </w:hyperlink>
    </w:p>
    <w:p>
      <w:pPr>
        <w:tabs>
          <w:tab w:val="left" w:pos="567"/>
        </w:tabs>
        <w:spacing w:after="50"/>
        <w:ind w:left="567" w:hanging="567"/>
        <w:jc w:val="left"/>
      </w:pPr>
      <w:r>
        <w:rPr>
          <w:b/>
          <w:bCs/>
          <w:color w:val="1E3A8A"/>
          <w:sz w:val="17"/>
          <w:szCs w:val="17"/>
        </w:rPr>
        <w:t xml:space="preserve">[N2]	</w:t>
      </w:r>
      <w:r>
        <w:rPr>
          <w:sz w:val="17"/>
          <w:szCs w:val="17"/>
        </w:rPr>
        <w:t xml:space="preserve">Papadopoulos, I. P. A. (2022). Numerical analysis of a discontinuous Galerkin method for the Borrvall–Petersson topology optimization problem. </w:t>
      </w:r>
      <w:r>
        <w:rPr>
          <w:i/>
          <w:iCs/>
          <w:sz w:val="17"/>
          <w:szCs w:val="17"/>
        </w:rPr>
        <w:t xml:space="preserve">SIAM Journal on Numerical Analysis</w:t>
      </w:r>
      <w:r>
        <w:rPr>
          <w:sz w:val="17"/>
          <w:szCs w:val="17"/>
        </w:rPr>
        <w:t xml:space="preserve">, 60(5), 2538–2564.</w:t>
      </w:r>
      <w:r>
        <w:rPr>
          <w:sz w:val="17"/>
          <w:szCs w:val="17"/>
        </w:rPr>
        <w:t xml:space="preserve"> </w:t>
      </w:r>
      <w:hyperlink w:history="1" r:id="rIdghllx9qycvnfyiglwpgqa">
        <w:r>
          <w:rPr>
            <w:color w:val="1D4ED8"/>
            <w:sz w:val="17"/>
            <w:szCs w:val="17"/>
            <w:u w:val="single"/>
          </w:rPr>
          <w:t xml:space="preserve">https://doi.org/10.1137/21M1438943</w:t>
        </w:r>
      </w:hyperlink>
    </w:p>
    <w:p>
      <w:pPr>
        <w:tabs>
          <w:tab w:val="left" w:pos="567"/>
        </w:tabs>
        <w:spacing w:after="50"/>
        <w:ind w:left="567" w:hanging="567"/>
        <w:jc w:val="left"/>
      </w:pPr>
      <w:r>
        <w:rPr>
          <w:b/>
          <w:bCs/>
          <w:color w:val="1E3A8A"/>
          <w:sz w:val="17"/>
          <w:szCs w:val="17"/>
        </w:rPr>
        <w:t xml:space="preserve">[N3]	</w:t>
      </w:r>
      <w:r>
        <w:rPr>
          <w:sz w:val="17"/>
          <w:szCs w:val="17"/>
        </w:rPr>
        <w:t xml:space="preserve">Farrell, P. E., Croci, M. &amp; Surowiec, T. M. (2020). Deflation for semismooth equations. </w:t>
      </w:r>
      <w:r>
        <w:rPr>
          <w:i/>
          <w:iCs/>
          <w:sz w:val="17"/>
          <w:szCs w:val="17"/>
        </w:rPr>
        <w:t xml:space="preserve">Optimization Methods and Software</w:t>
      </w:r>
      <w:r>
        <w:rPr>
          <w:sz w:val="17"/>
          <w:szCs w:val="17"/>
        </w:rPr>
        <w:t xml:space="preserve">, 35(6), 1248–1271.</w:t>
      </w:r>
      <w:r>
        <w:rPr>
          <w:sz w:val="17"/>
          <w:szCs w:val="17"/>
        </w:rPr>
        <w:t xml:space="preserve"> </w:t>
      </w:r>
      <w:hyperlink w:history="1" r:id="rIdwrvvorqwv4uqunl-p3lq5">
        <w:r>
          <w:rPr>
            <w:color w:val="1D4ED8"/>
            <w:sz w:val="17"/>
            <w:szCs w:val="17"/>
            <w:u w:val="single"/>
          </w:rPr>
          <w:t xml:space="preserve">https://doi.org/10.1080/10556788.2019.1613655</w:t>
        </w:r>
      </w:hyperlink>
    </w:p>
    <w:p>
      <w:pPr>
        <w:tabs>
          <w:tab w:val="left" w:pos="567"/>
        </w:tabs>
        <w:spacing w:after="50"/>
        <w:ind w:left="567" w:hanging="567"/>
        <w:jc w:val="left"/>
      </w:pPr>
      <w:r>
        <w:rPr>
          <w:b/>
          <w:bCs/>
          <w:color w:val="1E3A8A"/>
          <w:sz w:val="17"/>
          <w:szCs w:val="17"/>
        </w:rPr>
        <w:t xml:space="preserve">[N4]	</w:t>
      </w:r>
      <w:r>
        <w:rPr>
          <w:sz w:val="17"/>
          <w:szCs w:val="17"/>
        </w:rPr>
        <w:t xml:space="preserve">Cartis, C., Massart, E. &amp; Otemissov, A. (2023). Bound-constrained global optimization of functions with low effective dimensionality using multiple random embeddings. </w:t>
      </w:r>
      <w:r>
        <w:rPr>
          <w:i/>
          <w:iCs/>
          <w:sz w:val="17"/>
          <w:szCs w:val="17"/>
        </w:rPr>
        <w:t xml:space="preserve">Mathematical Programming</w:t>
      </w:r>
      <w:r>
        <w:rPr>
          <w:sz w:val="17"/>
          <w:szCs w:val="17"/>
        </w:rPr>
        <w:t xml:space="preserve">, 198(1), 997–1058.</w:t>
      </w:r>
      <w:r>
        <w:rPr>
          <w:sz w:val="17"/>
          <w:szCs w:val="17"/>
        </w:rPr>
        <w:t xml:space="preserve"> </w:t>
      </w:r>
      <w:hyperlink w:history="1" r:id="rIdlltsqmhyj912lnfq_6a12">
        <w:r>
          <w:rPr>
            <w:color w:val="1D4ED8"/>
            <w:sz w:val="17"/>
            <w:szCs w:val="17"/>
            <w:u w:val="single"/>
          </w:rPr>
          <w:t xml:space="preserve">https://doi.org/10.1007/s10107-022-01812-9</w:t>
        </w:r>
      </w:hyperlink>
    </w:p>
    <w:p>
      <w:pPr>
        <w:tabs>
          <w:tab w:val="left" w:pos="567"/>
        </w:tabs>
        <w:spacing w:after="50"/>
        <w:ind w:left="567" w:hanging="567"/>
        <w:jc w:val="left"/>
      </w:pPr>
      <w:r>
        <w:rPr>
          <w:b/>
          <w:bCs/>
          <w:color w:val="1E3A8A"/>
          <w:sz w:val="17"/>
          <w:szCs w:val="17"/>
        </w:rPr>
        <w:t xml:space="preserve">[N5]	</w:t>
      </w:r>
      <w:r>
        <w:rPr>
          <w:sz w:val="17"/>
          <w:szCs w:val="17"/>
        </w:rPr>
        <w:t xml:space="preserve">Frangella, Z., Tropp, J. A. &amp; Udell, M. (2023). Randomized Nyström preconditioning. </w:t>
      </w:r>
      <w:r>
        <w:rPr>
          <w:i/>
          <w:iCs/>
          <w:sz w:val="17"/>
          <w:szCs w:val="17"/>
        </w:rPr>
        <w:t xml:space="preserve">SIAM Journal on Matrix Analysis and Applications</w:t>
      </w:r>
      <w:r>
        <w:rPr>
          <w:sz w:val="17"/>
          <w:szCs w:val="17"/>
        </w:rPr>
        <w:t xml:space="preserve">, 44(2), 718–752.</w:t>
      </w:r>
      <w:r>
        <w:rPr>
          <w:sz w:val="17"/>
          <w:szCs w:val="17"/>
        </w:rPr>
        <w:t xml:space="preserve"> </w:t>
      </w:r>
      <w:hyperlink w:history="1" r:id="rIdjrzupalvx6a4ilaphqbzm">
        <w:r>
          <w:rPr>
            <w:color w:val="1D4ED8"/>
            <w:sz w:val="17"/>
            <w:szCs w:val="17"/>
            <w:u w:val="single"/>
          </w:rPr>
          <w:t xml:space="preserve">https://doi.org/10.1137/21M1466244</w:t>
        </w:r>
      </w:hyperlink>
    </w:p>
    <w:p>
      <w:pPr>
        <w:pStyle w:val="Heading3"/>
      </w:pPr>
      <w:r>
        <w:rPr>
          <w:color w:val="1F3864"/>
        </w:rPr>
        <w:t xml:space="preserve">Further reading cited in the text (reserve papers)</w:t>
      </w:r>
    </w:p>
    <w:p>
      <w:pPr>
        <w:tabs>
          <w:tab w:val="left" w:pos="567"/>
        </w:tabs>
        <w:spacing w:after="50"/>
        <w:ind w:left="567" w:hanging="567"/>
        <w:jc w:val="left"/>
      </w:pPr>
      <w:r>
        <w:rPr>
          <w:b/>
          <w:bCs/>
          <w:color w:val="B4410C"/>
          <w:sz w:val="17"/>
          <w:szCs w:val="17"/>
        </w:rPr>
        <w:t xml:space="preserve">[CR1]	</w:t>
      </w:r>
      <w:r>
        <w:rPr>
          <w:sz w:val="17"/>
          <w:szCs w:val="17"/>
        </w:rPr>
        <w:t xml:space="preserve">Schäfer, F., Katzfuss, M. &amp; Owhadi, H. (2021). Sparse Cholesky factorization by Kullback–Leibler minimization. </w:t>
      </w:r>
      <w:r>
        <w:rPr>
          <w:i/>
          <w:iCs/>
          <w:sz w:val="17"/>
          <w:szCs w:val="17"/>
        </w:rPr>
        <w:t xml:space="preserve">SIAM Journal on Scientific Computing</w:t>
      </w:r>
      <w:r>
        <w:rPr>
          <w:sz w:val="17"/>
          <w:szCs w:val="17"/>
        </w:rPr>
        <w:t xml:space="preserve">, 43(3), A2019–A2046. </w:t>
      </w:r>
      <w:r>
        <w:rPr>
          <w:i/>
          <w:iCs/>
          <w:sz w:val="17"/>
          <w:szCs w:val="17"/>
        </w:rPr>
        <w:t xml:space="preserve">Why it is useful:</w:t>
      </w:r>
      <w:r>
        <w:rPr>
          <w:sz w:val="17"/>
          <w:szCs w:val="17"/>
        </w:rPr>
        <w:t xml:space="preserve"> Caltech; sparse Cholesky factors of covariance matrices by Kullback–Leibler minimisation, near-linear cost for the Gaussian computations of UQ (section 1.1).</w:t>
      </w:r>
      <w:r>
        <w:rPr>
          <w:sz w:val="17"/>
          <w:szCs w:val="17"/>
        </w:rPr>
        <w:t xml:space="preserve"> </w:t>
      </w:r>
      <w:hyperlink w:history="1" r:id="rId3i_a5eqz-jiuklpqjh_ct">
        <w:r>
          <w:rPr>
            <w:color w:val="1D4ED8"/>
            <w:sz w:val="17"/>
            <w:szCs w:val="17"/>
            <w:u w:val="single"/>
          </w:rPr>
          <w:t xml:space="preserve">https://authors.library.caltech.edu/106572</w:t>
        </w:r>
      </w:hyperlink>
    </w:p>
    <w:p>
      <w:pPr>
        <w:tabs>
          <w:tab w:val="left" w:pos="567"/>
        </w:tabs>
        <w:spacing w:after="50"/>
        <w:ind w:left="567" w:hanging="567"/>
        <w:jc w:val="left"/>
      </w:pPr>
      <w:r>
        <w:rPr>
          <w:b/>
          <w:bCs/>
          <w:color w:val="B4410C"/>
          <w:sz w:val="17"/>
          <w:szCs w:val="17"/>
        </w:rPr>
        <w:t xml:space="preserve">[CR2]	</w:t>
      </w:r>
      <w:r>
        <w:rPr>
          <w:sz w:val="17"/>
          <w:szCs w:val="17"/>
        </w:rPr>
        <w:t xml:space="preserve">Garbuno-Inigo, A., Nüsken, N. &amp; Reich, S. (2020). Affine invariant interacting Langevin dynamics for Bayesian inference. </w:t>
      </w:r>
      <w:r>
        <w:rPr>
          <w:i/>
          <w:iCs/>
          <w:sz w:val="17"/>
          <w:szCs w:val="17"/>
        </w:rPr>
        <w:t xml:space="preserve">SIAM Journal on Applied Dynamical Systems</w:t>
      </w:r>
      <w:r>
        <w:rPr>
          <w:sz w:val="17"/>
          <w:szCs w:val="17"/>
        </w:rPr>
        <w:t xml:space="preserve">, 19(3), 1633–1658. </w:t>
      </w:r>
      <w:r>
        <w:rPr>
          <w:i/>
          <w:iCs/>
          <w:sz w:val="17"/>
          <w:szCs w:val="17"/>
        </w:rPr>
        <w:t xml:space="preserve">Why it is useful:</w:t>
      </w:r>
      <w:r>
        <w:rPr>
          <w:sz w:val="17"/>
          <w:szCs w:val="17"/>
        </w:rPr>
        <w:t xml:space="preserve"> Caltech and Potsdam; affine-invariant interacting Langevin dynamics, a derivative-free sampler whose ensemble covariance preconditions the posterior (section 1.1).</w:t>
      </w:r>
      <w:r>
        <w:rPr>
          <w:sz w:val="17"/>
          <w:szCs w:val="17"/>
        </w:rPr>
        <w:t xml:space="preserve"> </w:t>
      </w:r>
      <w:hyperlink w:history="1" r:id="rIdawfltyzj8tsgxcvnejwds">
        <w:r>
          <w:rPr>
            <w:color w:val="1D4ED8"/>
            <w:sz w:val="17"/>
            <w:szCs w:val="17"/>
            <w:u w:val="single"/>
          </w:rPr>
          <w:t xml:space="preserve">https://doi.org/10.1137/19M1304891</w:t>
        </w:r>
      </w:hyperlink>
    </w:p>
    <w:p>
      <w:pPr>
        <w:tabs>
          <w:tab w:val="left" w:pos="567"/>
        </w:tabs>
        <w:spacing w:after="50"/>
        <w:ind w:left="567" w:hanging="567"/>
        <w:jc w:val="left"/>
      </w:pPr>
      <w:r>
        <w:rPr>
          <w:b/>
          <w:bCs/>
          <w:color w:val="002147"/>
          <w:sz w:val="17"/>
          <w:szCs w:val="17"/>
        </w:rPr>
        <w:t xml:space="preserve">[QR1]	</w:t>
      </w:r>
      <w:r>
        <w:rPr>
          <w:sz w:val="17"/>
          <w:szCs w:val="17"/>
        </w:rPr>
        <w:t xml:space="preserve">Adachi, M., Hayakawa, S., Jørgensen, M., Oberhauser, H. &amp; Osborne, M. A. (2022). Fast Bayesian inference with batch Bayesian quadrature via kernel recombination. </w:t>
      </w:r>
      <w:r>
        <w:rPr>
          <w:i/>
          <w:iCs/>
          <w:sz w:val="17"/>
          <w:szCs w:val="17"/>
        </w:rPr>
        <w:t xml:space="preserve">Advances in Neural Information Processing Systems</w:t>
      </w:r>
      <w:r>
        <w:rPr>
          <w:sz w:val="17"/>
          <w:szCs w:val="17"/>
        </w:rPr>
        <w:t xml:space="preserve">, 35. </w:t>
      </w:r>
      <w:r>
        <w:rPr>
          <w:i/>
          <w:iCs/>
          <w:sz w:val="17"/>
          <w:szCs w:val="17"/>
        </w:rPr>
        <w:t xml:space="preserve">Why it is useful:</w:t>
      </w:r>
      <w:r>
        <w:rPr>
          <w:sz w:val="17"/>
          <w:szCs w:val="17"/>
        </w:rPr>
        <w:t xml:space="preserve"> Oxford; batch Bayesian quadrature by kernel recombination, fast posterior integrals when each model run is expensive (section 1.1).</w:t>
      </w:r>
      <w:r>
        <w:rPr>
          <w:sz w:val="17"/>
          <w:szCs w:val="17"/>
        </w:rPr>
        <w:t xml:space="preserve"> </w:t>
      </w:r>
      <w:hyperlink w:history="1" r:id="rIdmwwr12qrpj1cxp9-y6qei">
        <w:r>
          <w:rPr>
            <w:color w:val="1D4ED8"/>
            <w:sz w:val="17"/>
            <w:szCs w:val="17"/>
            <w:u w:val="single"/>
          </w:rPr>
          <w:t xml:space="preserve">https://proceedings.neurips.cc/paper_files/paper/2022/hash/697200c9d1710c2799720b660abd11bb-Abstract.html</w:t>
        </w:r>
      </w:hyperlink>
    </w:p>
    <w:p>
      <w:pPr>
        <w:tabs>
          <w:tab w:val="left" w:pos="567"/>
        </w:tabs>
        <w:spacing w:after="50"/>
        <w:ind w:left="567" w:hanging="567"/>
        <w:jc w:val="left"/>
      </w:pPr>
      <w:r>
        <w:rPr>
          <w:b/>
          <w:bCs/>
          <w:color w:val="002147"/>
          <w:sz w:val="17"/>
          <w:szCs w:val="17"/>
        </w:rPr>
        <w:t xml:space="preserve">[QR2]	</w:t>
      </w:r>
      <w:r>
        <w:rPr>
          <w:sz w:val="17"/>
          <w:szCs w:val="17"/>
        </w:rPr>
        <w:t xml:space="preserve">Giles, M. B., Haji-Ali, A.-L. &amp; Spence, J. (2026). Efficient risk estimation for the credit valuation adjustment. </w:t>
      </w:r>
      <w:r>
        <w:rPr>
          <w:i/>
          <w:iCs/>
          <w:sz w:val="17"/>
          <w:szCs w:val="17"/>
        </w:rPr>
        <w:t xml:space="preserve">Finance and Stochastics</w:t>
      </w:r>
      <w:r>
        <w:rPr>
          <w:sz w:val="17"/>
          <w:szCs w:val="17"/>
        </w:rPr>
        <w:t xml:space="preserve"> (early online; volume, pages and DOI not verified). </w:t>
      </w:r>
      <w:r>
        <w:rPr>
          <w:i/>
          <w:iCs/>
          <w:sz w:val="17"/>
          <w:szCs w:val="17"/>
        </w:rPr>
        <w:t xml:space="preserve">Why it is useful:</w:t>
      </w:r>
      <w:r>
        <w:rPr>
          <w:sz w:val="17"/>
          <w:szCs w:val="17"/>
        </w:rPr>
        <w:t xml:space="preserve"> Oxford and Heriot-Watt; efficient multilevel estimation of a tail risk measure in finance, a template for nested risk estimates of a scheme (sections 1.1, 1.2).</w:t>
      </w:r>
      <w:r>
        <w:rPr>
          <w:sz w:val="17"/>
          <w:szCs w:val="17"/>
        </w:rPr>
        <w:t xml:space="preserve"> </w:t>
      </w:r>
      <w:hyperlink w:history="1" r:id="rIdfsls_lcmskqw16sloopvh">
        <w:r>
          <w:rPr>
            <w:color w:val="1D4ED8"/>
            <w:sz w:val="17"/>
            <w:szCs w:val="17"/>
            <w:u w:val="single"/>
          </w:rPr>
          <w:t xml:space="preserve">https://ora.ox.ac.uk/objects/uuid:10e4c726-9239-4b21-a5cd-6301dde3404b</w:t>
        </w:r>
      </w:hyperlink>
    </w:p>
    <w:p>
      <w:pPr>
        <w:tabs>
          <w:tab w:val="left" w:pos="567"/>
        </w:tabs>
        <w:spacing w:after="50"/>
        <w:ind w:left="567" w:hanging="567"/>
        <w:jc w:val="left"/>
      </w:pPr>
      <w:r>
        <w:rPr>
          <w:b/>
          <w:bCs/>
          <w:color w:val="5B21B6"/>
          <w:sz w:val="17"/>
          <w:szCs w:val="17"/>
        </w:rPr>
        <w:t xml:space="preserve">[KR1]	</w:t>
      </w:r>
      <w:r>
        <w:rPr>
          <w:sz w:val="17"/>
          <w:szCs w:val="17"/>
        </w:rPr>
        <w:t xml:space="preserve">Romao, L., Margellos, K. &amp; Papachristodoulou, A. (2023). Probabilistic feasibility guarantees for convex scenario programs with an arbitrary number of discarded constraints. </w:t>
      </w:r>
      <w:r>
        <w:rPr>
          <w:i/>
          <w:iCs/>
          <w:sz w:val="17"/>
          <w:szCs w:val="17"/>
        </w:rPr>
        <w:t xml:space="preserve">Automatica</w:t>
      </w:r>
      <w:r>
        <w:rPr>
          <w:sz w:val="17"/>
          <w:szCs w:val="17"/>
        </w:rPr>
        <w:t xml:space="preserve">, 149, 110601 (DOI not verified). </w:t>
      </w:r>
      <w:r>
        <w:rPr>
          <w:i/>
          <w:iCs/>
          <w:sz w:val="17"/>
          <w:szCs w:val="17"/>
        </w:rPr>
        <w:t xml:space="preserve">Why it is useful:</w:t>
      </w:r>
      <w:r>
        <w:rPr>
          <w:sz w:val="17"/>
          <w:szCs w:val="17"/>
        </w:rPr>
        <w:t xml:space="preserve"> Oxford; feasibility guarantees for convex scenario programmes with an arbitrary number of discarded constraints, the companion of K1 (section 1.3).</w:t>
      </w:r>
      <w:r>
        <w:rPr>
          <w:sz w:val="17"/>
          <w:szCs w:val="17"/>
        </w:rPr>
        <w:t xml:space="preserve"> </w:t>
      </w:r>
      <w:hyperlink w:history="1" r:id="rIdbuk_o0x_pdbjj7pluhras">
        <w:r>
          <w:rPr>
            <w:color w:val="1D4ED8"/>
            <w:sz w:val="17"/>
            <w:szCs w:val="17"/>
            <w:u w:val="single"/>
          </w:rPr>
          <w:t xml:space="preserve">https://ora.ox.ac.uk/objects/uuid:053a4b4d-905d-47db-9520-cfe79cd13268</w:t>
        </w:r>
      </w:hyperlink>
    </w:p>
    <w:p>
      <w:pPr>
        <w:tabs>
          <w:tab w:val="left" w:pos="567"/>
        </w:tabs>
        <w:spacing w:after="50"/>
        <w:ind w:left="567" w:hanging="567"/>
        <w:jc w:val="left"/>
      </w:pPr>
      <w:r>
        <w:rPr>
          <w:b/>
          <w:bCs/>
          <w:color w:val="5B21B6"/>
          <w:sz w:val="17"/>
          <w:szCs w:val="17"/>
        </w:rPr>
        <w:t xml:space="preserve">[KR2]	</w:t>
      </w:r>
      <w:r>
        <w:rPr>
          <w:sz w:val="17"/>
          <w:szCs w:val="17"/>
        </w:rPr>
        <w:t xml:space="preserve">Rigter, M., Lacerda, B. &amp; Hawes, N. (2021). Risk-averse Bayes-adaptive reinforcement learning. </w:t>
      </w:r>
      <w:r>
        <w:rPr>
          <w:i/>
          <w:iCs/>
          <w:sz w:val="17"/>
          <w:szCs w:val="17"/>
        </w:rPr>
        <w:t xml:space="preserve">Advances in Neural Information Processing Systems</w:t>
      </w:r>
      <w:r>
        <w:rPr>
          <w:sz w:val="17"/>
          <w:szCs w:val="17"/>
        </w:rPr>
        <w:t xml:space="preserve">, 34 (pages not verified). </w:t>
      </w:r>
      <w:r>
        <w:rPr>
          <w:i/>
          <w:iCs/>
          <w:sz w:val="17"/>
          <w:szCs w:val="17"/>
        </w:rPr>
        <w:t xml:space="preserve">Why it is useful:</w:t>
      </w:r>
      <w:r>
        <w:rPr>
          <w:sz w:val="17"/>
          <w:szCs w:val="17"/>
        </w:rPr>
        <w:t xml:space="preserve"> Oxford Robotics Institute; risk-averse Bayes-adaptive reinforcement learning with CVaR of the return, risk when the model itself is learned (section 1.2).</w:t>
      </w:r>
      <w:r>
        <w:rPr>
          <w:sz w:val="17"/>
          <w:szCs w:val="17"/>
        </w:rPr>
        <w:t xml:space="preserve"> </w:t>
      </w:r>
      <w:hyperlink w:history="1" r:id="rId5xube4z50y4qzebv9rk8s">
        <w:r>
          <w:rPr>
            <w:color w:val="1D4ED8"/>
            <w:sz w:val="17"/>
            <w:szCs w:val="17"/>
            <w:u w:val="single"/>
          </w:rPr>
          <w:t xml:space="preserve">https://proceedings.neurips.cc/paper/2021/hash/08f90c1a417155361a5c4b8d297e0d78-Abstract.html</w:t>
        </w:r>
      </w:hyperlink>
    </w:p>
    <w:p>
      <w:pPr>
        <w:tabs>
          <w:tab w:val="left" w:pos="567"/>
        </w:tabs>
        <w:spacing w:after="50"/>
        <w:ind w:left="567" w:hanging="567"/>
        <w:jc w:val="left"/>
      </w:pPr>
      <w:r>
        <w:rPr>
          <w:b/>
          <w:bCs/>
          <w:color w:val="1E3A8A"/>
          <w:sz w:val="17"/>
          <w:szCs w:val="17"/>
        </w:rPr>
        <w:t xml:space="preserve">[NR1]	</w:t>
      </w:r>
      <w:r>
        <w:rPr>
          <w:sz w:val="17"/>
          <w:szCs w:val="17"/>
        </w:rPr>
        <w:t xml:space="preserve">Papadopoulos, I. P. A. &amp; Farrell, P. E. (2023). Preconditioners for computing multiple solutions in three-dimensional fluid topology optimization. </w:t>
      </w:r>
      <w:r>
        <w:rPr>
          <w:i/>
          <w:iCs/>
          <w:sz w:val="17"/>
          <w:szCs w:val="17"/>
        </w:rPr>
        <w:t xml:space="preserve">SIAM Journal on Scientific Computing</w:t>
      </w:r>
      <w:r>
        <w:rPr>
          <w:sz w:val="17"/>
          <w:szCs w:val="17"/>
        </w:rPr>
        <w:t xml:space="preserve">, 45(6), B853–B883. </w:t>
      </w:r>
      <w:r>
        <w:rPr>
          <w:i/>
          <w:iCs/>
          <w:sz w:val="17"/>
          <w:szCs w:val="17"/>
        </w:rPr>
        <w:t xml:space="preserve">Why it is useful:</w:t>
      </w:r>
      <w:r>
        <w:rPr>
          <w:sz w:val="17"/>
          <w:szCs w:val="17"/>
        </w:rPr>
        <w:t xml:space="preserve"> Oxford; preconditioners that make the deflated computation of multiple solutions affordable in three dimensions (section 1.5).</w:t>
      </w:r>
      <w:r>
        <w:rPr>
          <w:sz w:val="17"/>
          <w:szCs w:val="17"/>
        </w:rPr>
        <w:t xml:space="preserve"> </w:t>
      </w:r>
      <w:hyperlink w:history="1" r:id="rIdrerw2si4jwzvyn5l3qkkq">
        <w:r>
          <w:rPr>
            <w:color w:val="1D4ED8"/>
            <w:sz w:val="17"/>
            <w:szCs w:val="17"/>
            <w:u w:val="single"/>
          </w:rPr>
          <w:t xml:space="preserve">https://doi.org/10.1137/22M1478598</w:t>
        </w:r>
      </w:hyperlink>
    </w:p>
    <w:p>
      <w:pPr>
        <w:tabs>
          <w:tab w:val="left" w:pos="567"/>
        </w:tabs>
        <w:spacing w:after="50"/>
        <w:ind w:left="567" w:hanging="567"/>
        <w:jc w:val="left"/>
      </w:pPr>
      <w:r>
        <w:rPr>
          <w:b/>
          <w:bCs/>
          <w:color w:val="1E3A8A"/>
          <w:sz w:val="17"/>
          <w:szCs w:val="17"/>
        </w:rPr>
        <w:t xml:space="preserve">[NR2]	</w:t>
      </w:r>
      <w:r>
        <w:rPr>
          <w:sz w:val="17"/>
          <w:szCs w:val="17"/>
        </w:rPr>
        <w:t xml:space="preserve">Schäfer, F., Sullivan, T. J. &amp; Owhadi, H. (2021). Compression, inversion, and approximate PCA of dense kernel matrices at near-linear computational complexity. </w:t>
      </w:r>
      <w:r>
        <w:rPr>
          <w:i/>
          <w:iCs/>
          <w:sz w:val="17"/>
          <w:szCs w:val="17"/>
        </w:rPr>
        <w:t xml:space="preserve">Multiscale Modeling &amp; Simulation</w:t>
      </w:r>
      <w:r>
        <w:rPr>
          <w:sz w:val="17"/>
          <w:szCs w:val="17"/>
        </w:rPr>
        <w:t xml:space="preserve">, 19(2), 688–730. </w:t>
      </w:r>
      <w:r>
        <w:rPr>
          <w:i/>
          <w:iCs/>
          <w:sz w:val="17"/>
          <w:szCs w:val="17"/>
        </w:rPr>
        <w:t xml:space="preserve">Why it is useful:</w:t>
      </w:r>
      <w:r>
        <w:rPr>
          <w:sz w:val="17"/>
          <w:szCs w:val="17"/>
        </w:rPr>
        <w:t xml:space="preserve"> Caltech; compression, inversion and approximate PCA of dense kernel matrices at near-linear cost, the linear algebra behind fast UQ (sections 1.1, 1.5).</w:t>
      </w:r>
      <w:r>
        <w:rPr>
          <w:sz w:val="17"/>
          <w:szCs w:val="17"/>
        </w:rPr>
        <w:t xml:space="preserve"> </w:t>
      </w:r>
      <w:hyperlink w:history="1" r:id="rIdf6ewfqvtifn_ifbxanvcc">
        <w:r>
          <w:rPr>
            <w:color w:val="1D4ED8"/>
            <w:sz w:val="17"/>
            <w:szCs w:val="17"/>
            <w:u w:val="single"/>
          </w:rPr>
          <w:t xml:space="preserve">https://doi.org/10.1137/19M129526X</w:t>
        </w:r>
      </w:hyperlink>
    </w:p>
    <w:p>
      <w:pPr>
        <w:spacing w:after="200"/>
      </w:pPr>
    </w:p>
    <w:p>
      <w:pPr>
        <w:spacing w:after="120"/>
      </w:pPr>
      <w:r>
        <w:rPr>
          <w:i/>
          <w:iCs/>
          <w:color w:val="5B6573"/>
          <w:sz w:val="18"/>
          <w:szCs w:val="18"/>
        </w:rPr>
        <w:t xml:space="preserve">Prepared from searches of 26 October 2026. Card codes: C = Caltech UQ, Q = Oxford UQ, K = risk and robust decisions, N = uniqueness; [B…] are references of Part I and section 9, and [CR1]–[NR2] are reserve papers cited as further reading. The code of SIGURIA-GO is in the repository folder experiments/siguria_go; it uses the model and truth generator of VENDI-GO (review 53, experiments/vendi_go).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Uncertainty, risk, robustness and uniqueness of a MAR scheme · Caltech and Oxford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fccsu3i8owphxsr_nief" Type="http://schemas.openxmlformats.org/officeDocument/2006/relationships/hyperlink" Target="https://portal.fis.tum.de/en/publications/covariance-modulated-optimal-transport-and-gradient-flows/" TargetMode="External"/><Relationship Id="rIddq-7a_ti5j2h_vbkbnv-q" Type="http://schemas.openxmlformats.org/officeDocument/2006/relationships/hyperlink" Target="https://doi.org/10.1090/mcom/4013" TargetMode="External"/><Relationship Id="rIdg2x46mtrbc3csbnhrp8c4" Type="http://schemas.openxmlformats.org/officeDocument/2006/relationships/hyperlink" Target="https://doi.org/10.1007/s11222-024-10535-0" TargetMode="External"/><Relationship Id="rIddr2tc0cbigwstun8saye4" Type="http://schemas.openxmlformats.org/officeDocument/2006/relationships/hyperlink" Target="https://authors.library.caltech.edu/records/dne8g-tx986" TargetMode="External"/><Relationship Id="rIdlosnqof65paexght1kfhd" Type="http://schemas.openxmlformats.org/officeDocument/2006/relationships/hyperlink" Target="https://resolver.caltech.edu/CaltechAUTHORS:20220524-180308552" TargetMode="External"/><Relationship Id="rIdpbwrymfz5ci4uu16lk_ka" Type="http://schemas.openxmlformats.org/officeDocument/2006/relationships/hyperlink" Target="https://doi.org/10.1137/20M1329044" TargetMode="External"/><Relationship Id="rIddea0xy1lo9_ztxybahagi" Type="http://schemas.openxmlformats.org/officeDocument/2006/relationships/hyperlink" Target="https://doi.org/10.1214/24-AAP2083" TargetMode="External"/><Relationship Id="rIdssyyfq7iwjv6b4yil5dqu" Type="http://schemas.openxmlformats.org/officeDocument/2006/relationships/hyperlink" Target="https://jmlr.org/papers/v21/19-102.html" TargetMode="External"/><Relationship Id="rIdcd0uvzjld2nhhxvdjc6kc" Type="http://schemas.openxmlformats.org/officeDocument/2006/relationships/hyperlink" Target="https://proceedings.mlr.press/v202/hayakawa23a.html" TargetMode="External"/><Relationship Id="rId-4nnqislepis3qgtqpf52" Type="http://schemas.openxmlformats.org/officeDocument/2006/relationships/hyperlink" Target="https://proceedings.neurips.cc/paper_files/paper/2023/hash/7d25b1db211d99d5750ec45d65fd6e4e-Abstract-Conference.html" TargetMode="External"/><Relationship Id="rId5qndjd3gxato-kkns2fk3" Type="http://schemas.openxmlformats.org/officeDocument/2006/relationships/hyperlink" Target="https://doi.org/10.1109/TAC.2022.3165320" TargetMode="External"/><Relationship Id="rIdhqpy1psj5wsrotbrkl5pm" Type="http://schemas.openxmlformats.org/officeDocument/2006/relationships/hyperlink" Target="https://doi.org/10.1016/j.automatica.2021.110120" TargetMode="External"/><Relationship Id="rIderuob1xd3au7a_hnrrhuq" Type="http://schemas.openxmlformats.org/officeDocument/2006/relationships/hyperlink" Target="https://proceedings.mlr.press/v247/christianson24a.html" TargetMode="External"/><Relationship Id="rIdngnr61fgvwep3h8-oc_qo" Type="http://schemas.openxmlformats.org/officeDocument/2006/relationships/hyperlink" Target="https://proceedings.mlr.press/v178/christianson22a.html" TargetMode="External"/><Relationship Id="rIdr0qdnurj1_dicmjuv-bmx" Type="http://schemas.openxmlformats.org/officeDocument/2006/relationships/hyperlink" Target="https://proceedings.mlr.press/v235/sun24f.html" TargetMode="External"/><Relationship Id="rId7jfyf5ydxwzdugqamvocz" Type="http://schemas.openxmlformats.org/officeDocument/2006/relationships/hyperlink" Target="https://doi.org/10.1137/20M1326209" TargetMode="External"/><Relationship Id="rIdw73muiujgrhixwlryxn83" Type="http://schemas.openxmlformats.org/officeDocument/2006/relationships/hyperlink" Target="https://doi.org/10.1137/21M1438943" TargetMode="External"/><Relationship Id="rIdp7gbzn8mzydngo68vw0e8" Type="http://schemas.openxmlformats.org/officeDocument/2006/relationships/hyperlink" Target="https://doi.org/10.1080/10556788.2019.1613655" TargetMode="External"/><Relationship Id="rIdgfdd9-bjfim-vexuxzs0x" Type="http://schemas.openxmlformats.org/officeDocument/2006/relationships/hyperlink" Target="https://doi.org/10.1007/s10107-022-01812-9" TargetMode="External"/><Relationship Id="rIdysxyim0t-uff-vppvssug" Type="http://schemas.openxmlformats.org/officeDocument/2006/relationships/hyperlink" Target="https://doi.org/10.1137/21M1466244" TargetMode="External"/><Relationship Id="rIdneohefazvzlhvzqkcah3d" Type="http://schemas.openxmlformats.org/officeDocument/2006/relationships/hyperlink" Target="https://doi.org/10.1111/1467-9965.00068" TargetMode="External"/><Relationship Id="rIdryrjdmbv0-giknyby36m5" Type="http://schemas.openxmlformats.org/officeDocument/2006/relationships/hyperlink" Target="https://doi.org/10.1007/s10957-010-9754-6" TargetMode="External"/><Relationship Id="rIdtbsksmdhcfspeltphjjkj" Type="http://schemas.openxmlformats.org/officeDocument/2006/relationships/hyperlink" Target="https://doi.org/10.1007/s10107-017-1172-1" TargetMode="External"/><Relationship Id="rIdk_yfb7nv9lrs2np8qgxd_" Type="http://schemas.openxmlformats.org/officeDocument/2006/relationships/hyperlink" Target="https://doi.org/10.1137/S0036144504440543" TargetMode="External"/><Relationship Id="rIdiwib5bp7vm0wm7sz-qewm" Type="http://schemas.openxmlformats.org/officeDocument/2006/relationships/hyperlink" Target="https://doi.org/10.1016/j.cam.2005.09.027" TargetMode="External"/><Relationship Id="rIdx-uvhvn6qto5lvmhoswth" Type="http://schemas.openxmlformats.org/officeDocument/2006/relationships/hyperlink" Target="https://doi.org/10.1137/140984798" TargetMode="External"/><Relationship Id="rIdpvxtgyevz2naf1hvrb7_o" Type="http://schemas.openxmlformats.org/officeDocument/2006/relationships/hyperlink" Target="https://portal.fis.tum.de/en/publications/covariance-modulated-optimal-transport-and-gradient-flows/" TargetMode="External"/><Relationship Id="rIdcbju_yvknluqei9qr0p_h" Type="http://schemas.openxmlformats.org/officeDocument/2006/relationships/hyperlink" Target="https://doi.org/10.1090/mcom/4013" TargetMode="External"/><Relationship Id="rIdwoiijnvddpnwam5xrzswu" Type="http://schemas.openxmlformats.org/officeDocument/2006/relationships/hyperlink" Target="https://doi.org/10.1007/s11222-024-10535-0" TargetMode="External"/><Relationship Id="rIdnivwqdh5afghvzvyugbwl" Type="http://schemas.openxmlformats.org/officeDocument/2006/relationships/hyperlink" Target="https://authors.library.caltech.edu/records/dne8g-tx986" TargetMode="External"/><Relationship Id="rIdhxxq8-eifun_dssrbkswn" Type="http://schemas.openxmlformats.org/officeDocument/2006/relationships/hyperlink" Target="https://resolver.caltech.edu/CaltechAUTHORS:20220524-180308552" TargetMode="External"/><Relationship Id="rIddsjmg8b_dcd0x4nsup94d" Type="http://schemas.openxmlformats.org/officeDocument/2006/relationships/hyperlink" Target="https://doi.org/10.1137/20M1329044" TargetMode="External"/><Relationship Id="rIdefkvhz_hfvvycw8x3h6g3" Type="http://schemas.openxmlformats.org/officeDocument/2006/relationships/hyperlink" Target="https://doi.org/10.1214/24-AAP2083" TargetMode="External"/><Relationship Id="rIdq4pwheqhybaetunrs2imv" Type="http://schemas.openxmlformats.org/officeDocument/2006/relationships/hyperlink" Target="https://jmlr.org/papers/v21/19-102.html" TargetMode="External"/><Relationship Id="rIdr_sfsudagpnukpkqbqnwk" Type="http://schemas.openxmlformats.org/officeDocument/2006/relationships/hyperlink" Target="https://proceedings.mlr.press/v202/hayakawa23a.html" TargetMode="External"/><Relationship Id="rId8rh9vtfkkrihmntpju6vt" Type="http://schemas.openxmlformats.org/officeDocument/2006/relationships/hyperlink" Target="https://proceedings.neurips.cc/paper_files/paper/2023/hash/7d25b1db211d99d5750ec45d65fd6e4e-Abstract-Conference.html" TargetMode="External"/><Relationship Id="rIdpqdofytpkkchm-m4tmxjs" Type="http://schemas.openxmlformats.org/officeDocument/2006/relationships/hyperlink" Target="https://doi.org/10.1109/TAC.2022.3165320" TargetMode="External"/><Relationship Id="rIdonsli5nkld26nittim35a" Type="http://schemas.openxmlformats.org/officeDocument/2006/relationships/hyperlink" Target="https://doi.org/10.1016/j.automatica.2021.110120" TargetMode="External"/><Relationship Id="rIdcjaiu4xkmkntueeaxihgr" Type="http://schemas.openxmlformats.org/officeDocument/2006/relationships/hyperlink" Target="https://proceedings.mlr.press/v247/christianson24a.html" TargetMode="External"/><Relationship Id="rIdk8uqo--yji25qz4ev7j0h" Type="http://schemas.openxmlformats.org/officeDocument/2006/relationships/hyperlink" Target="https://proceedings.mlr.press/v178/christianson22a.html" TargetMode="External"/><Relationship Id="rIdww0zhazzzuh3kmzq2kz2p" Type="http://schemas.openxmlformats.org/officeDocument/2006/relationships/hyperlink" Target="https://proceedings.mlr.press/v235/sun24f.html" TargetMode="External"/><Relationship Id="rIdid1tugztpb-s2qakqcmf0" Type="http://schemas.openxmlformats.org/officeDocument/2006/relationships/hyperlink" Target="https://doi.org/10.1137/20M1326209" TargetMode="External"/><Relationship Id="rIdghllx9qycvnfyiglwpgqa" Type="http://schemas.openxmlformats.org/officeDocument/2006/relationships/hyperlink" Target="https://doi.org/10.1137/21M1438943" TargetMode="External"/><Relationship Id="rIdwrvvorqwv4uqunl-p3lq5" Type="http://schemas.openxmlformats.org/officeDocument/2006/relationships/hyperlink" Target="https://doi.org/10.1080/10556788.2019.1613655" TargetMode="External"/><Relationship Id="rIdlltsqmhyj912lnfq_6a12" Type="http://schemas.openxmlformats.org/officeDocument/2006/relationships/hyperlink" Target="https://doi.org/10.1007/s10107-022-01812-9" TargetMode="External"/><Relationship Id="rIdjrzupalvx6a4ilaphqbzm" Type="http://schemas.openxmlformats.org/officeDocument/2006/relationships/hyperlink" Target="https://doi.org/10.1137/21M1466244" TargetMode="External"/><Relationship Id="rId3i_a5eqz-jiuklpqjh_ct" Type="http://schemas.openxmlformats.org/officeDocument/2006/relationships/hyperlink" Target="https://authors.library.caltech.edu/106572" TargetMode="External"/><Relationship Id="rIdawfltyzj8tsgxcvnejwds" Type="http://schemas.openxmlformats.org/officeDocument/2006/relationships/hyperlink" Target="https://doi.org/10.1137/19M1304891" TargetMode="External"/><Relationship Id="rIdmwwr12qrpj1cxp9-y6qei" Type="http://schemas.openxmlformats.org/officeDocument/2006/relationships/hyperlink" Target="https://proceedings.neurips.cc/paper_files/paper/2022/hash/697200c9d1710c2799720b660abd11bb-Abstract.html" TargetMode="External"/><Relationship Id="rIdfsls_lcmskqw16sloopvh" Type="http://schemas.openxmlformats.org/officeDocument/2006/relationships/hyperlink" Target="https://ora.ox.ac.uk/objects/uuid:10e4c726-9239-4b21-a5cd-6301dde3404b" TargetMode="External"/><Relationship Id="rIdbuk_o0x_pdbjj7pluhras" Type="http://schemas.openxmlformats.org/officeDocument/2006/relationships/hyperlink" Target="https://ora.ox.ac.uk/objects/uuid:053a4b4d-905d-47db-9520-cfe79cd13268" TargetMode="External"/><Relationship Id="rId5xube4z50y4qzebv9rk8s" Type="http://schemas.openxmlformats.org/officeDocument/2006/relationships/hyperlink" Target="https://proceedings.neurips.cc/paper/2021/hash/08f90c1a417155361a5c4b8d297e0d78-Abstract.html" TargetMode="External"/><Relationship Id="rIdrerw2si4jwzvyn5l3qkkq" Type="http://schemas.openxmlformats.org/officeDocument/2006/relationships/hyperlink" Target="https://doi.org/10.1137/22M1478598" TargetMode="External"/><Relationship Id="rIdf6ewfqvtifn_ifbxanvcc" Type="http://schemas.openxmlformats.org/officeDocument/2006/relationships/hyperlink" Target="https://doi.org/10.1137/19M129526X" TargetMode="External"/><Relationship Id="rId11" Type="http://schemas.openxmlformats.org/officeDocument/2006/relationships/image" Target="media/5f622a9a2c87b6ed83e8335bdab8625e2ff524b6.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 risk, robustness and uniqueness of a managed-aquifer-recharge scheme: new methods from Caltech and Oxford</dc:title>
  <dc:subject>Literature review: uncertainty quantification, risk, robustness and uniqueness for managed aquifer recharge, 2020–2026</dc:subject>
  <dc:creator>D. Zeqiraj</dc:creator>
  <dc:description>Twenty papers of 2020–2026 from Caltech and Oxford: uncertainty quantification (5 Caltech, 5 Oxford), risk analysis and robust decisions (5) and uniqueness of solutions and well-posed schemes (5), each with a key equation, why it is among the best and the question it leaves open; a theoretical introduction; and a numerically tested innovation, SIGURIA-GO (siguria: safety), a certificate for a recharge scheme of the Fushë-Kuqe coastal aquifer that states how uncertain its outcome is, how large its risk, how much model error it tolerates and whether its solution is unique</dc:description>
  <cp:lastModifiedBy>D. Zeqiraj</cp:lastModifiedBy>
  <cp:revision>1</cp:revision>
  <dcterms:created xsi:type="dcterms:W3CDTF">2026-10-26T10:36:19.454Z</dcterms:created>
  <dcterms:modified xsi:type="dcterms:W3CDTF">2026-10-26T10:36:19.455Z</dcterms:modified>
</cp:coreProperties>
</file>

<file path=docProps/custom.xml><?xml version="1.0" encoding="utf-8"?>
<Properties xmlns="http://schemas.openxmlformats.org/officeDocument/2006/custom-properties" xmlns:vt="http://schemas.openxmlformats.org/officeDocument/2006/docPropsVTypes"/>
</file>