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Mathematical</w:t>
      </w:r>
      <w:r>
        <w:t xml:space="preserve"> </w:t>
      </w:r>
      <w:r>
        <w:t xml:space="preserve">decisions</w:t>
      </w:r>
      <w:r>
        <w:t xml:space="preserve"> </w:t>
      </w:r>
      <w:r>
        <w:t xml:space="preserve">for</w:t>
      </w:r>
      <w:r>
        <w:t xml:space="preserve"> </w:t>
      </w:r>
      <w:r>
        <w:t xml:space="preserve">stakeholders</w:t>
      </w:r>
      <w:r>
        <w:t xml:space="preserve"> </w:t>
      </w:r>
      <w:r>
        <w:t xml:space="preserve">under</w:t>
      </w:r>
      <w:r>
        <w:t xml:space="preserve"> </w:t>
      </w:r>
      <w:r>
        <w:t xml:space="preserve">intense</w:t>
      </w:r>
      <w:r>
        <w:t xml:space="preserve"> </w:t>
      </w:r>
      <w:r>
        <w:t xml:space="preserve">rainfall,</w:t>
      </w:r>
      <w:r>
        <w:t xml:space="preserve"> </w:t>
      </w:r>
      <w:r>
        <w:t xml:space="preserve">drought</w:t>
      </w:r>
      <w:r>
        <w:t xml:space="preserve"> </w:t>
      </w:r>
      <w:r>
        <w:t xml:space="preserve">and</w:t>
      </w:r>
      <w:r>
        <w:t xml:space="preserve"> </w:t>
      </w:r>
      <w:r>
        <w:t xml:space="preserve">causal</w:t>
      </w:r>
      <w:r>
        <w:t xml:space="preserve"> </w:t>
      </w:r>
      <w:r>
        <w:t xml:space="preserve">change</w:t>
      </w:r>
    </w:p>
    <w:p>
      <w:pPr>
        <w:pStyle w:val="Subtitle"/>
      </w:pPr>
      <w:r>
        <w:t xml:space="preserve">Review</w:t>
      </w:r>
      <w:r>
        <w:t xml:space="preserve"> </w:t>
      </w:r>
      <w:r>
        <w:t xml:space="preserve">61</w:t>
      </w:r>
      <w:r>
        <w:t xml:space="preserve"> </w:t>
      </w:r>
      <w:r>
        <w:t xml:space="preserve">—</w:t>
      </w:r>
      <w:r>
        <w:t xml:space="preserve"> </w:t>
      </w:r>
      <w:r>
        <w:t xml:space="preserve">twenty</w:t>
      </w:r>
      <w:r>
        <w:t xml:space="preserve"> </w:t>
      </w:r>
      <w:r>
        <w:t xml:space="preserve">papers</w:t>
      </w:r>
      <w:r>
        <w:t xml:space="preserve"> </w:t>
      </w:r>
      <w:r>
        <w:t xml:space="preserve">from</w:t>
      </w:r>
      <w:r>
        <w:t xml:space="preserve"> </w:t>
      </w:r>
      <w:r>
        <w:t xml:space="preserve">Oxford,</w:t>
      </w:r>
      <w:r>
        <w:t xml:space="preserve"> </w:t>
      </w:r>
      <w:r>
        <w:t xml:space="preserve">Caltech,</w:t>
      </w:r>
      <w:r>
        <w:t xml:space="preserve"> </w:t>
      </w:r>
      <w:r>
        <w:t xml:space="preserve">Harvard</w:t>
      </w:r>
      <w:r>
        <w:t xml:space="preserve"> </w:t>
      </w:r>
      <w:r>
        <w:t xml:space="preserve">and</w:t>
      </w:r>
      <w:r>
        <w:t xml:space="preserve"> </w:t>
      </w:r>
      <w:r>
        <w:t xml:space="preserve">MIT</w:t>
      </w:r>
      <w:r>
        <w:t xml:space="preserve"> </w:t>
      </w:r>
      <w:r>
        <w:t xml:space="preserve">(2020–2026),</w:t>
      </w:r>
      <w:r>
        <w:t xml:space="preserve"> </w:t>
      </w:r>
      <w:r>
        <w:t xml:space="preserve">what</w:t>
      </w:r>
      <w:r>
        <w:t xml:space="preserve"> </w:t>
      </w:r>
      <w:r>
        <w:t xml:space="preserve">each</w:t>
      </w:r>
      <w:r>
        <w:t xml:space="preserve"> </w:t>
      </w:r>
      <w:r>
        <w:t xml:space="preserve">changes</w:t>
      </w:r>
      <w:r>
        <w:t xml:space="preserve"> </w:t>
      </w:r>
      <w:r>
        <w:t xml:space="preserve">in</w:t>
      </w:r>
      <w:r>
        <w:t xml:space="preserve"> </w:t>
      </w:r>
      <w:r>
        <w:t xml:space="preserve">MONTIMI-GO</w:t>
      </w:r>
      <w:r>
        <w:t xml:space="preserve"> </w:t>
      </w:r>
      <w:r>
        <w:t xml:space="preserve">/</w:t>
      </w:r>
      <w:r>
        <w:t xml:space="preserve"> </w:t>
      </w:r>
      <w:r>
        <w:t xml:space="preserve">SPIRANCA-GO,</w:t>
      </w:r>
      <w:r>
        <w:t xml:space="preserve"> </w:t>
      </w:r>
      <w:r>
        <w:t xml:space="preserve">and</w:t>
      </w:r>
      <w:r>
        <w:t xml:space="preserve"> </w:t>
      </w:r>
      <w:r>
        <w:t xml:space="preserve">the</w:t>
      </w:r>
      <w:r>
        <w:t xml:space="preserve"> </w:t>
      </w:r>
      <w:r>
        <w:t xml:space="preserve">ROJA-GO</w:t>
      </w:r>
      <w:r>
        <w:t xml:space="preserve"> </w:t>
      </w:r>
      <w:r>
        <w:t xml:space="preserve">innovation</w:t>
      </w:r>
    </w:p>
    <w:p>
      <w:pPr>
        <w:pStyle w:val="Author"/>
      </w:pPr>
      <w:r>
        <w:t xml:space="preserve">Dulian</w:t>
      </w:r>
      <w:r>
        <w:t xml:space="preserve"> </w:t>
      </w:r>
      <w:r>
        <w:t xml:space="preserve">Zeqiraj</w:t>
      </w:r>
    </w:p>
    <w:bookmarkStart w:id="20" w:name="outcome"/>
    <w:p>
      <w:pPr>
        <w:pStyle w:val="Heading2"/>
      </w:pPr>
      <w:r>
        <w:t xml:space="preserve">1. Outcome</w:t>
      </w:r>
    </w:p>
    <w:p>
      <w:pPr>
        <w:numPr>
          <w:ilvl w:val="0"/>
          <w:numId w:val="1001"/>
        </w:numPr>
        <w:pStyle w:val="Compact"/>
      </w:pPr>
      <w:r>
        <w:rPr>
          <w:bCs/>
          <w:b/>
        </w:rPr>
        <w:t xml:space="preserve">Twenty papers, five per institution</w:t>
      </w:r>
      <w:r>
        <w:t xml:space="preserve">, give stakeholders mathematical tools for normal operation, intense rainfall, drought and causal cases (Section 2). Each one changes a definite part of our model: an input, a boundary, the goal, the margin or the decision rule; each card ends with an innovation.</w:t>
      </w:r>
    </w:p>
    <w:p>
      <w:pPr>
        <w:numPr>
          <w:ilvl w:val="0"/>
          <w:numId w:val="1001"/>
        </w:numPr>
        <w:pStyle w:val="Compact"/>
      </w:pPr>
      <w:r>
        <w:rPr>
          <w:bCs/>
          <w:b/>
        </w:rPr>
        <w:t xml:space="preserve">Extremes change the model in three ways</w:t>
      </w:r>
      <w:r>
        <w:t xml:space="preserve"> </w:t>
      </w:r>
      <w:r>
        <w:t xml:space="preserve">(Section 3): they go beyond the record (drought), they break the link between what is recorded and what acts (intense rain that runs off), and they change a causal mechanism (farmers who pump far more in a drought they never saw).</w:t>
      </w:r>
    </w:p>
    <w:p>
      <w:pPr>
        <w:numPr>
          <w:ilvl w:val="0"/>
          <w:numId w:val="1001"/>
        </w:numPr>
        <w:pStyle w:val="Compact"/>
      </w:pPr>
      <w:r>
        <w:rPr>
          <w:bCs/>
          <w:b/>
        </w:rPr>
        <w:t xml:space="preserve">Innovation, ROJA-GO (the watch).</w:t>
      </w:r>
      <w:r>
        <w:t xml:space="preserve"> </w:t>
      </w:r>
      <w:r>
        <w:t xml:space="preserve">Extremes speed up the drift that re-anchoring must follow. The optimal re-anchoring window then shrinks to the last sample (Proposition R1), and an extra chloride sample is taken when a detector that needs no chloride fires.</w:t>
      </w:r>
    </w:p>
    <w:p>
      <w:pPr>
        <w:numPr>
          <w:ilvl w:val="0"/>
          <w:numId w:val="1001"/>
        </w:numPr>
        <w:pStyle w:val="Compact"/>
      </w:pPr>
      <w:r>
        <w:rPr>
          <w:bCs/>
          <w:b/>
        </w:rPr>
        <w:t xml:space="preserve">Test on the variable-density section (20 aquifers, 6 weather sequences each).</w:t>
      </w:r>
      <w:r>
        <w:t xml:space="preserve"> </w:t>
      </w:r>
      <w:r>
        <w:t xml:space="preserve">Without action the screen exceeds the standard in 25% of the seasons in ordinary weather and in 52%, 59% and 50% under the drought, the causal change and the compound event. With the decision rule</w:t>
      </w:r>
      <w:r>
        <w:t xml:space="preserve"> </w:t>
      </w:r>
      <w:r>
        <w:t xml:space="preserve">“</w:t>
      </w:r>
      <w:r>
        <w:t xml:space="preserve">cut pumping after an alarm</w:t>
      </w:r>
      <w:r>
        <w:t xml:space="preserve">”</w:t>
      </w:r>
      <w:r>
        <w:t xml:space="preserve">, the ROJA-GO watch keeps exceedance to 4.7%, 9.1% and 4.3% (yearly sample alone: 5.9%, 11.5%, 5.1%; static alarm: 15.0%, 21.2%, 13.1%), with 73% of the planned water delivered in the drought.</w:t>
      </w:r>
    </w:p>
    <w:p>
      <w:pPr>
        <w:numPr>
          <w:ilvl w:val="0"/>
          <w:numId w:val="1001"/>
        </w:numPr>
        <w:pStyle w:val="Compact"/>
      </w:pPr>
      <w:r>
        <w:rPr>
          <w:bCs/>
          <w:b/>
        </w:rPr>
        <w:t xml:space="preserve">The alarm stays valid in the extremes.</w:t>
      </w:r>
      <w:r>
        <w:t xml:space="preserve"> </w:t>
      </w:r>
      <w:r>
        <w:t xml:space="preserve">In open loop the ROJA-GO alarm under-warns in 2.7%–4.3% of the stress seasons (target ≤ 10%), against 3.5%–8.3% with the yearly sample alone; under the causal change the aquifers above the target fall from 6 to 2 of 20, for 6 extra samples in 30 years.</w:t>
      </w:r>
    </w:p>
    <w:bookmarkEnd w:id="20"/>
    <w:bookmarkStart w:id="25" w:name="the-twenty-papers"/>
    <w:p>
      <w:pPr>
        <w:pStyle w:val="Heading2"/>
      </w:pPr>
      <w:r>
        <w:t xml:space="preserve">2. The twenty papers</w:t>
      </w:r>
    </w:p>
    <w:p>
      <w:pPr>
        <w:pStyle w:val="FirstParagraph"/>
      </w:pPr>
      <w:r>
        <w:t xml:space="preserve">Each row: the paper (verified DOI or proceedings), the situation, the mathematical tool, what it changes in our model, and the innovation it gives.</w:t>
      </w:r>
    </w:p>
    <w:bookmarkStart w:id="21" w:name="oxford"/>
    <w:p>
      <w:pPr>
        <w:pStyle w:val="Heading3"/>
      </w:pPr>
      <w:r>
        <w:t xml:space="preserve">Oxford</w:t>
      </w:r>
    </w:p>
    <w:tbl>
      <w:tblPr>
        <w:tblStyle w:val="Table"/>
        <w:tblW w:type="dxa" w:w="15022"/>
        <w:tblLook w:firstRow="1" w:lastRow="0" w:firstColumn="0" w:lastColumn="0" w:noHBand="0" w:noVBand="0" w:val="0020"/>
        <w:jc w:val="start"/>
        <w:tblBorders>
          <w:top w:val="single" w:sz="4" w:color="9DB2D6"/>
          <w:left w:val="single" w:sz="4" w:color="9DB2D6"/>
          <w:bottom w:val="single" w:sz="4" w:color="9DB2D6"/>
          <w:right w:val="single" w:sz="4" w:color="9DB2D6"/>
          <w:insideH w:val="single" w:sz="4" w:color="9DB2D6"/>
          <w:insideV w:val="single" w:sz="4" w:color="9DB2D6"/>
        </w:tblBorders>
        <w:tblLayout w:type="fixed"/>
      </w:tblPr>
      <w:tblGrid>
        <w:gridCol w:w="396"/>
        <w:gridCol w:w="3572"/>
        <w:gridCol w:w="1417"/>
        <w:gridCol w:w="3628"/>
        <w:gridCol w:w="3628"/>
        <w:gridCol w:w="2381"/>
      </w:tblGrid>
      <w:tr>
        <w:trPr>
          <w:tblHeader w:val="true"/>
        </w:trPr>
        <w:tc>
          <w:tcPr>
            <w:tcW w:type="dxa" w:w="397"/>
            <w:shd w:val="clear" w:fill="DCE6F2"/>
          </w:tcPr>
          <w:p>
            <w:pPr>
              <w:pStyle w:val="Compact"/>
              <w:jc w:val="left"/>
            </w:pPr>
            <w:r>
              <w:rPr>
                <w:b/>
                <w:sz w:val="19"/>
              </w:rPr>
              <w:t xml:space="preserve">#</w:t>
            </w:r>
          </w:p>
        </w:tc>
        <w:tc>
          <w:tcPr>
            <w:tcW w:type="dxa" w:w="3572"/>
            <w:shd w:val="clear" w:fill="DCE6F2"/>
          </w:tcPr>
          <w:p>
            <w:pPr>
              <w:pStyle w:val="Compact"/>
              <w:jc w:val="left"/>
            </w:pPr>
            <w:r>
              <w:rPr>
                <w:b/>
                <w:sz w:val="19"/>
              </w:rPr>
              <w:t xml:space="preserve">Paper</w:t>
            </w:r>
          </w:p>
        </w:tc>
        <w:tc>
          <w:tcPr>
            <w:tcW w:type="dxa" w:w="1417"/>
            <w:shd w:val="clear" w:fill="DCE6F2"/>
          </w:tcPr>
          <w:p>
            <w:pPr>
              <w:pStyle w:val="Compact"/>
              <w:jc w:val="left"/>
            </w:pPr>
            <w:r>
              <w:rPr>
                <w:b/>
                <w:sz w:val="19"/>
              </w:rPr>
              <w:t xml:space="preserve">Situation</w:t>
            </w:r>
          </w:p>
        </w:tc>
        <w:tc>
          <w:tcPr>
            <w:tcW w:type="dxa" w:w="3628"/>
            <w:shd w:val="clear" w:fill="DCE6F2"/>
          </w:tcPr>
          <w:p>
            <w:pPr>
              <w:pStyle w:val="Compact"/>
              <w:jc w:val="left"/>
            </w:pPr>
            <w:r>
              <w:rPr>
                <w:b/>
                <w:sz w:val="19"/>
              </w:rPr>
              <w:t xml:space="preserve">Mathematical tool for the decision</w:t>
            </w:r>
          </w:p>
        </w:tc>
        <w:tc>
          <w:tcPr>
            <w:tcW w:type="dxa" w:w="3628"/>
            <w:shd w:val="clear" w:fill="DCE6F2"/>
          </w:tcPr>
          <w:p>
            <w:pPr>
              <w:pStyle w:val="Compact"/>
              <w:jc w:val="left"/>
            </w:pPr>
            <w:r>
              <w:rPr>
                <w:b/>
                <w:sz w:val="19"/>
              </w:rPr>
              <w:t xml:space="preserve">What it changes in our model</w:t>
            </w:r>
          </w:p>
        </w:tc>
        <w:tc>
          <w:tcPr>
            <w:tcW w:type="dxa" w:w="2381"/>
            <w:shd w:val="clear" w:fill="DCE6F2"/>
          </w:tcPr>
          <w:p>
            <w:pPr>
              <w:pStyle w:val="Compact"/>
              <w:jc w:val="left"/>
            </w:pPr>
            <w:r>
              <w:rPr>
                <w:b/>
                <w:sz w:val="19"/>
              </w:rPr>
              <w:t xml:space="preserve">Innovation</w:t>
            </w:r>
          </w:p>
        </w:tc>
      </w:tr>
      <w:tr>
        <w:tc>
          <w:tcPr>
            <w:tcW w:type="dxa" w:w="397"/>
          </w:tcPr>
          <w:p>
            <w:pPr>
              <w:pStyle w:val="Compact"/>
              <w:jc w:val="left"/>
            </w:pPr>
            <w:r>
              <w:rPr>
                <w:sz w:val="19"/>
              </w:rPr>
              <w:t xml:space="preserve">1</w:t>
            </w:r>
          </w:p>
        </w:tc>
        <w:tc>
          <w:tcPr>
            <w:tcW w:type="dxa" w:w="3572"/>
          </w:tcPr>
          <w:p>
            <w:pPr>
              <w:pStyle w:val="Compact"/>
              <w:jc w:val="left"/>
            </w:pPr>
            <w:r>
              <w:rPr>
                <w:sz w:val="19"/>
              </w:rPr>
              <w:t xml:space="preserve">Kelder, Müller, Slater, … Nipen (2020). Using UNSEEN trends to detect decadal changes in 100-year precipitation extremes. npj Clim. Atmos. Sci. 3, 47. doi:10.1038/s41612-020-00149-4</w:t>
            </w:r>
          </w:p>
        </w:tc>
        <w:tc>
          <w:tcPr>
            <w:tcW w:type="dxa" w:w="1417"/>
          </w:tcPr>
          <w:p>
            <w:pPr>
              <w:pStyle w:val="Compact"/>
              <w:jc w:val="left"/>
            </w:pPr>
            <w:r>
              <w:rPr>
                <w:sz w:val="19"/>
              </w:rPr>
              <w:t xml:space="preserve">Intense rainfall</w:t>
            </w:r>
          </w:p>
        </w:tc>
        <w:tc>
          <w:tcPr>
            <w:tcW w:type="dxa" w:w="3628"/>
          </w:tcPr>
          <w:p>
            <w:pPr>
              <w:pStyle w:val="Compact"/>
              <w:jc w:val="left"/>
            </w:pPr>
            <w:r>
              <w:rPr>
                <w:sz w:val="19"/>
              </w:rPr>
              <w:t xml:space="preserve">UNSEEN: pool seasonal-forecast members and lead times into ~3,500</w:t>
            </w:r>
            <w:r>
              <w:rPr>
                <w:sz w:val="19"/>
              </w:rPr>
              <w:t xml:space="preserve"> </w:t>
            </w:r>
            <w:r>
              <w:rPr>
                <w:sz w:val="19"/>
              </w:rPr>
              <w:t xml:space="preserve">“</w:t>
            </w:r>
            <w:r>
              <w:rPr>
                <w:sz w:val="19"/>
              </w:rPr>
              <w:t xml:space="preserve">years</w:t>
            </w:r>
            <w:r>
              <w:rPr>
                <w:sz w:val="19"/>
              </w:rPr>
              <w:t xml:space="preserve">”</w:t>
            </w:r>
            <w:r>
              <w:rPr>
                <w:sz w:val="19"/>
              </w:rPr>
              <w:t xml:space="preserve"> </w:t>
            </w:r>
            <w:r>
              <w:rPr>
                <w:sz w:val="19"/>
              </w:rPr>
              <w:t xml:space="preserve">(≈100× the record) and fit a GEV with drifting location and scale,</w:t>
            </w:r>
            <w:r>
              <w:rPr>
                <w:sz w:val="19"/>
              </w:rPr>
              <w:t xml:space="preserve"> </w:t>
            </w:r>
            <m:oMath>
              <m:r>
                <m:t>μ</m:t>
              </m:r>
              <m:d>
                <m:dPr>
                  <m:begChr m:val="("/>
                  <m:endChr m:val=")"/>
                  <m:sepChr m:val=""/>
                  <m:grow/>
                </m:dPr>
                <m:e>
                  <m:r>
                    <m:t>t</m:t>
                  </m:r>
                </m:e>
              </m:d>
              <m:r>
                <m:rPr>
                  <m:sty m:val="p"/>
                </m:rPr>
                <m:t>=</m:t>
              </m:r>
              <m:sSub>
                <m:e>
                  <m:r>
                    <m:t>μ</m:t>
                  </m:r>
                </m:e>
                <m:sub>
                  <m:r>
                    <m:t>0</m:t>
                  </m:r>
                </m:sub>
              </m:sSub>
              <m:r>
                <m:rPr>
                  <m:sty m:val="p"/>
                </m:rPr>
                <m:t>+</m:t>
              </m:r>
              <m:sSub>
                <m:e>
                  <m:r>
                    <m:t>μ</m:t>
                  </m:r>
                </m:e>
                <m:sub>
                  <m:r>
                    <m:t>1</m:t>
                  </m:r>
                </m:sub>
              </m:sSub>
              <m:r>
                <m:t>t</m:t>
              </m:r>
            </m:oMath>
            <w:r>
              <w:rPr>
                <w:sz w:val="19"/>
              </w:rPr>
              <w:t xml:space="preserve">, after tests of member independence, lead-time stability and fidelity.</w:t>
            </w:r>
          </w:p>
        </w:tc>
        <w:tc>
          <w:tcPr>
            <w:tcW w:type="dxa" w:w="3628"/>
          </w:tcPr>
          <w:p>
            <w:pPr>
              <w:pStyle w:val="Compact"/>
              <w:jc w:val="left"/>
            </w:pPr>
            <w:r>
              <w:rPr>
                <w:sz w:val="19"/>
              </w:rPr>
              <w:t xml:space="preserve">Sets the extreme recharge inputs and the shift radius</w:t>
            </w:r>
            <w:r>
              <w:rPr>
                <w:sz w:val="19"/>
              </w:rPr>
              <w:t xml:space="preserve"> </w:t>
            </w:r>
            <m:oMath>
              <m:acc>
                <m:accPr>
                  <m:chr m:val="‾"/>
                </m:accPr>
                <m:e>
                  <m:r>
                    <m:t>δ</m:t>
                  </m:r>
                </m:e>
              </m:acc>
            </m:oMath>
            <w:r>
              <w:rPr>
                <w:sz w:val="19"/>
              </w:rPr>
              <w:t xml:space="preserve"> </w:t>
            </w:r>
            <w:r>
              <w:rPr>
                <w:sz w:val="19"/>
              </w:rPr>
              <w:t xml:space="preserve">of the SPIRANCA-GO margin from the pooled ensemble, not from the 80-year record; widens the storylines the alarm must survive.</w:t>
            </w:r>
          </w:p>
        </w:tc>
        <w:tc>
          <w:tcPr>
            <w:tcW w:type="dxa" w:w="2381"/>
          </w:tcPr>
          <w:p>
            <w:pPr>
              <w:pStyle w:val="Compact"/>
              <w:jc w:val="left"/>
            </w:pPr>
            <w:r>
              <w:rPr>
                <w:sz w:val="19"/>
              </w:rPr>
              <w:t xml:space="preserve">UNSEEN-certified margin:</w:t>
            </w:r>
            <w:r>
              <w:rPr>
                <w:sz w:val="19"/>
              </w:rPr>
              <w:t xml:space="preserve"> </w:t>
            </w:r>
            <m:oMath>
              <m:acc>
                <m:accPr>
                  <m:chr m:val="‾"/>
                </m:accPr>
                <m:e>
                  <m:r>
                    <m:t>δ</m:t>
                  </m:r>
                </m:e>
              </m:acc>
            </m:oMath>
            <w:r>
              <w:rPr>
                <w:sz w:val="19"/>
              </w:rPr>
              <w:t xml:space="preserve"> </w:t>
            </w:r>
            <w:r>
              <w:rPr>
                <w:sz w:val="19"/>
              </w:rPr>
              <w:t xml:space="preserve">= UNSEEN 100-year anomaly of the gauge.</w:t>
            </w:r>
          </w:p>
        </w:tc>
      </w:tr>
      <w:tr>
        <w:tc>
          <w:tcPr>
            <w:tcW w:type="dxa" w:w="397"/>
          </w:tcPr>
          <w:p>
            <w:pPr>
              <w:pStyle w:val="Compact"/>
              <w:jc w:val="left"/>
            </w:pPr>
            <w:r>
              <w:rPr>
                <w:sz w:val="19"/>
              </w:rPr>
              <w:t xml:space="preserve">2</w:t>
            </w:r>
          </w:p>
        </w:tc>
        <w:tc>
          <w:tcPr>
            <w:tcW w:type="dxa" w:w="3572"/>
          </w:tcPr>
          <w:p>
            <w:pPr>
              <w:pStyle w:val="Compact"/>
              <w:jc w:val="left"/>
            </w:pPr>
            <w:r>
              <w:rPr>
                <w:sz w:val="19"/>
              </w:rPr>
              <w:t xml:space="preserve">Kew, Philip, Hauser, … Funk, Otto (2021). Impact of precipitation and increasing temperatures on drought trends in eastern Africa. Earth Syst. Dynam. 12, 17–35. doi:10.5194/esd-12-17-2021</w:t>
            </w:r>
          </w:p>
        </w:tc>
        <w:tc>
          <w:tcPr>
            <w:tcW w:type="dxa" w:w="1417"/>
          </w:tcPr>
          <w:p>
            <w:pPr>
              <w:pStyle w:val="Compact"/>
              <w:jc w:val="left"/>
            </w:pPr>
            <w:r>
              <w:rPr>
                <w:sz w:val="19"/>
              </w:rPr>
              <w:t xml:space="preserve">Drought; causal attribution</w:t>
            </w:r>
          </w:p>
        </w:tc>
        <w:tc>
          <w:tcPr>
            <w:tcW w:type="dxa" w:w="3628"/>
          </w:tcPr>
          <w:p>
            <w:pPr>
              <w:pStyle w:val="Compact"/>
              <w:jc w:val="left"/>
            </w:pPr>
            <w:r>
              <w:rPr>
                <w:sz w:val="19"/>
              </w:rPr>
              <w:t xml:space="preserve">Probabilistic event attribution: probability ratio</w:t>
            </w:r>
            <w:r>
              <w:rPr>
                <w:sz w:val="19"/>
              </w:rPr>
              <w:t xml:space="preserve"> </w:t>
            </w:r>
            <m:oMath>
              <m:r>
                <m:t>P</m:t>
              </m:r>
              <m:r>
                <m:t>R</m:t>
              </m:r>
              <m:r>
                <m:rPr>
                  <m:sty m:val="p"/>
                </m:rPr>
                <m:t>=</m:t>
              </m:r>
              <m:sSub>
                <m:e>
                  <m:r>
                    <m:t>p</m:t>
                  </m:r>
                </m:e>
                <m:sub>
                  <m:r>
                    <m:t>1</m:t>
                  </m:r>
                </m:sub>
              </m:sSub>
              <m:r>
                <m:rPr>
                  <m:sty m:val="p"/>
                </m:rPr>
                <m:t>/</m:t>
              </m:r>
              <m:sSub>
                <m:e>
                  <m:r>
                    <m:t>p</m:t>
                  </m:r>
                </m:e>
                <m:sub>
                  <m:r>
                    <m:t>0</m:t>
                  </m:r>
                </m:sub>
              </m:sSub>
            </m:oMath>
            <w:r>
              <w:rPr>
                <w:sz w:val="19"/>
              </w:rPr>
              <w:t xml:space="preserve"> </w:t>
            </w:r>
            <w:r>
              <w:rPr>
                <w:sz w:val="19"/>
              </w:rPr>
              <w:t xml:space="preserve">of a drought index in the factual and counterfactual climate, per driver.</w:t>
            </w:r>
          </w:p>
        </w:tc>
        <w:tc>
          <w:tcPr>
            <w:tcW w:type="dxa" w:w="3628"/>
          </w:tcPr>
          <w:p>
            <w:pPr>
              <w:pStyle w:val="Compact"/>
              <w:jc w:val="left"/>
            </w:pPr>
            <w:r>
              <w:rPr>
                <w:sz w:val="19"/>
              </w:rPr>
              <w:t xml:space="preserve">Warming can dry the aquifer through evaporation while rainfall is unchanged: that shift lies outside the anchor span</w:t>
            </w:r>
            <w:r>
              <w:rPr>
                <w:sz w:val="19"/>
              </w:rPr>
              <w:t xml:space="preserve"> </w:t>
            </w:r>
            <m:oMath>
              <m:r>
                <m:rPr>
                  <m:sty m:val="p"/>
                </m:rPr>
                <m:t>{</m:t>
              </m:r>
              <m:r>
                <m:t>r</m:t>
              </m:r>
              <m:r>
                <m:rPr>
                  <m:sty m:val="p"/>
                </m:rPr>
                <m:t>,</m:t>
              </m:r>
              <m:r>
                <m:t>p</m:t>
              </m:r>
              <m:r>
                <m:rPr>
                  <m:sty m:val="p"/>
                </m:rPr>
                <m:t>}</m:t>
              </m:r>
            </m:oMath>
            <w:r>
              <w:rPr>
                <w:sz w:val="19"/>
              </w:rPr>
              <w:t xml:space="preserve">, so the certificate does not cover it. Push: add an evaporation (temperature) anchor.</w:t>
            </w:r>
          </w:p>
        </w:tc>
        <w:tc>
          <w:tcPr>
            <w:tcW w:type="dxa" w:w="2381"/>
          </w:tcPr>
          <w:p>
            <w:pPr>
              <w:pStyle w:val="Compact"/>
              <w:jc w:val="left"/>
            </w:pPr>
            <w:r>
              <w:rPr>
                <w:sz w:val="19"/>
              </w:rPr>
              <w:t xml:space="preserve">Span test before certifying: is the attributed driver in span(anchors)?</w:t>
            </w:r>
          </w:p>
        </w:tc>
      </w:tr>
      <w:tr>
        <w:tc>
          <w:tcPr>
            <w:tcW w:type="dxa" w:w="397"/>
          </w:tcPr>
          <w:p>
            <w:pPr>
              <w:pStyle w:val="Compact"/>
              <w:jc w:val="left"/>
            </w:pPr>
            <w:r>
              <w:rPr>
                <w:sz w:val="19"/>
              </w:rPr>
              <w:t xml:space="preserve">3</w:t>
            </w:r>
          </w:p>
        </w:tc>
        <w:tc>
          <w:tcPr>
            <w:tcW w:type="dxa" w:w="3572"/>
          </w:tcPr>
          <w:p>
            <w:pPr>
              <w:pStyle w:val="Compact"/>
              <w:jc w:val="left"/>
            </w:pPr>
            <w:r>
              <w:rPr>
                <w:sz w:val="19"/>
              </w:rPr>
              <w:t xml:space="preserve">Murgatroyd &amp; Hall (2020). The resilience of inter-basin transfers to severe droughts with changing spatial characteristics. Front. Environ. Sci. 8, 571647. doi:10.3389/fenvs.2020.571647</w:t>
            </w:r>
          </w:p>
        </w:tc>
        <w:tc>
          <w:tcPr>
            <w:tcW w:type="dxa" w:w="1417"/>
          </w:tcPr>
          <w:p>
            <w:pPr>
              <w:pStyle w:val="Compact"/>
              <w:jc w:val="left"/>
            </w:pPr>
            <w:r>
              <w:rPr>
                <w:sz w:val="19"/>
              </w:rPr>
              <w:t xml:space="preserve">Drought; planning</w:t>
            </w:r>
          </w:p>
        </w:tc>
        <w:tc>
          <w:tcPr>
            <w:tcW w:type="dxa" w:w="3628"/>
          </w:tcPr>
          <w:p>
            <w:pPr>
              <w:pStyle w:val="Compact"/>
              <w:jc w:val="left"/>
            </w:pPr>
            <w:r>
              <w:rPr>
                <w:sz w:val="19"/>
              </w:rPr>
              <w:t xml:space="preserve">Stochastic, spatially coherent severe-drought scenarios; resilience of a supply system with transfers and storage under joint drought.</w:t>
            </w:r>
          </w:p>
        </w:tc>
        <w:tc>
          <w:tcPr>
            <w:tcW w:type="dxa" w:w="3628"/>
          </w:tcPr>
          <w:p>
            <w:pPr>
              <w:pStyle w:val="Compact"/>
              <w:jc w:val="left"/>
            </w:pPr>
            <w:r>
              <w:rPr>
                <w:sz w:val="19"/>
              </w:rPr>
              <w:t xml:space="preserve">Well placement judged on joint failure (chloride above 250 mg/L when the back-up source also fails); both depend on the same drought, so</w:t>
            </w:r>
            <w:r>
              <w:rPr>
                <w:sz w:val="19"/>
              </w:rPr>
              <w:t xml:space="preserve"> </w:t>
            </w:r>
            <m:oMath>
              <m:r>
                <m:t>P</m:t>
              </m:r>
              <m:d>
                <m:dPr>
                  <m:begChr m:val="("/>
                  <m:endChr m:val=")"/>
                  <m:sepChr m:val=""/>
                  <m:grow/>
                </m:dPr>
                <m:e>
                  <m:r>
                    <m:t>A</m:t>
                  </m:r>
                  <m:r>
                    <m:rPr>
                      <m:sty m:val="p"/>
                    </m:rPr>
                    <m:t>∩</m:t>
                  </m:r>
                  <m:r>
                    <m:t>B</m:t>
                  </m:r>
                </m:e>
              </m:d>
              <m:r>
                <m:rPr>
                  <m:sty m:val="p"/>
                </m:rPr>
                <m:t>≥</m:t>
              </m:r>
              <m:r>
                <m:t>P</m:t>
              </m:r>
              <m:d>
                <m:dPr>
                  <m:begChr m:val="("/>
                  <m:endChr m:val=")"/>
                  <m:sepChr m:val=""/>
                  <m:grow/>
                </m:dPr>
                <m:e>
                  <m:r>
                    <m:t>A</m:t>
                  </m:r>
                </m:e>
              </m:d>
              <m:r>
                <m:t>P</m:t>
              </m:r>
              <m:d>
                <m:dPr>
                  <m:begChr m:val="("/>
                  <m:endChr m:val=")"/>
                  <m:sepChr m:val=""/>
                  <m:grow/>
                </m:dPr>
                <m:e>
                  <m:r>
                    <m:t>B</m:t>
                  </m:r>
                </m:e>
              </m:d>
            </m:oMath>
            <w:r>
              <w:rPr>
                <w:sz w:val="19"/>
              </w:rPr>
              <w:t xml:space="preserve">.</w:t>
            </w:r>
          </w:p>
        </w:tc>
        <w:tc>
          <w:tcPr>
            <w:tcW w:type="dxa" w:w="2381"/>
          </w:tcPr>
          <w:p>
            <w:pPr>
              <w:pStyle w:val="Compact"/>
              <w:jc w:val="left"/>
            </w:pPr>
            <w:r>
              <w:rPr>
                <w:sz w:val="19"/>
              </w:rPr>
              <w:t xml:space="preserve">Joint-failure objective for siting the supply well.</w:t>
            </w:r>
          </w:p>
        </w:tc>
      </w:tr>
      <w:tr>
        <w:tc>
          <w:tcPr>
            <w:tcW w:type="dxa" w:w="397"/>
          </w:tcPr>
          <w:p>
            <w:pPr>
              <w:pStyle w:val="Compact"/>
              <w:jc w:val="left"/>
            </w:pPr>
            <w:r>
              <w:rPr>
                <w:sz w:val="19"/>
              </w:rPr>
              <w:t xml:space="preserve">4</w:t>
            </w:r>
          </w:p>
        </w:tc>
        <w:tc>
          <w:tcPr>
            <w:tcW w:type="dxa" w:w="3572"/>
          </w:tcPr>
          <w:p>
            <w:pPr>
              <w:pStyle w:val="Compact"/>
              <w:jc w:val="left"/>
            </w:pPr>
            <w:r>
              <w:rPr>
                <w:sz w:val="19"/>
              </w:rPr>
              <w:t xml:space="preserve">Becher, Pant, Verschuur, … Hall (2023). A multi-hazard risk framework to stress-test water supply systems to climate-related disruptions. Earth’s Future 11, e2022EF002946. doi:10.1029/2022EF002946</w:t>
            </w:r>
          </w:p>
        </w:tc>
        <w:tc>
          <w:tcPr>
            <w:tcW w:type="dxa" w:w="1417"/>
          </w:tcPr>
          <w:p>
            <w:pPr>
              <w:pStyle w:val="Compact"/>
              <w:jc w:val="left"/>
            </w:pPr>
            <w:r>
              <w:rPr>
                <w:sz w:val="19"/>
              </w:rPr>
              <w:t xml:space="preserve">Drought, flood, cyclone</w:t>
            </w:r>
          </w:p>
        </w:tc>
        <w:tc>
          <w:tcPr>
            <w:tcW w:type="dxa" w:w="3628"/>
          </w:tcPr>
          <w:p>
            <w:pPr>
              <w:pStyle w:val="Compact"/>
              <w:jc w:val="left"/>
            </w:pPr>
            <w:r>
              <w:rPr>
                <w:sz w:val="19"/>
              </w:rPr>
              <w:t xml:space="preserve">One metric for all hazards: expected customer disruption days</w:t>
            </w:r>
            <w:r>
              <w:rPr>
                <w:sz w:val="19"/>
              </w:rPr>
              <w:t xml:space="preserve"> </w:t>
            </w:r>
            <m:oMath>
              <m:nary>
                <m:naryPr>
                  <m:chr m:val="∑"/>
                  <m:limLoc m:val="undOvr"/>
                  <m:subHide m:val="off"/>
                  <m:supHide m:val="on"/>
                </m:naryPr>
                <m:sub>
                  <m:r>
                    <m:t>h</m:t>
                  </m:r>
                </m:sub>
                <m:sup>
                  <m:r>
                    <m:t>​</m:t>
                  </m:r>
                </m:sup>
                <m:e>
                  <m:sSub>
                    <m:e>
                      <m:r>
                        <m:t>P</m:t>
                      </m:r>
                    </m:e>
                    <m:sub>
                      <m:r>
                        <m:t>h</m:t>
                      </m:r>
                    </m:sub>
                  </m:sSub>
                </m:e>
              </m:nary>
              <m:r>
                <m:t> </m:t>
              </m:r>
              <m:sSub>
                <m:e>
                  <m:r>
                    <m:t>N</m:t>
                  </m:r>
                </m:e>
                <m:sub>
                  <m:r>
                    <m:t>h</m:t>
                  </m:r>
                </m:sub>
              </m:sSub>
              <m:r>
                <m:t> </m:t>
              </m:r>
              <m:sSub>
                <m:e>
                  <m:r>
                    <m:t>T</m:t>
                  </m:r>
                </m:e>
                <m:sub>
                  <m:r>
                    <m:t>h</m:t>
                  </m:r>
                </m:sub>
              </m:sSub>
            </m:oMath>
            <w:r>
              <w:rPr>
                <w:sz w:val="19"/>
              </w:rPr>
              <w:t xml:space="preserve">; ≈5 days per customer per year now, ×2 to ×2.5 by 2100.</w:t>
            </w:r>
          </w:p>
        </w:tc>
        <w:tc>
          <w:tcPr>
            <w:tcW w:type="dxa" w:w="3628"/>
          </w:tcPr>
          <w:p>
            <w:pPr>
              <w:pStyle w:val="Compact"/>
              <w:jc w:val="left"/>
            </w:pPr>
            <w:r>
              <w:rPr>
                <w:sz w:val="19"/>
              </w:rPr>
              <w:t xml:space="preserve">Replaces the yes/no 250 mg/L goal by expected salinity-disruption days plus a tail guard; can favour a reserve well over one</w:t>
            </w:r>
            <w:r>
              <w:rPr>
                <w:sz w:val="19"/>
              </w:rPr>
              <w:t xml:space="preserve"> </w:t>
            </w:r>
            <w:r>
              <w:rPr>
                <w:sz w:val="19"/>
              </w:rPr>
              <w:t xml:space="preserve">“</w:t>
            </w:r>
            <w:r>
              <w:rPr>
                <w:sz w:val="19"/>
              </w:rPr>
              <w:t xml:space="preserve">safest</w:t>
            </w:r>
            <w:r>
              <w:rPr>
                <w:sz w:val="19"/>
              </w:rPr>
              <w:t xml:space="preserve">”</w:t>
            </w:r>
            <w:r>
              <w:rPr>
                <w:sz w:val="19"/>
              </w:rPr>
              <w:t xml:space="preserve"> </w:t>
            </w:r>
            <w:r>
              <w:rPr>
                <w:sz w:val="19"/>
              </w:rPr>
              <w:t xml:space="preserve">site.</w:t>
            </w:r>
          </w:p>
        </w:tc>
        <w:tc>
          <w:tcPr>
            <w:tcW w:type="dxa" w:w="2381"/>
          </w:tcPr>
          <w:p>
            <w:pPr>
              <w:pStyle w:val="Compact"/>
              <w:jc w:val="left"/>
            </w:pPr>
            <w:r>
              <w:rPr>
                <w:sz w:val="19"/>
              </w:rPr>
              <w:t xml:space="preserve">Disruption-days goal in MONTIMI-GO placement.</w:t>
            </w:r>
          </w:p>
        </w:tc>
      </w:tr>
      <w:tr>
        <w:tc>
          <w:tcPr>
            <w:tcW w:type="dxa" w:w="397"/>
          </w:tcPr>
          <w:p>
            <w:pPr>
              <w:pStyle w:val="Compact"/>
              <w:jc w:val="left"/>
            </w:pPr>
            <w:r>
              <w:rPr>
                <w:sz w:val="19"/>
              </w:rPr>
              <w:t xml:space="preserve">5</w:t>
            </w:r>
          </w:p>
        </w:tc>
        <w:tc>
          <w:tcPr>
            <w:tcW w:type="dxa" w:w="3572"/>
          </w:tcPr>
          <w:p>
            <w:pPr>
              <w:pStyle w:val="Compact"/>
              <w:jc w:val="left"/>
            </w:pPr>
            <w:r>
              <w:rPr>
                <w:sz w:val="19"/>
              </w:rPr>
              <w:t xml:space="preserve">Jesson, Douglas, Manshausen, … Gal, Shalit (2022). Scalable sensitivity and uncertainty analyses for causal-effect estimates of continuous-valued interventions. NeurIPS 35 (no DOI; arXiv:2204.10022)</w:t>
            </w:r>
          </w:p>
        </w:tc>
        <w:tc>
          <w:tcPr>
            <w:tcW w:type="dxa" w:w="1417"/>
          </w:tcPr>
          <w:p>
            <w:pPr>
              <w:pStyle w:val="Compact"/>
              <w:jc w:val="left"/>
            </w:pPr>
            <w:r>
              <w:rPr>
                <w:sz w:val="19"/>
              </w:rPr>
              <w:t xml:space="preserve">Causal; hidden confounding</w:t>
            </w:r>
          </w:p>
        </w:tc>
        <w:tc>
          <w:tcPr>
            <w:tcW w:type="dxa" w:w="3628"/>
          </w:tcPr>
          <w:p>
            <w:pPr>
              <w:pStyle w:val="Compact"/>
              <w:jc w:val="left"/>
            </w:pPr>
            <w:r>
              <w:rPr>
                <w:sz w:val="19"/>
              </w:rPr>
              <w:t xml:space="preserve">Bounded hidden confounding for a continuous dose:</w:t>
            </w:r>
            <w:r>
              <w:rPr>
                <w:sz w:val="19"/>
              </w:rPr>
              <w:t xml:space="preserve"> </w:t>
            </w:r>
            <m:oMath>
              <m:sSup>
                <m:e>
                  <m:r>
                    <m:t>Λ</m:t>
                  </m:r>
                </m:e>
                <m:sup>
                  <m:r>
                    <m:rPr>
                      <m:sty m:val="p"/>
                    </m:rPr>
                    <m:t>−</m:t>
                  </m:r>
                  <m:r>
                    <m:t>1</m:t>
                  </m:r>
                </m:sup>
              </m:sSup>
              <m:r>
                <m:rPr>
                  <m:sty m:val="p"/>
                </m:rPr>
                <m:t>≤</m:t>
              </m:r>
              <m:r>
                <m:t>p</m:t>
              </m:r>
              <m:d>
                <m:dPr>
                  <m:begChr m:val="("/>
                  <m:endChr m:val=")"/>
                  <m:sepChr m:val=""/>
                  <m:grow/>
                </m:dPr>
                <m:e>
                  <m:r>
                    <m:t>t</m:t>
                  </m:r>
                  <m:r>
                    <m:rPr>
                      <m:sty m:val="p"/>
                    </m:rPr>
                    <m:t>∣</m:t>
                  </m:r>
                  <m:r>
                    <m:t>x</m:t>
                  </m:r>
                </m:e>
              </m:d>
              <m:r>
                <m:rPr>
                  <m:sty m:val="p"/>
                </m:rPr>
                <m:t>/</m:t>
              </m:r>
              <m:r>
                <m:t>p</m:t>
              </m:r>
              <m:d>
                <m:dPr>
                  <m:begChr m:val="("/>
                  <m:endChr m:val=")"/>
                  <m:sepChr m:val=""/>
                  <m:grow/>
                </m:dPr>
                <m:e>
                  <m:r>
                    <m:t>t</m:t>
                  </m:r>
                  <m:r>
                    <m:rPr>
                      <m:sty m:val="p"/>
                    </m:rPr>
                    <m:t>∣</m:t>
                  </m:r>
                  <m:r>
                    <m:t>x</m:t>
                  </m:r>
                  <m:r>
                    <m:rPr>
                      <m:sty m:val="p"/>
                    </m:rPr>
                    <m:t>,</m:t>
                  </m:r>
                  <m:r>
                    <m:t>u</m:t>
                  </m:r>
                </m:e>
              </m:d>
              <m:r>
                <m:rPr>
                  <m:sty m:val="p"/>
                </m:rPr>
                <m:t>≤</m:t>
              </m:r>
              <m:r>
                <m:t>Λ</m:t>
              </m:r>
            </m:oMath>
            <w:r>
              <w:rPr>
                <w:sz w:val="19"/>
              </w:rPr>
              <w:t xml:space="preserve"> </w:t>
            </w:r>
            <w:r>
              <w:rPr>
                <w:sz w:val="19"/>
              </w:rPr>
              <w:t xml:space="preserve">turns the dose–response into an interval.</w:t>
            </w:r>
          </w:p>
        </w:tc>
        <w:tc>
          <w:tcPr>
            <w:tcW w:type="dxa" w:w="3628"/>
          </w:tcPr>
          <w:p>
            <w:pPr>
              <w:pStyle w:val="Compact"/>
              <w:jc w:val="left"/>
            </w:pPr>
            <w:r>
              <w:rPr>
                <w:sz w:val="19"/>
              </w:rPr>
              <w:t xml:space="preserve">Private abstraction in a drought confounds pumping → chloride; a</w:t>
            </w:r>
            <w:r>
              <w:rPr>
                <w:sz w:val="19"/>
              </w:rPr>
              <w:t xml:space="preserve"> </w:t>
            </w:r>
            <m:oMath>
              <m:r>
                <m:t>Λ</m:t>
              </m:r>
            </m:oMath>
            <w:r>
              <w:rPr>
                <w:sz w:val="19"/>
              </w:rPr>
              <w:t xml:space="preserve">-robust margin covers it;</w:t>
            </w:r>
            <w:r>
              <w:rPr>
                <w:sz w:val="19"/>
              </w:rPr>
              <w:t xml:space="preserve"> </w:t>
            </w:r>
            <m:oMath>
              <m:sSub>
                <m:e>
                  <m:r>
                    <m:t>Λ</m:t>
                  </m:r>
                </m:e>
                <m:sub>
                  <m:r>
                    <m:rPr>
                      <m:sty m:val="p"/>
                    </m:rPr>
                    <m:t>c</m:t>
                  </m:r>
                  <m:r>
                    <m:rPr>
                      <m:sty m:val="p"/>
                    </m:rPr>
                    <m:t>r</m:t>
                  </m:r>
                  <m:r>
                    <m:rPr>
                      <m:sty m:val="p"/>
                    </m:rPr>
                    <m:t>i</m:t>
                  </m:r>
                  <m:r>
                    <m:rPr>
                      <m:sty m:val="p"/>
                    </m:rPr>
                    <m:t>t</m:t>
                  </m:r>
                </m:sub>
              </m:sSub>
            </m:oMath>
            <w:r>
              <w:rPr>
                <w:sz w:val="19"/>
              </w:rPr>
              <w:t xml:space="preserve"> </w:t>
            </w:r>
            <w:r>
              <w:rPr>
                <w:sz w:val="19"/>
              </w:rPr>
              <w:t xml:space="preserve">(the confounding that overturns</w:t>
            </w:r>
            <w:r>
              <w:rPr>
                <w:sz w:val="19"/>
              </w:rPr>
              <w:t xml:space="preserve"> </w:t>
            </w:r>
            <w:r>
              <w:rPr>
                <w:sz w:val="19"/>
              </w:rPr>
              <w:t xml:space="preserve">“</w:t>
            </w:r>
            <w:r>
              <w:rPr>
                <w:sz w:val="19"/>
              </w:rPr>
              <w:t xml:space="preserve">safe</w:t>
            </w:r>
            <w:r>
              <w:rPr>
                <w:sz w:val="19"/>
              </w:rPr>
              <w:t xml:space="preserve">”</w:t>
            </w:r>
            <w:r>
              <w:rPr>
                <w:sz w:val="19"/>
              </w:rPr>
              <w:t xml:space="preserve">) is the number to give stakeholders.</w:t>
            </w:r>
          </w:p>
        </w:tc>
        <w:tc>
          <w:tcPr>
            <w:tcW w:type="dxa" w:w="2381"/>
          </w:tcPr>
          <w:p>
            <w:pPr>
              <w:pStyle w:val="Compact"/>
              <w:jc w:val="left"/>
            </w:pPr>
            <w:r>
              <w:rPr>
                <w:sz w:val="19"/>
              </w:rPr>
              <w:t xml:space="preserve">Report</w:t>
            </w:r>
            <w:r>
              <w:rPr>
                <w:sz w:val="19"/>
              </w:rPr>
              <w:t xml:space="preserve"> </w:t>
            </w:r>
            <m:oMath>
              <m:sSub>
                <m:e>
                  <m:r>
                    <m:t>Λ</m:t>
                  </m:r>
                </m:e>
                <m:sub>
                  <m:r>
                    <m:rPr>
                      <m:sty m:val="p"/>
                    </m:rPr>
                    <m:t>c</m:t>
                  </m:r>
                  <m:r>
                    <m:rPr>
                      <m:sty m:val="p"/>
                    </m:rPr>
                    <m:t>r</m:t>
                  </m:r>
                  <m:r>
                    <m:rPr>
                      <m:sty m:val="p"/>
                    </m:rPr>
                    <m:t>i</m:t>
                  </m:r>
                  <m:r>
                    <m:rPr>
                      <m:sty m:val="p"/>
                    </m:rPr>
                    <m:t>t</m:t>
                  </m:r>
                </m:sub>
              </m:sSub>
            </m:oMath>
            <w:r>
              <w:rPr>
                <w:sz w:val="19"/>
              </w:rPr>
              <w:t xml:space="preserve"> </w:t>
            </w:r>
            <w:r>
              <w:rPr>
                <w:sz w:val="19"/>
              </w:rPr>
              <w:t xml:space="preserve">next to every pumping decision.</w:t>
            </w:r>
          </w:p>
        </w:tc>
      </w:tr>
    </w:tbl>
    <w:bookmarkEnd w:id="21"/>
    <w:bookmarkStart w:id="22" w:name="caltech"/>
    <w:p>
      <w:pPr>
        <w:pStyle w:val="Heading3"/>
      </w:pPr>
      <w:r>
        <w:t xml:space="preserve">Caltech</w:t>
      </w:r>
    </w:p>
    <w:tbl>
      <w:tblPr>
        <w:tblStyle w:val="Table"/>
        <w:tblW w:type="dxa" w:w="15022"/>
        <w:tblLook w:firstRow="1" w:lastRow="0" w:firstColumn="0" w:lastColumn="0" w:noHBand="0" w:noVBand="0" w:val="0020"/>
        <w:jc w:val="start"/>
        <w:tblBorders>
          <w:top w:val="single" w:sz="4" w:color="9DB2D6"/>
          <w:left w:val="single" w:sz="4" w:color="9DB2D6"/>
          <w:bottom w:val="single" w:sz="4" w:color="9DB2D6"/>
          <w:right w:val="single" w:sz="4" w:color="9DB2D6"/>
          <w:insideH w:val="single" w:sz="4" w:color="9DB2D6"/>
          <w:insideV w:val="single" w:sz="4" w:color="9DB2D6"/>
        </w:tblBorders>
        <w:tblLayout w:type="fixed"/>
      </w:tblPr>
      <w:tblGrid>
        <w:gridCol w:w="396"/>
        <w:gridCol w:w="3572"/>
        <w:gridCol w:w="1417"/>
        <w:gridCol w:w="3628"/>
        <w:gridCol w:w="3628"/>
        <w:gridCol w:w="2381"/>
      </w:tblGrid>
      <w:tr>
        <w:trPr>
          <w:tblHeader w:val="true"/>
        </w:trPr>
        <w:tc>
          <w:tcPr>
            <w:tcW w:type="dxa" w:w="397"/>
            <w:shd w:val="clear" w:fill="DCE6F2"/>
          </w:tcPr>
          <w:p>
            <w:pPr>
              <w:pStyle w:val="Compact"/>
              <w:jc w:val="left"/>
            </w:pPr>
            <w:r>
              <w:rPr>
                <w:b/>
                <w:sz w:val="19"/>
              </w:rPr>
              <w:t xml:space="preserve">#</w:t>
            </w:r>
          </w:p>
        </w:tc>
        <w:tc>
          <w:tcPr>
            <w:tcW w:type="dxa" w:w="3572"/>
            <w:shd w:val="clear" w:fill="DCE6F2"/>
          </w:tcPr>
          <w:p>
            <w:pPr>
              <w:pStyle w:val="Compact"/>
              <w:jc w:val="left"/>
            </w:pPr>
            <w:r>
              <w:rPr>
                <w:b/>
                <w:sz w:val="19"/>
              </w:rPr>
              <w:t xml:space="preserve">Paper</w:t>
            </w:r>
          </w:p>
        </w:tc>
        <w:tc>
          <w:tcPr>
            <w:tcW w:type="dxa" w:w="1417"/>
            <w:shd w:val="clear" w:fill="DCE6F2"/>
          </w:tcPr>
          <w:p>
            <w:pPr>
              <w:pStyle w:val="Compact"/>
              <w:jc w:val="left"/>
            </w:pPr>
            <w:r>
              <w:rPr>
                <w:b/>
                <w:sz w:val="19"/>
              </w:rPr>
              <w:t xml:space="preserve">Situation</w:t>
            </w:r>
          </w:p>
        </w:tc>
        <w:tc>
          <w:tcPr>
            <w:tcW w:type="dxa" w:w="3628"/>
            <w:shd w:val="clear" w:fill="DCE6F2"/>
          </w:tcPr>
          <w:p>
            <w:pPr>
              <w:pStyle w:val="Compact"/>
              <w:jc w:val="left"/>
            </w:pPr>
            <w:r>
              <w:rPr>
                <w:b/>
                <w:sz w:val="19"/>
              </w:rPr>
              <w:t xml:space="preserve">Mathematical tool for the decision</w:t>
            </w:r>
          </w:p>
        </w:tc>
        <w:tc>
          <w:tcPr>
            <w:tcW w:type="dxa" w:w="3628"/>
            <w:shd w:val="clear" w:fill="DCE6F2"/>
          </w:tcPr>
          <w:p>
            <w:pPr>
              <w:pStyle w:val="Compact"/>
              <w:jc w:val="left"/>
            </w:pPr>
            <w:r>
              <w:rPr>
                <w:b/>
                <w:sz w:val="19"/>
              </w:rPr>
              <w:t xml:space="preserve">What it changes in our model</w:t>
            </w:r>
          </w:p>
        </w:tc>
        <w:tc>
          <w:tcPr>
            <w:tcW w:type="dxa" w:w="2381"/>
            <w:shd w:val="clear" w:fill="DCE6F2"/>
          </w:tcPr>
          <w:p>
            <w:pPr>
              <w:pStyle w:val="Compact"/>
              <w:jc w:val="left"/>
            </w:pPr>
            <w:r>
              <w:rPr>
                <w:b/>
                <w:sz w:val="19"/>
              </w:rPr>
              <w:t xml:space="preserve">Innovation</w:t>
            </w:r>
          </w:p>
        </w:tc>
      </w:tr>
      <w:tr>
        <w:tc>
          <w:tcPr>
            <w:tcW w:type="dxa" w:w="397"/>
          </w:tcPr>
          <w:p>
            <w:pPr>
              <w:pStyle w:val="Compact"/>
              <w:jc w:val="left"/>
            </w:pPr>
            <w:r>
              <w:rPr>
                <w:sz w:val="19"/>
              </w:rPr>
              <w:t xml:space="preserve">6</w:t>
            </w:r>
          </w:p>
        </w:tc>
        <w:tc>
          <w:tcPr>
            <w:tcW w:type="dxa" w:w="3572"/>
          </w:tcPr>
          <w:p>
            <w:pPr>
              <w:pStyle w:val="Compact"/>
              <w:jc w:val="left"/>
            </w:pPr>
            <w:r>
              <w:rPr>
                <w:sz w:val="19"/>
              </w:rPr>
              <w:t xml:space="preserve">Yu, Shi, Chung, Yue &amp; Wierman (2020). The power of predictions in online control. NeurIPS 33 (no DOI; arXiv:2006.07569)</w:t>
            </w:r>
          </w:p>
        </w:tc>
        <w:tc>
          <w:tcPr>
            <w:tcW w:type="dxa" w:w="1417"/>
          </w:tcPr>
          <w:p>
            <w:pPr>
              <w:pStyle w:val="Compact"/>
              <w:jc w:val="left"/>
            </w:pPr>
            <w:r>
              <w:rPr>
                <w:sz w:val="19"/>
              </w:rPr>
              <w:t xml:space="preserve">Normal operation; forecasts</w:t>
            </w:r>
          </w:p>
        </w:tc>
        <w:tc>
          <w:tcPr>
            <w:tcW w:type="dxa" w:w="3628"/>
          </w:tcPr>
          <w:p>
            <w:pPr>
              <w:pStyle w:val="Compact"/>
              <w:jc w:val="left"/>
            </w:pPr>
            <w:r>
              <w:rPr>
                <w:sz w:val="19"/>
              </w:rPr>
              <w:t xml:space="preserve">Model-predictive control with</w:t>
            </w:r>
            <w:r>
              <w:rPr>
                <w:sz w:val="19"/>
              </w:rPr>
              <w:t xml:space="preserve"> </w:t>
            </w:r>
            <m:oMath>
              <m:r>
                <m:t>k</m:t>
              </m:r>
            </m:oMath>
            <w:r>
              <w:rPr>
                <w:sz w:val="19"/>
              </w:rPr>
              <w:t xml:space="preserve"> </w:t>
            </w:r>
            <w:r>
              <w:rPr>
                <w:sz w:val="19"/>
              </w:rPr>
              <w:t xml:space="preserve">predicted disturbances in a linear-quadratic problem:</w:t>
            </w:r>
            <w:r>
              <w:rPr>
                <w:sz w:val="19"/>
              </w:rPr>
              <w:t xml:space="preserve"> </w:t>
            </w:r>
            <m:oMath>
              <m:r>
                <m:t>O</m:t>
              </m:r>
              <m:d>
                <m:dPr>
                  <m:begChr m:val="("/>
                  <m:endChr m:val=")"/>
                  <m:sepChr m:val=""/>
                  <m:grow/>
                </m:dPr>
                <m:e>
                  <m:r>
                    <m:rPr>
                      <m:sty m:val="p"/>
                    </m:rPr>
                    <m:t>log</m:t>
                  </m:r>
                  <m:r>
                    <m:t>T</m:t>
                  </m:r>
                </m:e>
              </m:d>
            </m:oMath>
            <w:r>
              <w:rPr>
                <w:sz w:val="19"/>
              </w:rPr>
              <w:t xml:space="preserve"> </w:t>
            </w:r>
            <w:r>
              <w:rPr>
                <w:sz w:val="19"/>
              </w:rPr>
              <w:t xml:space="preserve">predictions give constant regret, matching the lower bound.</w:t>
            </w:r>
          </w:p>
        </w:tc>
        <w:tc>
          <w:tcPr>
            <w:tcW w:type="dxa" w:w="3628"/>
          </w:tcPr>
          <w:p>
            <w:pPr>
              <w:pStyle w:val="Compact"/>
              <w:jc w:val="left"/>
            </w:pPr>
            <w:r>
              <w:rPr>
                <w:sz w:val="19"/>
              </w:rPr>
              <w:t xml:space="preserve">How many seasons of recharge forecast a pumping controller needs; the rainfall persistence (lag-one correlation 0.7) gives part of it for free; slow clay memory lengthens it.</w:t>
            </w:r>
          </w:p>
        </w:tc>
        <w:tc>
          <w:tcPr>
            <w:tcW w:type="dxa" w:w="2381"/>
          </w:tcPr>
          <w:p>
            <w:pPr>
              <w:pStyle w:val="Compact"/>
              <w:jc w:val="left"/>
            </w:pPr>
            <w:r>
              <w:rPr>
                <w:sz w:val="19"/>
              </w:rPr>
              <w:t xml:space="preserve">Forecast-horizon rule for curtailment.</w:t>
            </w:r>
          </w:p>
        </w:tc>
      </w:tr>
      <w:tr>
        <w:tc>
          <w:tcPr>
            <w:tcW w:type="dxa" w:w="397"/>
          </w:tcPr>
          <w:p>
            <w:pPr>
              <w:pStyle w:val="Compact"/>
              <w:jc w:val="left"/>
            </w:pPr>
            <w:r>
              <w:rPr>
                <w:sz w:val="19"/>
              </w:rPr>
              <w:t xml:space="preserve">7</w:t>
            </w:r>
          </w:p>
        </w:tc>
        <w:tc>
          <w:tcPr>
            <w:tcW w:type="dxa" w:w="3572"/>
          </w:tcPr>
          <w:p>
            <w:pPr>
              <w:pStyle w:val="Compact"/>
              <w:jc w:val="left"/>
            </w:pPr>
            <w:r>
              <w:rPr>
                <w:sz w:val="19"/>
              </w:rPr>
              <w:t xml:space="preserve">Schneider, Dunbar, Wu, … Shaman (2022). Epidemic management and control through risk-dependent individual contact interventions. PLOS Comput. Biol. 18, e1010171. doi:10.1371/journal.pcbi.1010171</w:t>
            </w:r>
          </w:p>
        </w:tc>
        <w:tc>
          <w:tcPr>
            <w:tcW w:type="dxa" w:w="1417"/>
          </w:tcPr>
          <w:p>
            <w:pPr>
              <w:pStyle w:val="Compact"/>
              <w:jc w:val="left"/>
            </w:pPr>
            <w:r>
              <w:rPr>
                <w:sz w:val="19"/>
              </w:rPr>
              <w:t xml:space="preserve">Crisis operation</w:t>
            </w:r>
          </w:p>
        </w:tc>
        <w:tc>
          <w:tcPr>
            <w:tcW w:type="dxa" w:w="3628"/>
          </w:tcPr>
          <w:p>
            <w:pPr>
              <w:pStyle w:val="Compact"/>
              <w:jc w:val="left"/>
            </w:pPr>
            <w:r>
              <w:rPr>
                <w:sz w:val="19"/>
              </w:rPr>
              <w:t xml:space="preserve">Network data assimilation gives each node’s risk; act only where</w:t>
            </w:r>
            <w:r>
              <w:rPr>
                <w:sz w:val="19"/>
              </w:rPr>
              <w:t xml:space="preserve"> </w:t>
            </w:r>
            <m:oMath>
              <m:r>
                <m:t>P</m:t>
              </m:r>
              <m:d>
                <m:dPr>
                  <m:begChr m:val="("/>
                  <m:endChr m:val=")"/>
                  <m:sepChr m:val=""/>
                  <m:grow/>
                </m:dPr>
                <m:e>
                  <m:sSub>
                    <m:e>
                      <m:r>
                        <m:rPr>
                          <m:nor/>
                          <m:sty m:val="p"/>
                        </m:rPr>
                        <m:t>risk</m:t>
                      </m:r>
                    </m:e>
                    <m:sub>
                      <m:r>
                        <m:t>i</m:t>
                      </m:r>
                    </m:sub>
                  </m:sSub>
                </m:e>
              </m:d>
              <m:r>
                <m:rPr>
                  <m:sty m:val="p"/>
                </m:rPr>
                <m:t>&gt;</m:t>
              </m:r>
              <m:r>
                <m:t>θ</m:t>
              </m:r>
            </m:oMath>
            <w:r>
              <w:rPr>
                <w:sz w:val="19"/>
              </w:rPr>
              <w:t xml:space="preserve">. Fewer than half the deaths of a lockdown while isolating 5–10%.</w:t>
            </w:r>
          </w:p>
        </w:tc>
        <w:tc>
          <w:tcPr>
            <w:tcW w:type="dxa" w:w="3628"/>
          </w:tcPr>
          <w:p>
            <w:pPr>
              <w:pStyle w:val="Compact"/>
              <w:jc w:val="left"/>
            </w:pPr>
            <w:r>
              <w:rPr>
                <w:sz w:val="19"/>
              </w:rPr>
              <w:t xml:space="preserve">Curtail well by well when the posterior</w:t>
            </w:r>
            <w:r>
              <w:rPr>
                <w:sz w:val="19"/>
              </w:rPr>
              <w:t xml:space="preserve"> </w:t>
            </w:r>
            <m:oMath>
              <m:r>
                <m:t>P</m:t>
              </m:r>
              <m:d>
                <m:dPr>
                  <m:begChr m:val="("/>
                  <m:endChr m:val=")"/>
                  <m:sepChr m:val=""/>
                  <m:grow/>
                </m:dPr>
                <m:e>
                  <m:r>
                    <m:rPr>
                      <m:sty m:val="p"/>
                    </m:rPr>
                    <m:t>C</m:t>
                  </m:r>
                  <m:r>
                    <m:rPr>
                      <m:sty m:val="p"/>
                    </m:rPr>
                    <m:t>l</m:t>
                  </m:r>
                  <m:r>
                    <m:rPr>
                      <m:sty m:val="p"/>
                    </m:rPr>
                    <m:t>&gt;</m:t>
                  </m:r>
                  <m:r>
                    <m:t>250</m:t>
                  </m:r>
                  <m:r>
                    <m:t> </m:t>
                  </m:r>
                  <m:r>
                    <m:rPr>
                      <m:sty m:val="p"/>
                    </m:rPr>
                    <m:t>m</m:t>
                  </m:r>
                  <m:r>
                    <m:rPr>
                      <m:sty m:val="p"/>
                    </m:rPr>
                    <m:t>g</m:t>
                  </m:r>
                  <m:r>
                    <m:rPr>
                      <m:sty m:val="p"/>
                    </m:rPr>
                    <m:t>/</m:t>
                  </m:r>
                  <m:r>
                    <m:rPr>
                      <m:sty m:val="p"/>
                    </m:rPr>
                    <m:t>L</m:t>
                  </m:r>
                </m:e>
              </m:d>
            </m:oMath>
            <w:r>
              <w:rPr>
                <w:sz w:val="19"/>
              </w:rPr>
              <w:t xml:space="preserve"> </w:t>
            </w:r>
            <w:r>
              <w:rPr>
                <w:sz w:val="19"/>
              </w:rPr>
              <w:t xml:space="preserve">passes a threshold, from sparse samples.</w:t>
            </w:r>
          </w:p>
        </w:tc>
        <w:tc>
          <w:tcPr>
            <w:tcW w:type="dxa" w:w="2381"/>
          </w:tcPr>
          <w:p>
            <w:pPr>
              <w:pStyle w:val="Compact"/>
              <w:jc w:val="left"/>
            </w:pPr>
            <w:r>
              <w:rPr>
                <w:sz w:val="19"/>
              </w:rPr>
              <w:t xml:space="preserve">Risk-threshold curtailment (used as the decision rule of ROJA-GO).</w:t>
            </w:r>
          </w:p>
        </w:tc>
      </w:tr>
      <w:tr>
        <w:tc>
          <w:tcPr>
            <w:tcW w:type="dxa" w:w="397"/>
          </w:tcPr>
          <w:p>
            <w:pPr>
              <w:pStyle w:val="Compact"/>
              <w:jc w:val="left"/>
            </w:pPr>
            <w:r>
              <w:rPr>
                <w:sz w:val="19"/>
              </w:rPr>
              <w:t xml:space="preserve">8</w:t>
            </w:r>
          </w:p>
        </w:tc>
        <w:tc>
          <w:tcPr>
            <w:tcW w:type="dxa" w:w="3572"/>
          </w:tcPr>
          <w:p>
            <w:pPr>
              <w:pStyle w:val="Compact"/>
              <w:jc w:val="left"/>
            </w:pPr>
            <w:r>
              <w:rPr>
                <w:sz w:val="19"/>
              </w:rPr>
              <w:t xml:space="preserve">Kurth, Subramanian, … Kashinath, Anandkumar (2023). FourCastNet: accelerating global high-resolution weather forecasting using adaptive Fourier neural operators. PASC ’23. doi:10.1145/3592979.3593412</w:t>
            </w:r>
          </w:p>
        </w:tc>
        <w:tc>
          <w:tcPr>
            <w:tcW w:type="dxa" w:w="1417"/>
          </w:tcPr>
          <w:p>
            <w:pPr>
              <w:pStyle w:val="Compact"/>
              <w:jc w:val="left"/>
            </w:pPr>
            <w:r>
              <w:rPr>
                <w:sz w:val="19"/>
              </w:rPr>
              <w:t xml:space="preserve">Intense rainfall</w:t>
            </w:r>
          </w:p>
        </w:tc>
        <w:tc>
          <w:tcPr>
            <w:tcW w:type="dxa" w:w="3628"/>
          </w:tcPr>
          <w:p>
            <w:pPr>
              <w:pStyle w:val="Compact"/>
              <w:jc w:val="left"/>
            </w:pPr>
            <w:r>
              <w:rPr>
                <w:sz w:val="19"/>
              </w:rPr>
              <w:t xml:space="preserve">Neural-operator weather emulator, orders of magnitude faster than numerical weather prediction, so ensembles large enough to sample rare extremes.</w:t>
            </w:r>
          </w:p>
        </w:tc>
        <w:tc>
          <w:tcPr>
            <w:tcW w:type="dxa" w:w="3628"/>
          </w:tcPr>
          <w:p>
            <w:pPr>
              <w:pStyle w:val="Compact"/>
              <w:jc w:val="left"/>
            </w:pPr>
            <w:r>
              <w:rPr>
                <w:sz w:val="19"/>
              </w:rPr>
              <w:t xml:space="preserve">Rainfall tails at the gauge and rain-plus-surge storylines for the alarm margin; it forecasts days to weeks, so it says nothing on multi-year drought.</w:t>
            </w:r>
          </w:p>
        </w:tc>
        <w:tc>
          <w:tcPr>
            <w:tcW w:type="dxa" w:w="2381"/>
          </w:tcPr>
          <w:p>
            <w:pPr>
              <w:pStyle w:val="Compact"/>
              <w:jc w:val="left"/>
            </w:pPr>
            <w:r>
              <w:rPr>
                <w:sz w:val="19"/>
              </w:rPr>
              <w:t xml:space="preserve">Emulator ensemble of intense-rain storylines.</w:t>
            </w:r>
          </w:p>
        </w:tc>
      </w:tr>
      <w:tr>
        <w:tc>
          <w:tcPr>
            <w:tcW w:type="dxa" w:w="397"/>
          </w:tcPr>
          <w:p>
            <w:pPr>
              <w:pStyle w:val="Compact"/>
              <w:jc w:val="left"/>
            </w:pPr>
            <w:r>
              <w:rPr>
                <w:sz w:val="19"/>
              </w:rPr>
              <w:t xml:space="preserve">9</w:t>
            </w:r>
          </w:p>
        </w:tc>
        <w:tc>
          <w:tcPr>
            <w:tcW w:type="dxa" w:w="3572"/>
          </w:tcPr>
          <w:p>
            <w:pPr>
              <w:pStyle w:val="Compact"/>
              <w:jc w:val="left"/>
            </w:pPr>
            <w:r>
              <w:rPr>
                <w:sz w:val="19"/>
              </w:rPr>
              <w:t xml:space="preserve">Humphrey, Berg, Ciais, … Frankenberg (2021). Soil moisture–atmosphere feedback dominates land carbon uptake variability. Nature 592, 65–69. doi:10.1038/s41586-021-03325-5</w:t>
            </w:r>
          </w:p>
        </w:tc>
        <w:tc>
          <w:tcPr>
            <w:tcW w:type="dxa" w:w="1417"/>
          </w:tcPr>
          <w:p>
            <w:pPr>
              <w:pStyle w:val="Compact"/>
              <w:jc w:val="left"/>
            </w:pPr>
            <w:r>
              <w:rPr>
                <w:sz w:val="19"/>
              </w:rPr>
              <w:t xml:space="preserve">Drought; causal (feedback)</w:t>
            </w:r>
          </w:p>
        </w:tc>
        <w:tc>
          <w:tcPr>
            <w:tcW w:type="dxa" w:w="3628"/>
          </w:tcPr>
          <w:p>
            <w:pPr>
              <w:pStyle w:val="Compact"/>
              <w:jc w:val="left"/>
            </w:pPr>
            <w:r>
              <w:rPr>
                <w:sz w:val="19"/>
              </w:rPr>
              <w:t xml:space="preserve">Factorial runs with soil moisture held at climatology separate the direct effect from the feedback effect; ≈90% of year-to-year uptake variation goes through soil moisture.</w:t>
            </w:r>
          </w:p>
        </w:tc>
        <w:tc>
          <w:tcPr>
            <w:tcW w:type="dxa" w:w="3628"/>
          </w:tcPr>
          <w:p>
            <w:pPr>
              <w:pStyle w:val="Compact"/>
              <w:jc w:val="left"/>
            </w:pPr>
            <w:r>
              <w:rPr>
                <w:sz w:val="19"/>
              </w:rPr>
              <w:t xml:space="preserve">A</w:t>
            </w:r>
            <w:r>
              <w:rPr>
                <w:sz w:val="19"/>
              </w:rPr>
              <w:t xml:space="preserve"> </w:t>
            </w:r>
            <m:oMath>
              <m:sSup>
                <m:e>
                  <m:r>
                    <m:t>2</m:t>
                  </m:r>
                </m:e>
                <m:sup>
                  <m:r>
                    <m:t>3</m:t>
                  </m:r>
                </m:sup>
              </m:sSup>
            </m:oMath>
            <w:r>
              <w:rPr>
                <w:sz w:val="19"/>
              </w:rPr>
              <w:t xml:space="preserve"> </w:t>
            </w:r>
            <w:r>
              <w:rPr>
                <w:sz w:val="19"/>
              </w:rPr>
              <w:t xml:space="preserve">factorial of MONTIMI-GO separates the direct recharge effect of a drought from the human feedback (private abstraction); the anchor certificate does not cover a changed feedback.</w:t>
            </w:r>
          </w:p>
        </w:tc>
        <w:tc>
          <w:tcPr>
            <w:tcW w:type="dxa" w:w="2381"/>
          </w:tcPr>
          <w:p>
            <w:pPr>
              <w:pStyle w:val="Compact"/>
              <w:jc w:val="left"/>
            </w:pPr>
            <w:r>
              <w:rPr>
                <w:sz w:val="19"/>
              </w:rPr>
              <w:t xml:space="preserve">The</w:t>
            </w:r>
            <w:r>
              <w:rPr>
                <w:sz w:val="19"/>
              </w:rPr>
              <w:t xml:space="preserve"> </w:t>
            </w:r>
            <w:r>
              <w:rPr>
                <w:sz w:val="19"/>
              </w:rPr>
              <w:t xml:space="preserve">“</w:t>
            </w:r>
            <w:r>
              <w:rPr>
                <w:sz w:val="19"/>
              </w:rPr>
              <w:t xml:space="preserve">causal</w:t>
            </w:r>
            <w:r>
              <w:rPr>
                <w:sz w:val="19"/>
              </w:rPr>
              <w:t xml:space="preserve">”</w:t>
            </w:r>
            <w:r>
              <w:rPr>
                <w:sz w:val="19"/>
              </w:rPr>
              <w:t xml:space="preserve"> </w:t>
            </w:r>
            <w:r>
              <w:rPr>
                <w:sz w:val="19"/>
              </w:rPr>
              <w:t xml:space="preserve">storyline of the test below.</w:t>
            </w:r>
          </w:p>
        </w:tc>
      </w:tr>
      <w:tr>
        <w:tc>
          <w:tcPr>
            <w:tcW w:type="dxa" w:w="397"/>
          </w:tcPr>
          <w:p>
            <w:pPr>
              <w:pStyle w:val="Compact"/>
              <w:jc w:val="left"/>
            </w:pPr>
            <w:r>
              <w:rPr>
                <w:sz w:val="19"/>
              </w:rPr>
              <w:t xml:space="preserve">10</w:t>
            </w:r>
          </w:p>
        </w:tc>
        <w:tc>
          <w:tcPr>
            <w:tcW w:type="dxa" w:w="3572"/>
          </w:tcPr>
          <w:p>
            <w:pPr>
              <w:pStyle w:val="Compact"/>
              <w:jc w:val="left"/>
            </w:pPr>
            <w:r>
              <w:rPr>
                <w:sz w:val="19"/>
              </w:rPr>
              <w:t xml:space="preserve">Frederikse, Landerer, Caron, … Humphrey, … Wu (2020). The causes of sea-level rise since 1900. Nature 584, 393–397. doi:10.1038/s41586-020-2591-3</w:t>
            </w:r>
          </w:p>
        </w:tc>
        <w:tc>
          <w:tcPr>
            <w:tcW w:type="dxa" w:w="1417"/>
          </w:tcPr>
          <w:p>
            <w:pPr>
              <w:pStyle w:val="Compact"/>
              <w:jc w:val="left"/>
            </w:pPr>
            <w:r>
              <w:rPr>
                <w:sz w:val="19"/>
              </w:rPr>
              <w:t xml:space="preserve">Sea boundary; causal budget</w:t>
            </w:r>
          </w:p>
        </w:tc>
        <w:tc>
          <w:tcPr>
            <w:tcW w:type="dxa" w:w="3628"/>
          </w:tcPr>
          <w:p>
            <w:pPr>
              <w:pStyle w:val="Compact"/>
              <w:jc w:val="left"/>
            </w:pPr>
            <w:r>
              <w:rPr>
                <w:sz w:val="19"/>
              </w:rPr>
              <w:t xml:space="preserve">Closed sea-level budget attributing the rise to named causes (glaciers and ice sheets twice thermal expansion).</w:t>
            </w:r>
          </w:p>
        </w:tc>
        <w:tc>
          <w:tcPr>
            <w:tcW w:type="dxa" w:w="3628"/>
          </w:tcPr>
          <w:p>
            <w:pPr>
              <w:pStyle w:val="Compact"/>
              <w:jc w:val="left"/>
            </w:pPr>
            <w:r>
              <w:rPr>
                <w:sz w:val="19"/>
              </w:rPr>
              <w:t xml:space="preserve">Build the sea-boundary head from components plus land motion and surge; the adjoint ranks which one matters for chloride at the screen.</w:t>
            </w:r>
          </w:p>
        </w:tc>
        <w:tc>
          <w:tcPr>
            <w:tcW w:type="dxa" w:w="2381"/>
          </w:tcPr>
          <w:p>
            <w:pPr>
              <w:pStyle w:val="Compact"/>
              <w:jc w:val="left"/>
            </w:pPr>
            <w:r>
              <w:rPr>
                <w:sz w:val="19"/>
              </w:rPr>
              <w:t xml:space="preserve">Component-wise sea boundary with adjoint ranking.</w:t>
            </w:r>
          </w:p>
        </w:tc>
      </w:tr>
    </w:tbl>
    <w:bookmarkEnd w:id="22"/>
    <w:bookmarkStart w:id="23" w:name="harvard"/>
    <w:p>
      <w:pPr>
        <w:pStyle w:val="Heading3"/>
      </w:pPr>
      <w:r>
        <w:t xml:space="preserve">Harvard</w:t>
      </w:r>
    </w:p>
    <w:tbl>
      <w:tblPr>
        <w:tblStyle w:val="Table"/>
        <w:tblW w:type="dxa" w:w="15022"/>
        <w:tblLook w:firstRow="1" w:lastRow="0" w:firstColumn="0" w:lastColumn="0" w:noHBand="0" w:noVBand="0" w:val="0020"/>
        <w:jc w:val="start"/>
        <w:tblBorders>
          <w:top w:val="single" w:sz="4" w:color="9DB2D6"/>
          <w:left w:val="single" w:sz="4" w:color="9DB2D6"/>
          <w:bottom w:val="single" w:sz="4" w:color="9DB2D6"/>
          <w:right w:val="single" w:sz="4" w:color="9DB2D6"/>
          <w:insideH w:val="single" w:sz="4" w:color="9DB2D6"/>
          <w:insideV w:val="single" w:sz="4" w:color="9DB2D6"/>
        </w:tblBorders>
        <w:tblLayout w:type="fixed"/>
      </w:tblPr>
      <w:tblGrid>
        <w:gridCol w:w="396"/>
        <w:gridCol w:w="3572"/>
        <w:gridCol w:w="1417"/>
        <w:gridCol w:w="3628"/>
        <w:gridCol w:w="3628"/>
        <w:gridCol w:w="2381"/>
      </w:tblGrid>
      <w:tr>
        <w:trPr>
          <w:tblHeader w:val="true"/>
        </w:trPr>
        <w:tc>
          <w:tcPr>
            <w:tcW w:type="dxa" w:w="397"/>
            <w:shd w:val="clear" w:fill="DCE6F2"/>
          </w:tcPr>
          <w:p>
            <w:pPr>
              <w:pStyle w:val="Compact"/>
              <w:jc w:val="left"/>
            </w:pPr>
            <w:r>
              <w:rPr>
                <w:b/>
                <w:sz w:val="19"/>
              </w:rPr>
              <w:t xml:space="preserve">#</w:t>
            </w:r>
          </w:p>
        </w:tc>
        <w:tc>
          <w:tcPr>
            <w:tcW w:type="dxa" w:w="3572"/>
            <w:shd w:val="clear" w:fill="DCE6F2"/>
          </w:tcPr>
          <w:p>
            <w:pPr>
              <w:pStyle w:val="Compact"/>
              <w:jc w:val="left"/>
            </w:pPr>
            <w:r>
              <w:rPr>
                <w:b/>
                <w:sz w:val="19"/>
              </w:rPr>
              <w:t xml:space="preserve">Paper</w:t>
            </w:r>
          </w:p>
        </w:tc>
        <w:tc>
          <w:tcPr>
            <w:tcW w:type="dxa" w:w="1417"/>
            <w:shd w:val="clear" w:fill="DCE6F2"/>
          </w:tcPr>
          <w:p>
            <w:pPr>
              <w:pStyle w:val="Compact"/>
              <w:jc w:val="left"/>
            </w:pPr>
            <w:r>
              <w:rPr>
                <w:b/>
                <w:sz w:val="19"/>
              </w:rPr>
              <w:t xml:space="preserve">Situation</w:t>
            </w:r>
          </w:p>
        </w:tc>
        <w:tc>
          <w:tcPr>
            <w:tcW w:type="dxa" w:w="3628"/>
            <w:shd w:val="clear" w:fill="DCE6F2"/>
          </w:tcPr>
          <w:p>
            <w:pPr>
              <w:pStyle w:val="Compact"/>
              <w:jc w:val="left"/>
            </w:pPr>
            <w:r>
              <w:rPr>
                <w:b/>
                <w:sz w:val="19"/>
              </w:rPr>
              <w:t xml:space="preserve">Mathematical tool for the decision</w:t>
            </w:r>
          </w:p>
        </w:tc>
        <w:tc>
          <w:tcPr>
            <w:tcW w:type="dxa" w:w="3628"/>
            <w:shd w:val="clear" w:fill="DCE6F2"/>
          </w:tcPr>
          <w:p>
            <w:pPr>
              <w:pStyle w:val="Compact"/>
              <w:jc w:val="left"/>
            </w:pPr>
            <w:r>
              <w:rPr>
                <w:b/>
                <w:sz w:val="19"/>
              </w:rPr>
              <w:t xml:space="preserve">What it changes in our model</w:t>
            </w:r>
          </w:p>
        </w:tc>
        <w:tc>
          <w:tcPr>
            <w:tcW w:type="dxa" w:w="2381"/>
            <w:shd w:val="clear" w:fill="DCE6F2"/>
          </w:tcPr>
          <w:p>
            <w:pPr>
              <w:pStyle w:val="Compact"/>
              <w:jc w:val="left"/>
            </w:pPr>
            <w:r>
              <w:rPr>
                <w:b/>
                <w:sz w:val="19"/>
              </w:rPr>
              <w:t xml:space="preserve">Innovation</w:t>
            </w:r>
          </w:p>
        </w:tc>
      </w:tr>
      <w:tr>
        <w:tc>
          <w:tcPr>
            <w:tcW w:type="dxa" w:w="397"/>
          </w:tcPr>
          <w:p>
            <w:pPr>
              <w:pStyle w:val="Compact"/>
              <w:jc w:val="left"/>
            </w:pPr>
            <w:r>
              <w:rPr>
                <w:sz w:val="19"/>
              </w:rPr>
              <w:t xml:space="preserve">11</w:t>
            </w:r>
          </w:p>
        </w:tc>
        <w:tc>
          <w:tcPr>
            <w:tcW w:type="dxa" w:w="3572"/>
          </w:tcPr>
          <w:p>
            <w:pPr>
              <w:pStyle w:val="Compact"/>
              <w:jc w:val="left"/>
            </w:pPr>
            <w:r>
              <w:rPr>
                <w:sz w:val="19"/>
              </w:rPr>
              <w:t xml:space="preserve">Considine, Nethery, Wellenius, Dominici &amp; Tec (2025). Optimizing heat alert issuance with reinforcement learning. AAAI-25 39(27). doi:10.1609/aaai.v39i27.35009</w:t>
            </w:r>
          </w:p>
        </w:tc>
        <w:tc>
          <w:tcPr>
            <w:tcW w:type="dxa" w:w="1417"/>
          </w:tcPr>
          <w:p>
            <w:pPr>
              <w:pStyle w:val="Compact"/>
              <w:jc w:val="left"/>
            </w:pPr>
            <w:r>
              <w:rPr>
                <w:sz w:val="19"/>
              </w:rPr>
              <w:t xml:space="preserve">Extreme heat; alerts</w:t>
            </w:r>
          </w:p>
        </w:tc>
        <w:tc>
          <w:tcPr>
            <w:tcW w:type="dxa" w:w="3628"/>
          </w:tcPr>
          <w:p>
            <w:pPr>
              <w:pStyle w:val="Compact"/>
              <w:jc w:val="left"/>
            </w:pPr>
            <w:r>
              <w:rPr>
                <w:sz w:val="19"/>
              </w:rPr>
              <w:t xml:space="preserve">Reinforcement learning of when to issue alerts under an alert budget; beats the National Weather Service policy in 30 counties.</w:t>
            </w:r>
          </w:p>
        </w:tc>
        <w:tc>
          <w:tcPr>
            <w:tcW w:type="dxa" w:w="3628"/>
          </w:tcPr>
          <w:p>
            <w:pPr>
              <w:pStyle w:val="Compact"/>
              <w:jc w:val="left"/>
            </w:pPr>
            <w:r>
              <w:rPr>
                <w:sz w:val="19"/>
              </w:rPr>
              <w:t xml:space="preserve">A budgeted alarm: the number of curtailments or extra samples per year is capped, and spent where they save most.</w:t>
            </w:r>
          </w:p>
        </w:tc>
        <w:tc>
          <w:tcPr>
            <w:tcW w:type="dxa" w:w="2381"/>
          </w:tcPr>
          <w:p>
            <w:pPr>
              <w:pStyle w:val="Compact"/>
              <w:jc w:val="left"/>
            </w:pPr>
            <w:r>
              <w:rPr>
                <w:sz w:val="19"/>
              </w:rPr>
              <w:t xml:space="preserve">Sample budget of ROJA-GO (≤ one extra sample a year).</w:t>
            </w:r>
          </w:p>
        </w:tc>
      </w:tr>
      <w:tr>
        <w:tc>
          <w:tcPr>
            <w:tcW w:type="dxa" w:w="397"/>
          </w:tcPr>
          <w:p>
            <w:pPr>
              <w:pStyle w:val="Compact"/>
              <w:jc w:val="left"/>
            </w:pPr>
            <w:r>
              <w:rPr>
                <w:sz w:val="19"/>
              </w:rPr>
              <w:t xml:space="preserve">12</w:t>
            </w:r>
          </w:p>
        </w:tc>
        <w:tc>
          <w:tcPr>
            <w:tcW w:type="dxa" w:w="3572"/>
          </w:tcPr>
          <w:p>
            <w:pPr>
              <w:pStyle w:val="Compact"/>
              <w:jc w:val="left"/>
            </w:pPr>
            <w:r>
              <w:rPr>
                <w:sz w:val="19"/>
              </w:rPr>
              <w:t xml:space="preserve">Xu, Perrault, Fang, Chen &amp; Tambe (2021). Robust reinforcement learning under minimax regret for green security. UAI 2021, PMLR 161:257–267 (no DOI)</w:t>
            </w:r>
          </w:p>
        </w:tc>
        <w:tc>
          <w:tcPr>
            <w:tcW w:type="dxa" w:w="1417"/>
          </w:tcPr>
          <w:p>
            <w:pPr>
              <w:pStyle w:val="Compact"/>
              <w:jc w:val="left"/>
            </w:pPr>
            <w:r>
              <w:rPr>
                <w:sz w:val="19"/>
              </w:rPr>
              <w:t xml:space="preserve">Decision under uncertainty</w:t>
            </w:r>
          </w:p>
        </w:tc>
        <w:tc>
          <w:tcPr>
            <w:tcW w:type="dxa" w:w="3628"/>
          </w:tcPr>
          <w:p>
            <w:pPr>
              <w:pStyle w:val="Compact"/>
              <w:jc w:val="left"/>
            </w:pPr>
            <w:r>
              <w:rPr>
                <w:sz w:val="19"/>
              </w:rPr>
              <w:t xml:space="preserve">Minimax-regret policy,</w:t>
            </w:r>
            <w:r>
              <w:rPr>
                <w:sz w:val="19"/>
              </w:rPr>
              <w:t xml:space="preserve"> </w:t>
            </w:r>
            <m:oMath>
              <m:sSub>
                <m:e>
                  <m:r>
                    <m:rPr>
                      <m:sty m:val="p"/>
                    </m:rPr>
                    <m:t>min</m:t>
                  </m:r>
                </m:e>
                <m:sub>
                  <m:r>
                    <m:t>π</m:t>
                  </m:r>
                </m:sub>
              </m:sSub>
              <m:sSub>
                <m:e>
                  <m:r>
                    <m:rPr>
                      <m:sty m:val="p"/>
                    </m:rPr>
                    <m:t>max</m:t>
                  </m:r>
                </m:e>
                <m:sub>
                  <m:r>
                    <m:t>θ</m:t>
                  </m:r>
                </m:sub>
              </m:sSub>
              <m:d>
                <m:dPr>
                  <m:begChr m:val="["/>
                  <m:endChr m:val="]"/>
                  <m:sepChr m:val=""/>
                  <m:grow/>
                </m:dPr>
                <m:e>
                  <m:sSub>
                    <m:e>
                      <m:r>
                        <m:t>V</m:t>
                      </m:r>
                    </m:e>
                    <m:sub>
                      <m:r>
                        <m:rPr>
                          <m:sty m:val="p"/>
                        </m:rPr>
                        <m:t>b</m:t>
                      </m:r>
                      <m:r>
                        <m:rPr>
                          <m:sty m:val="p"/>
                        </m:rPr>
                        <m:t>e</m:t>
                      </m:r>
                      <m:r>
                        <m:rPr>
                          <m:sty m:val="p"/>
                        </m:rPr>
                        <m:t>s</m:t>
                      </m:r>
                      <m:r>
                        <m:rPr>
                          <m:sty m:val="p"/>
                        </m:rPr>
                        <m:t>t</m:t>
                      </m:r>
                    </m:sub>
                  </m:sSub>
                  <m:d>
                    <m:dPr>
                      <m:begChr m:val="("/>
                      <m:endChr m:val=")"/>
                      <m:sepChr m:val=""/>
                      <m:grow/>
                    </m:dPr>
                    <m:e>
                      <m:r>
                        <m:t>θ</m:t>
                      </m:r>
                    </m:e>
                  </m:d>
                  <m:r>
                    <m:rPr>
                      <m:sty m:val="p"/>
                    </m:rPr>
                    <m:t>−</m:t>
                  </m:r>
                  <m:sSup>
                    <m:e>
                      <m:r>
                        <m:t>V</m:t>
                      </m:r>
                    </m:e>
                    <m:sup>
                      <m:r>
                        <m:t>π</m:t>
                      </m:r>
                    </m:sup>
                  </m:sSup>
                  <m:d>
                    <m:dPr>
                      <m:begChr m:val="("/>
                      <m:endChr m:val=")"/>
                      <m:sepChr m:val=""/>
                      <m:grow/>
                    </m:dPr>
                    <m:e>
                      <m:r>
                        <m:t>θ</m:t>
                      </m:r>
                    </m:e>
                  </m:d>
                </m:e>
              </m:d>
            </m:oMath>
            <w:r>
              <w:rPr>
                <w:sz w:val="19"/>
              </w:rPr>
              <w:t xml:space="preserve">, solved as a game against nature (MIRROR).</w:t>
            </w:r>
          </w:p>
        </w:tc>
        <w:tc>
          <w:tcPr>
            <w:tcW w:type="dxa" w:w="3628"/>
          </w:tcPr>
          <w:p>
            <w:pPr>
              <w:pStyle w:val="Compact"/>
              <w:jc w:val="left"/>
            </w:pPr>
            <w:r>
              <w:rPr>
                <w:sz w:val="19"/>
              </w:rPr>
              <w:t xml:space="preserve">Minimax-regret well placement over recharge, private abstraction and sea level, with the MONTIMI-GO adjoint searching the worst case.</w:t>
            </w:r>
          </w:p>
        </w:tc>
        <w:tc>
          <w:tcPr>
            <w:tcW w:type="dxa" w:w="2381"/>
          </w:tcPr>
          <w:p>
            <w:pPr>
              <w:pStyle w:val="Compact"/>
              <w:jc w:val="left"/>
            </w:pPr>
            <w:r>
              <w:rPr>
                <w:sz w:val="19"/>
              </w:rPr>
              <w:t xml:space="preserve">Regret-robust siting.</w:t>
            </w:r>
          </w:p>
        </w:tc>
      </w:tr>
      <w:tr>
        <w:tc>
          <w:tcPr>
            <w:tcW w:type="dxa" w:w="397"/>
          </w:tcPr>
          <w:p>
            <w:pPr>
              <w:pStyle w:val="Compact"/>
              <w:jc w:val="left"/>
            </w:pPr>
            <w:r>
              <w:rPr>
                <w:sz w:val="19"/>
              </w:rPr>
              <w:t xml:space="preserve">13</w:t>
            </w:r>
          </w:p>
        </w:tc>
        <w:tc>
          <w:tcPr>
            <w:tcW w:type="dxa" w:w="3572"/>
          </w:tcPr>
          <w:p>
            <w:pPr>
              <w:pStyle w:val="Compact"/>
              <w:jc w:val="left"/>
            </w:pPr>
            <w:r>
              <w:rPr>
                <w:sz w:val="19"/>
              </w:rPr>
              <w:t xml:space="preserve">Wu, Weinberger, Wellenius, Dominici &amp; Braun (2024). Assessing the causal effects of a stochastic intervention in time series data: are heat alerts effective in preventing deaths and hospitalizations? Biostatistics 25, 57–79. doi:10.1093/biostatistics/kxad002</w:t>
            </w:r>
          </w:p>
        </w:tc>
        <w:tc>
          <w:tcPr>
            <w:tcW w:type="dxa" w:w="1417"/>
          </w:tcPr>
          <w:p>
            <w:pPr>
              <w:pStyle w:val="Compact"/>
              <w:jc w:val="left"/>
            </w:pPr>
            <w:r>
              <w:rPr>
                <w:sz w:val="19"/>
              </w:rPr>
              <w:t xml:space="preserve">Causal; heat alerts</w:t>
            </w:r>
          </w:p>
        </w:tc>
        <w:tc>
          <w:tcPr>
            <w:tcW w:type="dxa" w:w="3628"/>
          </w:tcPr>
          <w:p>
            <w:pPr>
              <w:pStyle w:val="Compact"/>
              <w:jc w:val="left"/>
            </w:pPr>
            <w:r>
              <w:rPr>
                <w:sz w:val="19"/>
              </w:rPr>
              <w:t xml:space="preserve">Incremental intervention: multiply the odds of an alert by</w:t>
            </w:r>
            <w:r>
              <w:rPr>
                <w:sz w:val="19"/>
              </w:rPr>
              <w:t xml:space="preserve"> </w:t>
            </w:r>
            <m:oMath>
              <m:r>
                <m:t>δ</m:t>
              </m:r>
            </m:oMath>
            <w:r>
              <w:rPr>
                <w:sz w:val="19"/>
              </w:rPr>
              <w:t xml:space="preserve">; identified under weaker overlap. Evidence of benefit is weak.</w:t>
            </w:r>
          </w:p>
        </w:tc>
        <w:tc>
          <w:tcPr>
            <w:tcW w:type="dxa" w:w="3628"/>
          </w:tcPr>
          <w:p>
            <w:pPr>
              <w:pStyle w:val="Compact"/>
              <w:jc w:val="left"/>
            </w:pPr>
            <w:r>
              <w:rPr>
                <w:sz w:val="19"/>
              </w:rPr>
              <w:t xml:space="preserve">Pumping depends on the drought state, so the pumping anchor is not exogenous; a decision is a shift of the pumping odds.</w:t>
            </w:r>
          </w:p>
        </w:tc>
        <w:tc>
          <w:tcPr>
            <w:tcW w:type="dxa" w:w="2381"/>
          </w:tcPr>
          <w:p>
            <w:pPr>
              <w:pStyle w:val="Compact"/>
              <w:jc w:val="left"/>
            </w:pPr>
            <w:r>
              <w:rPr>
                <w:sz w:val="19"/>
              </w:rPr>
              <w:t xml:space="preserve">Largest certifiable</w:t>
            </w:r>
            <w:r>
              <w:rPr>
                <w:sz w:val="19"/>
              </w:rPr>
              <w:t xml:space="preserve"> </w:t>
            </w:r>
            <m:oMath>
              <m:r>
                <m:t>δ</m:t>
              </m:r>
            </m:oMath>
            <w:r>
              <w:rPr>
                <w:sz w:val="19"/>
              </w:rPr>
              <w:t xml:space="preserve"> </w:t>
            </w:r>
            <w:r>
              <w:rPr>
                <w:sz w:val="19"/>
              </w:rPr>
              <w:t xml:space="preserve">before an early chloride sample is needed.</w:t>
            </w:r>
          </w:p>
        </w:tc>
      </w:tr>
      <w:tr>
        <w:tc>
          <w:tcPr>
            <w:tcW w:type="dxa" w:w="397"/>
          </w:tcPr>
          <w:p>
            <w:pPr>
              <w:pStyle w:val="Compact"/>
              <w:jc w:val="left"/>
            </w:pPr>
            <w:r>
              <w:rPr>
                <w:sz w:val="19"/>
              </w:rPr>
              <w:t xml:space="preserve">14</w:t>
            </w:r>
          </w:p>
        </w:tc>
        <w:tc>
          <w:tcPr>
            <w:tcW w:type="dxa" w:w="3572"/>
          </w:tcPr>
          <w:p>
            <w:pPr>
              <w:pStyle w:val="Compact"/>
              <w:jc w:val="left"/>
            </w:pPr>
            <w:r>
              <w:rPr>
                <w:sz w:val="19"/>
              </w:rPr>
              <w:t xml:space="preserve">Nethery, Katz-Christy, Kioumourtzoglou, Parks, Schumacher &amp; Anderson (2023). Integrated causal-predictive machine learning models for tropical cyclone epidemiology. Biostatistics 24, 449–464. doi:10.1093/biostatistics/kxab047</w:t>
            </w:r>
          </w:p>
        </w:tc>
        <w:tc>
          <w:tcPr>
            <w:tcW w:type="dxa" w:w="1417"/>
          </w:tcPr>
          <w:p>
            <w:pPr>
              <w:pStyle w:val="Compact"/>
              <w:jc w:val="left"/>
            </w:pPr>
            <w:r>
              <w:rPr>
                <w:sz w:val="19"/>
              </w:rPr>
              <w:t xml:space="preserve">Storms; causal</w:t>
            </w:r>
          </w:p>
        </w:tc>
        <w:tc>
          <w:tcPr>
            <w:tcW w:type="dxa" w:w="3628"/>
          </w:tcPr>
          <w:p>
            <w:pPr>
              <w:pStyle w:val="Compact"/>
              <w:jc w:val="left"/>
            </w:pPr>
            <w:r>
              <w:rPr>
                <w:sz w:val="19"/>
              </w:rPr>
              <w:t xml:space="preserve">Stage 1 estimates the causal effect of each storm at each place; stage 2 predicts these effects from storm and place traits.</w:t>
            </w:r>
          </w:p>
        </w:tc>
        <w:tc>
          <w:tcPr>
            <w:tcW w:type="dxa" w:w="3628"/>
          </w:tcPr>
          <w:p>
            <w:pPr>
              <w:pStyle w:val="Compact"/>
              <w:jc w:val="left"/>
            </w:pPr>
            <w:r>
              <w:rPr>
                <w:sz w:val="19"/>
              </w:rPr>
              <w:t xml:space="preserve">A per-well storm/flood vulnerability, learned from simulator runs where the true effect is known.</w:t>
            </w:r>
          </w:p>
        </w:tc>
        <w:tc>
          <w:tcPr>
            <w:tcW w:type="dxa" w:w="2381"/>
          </w:tcPr>
          <w:p>
            <w:pPr>
              <w:pStyle w:val="Compact"/>
              <w:jc w:val="left"/>
            </w:pPr>
            <w:r>
              <w:rPr>
                <w:sz w:val="19"/>
              </w:rPr>
              <w:t xml:space="preserve">Two-stage vulnerability map of wells.</w:t>
            </w:r>
          </w:p>
        </w:tc>
      </w:tr>
      <w:tr>
        <w:tc>
          <w:tcPr>
            <w:tcW w:type="dxa" w:w="397"/>
          </w:tcPr>
          <w:p>
            <w:pPr>
              <w:pStyle w:val="Compact"/>
              <w:jc w:val="left"/>
            </w:pPr>
            <w:r>
              <w:rPr>
                <w:sz w:val="19"/>
              </w:rPr>
              <w:t xml:space="preserve">15</w:t>
            </w:r>
          </w:p>
        </w:tc>
        <w:tc>
          <w:tcPr>
            <w:tcW w:type="dxa" w:w="3572"/>
          </w:tcPr>
          <w:p>
            <w:pPr>
              <w:pStyle w:val="Compact"/>
              <w:jc w:val="left"/>
            </w:pPr>
            <w:r>
              <w:rPr>
                <w:sz w:val="19"/>
              </w:rPr>
              <w:t xml:space="preserve">Proctor, Rigden, Chan &amp; Huybers (2022). More accurate specification of water supply shows its importance for global crop production. Nature Food 3, 753–763. doi:10.1038/s43016-022-00592-x</w:t>
            </w:r>
          </w:p>
        </w:tc>
        <w:tc>
          <w:tcPr>
            <w:tcW w:type="dxa" w:w="1417"/>
          </w:tcPr>
          <w:p>
            <w:pPr>
              <w:pStyle w:val="Compact"/>
              <w:jc w:val="left"/>
            </w:pPr>
            <w:r>
              <w:rPr>
                <w:sz w:val="19"/>
              </w:rPr>
              <w:t xml:space="preserve">Drought; proxy error</w:t>
            </w:r>
          </w:p>
        </w:tc>
        <w:tc>
          <w:tcPr>
            <w:tcW w:type="dxa" w:w="3628"/>
          </w:tcPr>
          <w:p>
            <w:pPr>
              <w:pStyle w:val="Compact"/>
              <w:jc w:val="left"/>
            </w:pPr>
            <w:r>
              <w:rPr>
                <w:sz w:val="19"/>
              </w:rPr>
              <w:t xml:space="preserve">Soil moisture explains 30–120% more yield variation than precipitation; temperature-plus-precipitation models overstate damages by 28–320%.</w:t>
            </w:r>
          </w:p>
        </w:tc>
        <w:tc>
          <w:tcPr>
            <w:tcW w:type="dxa" w:w="3628"/>
          </w:tcPr>
          <w:p>
            <w:pPr>
              <w:pStyle w:val="Compact"/>
              <w:jc w:val="left"/>
            </w:pPr>
            <w:r>
              <w:rPr>
                <w:sz w:val="19"/>
              </w:rPr>
              <w:t xml:space="preserve">Rainfall is a poor proxy of the water that reaches the ground: in intense rain most of it runs off, so the gauge anchor breaks. This is the</w:t>
            </w:r>
            <w:r>
              <w:rPr>
                <w:sz w:val="19"/>
              </w:rPr>
              <w:t xml:space="preserve"> </w:t>
            </w:r>
            <w:r>
              <w:rPr>
                <w:sz w:val="19"/>
              </w:rPr>
              <w:t xml:space="preserve">“</w:t>
            </w:r>
            <w:r>
              <w:rPr>
                <w:sz w:val="19"/>
              </w:rPr>
              <w:t xml:space="preserve">intense rainfall</w:t>
            </w:r>
            <w:r>
              <w:rPr>
                <w:sz w:val="19"/>
              </w:rPr>
              <w:t xml:space="preserve">”</w:t>
            </w:r>
            <w:r>
              <w:rPr>
                <w:sz w:val="19"/>
              </w:rPr>
              <w:t xml:space="preserve"> </w:t>
            </w:r>
            <w:r>
              <w:rPr>
                <w:sz w:val="19"/>
              </w:rPr>
              <w:t xml:space="preserve">storyline below.</w:t>
            </w:r>
          </w:p>
        </w:tc>
        <w:tc>
          <w:tcPr>
            <w:tcW w:type="dxa" w:w="2381"/>
          </w:tcPr>
          <w:p>
            <w:pPr>
              <w:pStyle w:val="Compact"/>
              <w:jc w:val="left"/>
            </w:pPr>
            <w:r>
              <w:rPr>
                <w:sz w:val="19"/>
              </w:rPr>
              <w:t xml:space="preserve">Anchor-adequacy test (gauge vs soil moisture).</w:t>
            </w:r>
          </w:p>
        </w:tc>
      </w:tr>
    </w:tbl>
    <w:bookmarkEnd w:id="23"/>
    <w:bookmarkStart w:id="24" w:name="mit"/>
    <w:p>
      <w:pPr>
        <w:pStyle w:val="Heading3"/>
      </w:pPr>
      <w:r>
        <w:t xml:space="preserve">MIT</w:t>
      </w:r>
    </w:p>
    <w:tbl>
      <w:tblPr>
        <w:tblStyle w:val="Table"/>
        <w:tblW w:type="dxa" w:w="15022"/>
        <w:tblLook w:firstRow="1" w:lastRow="0" w:firstColumn="0" w:lastColumn="0" w:noHBand="0" w:noVBand="0" w:val="0020"/>
        <w:jc w:val="start"/>
        <w:tblBorders>
          <w:top w:val="single" w:sz="4" w:color="9DB2D6"/>
          <w:left w:val="single" w:sz="4" w:color="9DB2D6"/>
          <w:bottom w:val="single" w:sz="4" w:color="9DB2D6"/>
          <w:right w:val="single" w:sz="4" w:color="9DB2D6"/>
          <w:insideH w:val="single" w:sz="4" w:color="9DB2D6"/>
          <w:insideV w:val="single" w:sz="4" w:color="9DB2D6"/>
        </w:tblBorders>
        <w:tblLayout w:type="fixed"/>
      </w:tblPr>
      <w:tblGrid>
        <w:gridCol w:w="396"/>
        <w:gridCol w:w="3572"/>
        <w:gridCol w:w="1417"/>
        <w:gridCol w:w="3628"/>
        <w:gridCol w:w="3628"/>
        <w:gridCol w:w="2381"/>
      </w:tblGrid>
      <w:tr>
        <w:trPr>
          <w:tblHeader w:val="true"/>
        </w:trPr>
        <w:tc>
          <w:tcPr>
            <w:tcW w:type="dxa" w:w="397"/>
            <w:shd w:val="clear" w:fill="DCE6F2"/>
          </w:tcPr>
          <w:p>
            <w:pPr>
              <w:pStyle w:val="Compact"/>
              <w:jc w:val="left"/>
            </w:pPr>
            <w:r>
              <w:rPr>
                <w:b/>
                <w:sz w:val="19"/>
              </w:rPr>
              <w:t xml:space="preserve">#</w:t>
            </w:r>
          </w:p>
        </w:tc>
        <w:tc>
          <w:tcPr>
            <w:tcW w:type="dxa" w:w="3572"/>
            <w:shd w:val="clear" w:fill="DCE6F2"/>
          </w:tcPr>
          <w:p>
            <w:pPr>
              <w:pStyle w:val="Compact"/>
              <w:jc w:val="left"/>
            </w:pPr>
            <w:r>
              <w:rPr>
                <w:b/>
                <w:sz w:val="19"/>
              </w:rPr>
              <w:t xml:space="preserve">Paper</w:t>
            </w:r>
          </w:p>
        </w:tc>
        <w:tc>
          <w:tcPr>
            <w:tcW w:type="dxa" w:w="1417"/>
            <w:shd w:val="clear" w:fill="DCE6F2"/>
          </w:tcPr>
          <w:p>
            <w:pPr>
              <w:pStyle w:val="Compact"/>
              <w:jc w:val="left"/>
            </w:pPr>
            <w:r>
              <w:rPr>
                <w:b/>
                <w:sz w:val="19"/>
              </w:rPr>
              <w:t xml:space="preserve">Situation</w:t>
            </w:r>
          </w:p>
        </w:tc>
        <w:tc>
          <w:tcPr>
            <w:tcW w:type="dxa" w:w="3628"/>
            <w:shd w:val="clear" w:fill="DCE6F2"/>
          </w:tcPr>
          <w:p>
            <w:pPr>
              <w:pStyle w:val="Compact"/>
              <w:jc w:val="left"/>
            </w:pPr>
            <w:r>
              <w:rPr>
                <w:b/>
                <w:sz w:val="19"/>
              </w:rPr>
              <w:t xml:space="preserve">Mathematical tool for the decision</w:t>
            </w:r>
          </w:p>
        </w:tc>
        <w:tc>
          <w:tcPr>
            <w:tcW w:type="dxa" w:w="3628"/>
            <w:shd w:val="clear" w:fill="DCE6F2"/>
          </w:tcPr>
          <w:p>
            <w:pPr>
              <w:pStyle w:val="Compact"/>
              <w:jc w:val="left"/>
            </w:pPr>
            <w:r>
              <w:rPr>
                <w:b/>
                <w:sz w:val="19"/>
              </w:rPr>
              <w:t xml:space="preserve">What it changes in our model</w:t>
            </w:r>
          </w:p>
        </w:tc>
        <w:tc>
          <w:tcPr>
            <w:tcW w:type="dxa" w:w="2381"/>
            <w:shd w:val="clear" w:fill="DCE6F2"/>
          </w:tcPr>
          <w:p>
            <w:pPr>
              <w:pStyle w:val="Compact"/>
              <w:jc w:val="left"/>
            </w:pPr>
            <w:r>
              <w:rPr>
                <w:b/>
                <w:sz w:val="19"/>
              </w:rPr>
              <w:t xml:space="preserve">Innovation</w:t>
            </w:r>
          </w:p>
        </w:tc>
      </w:tr>
      <w:tr>
        <w:tc>
          <w:tcPr>
            <w:tcW w:type="dxa" w:w="397"/>
          </w:tcPr>
          <w:p>
            <w:pPr>
              <w:pStyle w:val="Compact"/>
              <w:jc w:val="left"/>
            </w:pPr>
            <w:r>
              <w:rPr>
                <w:sz w:val="19"/>
              </w:rPr>
              <w:t xml:space="preserve">16</w:t>
            </w:r>
          </w:p>
        </w:tc>
        <w:tc>
          <w:tcPr>
            <w:tcW w:type="dxa" w:w="3572"/>
          </w:tcPr>
          <w:p>
            <w:pPr>
              <w:pStyle w:val="Compact"/>
              <w:jc w:val="left"/>
            </w:pPr>
            <w:r>
              <w:rPr>
                <w:sz w:val="19"/>
              </w:rPr>
              <w:t xml:space="preserve">Bertsimas &amp; Kallus (2020). From predictive to prescriptive analytics. Management Science 66, 1025–1044. doi:10.1287/mnsc.2018.3253</w:t>
            </w:r>
          </w:p>
        </w:tc>
        <w:tc>
          <w:tcPr>
            <w:tcW w:type="dxa" w:w="1417"/>
          </w:tcPr>
          <w:p>
            <w:pPr>
              <w:pStyle w:val="Compact"/>
              <w:jc w:val="left"/>
            </w:pPr>
            <w:r>
              <w:rPr>
                <w:sz w:val="19"/>
              </w:rPr>
              <w:t xml:space="preserve">Normal operation</w:t>
            </w:r>
          </w:p>
        </w:tc>
        <w:tc>
          <w:tcPr>
            <w:tcW w:type="dxa" w:w="3628"/>
          </w:tcPr>
          <w:p>
            <w:pPr>
              <w:pStyle w:val="Compact"/>
              <w:jc w:val="left"/>
            </w:pPr>
            <w:r>
              <w:rPr>
                <w:sz w:val="19"/>
              </w:rPr>
              <w:t xml:space="preserve">Decision from data:</w:t>
            </w:r>
            <w:r>
              <w:rPr>
                <w:sz w:val="19"/>
              </w:rPr>
              <w:t xml:space="preserve"> </w:t>
            </w:r>
            <m:oMath>
              <m:acc>
                <m:accPr>
                  <m:chr m:val="̂"/>
                </m:accPr>
                <m:e>
                  <m:r>
                    <m:t>z</m:t>
                  </m:r>
                </m:e>
              </m:acc>
              <m:d>
                <m:dPr>
                  <m:begChr m:val="("/>
                  <m:endChr m:val=")"/>
                  <m:sepChr m:val=""/>
                  <m:grow/>
                </m:dPr>
                <m:e>
                  <m:r>
                    <m:t>x</m:t>
                  </m:r>
                </m:e>
              </m:d>
              <m:r>
                <m:rPr>
                  <m:sty m:val="p"/>
                </m:rPr>
                <m:t>=</m:t>
              </m:r>
              <m:r>
                <m:rPr>
                  <m:sty m:val="p"/>
                </m:rPr>
                <m:t>arg</m:t>
              </m:r>
              <m:sSub>
                <m:e>
                  <m:r>
                    <m:rPr>
                      <m:sty m:val="p"/>
                    </m:rPr>
                    <m:t>min</m:t>
                  </m:r>
                </m:e>
                <m:sub>
                  <m:r>
                    <m:t>z</m:t>
                  </m:r>
                </m:sub>
              </m:sSub>
              <m:nary>
                <m:naryPr>
                  <m:chr m:val="∑"/>
                  <m:limLoc m:val="undOvr"/>
                  <m:subHide m:val="off"/>
                  <m:supHide m:val="on"/>
                </m:naryPr>
                <m:sub>
                  <m:r>
                    <m:t>i</m:t>
                  </m:r>
                </m:sub>
                <m:sup>
                  <m:r>
                    <m:t>​</m:t>
                  </m:r>
                </m:sup>
                <m:e>
                  <m:sSub>
                    <m:e>
                      <m:r>
                        <m:t>w</m:t>
                      </m:r>
                    </m:e>
                    <m:sub>
                      <m:r>
                        <m:t>i</m:t>
                      </m:r>
                    </m:sub>
                  </m:sSub>
                </m:e>
              </m:nary>
              <m:d>
                <m:dPr>
                  <m:begChr m:val="("/>
                  <m:endChr m:val=")"/>
                  <m:sepChr m:val=""/>
                  <m:grow/>
                </m:dPr>
                <m:e>
                  <m:r>
                    <m:t>x</m:t>
                  </m:r>
                </m:e>
              </m:d>
              <m:r>
                <m:t> </m:t>
              </m:r>
              <m:r>
                <m:t>c</m:t>
              </m:r>
              <m:d>
                <m:dPr>
                  <m:begChr m:val="("/>
                  <m:endChr m:val=")"/>
                  <m:sepChr m:val=""/>
                  <m:grow/>
                </m:dPr>
                <m:e>
                  <m:r>
                    <m:t>z</m:t>
                  </m:r>
                  <m:r>
                    <m:rPr>
                      <m:sty m:val="p"/>
                    </m:rPr>
                    <m:t>;</m:t>
                  </m:r>
                  <m:sSub>
                    <m:e>
                      <m:r>
                        <m:t>y</m:t>
                      </m:r>
                    </m:e>
                    <m:sub>
                      <m:r>
                        <m:t>i</m:t>
                      </m:r>
                    </m:sub>
                  </m:sSub>
                </m:e>
              </m:d>
            </m:oMath>
            <w:r>
              <w:rPr>
                <w:sz w:val="19"/>
              </w:rPr>
              <w:t xml:space="preserve"> </w:t>
            </w:r>
            <w:r>
              <w:rPr>
                <w:sz w:val="19"/>
              </w:rPr>
              <w:t xml:space="preserve">with weights from kNN, trees or forests, scored by a coefficient of prescriptiveness.</w:t>
            </w:r>
          </w:p>
        </w:tc>
        <w:tc>
          <w:tcPr>
            <w:tcW w:type="dxa" w:w="3628"/>
          </w:tcPr>
          <w:p>
            <w:pPr>
              <w:pStyle w:val="Compact"/>
              <w:jc w:val="left"/>
            </w:pPr>
            <w:r>
              <w:rPr>
                <w:sz w:val="19"/>
              </w:rPr>
              <w:t xml:space="preserve">Pumping chosen from the covariates the utility has (last season’s rainfall, heads); cut after a dry year.</w:t>
            </w:r>
          </w:p>
        </w:tc>
        <w:tc>
          <w:tcPr>
            <w:tcW w:type="dxa" w:w="2381"/>
          </w:tcPr>
          <w:p>
            <w:pPr>
              <w:pStyle w:val="Compact"/>
              <w:jc w:val="left"/>
            </w:pPr>
            <w:r>
              <w:rPr>
                <w:sz w:val="19"/>
              </w:rPr>
              <w:t xml:space="preserve">Prescriptiveness as the value of a monitoring well.</w:t>
            </w:r>
          </w:p>
        </w:tc>
      </w:tr>
      <w:tr>
        <w:tc>
          <w:tcPr>
            <w:tcW w:type="dxa" w:w="397"/>
          </w:tcPr>
          <w:p>
            <w:pPr>
              <w:pStyle w:val="Compact"/>
              <w:jc w:val="left"/>
            </w:pPr>
            <w:r>
              <w:rPr>
                <w:sz w:val="19"/>
              </w:rPr>
              <w:t xml:space="preserve">17</w:t>
            </w:r>
          </w:p>
        </w:tc>
        <w:tc>
          <w:tcPr>
            <w:tcW w:type="dxa" w:w="3572"/>
          </w:tcPr>
          <w:p>
            <w:pPr>
              <w:pStyle w:val="Compact"/>
              <w:jc w:val="left"/>
            </w:pPr>
            <w:r>
              <w:rPr>
                <w:sz w:val="19"/>
              </w:rPr>
              <w:t xml:space="preserve">Barthel Sorensen, Charalampopoulos, Zhang, Harrop, Leung &amp; Sapsis (2024). A non-intrusive machine learning framework for debiasing long-time coarse resolution climate simulations and quantifying rare events statistics. JAMES 16, e2023MS004122. doi:10.1029/2023MS004122</w:t>
            </w:r>
          </w:p>
        </w:tc>
        <w:tc>
          <w:tcPr>
            <w:tcW w:type="dxa" w:w="1417"/>
          </w:tcPr>
          <w:p>
            <w:pPr>
              <w:pStyle w:val="Compact"/>
              <w:jc w:val="left"/>
            </w:pPr>
            <w:r>
              <w:rPr>
                <w:sz w:val="19"/>
              </w:rPr>
              <w:t xml:space="preserve">Extremes</w:t>
            </w:r>
          </w:p>
        </w:tc>
        <w:tc>
          <w:tcPr>
            <w:tcW w:type="dxa" w:w="3628"/>
          </w:tcPr>
          <w:p>
            <w:pPr>
              <w:pStyle w:val="Compact"/>
              <w:jc w:val="left"/>
            </w:pPr>
            <w:r>
              <w:rPr>
                <w:sz w:val="19"/>
              </w:rPr>
              <w:t xml:space="preserve">Neural correction operator trained on a short nudged run; return periods two orders of magnitude beyond the training data; 8 years of training gave 30-year statistics close to ERA5.</w:t>
            </w:r>
          </w:p>
        </w:tc>
        <w:tc>
          <w:tcPr>
            <w:tcW w:type="dxa" w:w="3628"/>
          </w:tcPr>
          <w:p>
            <w:pPr>
              <w:pStyle w:val="Compact"/>
              <w:jc w:val="left"/>
            </w:pPr>
            <w:r>
              <w:rPr>
                <w:sz w:val="19"/>
              </w:rPr>
              <w:t xml:space="preserve">Debiased long runs of the recharge drivers give the return period of an exceedance at the screen.</w:t>
            </w:r>
          </w:p>
        </w:tc>
        <w:tc>
          <w:tcPr>
            <w:tcW w:type="dxa" w:w="2381"/>
          </w:tcPr>
          <w:p>
            <w:pPr>
              <w:pStyle w:val="Compact"/>
              <w:jc w:val="left"/>
            </w:pPr>
            <w:r>
              <w:rPr>
                <w:sz w:val="19"/>
              </w:rPr>
              <w:t xml:space="preserve">Exceedance return periods for the supply well.</w:t>
            </w:r>
          </w:p>
        </w:tc>
      </w:tr>
      <w:tr>
        <w:tc>
          <w:tcPr>
            <w:tcW w:type="dxa" w:w="397"/>
          </w:tcPr>
          <w:p>
            <w:pPr>
              <w:pStyle w:val="Compact"/>
              <w:jc w:val="left"/>
            </w:pPr>
            <w:r>
              <w:rPr>
                <w:sz w:val="19"/>
              </w:rPr>
              <w:t xml:space="preserve">18</w:t>
            </w:r>
          </w:p>
        </w:tc>
        <w:tc>
          <w:tcPr>
            <w:tcW w:type="dxa" w:w="3572"/>
          </w:tcPr>
          <w:p>
            <w:pPr>
              <w:pStyle w:val="Compact"/>
              <w:jc w:val="left"/>
            </w:pPr>
            <w:r>
              <w:rPr>
                <w:sz w:val="19"/>
              </w:rPr>
              <w:t xml:space="preserve">Schlosser, Sokolov, Strzepek, Thomas, Gao &amp; Arndt (2021). The changing nature of hydroclimatic risks across South Africa. Climatic Change 168, 28. doi:10.1007/s10584-021-03235-5</w:t>
            </w:r>
          </w:p>
        </w:tc>
        <w:tc>
          <w:tcPr>
            <w:tcW w:type="dxa" w:w="1417"/>
          </w:tcPr>
          <w:p>
            <w:pPr>
              <w:pStyle w:val="Compact"/>
              <w:jc w:val="left"/>
            </w:pPr>
            <w:r>
              <w:rPr>
                <w:sz w:val="19"/>
              </w:rPr>
              <w:t xml:space="preserve">Drought</w:t>
            </w:r>
          </w:p>
        </w:tc>
        <w:tc>
          <w:tcPr>
            <w:tcW w:type="dxa" w:w="3628"/>
          </w:tcPr>
          <w:p>
            <w:pPr>
              <w:pStyle w:val="Compact"/>
              <w:jc w:val="left"/>
            </w:pPr>
            <w:r>
              <w:rPr>
                <w:sz w:val="19"/>
              </w:rPr>
              <w:t xml:space="preserve">7,200-member hybrid ensembles (global Monte Carlo × regional patterns); drying risk 3–4× the wetting risk in western and central South Africa.</w:t>
            </w:r>
          </w:p>
        </w:tc>
        <w:tc>
          <w:tcPr>
            <w:tcW w:type="dxa" w:w="3628"/>
          </w:tcPr>
          <w:p>
            <w:pPr>
              <w:pStyle w:val="Compact"/>
              <w:jc w:val="left"/>
            </w:pPr>
            <w:r>
              <w:rPr>
                <w:sz w:val="19"/>
              </w:rPr>
              <w:t xml:space="preserve">A drifting, skewed recharge: the margin should be asymmetric, larger on the drought side.</w:t>
            </w:r>
          </w:p>
        </w:tc>
        <w:tc>
          <w:tcPr>
            <w:tcW w:type="dxa" w:w="2381"/>
          </w:tcPr>
          <w:p>
            <w:pPr>
              <w:pStyle w:val="Compact"/>
              <w:jc w:val="left"/>
            </w:pPr>
            <w:r>
              <w:rPr>
                <w:sz w:val="19"/>
              </w:rPr>
              <w:t xml:space="preserve">Drought-side margin.</w:t>
            </w:r>
          </w:p>
        </w:tc>
      </w:tr>
      <w:tr>
        <w:tc>
          <w:tcPr>
            <w:tcW w:type="dxa" w:w="397"/>
          </w:tcPr>
          <w:p>
            <w:pPr>
              <w:pStyle w:val="Compact"/>
              <w:jc w:val="left"/>
            </w:pPr>
            <w:r>
              <w:rPr>
                <w:sz w:val="19"/>
              </w:rPr>
              <w:t xml:space="preserve">19</w:t>
            </w:r>
          </w:p>
        </w:tc>
        <w:tc>
          <w:tcPr>
            <w:tcW w:type="dxa" w:w="3572"/>
          </w:tcPr>
          <w:p>
            <w:pPr>
              <w:pStyle w:val="Compact"/>
              <w:jc w:val="left"/>
            </w:pPr>
            <w:r>
              <w:rPr>
                <w:sz w:val="19"/>
              </w:rPr>
              <w:t xml:space="preserve">Abadie (2021). Using synthetic controls: feasibility, data requirements, and methodological aspects. J. Econ. Lit. 59, 391–425. doi:10.1257/jel.20191450</w:t>
            </w:r>
          </w:p>
        </w:tc>
        <w:tc>
          <w:tcPr>
            <w:tcW w:type="dxa" w:w="1417"/>
          </w:tcPr>
          <w:p>
            <w:pPr>
              <w:pStyle w:val="Compact"/>
              <w:jc w:val="left"/>
            </w:pPr>
            <w:r>
              <w:rPr>
                <w:sz w:val="19"/>
              </w:rPr>
              <w:t xml:space="preserve">Causal</w:t>
            </w:r>
          </w:p>
        </w:tc>
        <w:tc>
          <w:tcPr>
            <w:tcW w:type="dxa" w:w="3628"/>
          </w:tcPr>
          <w:p>
            <w:pPr>
              <w:pStyle w:val="Compact"/>
              <w:jc w:val="left"/>
            </w:pPr>
            <w:r>
              <w:rPr>
                <w:sz w:val="19"/>
              </w:rPr>
              <w:t xml:space="preserve">Synthetic control: weights</w:t>
            </w:r>
            <w:r>
              <w:rPr>
                <w:sz w:val="19"/>
              </w:rPr>
              <w:t xml:space="preserve"> </w:t>
            </w:r>
            <m:oMath>
              <m:sSub>
                <m:e>
                  <m:r>
                    <m:t>w</m:t>
                  </m:r>
                </m:e>
                <m:sub>
                  <m:r>
                    <m:t>j</m:t>
                  </m:r>
                </m:sub>
              </m:sSub>
              <m:r>
                <m:rPr>
                  <m:sty m:val="p"/>
                </m:rPr>
                <m:t>≥</m:t>
              </m:r>
              <m:r>
                <m:t>0</m:t>
              </m:r>
              <m:r>
                <m:rPr>
                  <m:sty m:val="p"/>
                </m:rPr>
                <m:t>,</m:t>
              </m:r>
              <m:r>
                <m:t> </m:t>
              </m:r>
              <m:r>
                <m:rPr>
                  <m:sty m:val="p"/>
                </m:rPr>
                <m:t>∑</m:t>
              </m:r>
              <m:sSub>
                <m:e>
                  <m:r>
                    <m:t>w</m:t>
                  </m:r>
                </m:e>
                <m:sub>
                  <m:r>
                    <m:t>j</m:t>
                  </m:r>
                </m:sub>
              </m:sSub>
              <m:r>
                <m:rPr>
                  <m:sty m:val="p"/>
                </m:rPr>
                <m:t>=</m:t>
              </m:r>
              <m:r>
                <m:t>1</m:t>
              </m:r>
            </m:oMath>
            <w:r>
              <w:rPr>
                <w:sz w:val="19"/>
              </w:rPr>
              <w:t xml:space="preserve"> </w:t>
            </w:r>
            <w:r>
              <w:rPr>
                <w:sz w:val="19"/>
              </w:rPr>
              <w:t xml:space="preserve">match the pre-change path; the counterfactual is</w:t>
            </w:r>
            <w:r>
              <w:rPr>
                <w:sz w:val="19"/>
              </w:rPr>
              <w:t xml:space="preserve"> </w:t>
            </w:r>
            <m:oMath>
              <m:nary>
                <m:naryPr>
                  <m:chr m:val="∑"/>
                  <m:limLoc m:val="undOvr"/>
                  <m:subHide m:val="off"/>
                  <m:supHide m:val="on"/>
                </m:naryPr>
                <m:sub>
                  <m:r>
                    <m:t>j</m:t>
                  </m:r>
                </m:sub>
                <m:sup>
                  <m:r>
                    <m:t>​</m:t>
                  </m:r>
                </m:sup>
                <m:e>
                  <m:sSub>
                    <m:e>
                      <m:r>
                        <m:t>w</m:t>
                      </m:r>
                    </m:e>
                    <m:sub>
                      <m:r>
                        <m:t>j</m:t>
                      </m:r>
                    </m:sub>
                  </m:sSub>
                </m:e>
              </m:nary>
              <m:sSub>
                <m:e>
                  <m:r>
                    <m:t>Y</m:t>
                  </m:r>
                </m:e>
                <m:sub>
                  <m:r>
                    <m:t>j</m:t>
                  </m:r>
                  <m:r>
                    <m:t>t</m:t>
                  </m:r>
                </m:sub>
              </m:sSub>
            </m:oMath>
            <w:r>
              <w:rPr>
                <w:sz w:val="19"/>
              </w:rPr>
              <w:t xml:space="preserve">.</w:t>
            </w:r>
          </w:p>
        </w:tc>
        <w:tc>
          <w:tcPr>
            <w:tcW w:type="dxa" w:w="3628"/>
          </w:tcPr>
          <w:p>
            <w:pPr>
              <w:pStyle w:val="Compact"/>
              <w:jc w:val="left"/>
            </w:pPr>
            <w:r>
              <w:rPr>
                <w:sz w:val="19"/>
              </w:rPr>
              <w:t xml:space="preserve">Counterfactual chloride path after the pumping change, from donor wells outside the cone of depression.</w:t>
            </w:r>
          </w:p>
        </w:tc>
        <w:tc>
          <w:tcPr>
            <w:tcW w:type="dxa" w:w="2381"/>
          </w:tcPr>
          <w:p>
            <w:pPr>
              <w:pStyle w:val="Compact"/>
              <w:jc w:val="left"/>
            </w:pPr>
            <w:r>
              <w:rPr>
                <w:sz w:val="19"/>
              </w:rPr>
              <w:t xml:space="preserve">Synthetic-control check of the decision effect.</w:t>
            </w:r>
          </w:p>
        </w:tc>
      </w:tr>
      <w:tr>
        <w:tc>
          <w:tcPr>
            <w:tcW w:type="dxa" w:w="397"/>
          </w:tcPr>
          <w:p>
            <w:pPr>
              <w:pStyle w:val="Compact"/>
              <w:jc w:val="left"/>
            </w:pPr>
            <w:r>
              <w:rPr>
                <w:sz w:val="19"/>
              </w:rPr>
              <w:t xml:space="preserve">20</w:t>
            </w:r>
          </w:p>
        </w:tc>
        <w:tc>
          <w:tcPr>
            <w:tcW w:type="dxa" w:w="3572"/>
          </w:tcPr>
          <w:p>
            <w:pPr>
              <w:pStyle w:val="Compact"/>
              <w:jc w:val="left"/>
            </w:pPr>
            <w:r>
              <w:rPr>
                <w:sz w:val="19"/>
              </w:rPr>
              <w:t xml:space="preserve">Chernozhukov, Wüthrich &amp; Zhu (2021). An exact and robust conformal inference method for counterfactual and synthetic controls. JASA 116, 1849–1864. doi:10.1080/01621459.2021.1920957</w:t>
            </w:r>
          </w:p>
        </w:tc>
        <w:tc>
          <w:tcPr>
            <w:tcW w:type="dxa" w:w="1417"/>
          </w:tcPr>
          <w:p>
            <w:pPr>
              <w:pStyle w:val="Compact"/>
              <w:jc w:val="left"/>
            </w:pPr>
            <w:r>
              <w:rPr>
                <w:sz w:val="19"/>
              </w:rPr>
              <w:t xml:space="preserve">Causal; break detection</w:t>
            </w:r>
          </w:p>
        </w:tc>
        <w:tc>
          <w:tcPr>
            <w:tcW w:type="dxa" w:w="3628"/>
          </w:tcPr>
          <w:p>
            <w:pPr>
              <w:pStyle w:val="Compact"/>
              <w:jc w:val="left"/>
            </w:pPr>
            <w:r>
              <w:rPr>
                <w:sz w:val="19"/>
              </w:rPr>
              <w:t xml:space="preserve">Permutation (conformal) tests for counterfactuals; exact under exchangeable residuals, approximately valid under dependence.</w:t>
            </w:r>
          </w:p>
        </w:tc>
        <w:tc>
          <w:tcPr>
            <w:tcW w:type="dxa" w:w="3628"/>
          </w:tcPr>
          <w:p>
            <w:pPr>
              <w:pStyle w:val="Compact"/>
              <w:jc w:val="left"/>
            </w:pPr>
            <w:r>
              <w:rPr>
                <w:sz w:val="19"/>
              </w:rPr>
              <w:t xml:space="preserve">A test for a regime break triggers re-anchoring when needed, not only once a year.</w:t>
            </w:r>
          </w:p>
        </w:tc>
        <w:tc>
          <w:tcPr>
            <w:tcW w:type="dxa" w:w="2381"/>
          </w:tcPr>
          <w:p>
            <w:pPr>
              <w:pStyle w:val="Compact"/>
              <w:jc w:val="left"/>
            </w:pPr>
            <w:r>
              <w:rPr>
                <w:sz w:val="19"/>
              </w:rPr>
              <w:t xml:space="preserve">The trigger of ROJA-GO.</w:t>
            </w:r>
          </w:p>
        </w:tc>
      </w:tr>
    </w:tbl>
    <w:bookmarkEnd w:id="24"/>
    <w:bookmarkEnd w:id="25"/>
    <w:bookmarkStart w:id="26" w:name="how-each-situation-enters-the-model"/>
    <w:p>
      <w:pPr>
        <w:pStyle w:val="Heading2"/>
      </w:pPr>
      <w:r>
        <w:t xml:space="preserve">3. How each situation enters the model</w:t>
      </w:r>
    </w:p>
    <w:tbl>
      <w:tblPr>
        <w:tblStyle w:val="Table"/>
        <w:tblW w:type="dxa" w:w="14968"/>
        <w:tblLook w:firstRow="1" w:lastRow="0" w:firstColumn="0" w:lastColumn="0" w:noHBand="0" w:noVBand="0" w:val="0020"/>
        <w:jc w:val="start"/>
        <w:tblBorders>
          <w:top w:val="single" w:sz="4" w:color="9DB2D6"/>
          <w:left w:val="single" w:sz="4" w:color="9DB2D6"/>
          <w:bottom w:val="single" w:sz="4" w:color="9DB2D6"/>
          <w:right w:val="single" w:sz="4" w:color="9DB2D6"/>
          <w:insideH w:val="single" w:sz="4" w:color="9DB2D6"/>
          <w:insideV w:val="single" w:sz="4" w:color="9DB2D6"/>
        </w:tblBorders>
        <w:tblLayout w:type="fixed"/>
      </w:tblPr>
      <w:tblGrid>
        <w:gridCol w:w="1927"/>
        <w:gridCol w:w="4536"/>
        <w:gridCol w:w="5670"/>
        <w:gridCol w:w="2835"/>
      </w:tblGrid>
      <w:tr>
        <w:trPr>
          <w:tblHeader w:val="true"/>
        </w:trPr>
        <w:tc>
          <w:tcPr>
            <w:tcW w:type="dxa" w:w="1928"/>
            <w:shd w:val="clear" w:fill="DCE6F2"/>
          </w:tcPr>
          <w:p>
            <w:pPr>
              <w:pStyle w:val="Compact"/>
              <w:jc w:val="left"/>
            </w:pPr>
            <w:r>
              <w:rPr>
                <w:b/>
                <w:sz w:val="20"/>
              </w:rPr>
              <w:t xml:space="preserve">Situation</w:t>
            </w:r>
          </w:p>
        </w:tc>
        <w:tc>
          <w:tcPr>
            <w:tcW w:type="dxa" w:w="4535"/>
            <w:shd w:val="clear" w:fill="DCE6F2"/>
          </w:tcPr>
          <w:p>
            <w:pPr>
              <w:pStyle w:val="Compact"/>
              <w:jc w:val="left"/>
            </w:pPr>
            <w:r>
              <w:rPr>
                <w:b/>
                <w:sz w:val="20"/>
              </w:rPr>
              <w:t xml:space="preserve">Enters MONTIMI-GO / SPIRANCA-GO through</w:t>
            </w:r>
          </w:p>
        </w:tc>
        <w:tc>
          <w:tcPr>
            <w:tcW w:type="dxa" w:w="5669"/>
            <w:shd w:val="clear" w:fill="DCE6F2"/>
          </w:tcPr>
          <w:p>
            <w:pPr>
              <w:pStyle w:val="Compact"/>
              <w:jc w:val="left"/>
            </w:pPr>
            <w:r>
              <w:rPr>
                <w:b/>
                <w:sz w:val="20"/>
              </w:rPr>
              <w:t xml:space="preserve">What it does to the decision</w:t>
            </w:r>
          </w:p>
        </w:tc>
        <w:tc>
          <w:tcPr>
            <w:tcW w:type="dxa" w:w="2835"/>
            <w:shd w:val="clear" w:fill="DCE6F2"/>
          </w:tcPr>
          <w:p>
            <w:pPr>
              <w:pStyle w:val="Compact"/>
              <w:jc w:val="left"/>
            </w:pPr>
            <w:r>
              <w:rPr>
                <w:b/>
                <w:sz w:val="20"/>
              </w:rPr>
              <w:t xml:space="preserve">Papers</w:t>
            </w:r>
          </w:p>
        </w:tc>
      </w:tr>
      <w:tr>
        <w:tc>
          <w:tcPr>
            <w:tcW w:type="dxa" w:w="1928"/>
          </w:tcPr>
          <w:p>
            <w:pPr>
              <w:pStyle w:val="Compact"/>
              <w:jc w:val="left"/>
            </w:pPr>
            <w:r>
              <w:rPr>
                <w:sz w:val="20"/>
              </w:rPr>
              <w:t xml:space="preserve">Ordinary weather</w:t>
            </w:r>
          </w:p>
        </w:tc>
        <w:tc>
          <w:tcPr>
            <w:tcW w:type="dxa" w:w="4535"/>
          </w:tcPr>
          <w:p>
            <w:pPr>
              <w:pStyle w:val="Compact"/>
              <w:jc w:val="left"/>
            </w:pPr>
            <w:r>
              <w:rPr>
                <w:sz w:val="20"/>
              </w:rPr>
              <w:t xml:space="preserve">inland inflow scaled by recharge; rainfall anchor</w:t>
            </w:r>
            <w:r>
              <w:rPr>
                <w:sz w:val="20"/>
              </w:rPr>
              <w:t xml:space="preserve"> </w:t>
            </w:r>
            <m:oMath>
              <m:r>
                <m:t>r</m:t>
              </m:r>
            </m:oMath>
            <w:r>
              <w:rPr>
                <w:sz w:val="20"/>
              </w:rPr>
              <w:t xml:space="preserve"> </w:t>
            </w:r>
            <w:r>
              <w:rPr>
                <w:sz w:val="20"/>
              </w:rPr>
              <w:t xml:space="preserve">(persistence 0.7)</w:t>
            </w:r>
          </w:p>
        </w:tc>
        <w:tc>
          <w:tcPr>
            <w:tcW w:type="dxa" w:w="5669"/>
          </w:tcPr>
          <w:p>
            <w:pPr>
              <w:pStyle w:val="Compact"/>
              <w:jc w:val="left"/>
            </w:pPr>
            <w:r>
              <w:rPr>
                <w:sz w:val="20"/>
              </w:rPr>
              <w:t xml:space="preserve">the static certificate holds; forecasts of a few seasons are enough</w:t>
            </w:r>
          </w:p>
        </w:tc>
        <w:tc>
          <w:tcPr>
            <w:tcW w:type="dxa" w:w="2835"/>
          </w:tcPr>
          <w:p>
            <w:pPr>
              <w:pStyle w:val="Compact"/>
              <w:jc w:val="left"/>
            </w:pPr>
            <w:r>
              <w:rPr>
                <w:sz w:val="20"/>
              </w:rPr>
              <w:t xml:space="preserve">6, 16</w:t>
            </w:r>
          </w:p>
        </w:tc>
      </w:tr>
      <w:tr>
        <w:tc>
          <w:tcPr>
            <w:tcW w:type="dxa" w:w="1928"/>
          </w:tcPr>
          <w:p>
            <w:pPr>
              <w:pStyle w:val="Compact"/>
              <w:jc w:val="left"/>
            </w:pPr>
            <w:r>
              <w:rPr>
                <w:sz w:val="20"/>
              </w:rPr>
              <w:t xml:space="preserve">Intense rainfall</w:t>
            </w:r>
          </w:p>
        </w:tc>
        <w:tc>
          <w:tcPr>
            <w:tcW w:type="dxa" w:w="4535"/>
          </w:tcPr>
          <w:p>
            <w:pPr>
              <w:pStyle w:val="Compact"/>
              <w:jc w:val="left"/>
            </w:pPr>
            <w:r>
              <w:rPr>
                <w:sz w:val="20"/>
              </w:rPr>
              <w:t xml:space="preserve">the gauge records much more than infiltrates:</w:t>
            </w:r>
            <w:r>
              <w:rPr>
                <w:sz w:val="20"/>
              </w:rPr>
              <w:t xml:space="preserve"> </w:t>
            </w:r>
            <m:oMath>
              <m:sSub>
                <m:e>
                  <m:r>
                    <m:t>r</m:t>
                  </m:r>
                </m:e>
                <m:sub>
                  <m:r>
                    <m:rPr>
                      <m:sty m:val="p"/>
                    </m:rPr>
                    <m:t>g</m:t>
                  </m:r>
                  <m:r>
                    <m:rPr>
                      <m:sty m:val="p"/>
                    </m:rPr>
                    <m:t>a</m:t>
                  </m:r>
                  <m:r>
                    <m:rPr>
                      <m:sty m:val="p"/>
                    </m:rPr>
                    <m:t>u</m:t>
                  </m:r>
                  <m:r>
                    <m:rPr>
                      <m:sty m:val="p"/>
                    </m:rPr>
                    <m:t>g</m:t>
                  </m:r>
                  <m:r>
                    <m:rPr>
                      <m:sty m:val="p"/>
                    </m:rPr>
                    <m:t>e</m:t>
                  </m:r>
                </m:sub>
              </m:sSub>
              <m:r>
                <m:rPr>
                  <m:sty m:val="p"/>
                </m:rPr>
                <m:t>≠</m:t>
              </m:r>
              <m:sSub>
                <m:e>
                  <m:r>
                    <m:t>r</m:t>
                  </m:r>
                </m:e>
                <m:sub>
                  <m:r>
                    <m:rPr>
                      <m:sty m:val="p"/>
                    </m:rPr>
                    <m:t>e</m:t>
                  </m:r>
                  <m:r>
                    <m:rPr>
                      <m:sty m:val="p"/>
                    </m:rPr>
                    <m:t>f</m:t>
                  </m:r>
                  <m:r>
                    <m:rPr>
                      <m:sty m:val="p"/>
                    </m:rPr>
                    <m:t>f</m:t>
                  </m:r>
                </m:sub>
              </m:sSub>
            </m:oMath>
          </w:p>
        </w:tc>
        <w:tc>
          <w:tcPr>
            <w:tcW w:type="dxa" w:w="5669"/>
          </w:tcPr>
          <w:p>
            <w:pPr>
              <w:pStyle w:val="Compact"/>
              <w:jc w:val="left"/>
            </w:pPr>
            <w:r>
              <w:rPr>
                <w:sz w:val="20"/>
              </w:rPr>
              <w:t xml:space="preserve">the alarm reads the gauge and predicts a freshening that does not come; the anchor itself breaks</w:t>
            </w:r>
          </w:p>
        </w:tc>
        <w:tc>
          <w:tcPr>
            <w:tcW w:type="dxa" w:w="2835"/>
          </w:tcPr>
          <w:p>
            <w:pPr>
              <w:pStyle w:val="Compact"/>
              <w:jc w:val="left"/>
            </w:pPr>
            <w:r>
              <w:rPr>
                <w:sz w:val="20"/>
              </w:rPr>
              <w:t xml:space="preserve">1, 8, 14, 15, 17</w:t>
            </w:r>
          </w:p>
        </w:tc>
      </w:tr>
      <w:tr>
        <w:tc>
          <w:tcPr>
            <w:tcW w:type="dxa" w:w="1928"/>
          </w:tcPr>
          <w:p>
            <w:pPr>
              <w:pStyle w:val="Compact"/>
              <w:jc w:val="left"/>
            </w:pPr>
            <w:r>
              <w:rPr>
                <w:sz w:val="20"/>
              </w:rPr>
              <w:t xml:space="preserve">Drought</w:t>
            </w:r>
          </w:p>
        </w:tc>
        <w:tc>
          <w:tcPr>
            <w:tcW w:type="dxa" w:w="4535"/>
          </w:tcPr>
          <w:p>
            <w:pPr>
              <w:pStyle w:val="Compact"/>
              <w:jc w:val="left"/>
            </w:pPr>
            <w:r>
              <w:rPr>
                <w:sz w:val="20"/>
              </w:rPr>
              <w:t xml:space="preserve">inland inflow falls for years, beyond any season of the record</w:t>
            </w:r>
          </w:p>
        </w:tc>
        <w:tc>
          <w:tcPr>
            <w:tcW w:type="dxa" w:w="5669"/>
          </w:tcPr>
          <w:p>
            <w:pPr>
              <w:pStyle w:val="Compact"/>
              <w:jc w:val="left"/>
            </w:pPr>
            <w:r>
              <w:rPr>
                <w:sz w:val="20"/>
              </w:rPr>
              <w:t xml:space="preserve">extrapolation beyond the record; drift speeds up</w:t>
            </w:r>
          </w:p>
        </w:tc>
        <w:tc>
          <w:tcPr>
            <w:tcW w:type="dxa" w:w="2835"/>
          </w:tcPr>
          <w:p>
            <w:pPr>
              <w:pStyle w:val="Compact"/>
              <w:jc w:val="left"/>
            </w:pPr>
            <w:r>
              <w:rPr>
                <w:sz w:val="20"/>
              </w:rPr>
              <w:t xml:space="preserve">2, 3, 4, 9, 18</w:t>
            </w:r>
          </w:p>
        </w:tc>
      </w:tr>
      <w:tr>
        <w:tc>
          <w:tcPr>
            <w:tcW w:type="dxa" w:w="1928"/>
          </w:tcPr>
          <w:p>
            <w:pPr>
              <w:pStyle w:val="Compact"/>
              <w:jc w:val="left"/>
            </w:pPr>
            <w:r>
              <w:rPr>
                <w:sz w:val="20"/>
              </w:rPr>
              <w:t xml:space="preserve">Causal change</w:t>
            </w:r>
          </w:p>
        </w:tc>
        <w:tc>
          <w:tcPr>
            <w:tcW w:type="dxa" w:w="4535"/>
          </w:tcPr>
          <w:p>
            <w:pPr>
              <w:pStyle w:val="Compact"/>
              <w:jc w:val="left"/>
            </w:pPr>
            <w:r>
              <w:rPr>
                <w:sz w:val="20"/>
              </w:rPr>
              <w:t xml:space="preserve">private abstraction responds more strongly than in the record (a changed structural equation, not a shift in span)</w:t>
            </w:r>
          </w:p>
        </w:tc>
        <w:tc>
          <w:tcPr>
            <w:tcW w:type="dxa" w:w="5669"/>
          </w:tcPr>
          <w:p>
            <w:pPr>
              <w:pStyle w:val="Compact"/>
              <w:jc w:val="left"/>
            </w:pPr>
            <w:r>
              <w:rPr>
                <w:sz w:val="20"/>
              </w:rPr>
              <w:t xml:space="preserve">not covered by the anchor certificate; only measurements catch it</w:t>
            </w:r>
          </w:p>
        </w:tc>
        <w:tc>
          <w:tcPr>
            <w:tcW w:type="dxa" w:w="2835"/>
          </w:tcPr>
          <w:p>
            <w:pPr>
              <w:pStyle w:val="Compact"/>
              <w:jc w:val="left"/>
            </w:pPr>
            <w:r>
              <w:rPr>
                <w:sz w:val="20"/>
              </w:rPr>
              <w:t xml:space="preserve">5, 9, 13, 19, 20</w:t>
            </w:r>
          </w:p>
        </w:tc>
      </w:tr>
      <w:tr>
        <w:tc>
          <w:tcPr>
            <w:tcW w:type="dxa" w:w="1928"/>
          </w:tcPr>
          <w:p>
            <w:pPr>
              <w:pStyle w:val="Compact"/>
              <w:jc w:val="left"/>
            </w:pPr>
            <w:r>
              <w:rPr>
                <w:sz w:val="20"/>
              </w:rPr>
              <w:t xml:space="preserve">Sea boundary</w:t>
            </w:r>
          </w:p>
        </w:tc>
        <w:tc>
          <w:tcPr>
            <w:tcW w:type="dxa" w:w="4535"/>
          </w:tcPr>
          <w:p>
            <w:pPr>
              <w:pStyle w:val="Compact"/>
              <w:jc w:val="left"/>
            </w:pPr>
            <w:r>
              <w:rPr>
                <w:sz w:val="20"/>
              </w:rPr>
              <w:t xml:space="preserve">sea level and surge at the sea face</w:t>
            </w:r>
          </w:p>
        </w:tc>
        <w:tc>
          <w:tcPr>
            <w:tcW w:type="dxa" w:w="5669"/>
          </w:tcPr>
          <w:p>
            <w:pPr>
              <w:pStyle w:val="Compact"/>
              <w:jc w:val="left"/>
            </w:pPr>
            <w:r>
              <w:rPr>
                <w:sz w:val="20"/>
              </w:rPr>
              <w:t xml:space="preserve">slow, attributable trend plus short surges</w:t>
            </w:r>
          </w:p>
        </w:tc>
        <w:tc>
          <w:tcPr>
            <w:tcW w:type="dxa" w:w="2835"/>
          </w:tcPr>
          <w:p>
            <w:pPr>
              <w:pStyle w:val="Compact"/>
              <w:jc w:val="left"/>
            </w:pPr>
            <w:r>
              <w:rPr>
                <w:sz w:val="20"/>
              </w:rPr>
              <w:t xml:space="preserve">4, 10</w:t>
            </w:r>
          </w:p>
        </w:tc>
      </w:tr>
      <w:tr>
        <w:tc>
          <w:tcPr>
            <w:tcW w:type="dxa" w:w="1928"/>
          </w:tcPr>
          <w:p>
            <w:pPr>
              <w:pStyle w:val="Compact"/>
              <w:jc w:val="left"/>
            </w:pPr>
            <w:r>
              <w:rPr>
                <w:sz w:val="20"/>
              </w:rPr>
              <w:t xml:space="preserve">Decision rules</w:t>
            </w:r>
          </w:p>
        </w:tc>
        <w:tc>
          <w:tcPr>
            <w:tcW w:type="dxa" w:w="4535"/>
          </w:tcPr>
          <w:p>
            <w:pPr>
              <w:pStyle w:val="Compact"/>
              <w:jc w:val="left"/>
            </w:pPr>
            <w:r>
              <w:rPr>
                <w:sz w:val="20"/>
              </w:rPr>
              <w:t xml:space="preserve">when to cut pumping, how many samples, where to site</w:t>
            </w:r>
          </w:p>
        </w:tc>
        <w:tc>
          <w:tcPr>
            <w:tcW w:type="dxa" w:w="5669"/>
          </w:tcPr>
          <w:p>
            <w:pPr>
              <w:pStyle w:val="Compact"/>
              <w:jc w:val="left"/>
            </w:pPr>
            <w:r>
              <w:rPr>
                <w:sz w:val="20"/>
              </w:rPr>
              <w:t xml:space="preserve">budgets, risk thresholds, regret, prescriptions</w:t>
            </w:r>
          </w:p>
        </w:tc>
        <w:tc>
          <w:tcPr>
            <w:tcW w:type="dxa" w:w="2835"/>
          </w:tcPr>
          <w:p>
            <w:pPr>
              <w:pStyle w:val="Compact"/>
              <w:jc w:val="left"/>
            </w:pPr>
            <w:r>
              <w:rPr>
                <w:sz w:val="20"/>
              </w:rPr>
              <w:t xml:space="preserve">6, 7, 11, 12, 16</w:t>
            </w:r>
          </w:p>
        </w:tc>
      </w:tr>
    </w:tbl>
    <w:bookmarkEnd w:id="26"/>
    <w:bookmarkStart w:id="30" w:name="Xc20019cdf3a3dbcff1db5127d30496e87e74138"/>
    <w:p>
      <w:pPr>
        <w:pStyle w:val="Heading2"/>
      </w:pPr>
      <w:r>
        <w:t xml:space="preserve">4. Innovation: ROJA-GO, the watch that samples when an extreme leaves the record</w:t>
      </w:r>
    </w:p>
    <w:p>
      <w:pPr>
        <w:pStyle w:val="FirstParagraph"/>
      </w:pPr>
      <w:r>
        <w:t xml:space="preserve">After the decision, the alarm error is</w:t>
      </w:r>
      <w:r>
        <w:t xml:space="preserve"> </w:t>
      </w:r>
      <m:oMath>
        <m:sSub>
          <m:e>
            <m:acc>
              <m:accPr>
                <m:chr m:val="̂"/>
              </m:accPr>
              <m:e>
                <m:r>
                  <m:t>Y</m:t>
                </m:r>
              </m:e>
            </m:acc>
          </m:e>
          <m:sub>
            <m:r>
              <m:t>t</m:t>
            </m:r>
          </m:sub>
        </m:sSub>
        <m:r>
          <m:rPr>
            <m:sty m:val="p"/>
          </m:rPr>
          <m:t>−</m:t>
        </m:r>
        <m:sSub>
          <m:e>
            <m:r>
              <m:t>Y</m:t>
            </m:r>
          </m:e>
          <m:sub>
            <m:r>
              <m:t>t</m:t>
            </m:r>
          </m:sub>
        </m:sSub>
        <m:r>
          <m:rPr>
            <m:sty m:val="p"/>
          </m:rPr>
          <m:t>=</m:t>
        </m:r>
        <m:r>
          <m:rPr>
            <m:sty m:val="p"/>
          </m:rPr>
          <m:t>−</m:t>
        </m:r>
        <m:sSub>
          <m:e>
            <m:r>
              <m:t>η</m:t>
            </m:r>
          </m:e>
          <m:sub>
            <m:r>
              <m:t>t</m:t>
            </m:r>
          </m:sub>
        </m:sSub>
        <m:r>
          <m:rPr>
            <m:sty m:val="p"/>
          </m:rPr>
          <m:t>+</m:t>
        </m:r>
        <m:sSub>
          <m:e>
            <m:r>
              <m:t>d</m:t>
            </m:r>
          </m:e>
          <m:sub>
            <m:r>
              <m:t>t</m:t>
            </m:r>
          </m:sub>
        </m:sSub>
      </m:oMath>
      <w:r>
        <w:t xml:space="preserve">, where</w:t>
      </w:r>
      <w:r>
        <w:t xml:space="preserve"> </w:t>
      </w:r>
      <m:oMath>
        <m:sSub>
          <m:e>
            <m:r>
              <m:t>d</m:t>
            </m:r>
          </m:e>
          <m:sub>
            <m:r>
              <m:t>t</m:t>
            </m:r>
          </m:sub>
        </m:sSub>
      </m:oMath>
      <w:r>
        <w:t xml:space="preserve"> </w:t>
      </w:r>
      <w:r>
        <w:t xml:space="preserve">is the drift the record could not foresee, with</w:t>
      </w:r>
      <w:r>
        <w:t xml:space="preserve"> </w:t>
      </w:r>
      <m:oMath>
        <m:d>
          <m:dPr>
            <m:begChr m:val="|"/>
            <m:endChr m:val="|"/>
            <m:sepChr m:val=""/>
            <m:grow/>
          </m:dPr>
          <m:e>
            <m:sSub>
              <m:e>
                <m:r>
                  <m:t>d</m:t>
                </m:r>
              </m:e>
              <m:sub>
                <m:r>
                  <m:t>t</m:t>
                </m:r>
              </m:sub>
            </m:sSub>
            <m:r>
              <m:rPr>
                <m:sty m:val="p"/>
              </m:rPr>
              <m:t>−</m:t>
            </m:r>
            <m:sSub>
              <m:e>
                <m:r>
                  <m:t>d</m:t>
                </m:r>
              </m:e>
              <m:sub>
                <m:r>
                  <m:t>s</m:t>
                </m:r>
              </m:sub>
            </m:sSub>
          </m:e>
        </m:d>
        <m:r>
          <m:rPr>
            <m:sty m:val="p"/>
          </m:rPr>
          <m:t>≤</m:t>
        </m:r>
        <m:r>
          <m:t>ρ</m:t>
        </m:r>
        <m:d>
          <m:dPr>
            <m:begChr m:val="|"/>
            <m:endChr m:val="|"/>
            <m:sepChr m:val=""/>
            <m:grow/>
          </m:dPr>
          <m:e>
            <m:r>
              <m:t>t</m:t>
            </m:r>
            <m:r>
              <m:rPr>
                <m:sty m:val="p"/>
              </m:rPr>
              <m:t>−</m:t>
            </m:r>
            <m:r>
              <m:t>s</m:t>
            </m:r>
          </m:e>
        </m:d>
      </m:oMath>
      <w:r>
        <w:t xml:space="preserve">. Re-anchoring with the mean error of the last</w:t>
      </w:r>
      <w:r>
        <w:t xml:space="preserve"> </w:t>
      </w:r>
      <m:oMath>
        <m:r>
          <m:t>K</m:t>
        </m:r>
      </m:oMath>
      <w:r>
        <w:t xml:space="preserve"> </w:t>
      </w:r>
      <w:r>
        <w:t xml:space="preserve">samples, taken</w:t>
      </w:r>
      <w:r>
        <w:t xml:space="preserve"> </w:t>
      </w:r>
      <m:oMath>
        <m:r>
          <m:t>Δ</m:t>
        </m:r>
        <m:r>
          <m:rPr>
            <m:sty m:val="p"/>
          </m:rPr>
          <m:t>,</m:t>
        </m:r>
        <m:r>
          <m:t>2</m:t>
        </m:r>
        <m:r>
          <m:t>Δ</m:t>
        </m:r>
        <m:r>
          <m:rPr>
            <m:sty m:val="p"/>
          </m:rPr>
          <m:t>,</m:t>
        </m:r>
        <m:r>
          <m:rPr>
            <m:sty m:val="p"/>
          </m:rPr>
          <m:t>…</m:t>
        </m:r>
        <m:r>
          <m:rPr>
            <m:sty m:val="p"/>
          </m:rPr>
          <m:t>,</m:t>
        </m:r>
        <m:r>
          <m:t>K</m:t>
        </m:r>
        <m:r>
          <m:t>Δ</m:t>
        </m:r>
      </m:oMath>
      <w:r>
        <w:t xml:space="preserve"> </w:t>
      </w:r>
      <w:r>
        <w:t xml:space="preserve">before</w:t>
      </w:r>
      <w:r>
        <w:t xml:space="preserve"> </w:t>
      </w:r>
      <m:oMath>
        <m:r>
          <m:t>t</m:t>
        </m:r>
      </m:oMath>
      <w:r>
        <w:t xml:space="preserve">, leaves a lag of at most</w:t>
      </w:r>
      <w:r>
        <w:t xml:space="preserve"> </w:t>
      </w:r>
      <m:oMath>
        <m:r>
          <m:t>ρ</m:t>
        </m:r>
        <m:r>
          <m:t>Δ</m:t>
        </m:r>
        <m:d>
          <m:dPr>
            <m:begChr m:val="("/>
            <m:endChr m:val=")"/>
            <m:sepChr m:val=""/>
            <m:grow/>
          </m:dPr>
          <m:e>
            <m:r>
              <m:t>K</m:t>
            </m:r>
            <m:r>
              <m:rPr>
                <m:sty m:val="p"/>
              </m:rPr>
              <m:t>+</m:t>
            </m:r>
            <m:r>
              <m:t>1</m:t>
            </m:r>
          </m:e>
        </m:d>
        <m:r>
          <m:rPr>
            <m:sty m:val="p"/>
          </m:rPr>
          <m:t>/</m:t>
        </m:r>
        <m:r>
          <m:t>2</m:t>
        </m:r>
      </m:oMath>
      <w:r>
        <w:t xml:space="preserve"> </w:t>
      </w:r>
      <w:r>
        <w:t xml:space="preserve">(Proposition S5 of the SPIRANCA-GO note). An extreme makes</w:t>
      </w:r>
      <w:r>
        <w:t xml:space="preserve"> </w:t>
      </w:r>
      <m:oMath>
        <m:r>
          <m:t>ρ</m:t>
        </m:r>
      </m:oMath>
      <w:r>
        <w:t xml:space="preserve"> </w:t>
      </w:r>
      <w:r>
        <w:t xml:space="preserve">large.</w:t>
      </w:r>
    </w:p>
    <w:p>
      <w:pPr>
        <w:pStyle w:val="BodyText"/>
      </w:pPr>
      <w:r>
        <w:rPr>
          <w:bCs/>
          <w:b/>
        </w:rPr>
        <w:t xml:space="preserve">Proposition R1 (the window shrinks with the drift).</w:t>
      </w:r>
      <w:r>
        <w:t xml:space="preserve"> </w:t>
      </w:r>
      <w:r>
        <w:t xml:space="preserve">With independent noise of variance</w:t>
      </w:r>
      <w:r>
        <w:t xml:space="preserve"> </w:t>
      </w:r>
      <m:oMath>
        <m:sSup>
          <m:e>
            <m:r>
              <m:t>σ</m:t>
            </m:r>
          </m:e>
          <m:sup>
            <m:r>
              <m:t>2</m:t>
            </m:r>
          </m:sup>
        </m:sSup>
      </m:oMath>
      <w:r>
        <w:t xml:space="preserve">,</w:t>
      </w:r>
    </w:p>
    <w:p>
      <w:pPr>
        <w:pStyle w:val="BodyText"/>
      </w:pPr>
      <m:oMathPara>
        <m:oMathParaPr>
          <m:jc m:val="center"/>
        </m:oMathParaPr>
        <m:oMath>
          <m:r>
            <m:rPr>
              <m:sty m:val="p"/>
              <m:scr m:val="double-struck"/>
            </m:rPr>
            <m:t>E</m:t>
          </m:r>
          <m:d>
            <m:dPr>
              <m:begChr m:val="["/>
              <m:endChr m:val="]"/>
              <m:sepChr m:val=""/>
              <m:grow/>
            </m:dPr>
            <m:e>
              <m:sSup>
                <m:e>
                  <m:d>
                    <m:dPr>
                      <m:begChr m:val="("/>
                      <m:endChr m:val=")"/>
                      <m:sepChr m:val=""/>
                      <m:grow/>
                    </m:dPr>
                    <m:e>
                      <m:sSub>
                        <m:e>
                          <m:acc>
                            <m:accPr>
                              <m:chr m:val="̂"/>
                            </m:accPr>
                            <m:e>
                              <m:r>
                                <m:t>Y</m:t>
                              </m:r>
                            </m:e>
                          </m:acc>
                        </m:e>
                        <m:sub>
                          <m:r>
                            <m:t>t</m:t>
                          </m:r>
                        </m:sub>
                      </m:sSub>
                      <m:r>
                        <m:rPr>
                          <m:sty m:val="p"/>
                        </m:rPr>
                        <m:t>−</m:t>
                      </m:r>
                      <m:sSub>
                        <m:e>
                          <m:acc>
                            <m:accPr>
                              <m:chr m:val="‾"/>
                            </m:accPr>
                            <m:e>
                              <m:r>
                                <m:t>e</m:t>
                              </m:r>
                            </m:e>
                          </m:acc>
                        </m:e>
                        <m:sub>
                          <m:r>
                            <m:t>t</m:t>
                          </m:r>
                          <m:r>
                            <m:rPr>
                              <m:sty m:val="p"/>
                            </m:rPr>
                            <m:t>,</m:t>
                          </m:r>
                          <m:r>
                            <m:t>K</m:t>
                          </m:r>
                        </m:sub>
                      </m:sSub>
                      <m:r>
                        <m:rPr>
                          <m:sty m:val="p"/>
                        </m:rPr>
                        <m:t>−</m:t>
                      </m:r>
                      <m:sSub>
                        <m:e>
                          <m:r>
                            <m:t>Y</m:t>
                          </m:r>
                        </m:e>
                        <m:sub>
                          <m:r>
                            <m:t>t</m:t>
                          </m:r>
                        </m:sub>
                      </m:sSub>
                    </m:e>
                  </m:d>
                </m:e>
                <m:sup>
                  <m:r>
                    <m:t>2</m:t>
                  </m:r>
                </m:sup>
              </m:sSup>
            </m:e>
          </m:d>
          <m:r>
            <m:rPr>
              <m:sty m:val="p"/>
            </m:rPr>
            <m:t>≤</m:t>
          </m:r>
          <m:sSup>
            <m:e>
              <m:r>
                <m:t>σ</m:t>
              </m:r>
            </m:e>
            <m:sup>
              <m:r>
                <m:t>2</m:t>
              </m:r>
            </m:sup>
          </m:sSup>
          <m:d>
            <m:dPr>
              <m:begChr m:val="("/>
              <m:endChr m:val=")"/>
              <m:sepChr m:val=""/>
              <m:grow/>
            </m:dPr>
            <m:e>
              <m:r>
                <m:t>1</m:t>
              </m:r>
              <m:r>
                <m:rPr>
                  <m:sty m:val="p"/>
                </m:rPr>
                <m:t>+</m:t>
              </m:r>
              <m:f>
                <m:fPr>
                  <m:type m:val="bar"/>
                </m:fPr>
                <m:num>
                  <m:r>
                    <m:t>1</m:t>
                  </m:r>
                </m:num>
                <m:den>
                  <m:r>
                    <m:t>K</m:t>
                  </m:r>
                </m:den>
              </m:f>
            </m:e>
          </m:d>
          <m:r>
            <m:rPr>
              <m:sty m:val="p"/>
            </m:rPr>
            <m:t>+</m:t>
          </m:r>
          <m:f>
            <m:fPr>
              <m:type m:val="bar"/>
            </m:fPr>
            <m:num>
              <m:sSup>
                <m:e>
                  <m:r>
                    <m:t>ρ</m:t>
                  </m:r>
                </m:e>
                <m:sup>
                  <m:r>
                    <m:t>2</m:t>
                  </m:r>
                </m:sup>
              </m:sSup>
              <m:sSup>
                <m:e>
                  <m:r>
                    <m:t>Δ</m:t>
                  </m:r>
                </m:e>
                <m:sup>
                  <m:r>
                    <m:t>2</m:t>
                  </m:r>
                </m:sup>
              </m:sSup>
              <m:sSup>
                <m:e>
                  <m:d>
                    <m:dPr>
                      <m:begChr m:val="("/>
                      <m:endChr m:val=")"/>
                      <m:sepChr m:val=""/>
                      <m:grow/>
                    </m:dPr>
                    <m:e>
                      <m:r>
                        <m:t>K</m:t>
                      </m:r>
                      <m:r>
                        <m:rPr>
                          <m:sty m:val="p"/>
                        </m:rPr>
                        <m:t>+</m:t>
                      </m:r>
                      <m:r>
                        <m:t>1</m:t>
                      </m:r>
                    </m:e>
                  </m:d>
                </m:e>
                <m:sup>
                  <m:r>
                    <m:t>2</m:t>
                  </m:r>
                </m:sup>
              </m:sSup>
            </m:num>
            <m:den>
              <m:r>
                <m:t>4</m:t>
              </m:r>
            </m:den>
          </m:f>
          <m:r>
            <m:rPr>
              <m:sty m:val="p"/>
            </m:rPr>
            <m:t>,</m:t>
          </m:r>
        </m:oMath>
      </m:oMathPara>
    </w:p>
    <w:p>
      <w:pPr>
        <w:pStyle w:val="FirstParagraph"/>
      </w:pPr>
      <w:r>
        <w:t xml:space="preserve">and the bound is smallest at the</w:t>
      </w:r>
      <w:r>
        <w:t xml:space="preserve"> </w:t>
      </w:r>
      <m:oMath>
        <m:r>
          <m:t>K</m:t>
        </m:r>
      </m:oMath>
      <w:r>
        <w:t xml:space="preserve"> </w:t>
      </w:r>
      <w:r>
        <w:t xml:space="preserve">that solves</w:t>
      </w:r>
      <w:r>
        <w:t xml:space="preserve"> </w:t>
      </w:r>
      <m:oMath>
        <m:sSup>
          <m:e>
            <m:r>
              <m:t>K</m:t>
            </m:r>
          </m:e>
          <m:sup>
            <m:r>
              <m:t>2</m:t>
            </m:r>
          </m:sup>
        </m:sSup>
        <m:d>
          <m:dPr>
            <m:begChr m:val="("/>
            <m:endChr m:val=")"/>
            <m:sepChr m:val=""/>
            <m:grow/>
          </m:dPr>
          <m:e>
            <m:r>
              <m:t>K</m:t>
            </m:r>
            <m:r>
              <m:rPr>
                <m:sty m:val="p"/>
              </m:rPr>
              <m:t>+</m:t>
            </m:r>
            <m:r>
              <m:t>1</m:t>
            </m:r>
          </m:e>
        </m:d>
        <m:r>
          <m:rPr>
            <m:sty m:val="p"/>
          </m:rPr>
          <m:t>=</m:t>
        </m:r>
        <m:r>
          <m:t>2</m:t>
        </m:r>
        <m:sSup>
          <m:e>
            <m:r>
              <m:t>σ</m:t>
            </m:r>
          </m:e>
          <m:sup>
            <m:r>
              <m:t>2</m:t>
            </m:r>
          </m:sup>
        </m:sSup>
        <m:r>
          <m:rPr>
            <m:sty m:val="p"/>
          </m:rPr>
          <m:t>/</m:t>
        </m:r>
        <m:sSup>
          <m:e>
            <m:d>
              <m:dPr>
                <m:begChr m:val="("/>
                <m:endChr m:val=")"/>
                <m:sepChr m:val=""/>
                <m:grow/>
              </m:dPr>
              <m:e>
                <m:r>
                  <m:t>ρ</m:t>
                </m:r>
                <m:r>
                  <m:t>Δ</m:t>
                </m:r>
              </m:e>
            </m:d>
          </m:e>
          <m:sup>
            <m:r>
              <m:t>2</m:t>
            </m:r>
          </m:sup>
        </m:sSup>
      </m:oMath>
      <w:r>
        <w:t xml:space="preserve">. In particular, if the drift between two samples is at least the noise,</w:t>
      </w:r>
      <w:r>
        <w:t xml:space="preserve"> </w:t>
      </w:r>
      <m:oMath>
        <m:r>
          <m:t>ρ</m:t>
        </m:r>
        <m:r>
          <m:t>Δ</m:t>
        </m:r>
        <m:r>
          <m:rPr>
            <m:sty m:val="p"/>
          </m:rPr>
          <m:t>≥</m:t>
        </m:r>
        <m:r>
          <m:t>σ</m:t>
        </m:r>
      </m:oMath>
      <w:r>
        <w:t xml:space="preserve">, then</w:t>
      </w:r>
      <w:r>
        <w:t xml:space="preserve"> </w:t>
      </w:r>
      <m:oMath>
        <m:sSub>
          <m:e>
            <m:r>
              <m:t>K</m:t>
            </m:r>
          </m:e>
          <m:sub>
            <m:r>
              <m:rPr>
                <m:sty m:val="p"/>
              </m:rPr>
              <m:t>o</m:t>
            </m:r>
            <m:r>
              <m:rPr>
                <m:sty m:val="p"/>
              </m:rPr>
              <m:t>p</m:t>
            </m:r>
            <m:r>
              <m:rPr>
                <m:sty m:val="p"/>
              </m:rPr>
              <m:t>t</m:t>
            </m:r>
          </m:sub>
        </m:sSub>
        <m:r>
          <m:rPr>
            <m:sty m:val="p"/>
          </m:rPr>
          <m:t>=</m:t>
        </m:r>
        <m:r>
          <m:t>1</m:t>
        </m:r>
      </m:oMath>
      <w:r>
        <w:t xml:space="preserve">: use the last sample only.</w:t>
      </w:r>
      <w:r>
        <w:t xml:space="preserve"> </w:t>
      </w:r>
      <w:r>
        <w:rPr>
          <w:iCs/>
          <w:i/>
        </w:rPr>
        <w:t xml:space="preserve">Proof.</w:t>
      </w:r>
      <w:r>
        <w:t xml:space="preserve"> </w:t>
      </w:r>
      <w:r>
        <w:t xml:space="preserve">Noise and lag terms are bounded separately (S5); the derivative of the bound in</w:t>
      </w:r>
      <w:r>
        <w:t xml:space="preserve"> </w:t>
      </w:r>
      <m:oMath>
        <m:r>
          <m:t>K</m:t>
        </m:r>
      </m:oMath>
      <w:r>
        <w:t xml:space="preserve"> </w:t>
      </w:r>
      <w:r>
        <w:t xml:space="preserve">is</w:t>
      </w:r>
      <w:r>
        <w:t xml:space="preserve"> </w:t>
      </w:r>
      <m:oMath>
        <m:r>
          <m:rPr>
            <m:sty m:val="p"/>
          </m:rPr>
          <m:t>−</m:t>
        </m:r>
        <m:sSup>
          <m:e>
            <m:r>
              <m:t>σ</m:t>
            </m:r>
          </m:e>
          <m:sup>
            <m:r>
              <m:t>2</m:t>
            </m:r>
          </m:sup>
        </m:sSup>
        <m:r>
          <m:rPr>
            <m:sty m:val="p"/>
          </m:rPr>
          <m:t>/</m:t>
        </m:r>
        <m:sSup>
          <m:e>
            <m:r>
              <m:t>K</m:t>
            </m:r>
          </m:e>
          <m:sup>
            <m:r>
              <m:t>2</m:t>
            </m:r>
          </m:sup>
        </m:sSup>
        <m:r>
          <m:rPr>
            <m:sty m:val="p"/>
          </m:rPr>
          <m:t>+</m:t>
        </m:r>
        <m:sSup>
          <m:e>
            <m:r>
              <m:t>ρ</m:t>
            </m:r>
          </m:e>
          <m:sup>
            <m:r>
              <m:t>2</m:t>
            </m:r>
          </m:sup>
        </m:sSup>
        <m:sSup>
          <m:e>
            <m:r>
              <m:t>Δ</m:t>
            </m:r>
          </m:e>
          <m:sup>
            <m:r>
              <m:t>2</m:t>
            </m:r>
          </m:sup>
        </m:sSup>
        <m:d>
          <m:dPr>
            <m:begChr m:val="("/>
            <m:endChr m:val=")"/>
            <m:sepChr m:val=""/>
            <m:grow/>
          </m:dPr>
          <m:e>
            <m:r>
              <m:t>K</m:t>
            </m:r>
            <m:r>
              <m:rPr>
                <m:sty m:val="p"/>
              </m:rPr>
              <m:t>+</m:t>
            </m:r>
            <m:r>
              <m:t>1</m:t>
            </m:r>
          </m:e>
        </m:d>
        <m:r>
          <m:rPr>
            <m:sty m:val="p"/>
          </m:rPr>
          <m:t>/</m:t>
        </m:r>
        <m:r>
          <m:t>2</m:t>
        </m:r>
      </m:oMath>
      <w:r>
        <w:t xml:space="preserve">, which is increasing, and at</w:t>
      </w:r>
      <w:r>
        <w:t xml:space="preserve"> </w:t>
      </w:r>
      <m:oMath>
        <m:r>
          <m:t>K</m:t>
        </m:r>
        <m:r>
          <m:rPr>
            <m:sty m:val="p"/>
          </m:rPr>
          <m:t>=</m:t>
        </m:r>
        <m:r>
          <m:t>1</m:t>
        </m:r>
      </m:oMath>
      <w:r>
        <w:t xml:space="preserve"> </w:t>
      </w:r>
      <w:r>
        <w:t xml:space="preserve">it is</w:t>
      </w:r>
      <w:r>
        <w:t xml:space="preserve"> </w:t>
      </w:r>
      <m:oMath>
        <m:sSup>
          <m:e>
            <m:r>
              <m:t>ρ</m:t>
            </m:r>
          </m:e>
          <m:sup>
            <m:r>
              <m:t>2</m:t>
            </m:r>
          </m:sup>
        </m:sSup>
        <m:sSup>
          <m:e>
            <m:r>
              <m:t>Δ</m:t>
            </m:r>
          </m:e>
          <m:sup>
            <m:r>
              <m:t>2</m:t>
            </m:r>
          </m:sup>
        </m:sSup>
        <m:r>
          <m:rPr>
            <m:sty m:val="p"/>
          </m:rPr>
          <m:t>−</m:t>
        </m:r>
        <m:sSup>
          <m:e>
            <m:r>
              <m:t>σ</m:t>
            </m:r>
          </m:e>
          <m:sup>
            <m:r>
              <m:t>2</m:t>
            </m:r>
          </m:sup>
        </m:sSup>
        <m:r>
          <m:rPr>
            <m:sty m:val="p"/>
          </m:rPr>
          <m:t>≥</m:t>
        </m:r>
        <m:r>
          <m:t>0</m:t>
        </m:r>
      </m:oMath>
      <w:r>
        <w:t xml:space="preserve">. ∎</w:t>
      </w:r>
    </w:p>
    <w:p>
      <w:pPr>
        <w:pStyle w:val="BodyText"/>
      </w:pPr>
      <w:r>
        <w:rPr>
          <w:bCs/>
          <w:b/>
        </w:rPr>
        <w:t xml:space="preserve">The watch.</w:t>
      </w:r>
      <w:r>
        <w:t xml:space="preserve"> </w:t>
      </w:r>
      <w:r>
        <w:t xml:space="preserve">Every season, without any chloride: (i) the gauge leaves the range of the record (one season or the two-year filter), or (ii) the head residuals, after removing what the anchors explain, jump by more than anything in the record (the trigger of paper 20). When either fires, one extra chloride sample is taken (at most one extra a year, the budget of paper 11), and the window is</w:t>
      </w:r>
      <w:r>
        <w:t xml:space="preserve"> </w:t>
      </w:r>
      <m:oMath>
        <m:r>
          <m:t>K</m:t>
        </m:r>
        <m:r>
          <m:rPr>
            <m:sty m:val="p"/>
          </m:rPr>
          <m:t>=</m:t>
        </m:r>
        <m:r>
          <m:t>1</m:t>
        </m:r>
      </m:oMath>
      <w:r>
        <w:t xml:space="preserve"> </w:t>
      </w:r>
      <w:r>
        <w:t xml:space="preserve">while the extreme lasts or while two consecutive samples differ by more than three record standard deviations (R1). Otherwise</w:t>
      </w:r>
      <w:r>
        <w:t xml:space="preserve"> </w:t>
      </w:r>
      <m:oMath>
        <m:r>
          <m:t>K</m:t>
        </m:r>
        <m:r>
          <m:rPr>
            <m:sty m:val="p"/>
          </m:rPr>
          <m:t>=</m:t>
        </m:r>
        <m:r>
          <m:t>3</m:t>
        </m:r>
      </m:oMath>
      <w:r>
        <w:t xml:space="preserve"> </w:t>
      </w:r>
      <w:r>
        <w:t xml:space="preserve">and one sample a year, as in S5.</w:t>
      </w:r>
    </w:p>
    <w:p>
      <w:pPr>
        <w:pStyle w:val="BodyText"/>
      </w:pPr>
      <w:r>
        <w:rPr>
          <w:bCs/>
          <w:b/>
        </w:rPr>
        <w:t xml:space="preserve">The storylines.</w:t>
      </w:r>
      <w:r>
        <w:t xml:space="preserve"> </w:t>
      </w:r>
      <w:r>
        <w:t xml:space="preserve">All five use the same weather, so only the extreme differs. The drought averages −2 sd for six years; the worst six years of the 80-year record averaged -1.1 sd. The intense rainfall puts +2.5 sd on the gauge for two years, of which only a fifth infiltrates. In the causal change the farmers respond to the drought 3 times as strongly as in the record.</w:t>
      </w:r>
    </w:p>
    <w:p>
      <w:pPr>
        <w:pStyle w:val="BodyText"/>
      </w:pPr>
      <w:r>
        <w:rPr>
          <w:bCs/>
          <w:b/>
        </w:rPr>
        <w:t xml:space="preserve">The stakeholder decision (closed loop).</w:t>
      </w:r>
      <w:r>
        <w:t xml:space="preserve"> </w:t>
      </w:r>
      <w:r>
        <w:t xml:space="preserve">The utility pumps the decided +0.3 unless the alarm sounded in the previous season; then it pumps -0.3 (the risk-threshold rule of paper 7). For comparison: no action; a static alarm; yearly re-anchoring; and a continuous chloride sensor at the screen that cuts pumping when chloride reaches 89% of the standard.</w:t>
      </w:r>
    </w:p>
    <w:p>
      <w:pPr>
        <w:pStyle w:val="BodyText"/>
      </w:pPr>
      <w:r>
        <w:t xml:space="preserve">Table 1. Share of seasons above 250 mg/L at the supply screen over 30 years after the decision, mean over 20 aquifers; in brackets the share of the planned water delivered.</w:t>
      </w:r>
    </w:p>
    <w:tbl>
      <w:tblPr>
        <w:tblStyle w:val="Table"/>
        <w:tblW w:type="pct" w:w="5000"/>
        <w:tblLook w:firstRow="1" w:lastRow="0" w:firstColumn="0" w:lastColumn="0" w:noHBand="0" w:noVBand="0" w:val="0020"/>
        <w:jc w:val="start"/>
        <w:tblBorders>
          <w:top w:val="single" w:sz="4" w:color="9DB2D6"/>
          <w:left w:val="single" w:sz="4" w:color="9DB2D6"/>
          <w:bottom w:val="single" w:sz="4" w:color="9DB2D6"/>
          <w:right w:val="single" w:sz="4" w:color="9DB2D6"/>
          <w:insideH w:val="single" w:sz="4" w:color="9DB2D6"/>
          <w:insideV w:val="single" w:sz="4" w:color="9DB2D6"/>
        </w:tblBorders>
      </w:tblPr>
      <w:tblGrid>
        <w:gridCol w:w="1320"/>
        <w:gridCol w:w="1320"/>
        <w:gridCol w:w="1320"/>
        <w:gridCol w:w="1320"/>
        <w:gridCol w:w="1320"/>
        <w:gridCol w:w="1320"/>
      </w:tblGrid>
      <w:tr>
        <w:trPr>
          <w:tblHeader w:val="true"/>
        </w:trPr>
        <w:tc>
          <w:tcPr>
            <w:shd w:val="clear" w:fill="DCE6F2"/>
          </w:tcPr>
          <w:p>
            <w:pPr>
              <w:pStyle w:val="Compact"/>
              <w:jc w:val="left"/>
            </w:pPr>
            <w:r>
              <w:rPr>
                <w:b/>
                <w:sz w:val="19"/>
              </w:rPr>
              <w:t xml:space="preserve">Storyline</w:t>
            </w:r>
          </w:p>
        </w:tc>
        <w:tc>
          <w:tcPr>
            <w:shd w:val="clear" w:fill="DCE6F2"/>
          </w:tcPr>
          <w:p>
            <w:pPr>
              <w:pStyle w:val="Compact"/>
              <w:jc w:val="left"/>
            </w:pPr>
            <w:r>
              <w:rPr>
                <w:b/>
                <w:sz w:val="19"/>
              </w:rPr>
              <w:t xml:space="preserve">No action</w:t>
            </w:r>
          </w:p>
        </w:tc>
        <w:tc>
          <w:tcPr>
            <w:shd w:val="clear" w:fill="DCE6F2"/>
          </w:tcPr>
          <w:p>
            <w:pPr>
              <w:pStyle w:val="Compact"/>
              <w:jc w:val="left"/>
            </w:pPr>
            <w:r>
              <w:rPr>
                <w:b/>
                <w:sz w:val="19"/>
              </w:rPr>
              <w:t xml:space="preserve">Static alarm</w:t>
            </w:r>
          </w:p>
        </w:tc>
        <w:tc>
          <w:tcPr>
            <w:shd w:val="clear" w:fill="DCE6F2"/>
          </w:tcPr>
          <w:p>
            <w:pPr>
              <w:pStyle w:val="Compact"/>
              <w:jc w:val="left"/>
            </w:pPr>
            <w:r>
              <w:rPr>
                <w:b/>
                <w:sz w:val="19"/>
              </w:rPr>
              <w:t xml:space="preserve">Yearly sample (S5)</w:t>
            </w:r>
          </w:p>
        </w:tc>
        <w:tc>
          <w:tcPr>
            <w:shd w:val="clear" w:fill="DCE6F2"/>
          </w:tcPr>
          <w:p>
            <w:pPr>
              <w:pStyle w:val="Compact"/>
              <w:jc w:val="left"/>
            </w:pPr>
            <w:r>
              <w:rPr>
                <w:b/>
                <w:sz w:val="19"/>
              </w:rPr>
              <w:t xml:space="preserve">ROJA-GO</w:t>
            </w:r>
          </w:p>
        </w:tc>
        <w:tc>
          <w:tcPr>
            <w:shd w:val="clear" w:fill="DCE6F2"/>
          </w:tcPr>
          <w:p>
            <w:pPr>
              <w:pStyle w:val="Compact"/>
              <w:jc w:val="left"/>
            </w:pPr>
            <w:r>
              <w:rPr>
                <w:b/>
                <w:sz w:val="19"/>
              </w:rPr>
              <w:t xml:space="preserve">Screen sensor</w:t>
            </w:r>
          </w:p>
        </w:tc>
      </w:tr>
      <w:tr>
        <w:tc>
          <w:tcPr/>
          <w:p>
            <w:pPr>
              <w:pStyle w:val="Compact"/>
              <w:jc w:val="left"/>
            </w:pPr>
            <w:r>
              <w:rPr>
                <w:sz w:val="19"/>
              </w:rPr>
              <w:t xml:space="preserve">Ordinary weather</w:t>
            </w:r>
          </w:p>
        </w:tc>
        <w:tc>
          <w:tcPr/>
          <w:p>
            <w:pPr>
              <w:pStyle w:val="Compact"/>
              <w:jc w:val="left"/>
            </w:pPr>
            <w:r>
              <w:rPr>
                <w:sz w:val="19"/>
              </w:rPr>
              <w:t xml:space="preserve">25.4%</w:t>
            </w:r>
          </w:p>
        </w:tc>
        <w:tc>
          <w:tcPr/>
          <w:p>
            <w:pPr>
              <w:pStyle w:val="Compact"/>
              <w:jc w:val="left"/>
            </w:pPr>
            <w:r>
              <w:rPr>
                <w:sz w:val="19"/>
              </w:rPr>
              <w:t xml:space="preserve">6.1% (84%)</w:t>
            </w:r>
          </w:p>
        </w:tc>
        <w:tc>
          <w:tcPr/>
          <w:p>
            <w:pPr>
              <w:pStyle w:val="Compact"/>
              <w:jc w:val="left"/>
            </w:pPr>
            <w:r>
              <w:rPr>
                <w:sz w:val="19"/>
              </w:rPr>
              <w:t xml:space="preserve">0.5% (81%)</w:t>
            </w:r>
          </w:p>
        </w:tc>
        <w:tc>
          <w:tcPr/>
          <w:p>
            <w:pPr>
              <w:pStyle w:val="Compact"/>
              <w:jc w:val="left"/>
            </w:pPr>
            <w:r>
              <w:rPr>
                <w:sz w:val="19"/>
              </w:rPr>
              <w:t xml:space="preserve">0.2% (80%)</w:t>
            </w:r>
          </w:p>
        </w:tc>
        <w:tc>
          <w:tcPr/>
          <w:p>
            <w:pPr>
              <w:pStyle w:val="Compact"/>
              <w:jc w:val="left"/>
            </w:pPr>
            <w:r>
              <w:rPr>
                <w:sz w:val="19"/>
              </w:rPr>
              <w:t xml:space="preserve">6.3% (94%)</w:t>
            </w:r>
          </w:p>
        </w:tc>
      </w:tr>
      <w:tr>
        <w:tc>
          <w:tcPr/>
          <w:p>
            <w:pPr>
              <w:pStyle w:val="Compact"/>
              <w:jc w:val="left"/>
            </w:pPr>
            <w:r>
              <w:rPr>
                <w:sz w:val="19"/>
              </w:rPr>
              <w:t xml:space="preserve">Intense rainfall (gauge +2.5 sd for 2 years, a fifth infiltrates)</w:t>
            </w:r>
          </w:p>
        </w:tc>
        <w:tc>
          <w:tcPr/>
          <w:p>
            <w:pPr>
              <w:pStyle w:val="Compact"/>
              <w:jc w:val="left"/>
            </w:pPr>
            <w:r>
              <w:rPr>
                <w:sz w:val="19"/>
              </w:rPr>
              <w:t xml:space="preserve">23.8%</w:t>
            </w:r>
          </w:p>
        </w:tc>
        <w:tc>
          <w:tcPr/>
          <w:p>
            <w:pPr>
              <w:pStyle w:val="Compact"/>
              <w:jc w:val="left"/>
            </w:pPr>
            <w:r>
              <w:rPr>
                <w:sz w:val="19"/>
              </w:rPr>
              <w:t xml:space="preserve">4.6% (83%)</w:t>
            </w:r>
          </w:p>
        </w:tc>
        <w:tc>
          <w:tcPr/>
          <w:p>
            <w:pPr>
              <w:pStyle w:val="Compact"/>
              <w:jc w:val="left"/>
            </w:pPr>
            <w:r>
              <w:rPr>
                <w:sz w:val="19"/>
              </w:rPr>
              <w:t xml:space="preserve">0.3% (81%)</w:t>
            </w:r>
          </w:p>
        </w:tc>
        <w:tc>
          <w:tcPr/>
          <w:p>
            <w:pPr>
              <w:pStyle w:val="Compact"/>
              <w:jc w:val="left"/>
            </w:pPr>
            <w:r>
              <w:rPr>
                <w:sz w:val="19"/>
              </w:rPr>
              <w:t xml:space="preserve">0.2% (81%)</w:t>
            </w:r>
          </w:p>
        </w:tc>
        <w:tc>
          <w:tcPr/>
          <w:p>
            <w:pPr>
              <w:pStyle w:val="Compact"/>
              <w:jc w:val="left"/>
            </w:pPr>
            <w:r>
              <w:rPr>
                <w:sz w:val="19"/>
              </w:rPr>
              <w:t xml:space="preserve">5.9% (95%)</w:t>
            </w:r>
          </w:p>
        </w:tc>
      </w:tr>
      <w:tr>
        <w:tc>
          <w:tcPr/>
          <w:p>
            <w:pPr>
              <w:pStyle w:val="Compact"/>
              <w:jc w:val="left"/>
            </w:pPr>
            <w:r>
              <w:rPr>
                <w:sz w:val="19"/>
              </w:rPr>
              <w:t xml:space="preserve">Record-shattering drought (−2 sd for 6 years)</w:t>
            </w:r>
          </w:p>
        </w:tc>
        <w:tc>
          <w:tcPr/>
          <w:p>
            <w:pPr>
              <w:pStyle w:val="Compact"/>
              <w:jc w:val="left"/>
            </w:pPr>
            <w:r>
              <w:rPr>
                <w:sz w:val="19"/>
              </w:rPr>
              <w:t xml:space="preserve">52.1%</w:t>
            </w:r>
          </w:p>
        </w:tc>
        <w:tc>
          <w:tcPr/>
          <w:p>
            <w:pPr>
              <w:pStyle w:val="Compact"/>
              <w:jc w:val="left"/>
            </w:pPr>
            <w:r>
              <w:rPr>
                <w:sz w:val="19"/>
              </w:rPr>
              <w:t xml:space="preserve">15.0% (78%)</w:t>
            </w:r>
          </w:p>
        </w:tc>
        <w:tc>
          <w:tcPr/>
          <w:p>
            <w:pPr>
              <w:pStyle w:val="Compact"/>
              <w:jc w:val="left"/>
            </w:pPr>
            <w:r>
              <w:rPr>
                <w:sz w:val="19"/>
              </w:rPr>
              <w:t xml:space="preserve">5.9% (74%)</w:t>
            </w:r>
          </w:p>
        </w:tc>
        <w:tc>
          <w:tcPr/>
          <w:p>
            <w:pPr>
              <w:pStyle w:val="Compact"/>
              <w:jc w:val="left"/>
            </w:pPr>
            <w:r>
              <w:rPr>
                <w:sz w:val="19"/>
              </w:rPr>
              <w:t xml:space="preserve">4.7% (73%)</w:t>
            </w:r>
          </w:p>
        </w:tc>
        <w:tc>
          <w:tcPr/>
          <w:p>
            <w:pPr>
              <w:pStyle w:val="Compact"/>
              <w:jc w:val="left"/>
            </w:pPr>
            <w:r>
              <w:rPr>
                <w:sz w:val="19"/>
              </w:rPr>
              <w:t xml:space="preserve">18.0% (87%)</w:t>
            </w:r>
          </w:p>
        </w:tc>
      </w:tr>
      <w:tr>
        <w:tc>
          <w:tcPr/>
          <w:p>
            <w:pPr>
              <w:pStyle w:val="Compact"/>
              <w:jc w:val="left"/>
            </w:pPr>
            <w:r>
              <w:rPr>
                <w:sz w:val="19"/>
              </w:rPr>
              <w:t xml:space="preserve">Same drought, farmers respond 3× more strongly (causal change)</w:t>
            </w:r>
          </w:p>
        </w:tc>
        <w:tc>
          <w:tcPr/>
          <w:p>
            <w:pPr>
              <w:pStyle w:val="Compact"/>
              <w:jc w:val="left"/>
            </w:pPr>
            <w:r>
              <w:rPr>
                <w:sz w:val="19"/>
              </w:rPr>
              <w:t xml:space="preserve">59.3%</w:t>
            </w:r>
          </w:p>
        </w:tc>
        <w:tc>
          <w:tcPr/>
          <w:p>
            <w:pPr>
              <w:pStyle w:val="Compact"/>
              <w:jc w:val="left"/>
            </w:pPr>
            <w:r>
              <w:rPr>
                <w:sz w:val="19"/>
              </w:rPr>
              <w:t xml:space="preserve">21.2% (76%)</w:t>
            </w:r>
          </w:p>
        </w:tc>
        <w:tc>
          <w:tcPr/>
          <w:p>
            <w:pPr>
              <w:pStyle w:val="Compact"/>
              <w:jc w:val="left"/>
            </w:pPr>
            <w:r>
              <w:rPr>
                <w:sz w:val="19"/>
              </w:rPr>
              <w:t xml:space="preserve">11.5% (72%)</w:t>
            </w:r>
          </w:p>
        </w:tc>
        <w:tc>
          <w:tcPr/>
          <w:p>
            <w:pPr>
              <w:pStyle w:val="Compact"/>
              <w:jc w:val="left"/>
            </w:pPr>
            <w:r>
              <w:rPr>
                <w:sz w:val="19"/>
              </w:rPr>
              <w:t xml:space="preserve">9.1% (71%)</w:t>
            </w:r>
          </w:p>
        </w:tc>
        <w:tc>
          <w:tcPr/>
          <w:p>
            <w:pPr>
              <w:pStyle w:val="Compact"/>
              <w:jc w:val="left"/>
            </w:pPr>
            <w:r>
              <w:rPr>
                <w:sz w:val="19"/>
              </w:rPr>
              <w:t xml:space="preserve">24.5% (84%)</w:t>
            </w:r>
          </w:p>
        </w:tc>
      </w:tr>
      <w:tr>
        <w:tc>
          <w:tcPr/>
          <w:p>
            <w:pPr>
              <w:pStyle w:val="Compact"/>
              <w:jc w:val="left"/>
            </w:pPr>
            <w:r>
              <w:rPr>
                <w:sz w:val="19"/>
              </w:rPr>
              <w:t xml:space="preserve">Drought, then 2 years of intense rain on dry ground</w:t>
            </w:r>
          </w:p>
        </w:tc>
        <w:tc>
          <w:tcPr/>
          <w:p>
            <w:pPr>
              <w:pStyle w:val="Compact"/>
              <w:jc w:val="left"/>
            </w:pPr>
            <w:r>
              <w:rPr>
                <w:sz w:val="19"/>
              </w:rPr>
              <w:t xml:space="preserve">49.8%</w:t>
            </w:r>
          </w:p>
        </w:tc>
        <w:tc>
          <w:tcPr/>
          <w:p>
            <w:pPr>
              <w:pStyle w:val="Compact"/>
              <w:jc w:val="left"/>
            </w:pPr>
            <w:r>
              <w:rPr>
                <w:sz w:val="19"/>
              </w:rPr>
              <w:t xml:space="preserve">13.1% (77%)</w:t>
            </w:r>
          </w:p>
        </w:tc>
        <w:tc>
          <w:tcPr/>
          <w:p>
            <w:pPr>
              <w:pStyle w:val="Compact"/>
              <w:jc w:val="left"/>
            </w:pPr>
            <w:r>
              <w:rPr>
                <w:sz w:val="19"/>
              </w:rPr>
              <w:t xml:space="preserve">5.1% (75%)</w:t>
            </w:r>
          </w:p>
        </w:tc>
        <w:tc>
          <w:tcPr/>
          <w:p>
            <w:pPr>
              <w:pStyle w:val="Compact"/>
              <w:jc w:val="left"/>
            </w:pPr>
            <w:r>
              <w:rPr>
                <w:sz w:val="19"/>
              </w:rPr>
              <w:t xml:space="preserve">4.3% (74%)</w:t>
            </w:r>
          </w:p>
        </w:tc>
        <w:tc>
          <w:tcPr/>
          <w:p>
            <w:pPr>
              <w:pStyle w:val="Compact"/>
              <w:jc w:val="left"/>
            </w:pPr>
            <w:r>
              <w:rPr>
                <w:sz w:val="19"/>
              </w:rPr>
              <w:t xml:space="preserve">17.2% (88%)</w:t>
            </w:r>
          </w:p>
        </w:tc>
      </w:tr>
    </w:tbl>
    <w:p>
      <w:pPr>
        <w:pStyle w:val="CaptionedFigure"/>
      </w:pPr>
      <w:r>
        <w:drawing>
          <wp:inline>
            <wp:extent cx="9360000" cy="3612335"/>
            <wp:effectExtent b="0" l="0" r="0" t="0"/>
            <wp:docPr descr="Figure 1. (a) Share of seasons above 250 mg/L at the supply screen with the rule “cut pumping after an alarm” (dot: mean over 20 aquifers; line: 10–90% range). (b) One aquifer in the record drought, open loop: chloride at the screen, the yearly re-anchored prediction and the ROJA-GO prediction; ticks: seasons when the watch fires and an extra sample is taken." title="" id="28" name="Picture"/>
            <a:graphic>
              <a:graphicData uri="http://schemas.openxmlformats.org/drawingml/2006/picture">
                <pic:pic>
                  <pic:nvPicPr>
                    <pic:cNvPr descr="/home/user/swi-goal-oed/experiments/spiranca_go/res/figR1_extremes.png" id="29" name="Picture"/>
                    <pic:cNvPicPr>
                      <a:picLocks noChangeArrowheads="1" noChangeAspect="1"/>
                    </pic:cNvPicPr>
                  </pic:nvPicPr>
                  <pic:blipFill>
                    <a:blip r:embed="rId27"/>
                    <a:stretch>
                      <a:fillRect/>
                    </a:stretch>
                  </pic:blipFill>
                  <pic:spPr bwMode="auto">
                    <a:xfrm>
                      <a:off x="0" y="0"/>
                      <a:ext cx="9360000" cy="3612335"/>
                    </a:xfrm>
                    <a:prstGeom prst="rect">
                      <a:avLst/>
                    </a:prstGeom>
                    <a:noFill/>
                    <a:ln w="9525">
                      <a:noFill/>
                      <a:headEnd/>
                      <a:tailEnd/>
                    </a:ln>
                  </pic:spPr>
                </pic:pic>
              </a:graphicData>
            </a:graphic>
          </wp:inline>
        </w:drawing>
      </w:r>
    </w:p>
    <w:p>
      <w:pPr>
        <w:pStyle w:val="ImageCaption"/>
      </w:pPr>
      <w:r>
        <w:t xml:space="preserve">Figure 1. (a) Share of seasons above 250 mg/L at the supply screen with the rule</w:t>
      </w:r>
      <w:r>
        <w:t xml:space="preserve"> </w:t>
      </w:r>
      <w:r>
        <w:t xml:space="preserve">“</w:t>
      </w:r>
      <w:r>
        <w:t xml:space="preserve">cut pumping after an alarm</w:t>
      </w:r>
      <w:r>
        <w:t xml:space="preserve">”</w:t>
      </w:r>
      <w:r>
        <w:t xml:space="preserve"> </w:t>
      </w:r>
      <w:r>
        <w:t xml:space="preserve">(dot: mean over 20 aquifers; line: 10–90% range). (b) One aquifer in the record drought, open loop: chloride at the screen, the yearly re-anchored prediction and the ROJA-GO prediction; ticks: seasons when the watch fires and an extra sample is taken.</w:t>
      </w:r>
    </w:p>
    <w:p>
      <w:pPr>
        <w:pStyle w:val="BodyText"/>
      </w:pPr>
      <w:r>
        <w:t xml:space="preserve">Table 2. Alarm validity in open loop (no curtailment): share of seasons in the stress period in which the alarm under-warns by more than its margin (target ≤ 10%), mean over 20 aquifers; in brackets the aquifers above the target; and chloride samples in 30 years.</w:t>
      </w:r>
    </w:p>
    <w:tbl>
      <w:tblPr>
        <w:tblStyle w:val="Table"/>
        <w:tblW w:type="pct" w:w="5000"/>
        <w:tblLook w:firstRow="1" w:lastRow="0" w:firstColumn="0" w:lastColumn="0" w:noHBand="0" w:noVBand="0" w:val="0020"/>
        <w:jc w:val="start"/>
        <w:tblBorders>
          <w:top w:val="single" w:sz="4" w:color="9DB2D6"/>
          <w:left w:val="single" w:sz="4" w:color="9DB2D6"/>
          <w:bottom w:val="single" w:sz="4" w:color="9DB2D6"/>
          <w:right w:val="single" w:sz="4" w:color="9DB2D6"/>
          <w:insideH w:val="single" w:sz="4" w:color="9DB2D6"/>
          <w:insideV w:val="single" w:sz="4" w:color="9DB2D6"/>
        </w:tblBorders>
      </w:tblPr>
      <w:tblGrid>
        <w:gridCol w:w="1131"/>
        <w:gridCol w:w="1131"/>
        <w:gridCol w:w="1131"/>
        <w:gridCol w:w="1131"/>
        <w:gridCol w:w="1131"/>
        <w:gridCol w:w="1131"/>
        <w:gridCol w:w="1131"/>
      </w:tblGrid>
      <w:tr>
        <w:trPr>
          <w:tblHeader w:val="true"/>
        </w:trPr>
        <w:tc>
          <w:tcPr>
            <w:shd w:val="clear" w:fill="DCE6F2"/>
          </w:tcPr>
          <w:p>
            <w:pPr>
              <w:pStyle w:val="Compact"/>
              <w:jc w:val="left"/>
            </w:pPr>
            <w:r>
              <w:rPr>
                <w:b/>
                <w:sz w:val="19"/>
              </w:rPr>
              <w:t xml:space="preserve">Storyline</w:t>
            </w:r>
          </w:p>
        </w:tc>
        <w:tc>
          <w:tcPr>
            <w:shd w:val="clear" w:fill="DCE6F2"/>
          </w:tcPr>
          <w:p>
            <w:pPr>
              <w:pStyle w:val="Compact"/>
              <w:jc w:val="left"/>
            </w:pPr>
            <w:r>
              <w:rPr>
                <w:b/>
                <w:sz w:val="19"/>
              </w:rPr>
              <w:t xml:space="preserve">Static</w:t>
            </w:r>
          </w:p>
        </w:tc>
        <w:tc>
          <w:tcPr>
            <w:shd w:val="clear" w:fill="DCE6F2"/>
          </w:tcPr>
          <w:p>
            <w:pPr>
              <w:pStyle w:val="Compact"/>
              <w:jc w:val="left"/>
            </w:pPr>
            <w:r>
              <w:rPr>
                <w:b/>
                <w:sz w:val="19"/>
              </w:rPr>
              <w:t xml:space="preserve">Yearly sample</w:t>
            </w:r>
          </w:p>
        </w:tc>
        <w:tc>
          <w:tcPr>
            <w:shd w:val="clear" w:fill="DCE6F2"/>
          </w:tcPr>
          <w:p>
            <w:pPr>
              <w:pStyle w:val="Compact"/>
              <w:jc w:val="left"/>
            </w:pPr>
            <w:r>
              <w:rPr>
                <w:b/>
                <w:sz w:val="19"/>
              </w:rPr>
              <w:t xml:space="preserve">Extra samples only</w:t>
            </w:r>
          </w:p>
        </w:tc>
        <w:tc>
          <w:tcPr>
            <w:shd w:val="clear" w:fill="DCE6F2"/>
          </w:tcPr>
          <w:p>
            <w:pPr>
              <w:pStyle w:val="Compact"/>
              <w:jc w:val="left"/>
            </w:pPr>
            <w:r>
              <w:rPr>
                <w:b/>
                <w:sz w:val="19"/>
              </w:rPr>
              <w:t xml:space="preserve">Adaptive window only</w:t>
            </w:r>
          </w:p>
        </w:tc>
        <w:tc>
          <w:tcPr>
            <w:shd w:val="clear" w:fill="DCE6F2"/>
          </w:tcPr>
          <w:p>
            <w:pPr>
              <w:pStyle w:val="Compact"/>
              <w:jc w:val="left"/>
            </w:pPr>
            <w:r>
              <w:rPr>
                <w:b/>
                <w:sz w:val="19"/>
              </w:rPr>
              <w:t xml:space="preserve">ROJA-GO</w:t>
            </w:r>
          </w:p>
        </w:tc>
        <w:tc>
          <w:tcPr>
            <w:shd w:val="clear" w:fill="DCE6F2"/>
          </w:tcPr>
          <w:p>
            <w:pPr>
              <w:pStyle w:val="Compact"/>
              <w:jc w:val="left"/>
            </w:pPr>
            <w:r>
              <w:rPr>
                <w:b/>
                <w:sz w:val="19"/>
              </w:rPr>
              <w:t xml:space="preserve">Least squares + ROJA</w:t>
            </w:r>
          </w:p>
        </w:tc>
      </w:tr>
      <w:tr>
        <w:tc>
          <w:tcPr/>
          <w:p>
            <w:pPr>
              <w:pStyle w:val="Compact"/>
              <w:jc w:val="left"/>
            </w:pPr>
            <w:r>
              <w:rPr>
                <w:sz w:val="19"/>
              </w:rPr>
              <w:t xml:space="preserve">Ordinary weather</w:t>
            </w:r>
          </w:p>
        </w:tc>
        <w:tc>
          <w:tcPr/>
          <w:p>
            <w:pPr>
              <w:pStyle w:val="Compact"/>
              <w:jc w:val="left"/>
            </w:pPr>
            <w:r>
              <w:rPr>
                <w:sz w:val="19"/>
              </w:rPr>
              <w:t xml:space="preserve">26.1% (10)</w:t>
            </w:r>
          </w:p>
        </w:tc>
        <w:tc>
          <w:tcPr/>
          <w:p>
            <w:pPr>
              <w:pStyle w:val="Compact"/>
              <w:jc w:val="left"/>
            </w:pPr>
            <w:r>
              <w:rPr>
                <w:sz w:val="19"/>
              </w:rPr>
              <w:t xml:space="preserve">3.5% (2)</w:t>
            </w:r>
          </w:p>
        </w:tc>
        <w:tc>
          <w:tcPr/>
          <w:p>
            <w:pPr>
              <w:pStyle w:val="Compact"/>
              <w:jc w:val="left"/>
            </w:pPr>
            <w:r>
              <w:rPr>
                <w:sz w:val="19"/>
              </w:rPr>
              <w:t xml:space="preserve">3.3% (2)</w:t>
            </w:r>
          </w:p>
        </w:tc>
        <w:tc>
          <w:tcPr/>
          <w:p>
            <w:pPr>
              <w:pStyle w:val="Compact"/>
              <w:jc w:val="left"/>
            </w:pPr>
            <w:r>
              <w:rPr>
                <w:sz w:val="19"/>
              </w:rPr>
              <w:t xml:space="preserve">3.0% (2)</w:t>
            </w:r>
          </w:p>
        </w:tc>
        <w:tc>
          <w:tcPr/>
          <w:p>
            <w:pPr>
              <w:pStyle w:val="Compact"/>
              <w:jc w:val="left"/>
            </w:pPr>
            <w:r>
              <w:rPr>
                <w:sz w:val="19"/>
              </w:rPr>
              <w:t xml:space="preserve">2.7% (1)</w:t>
            </w:r>
          </w:p>
        </w:tc>
        <w:tc>
          <w:tcPr/>
          <w:p>
            <w:pPr>
              <w:pStyle w:val="Compact"/>
              <w:jc w:val="left"/>
            </w:pPr>
            <w:r>
              <w:rPr>
                <w:sz w:val="19"/>
              </w:rPr>
              <w:t xml:space="preserve">24.5% (8)</w:t>
            </w:r>
          </w:p>
        </w:tc>
      </w:tr>
      <w:tr>
        <w:tc>
          <w:tcPr/>
          <w:p>
            <w:pPr>
              <w:pStyle w:val="Compact"/>
              <w:jc w:val="left"/>
            </w:pPr>
            <w:r>
              <w:rPr>
                <w:sz w:val="19"/>
              </w:rPr>
              <w:t xml:space="preserve">Intense rainfall (gauge +2.5 sd for 2 years, a fifth infiltrates)</w:t>
            </w:r>
          </w:p>
        </w:tc>
        <w:tc>
          <w:tcPr/>
          <w:p>
            <w:pPr>
              <w:pStyle w:val="Compact"/>
              <w:jc w:val="left"/>
            </w:pPr>
            <w:r>
              <w:rPr>
                <w:sz w:val="19"/>
              </w:rPr>
              <w:t xml:space="preserve">23.7% (7)</w:t>
            </w:r>
          </w:p>
        </w:tc>
        <w:tc>
          <w:tcPr/>
          <w:p>
            <w:pPr>
              <w:pStyle w:val="Compact"/>
              <w:jc w:val="left"/>
            </w:pPr>
            <w:r>
              <w:rPr>
                <w:sz w:val="19"/>
              </w:rPr>
              <w:t xml:space="preserve">4.7% (3)</w:t>
            </w:r>
          </w:p>
        </w:tc>
        <w:tc>
          <w:tcPr/>
          <w:p>
            <w:pPr>
              <w:pStyle w:val="Compact"/>
              <w:jc w:val="left"/>
            </w:pPr>
            <w:r>
              <w:rPr>
                <w:sz w:val="19"/>
              </w:rPr>
              <w:t xml:space="preserve">4.5% (3)</w:t>
            </w:r>
          </w:p>
        </w:tc>
        <w:tc>
          <w:tcPr/>
          <w:p>
            <w:pPr>
              <w:pStyle w:val="Compact"/>
              <w:jc w:val="left"/>
            </w:pPr>
            <w:r>
              <w:rPr>
                <w:sz w:val="19"/>
              </w:rPr>
              <w:t xml:space="preserve">4.2% (2)</w:t>
            </w:r>
          </w:p>
        </w:tc>
        <w:tc>
          <w:tcPr/>
          <w:p>
            <w:pPr>
              <w:pStyle w:val="Compact"/>
              <w:jc w:val="left"/>
            </w:pPr>
            <w:r>
              <w:rPr>
                <w:sz w:val="19"/>
              </w:rPr>
              <w:t xml:space="preserve">3.3% (3)</w:t>
            </w:r>
          </w:p>
        </w:tc>
        <w:tc>
          <w:tcPr/>
          <w:p>
            <w:pPr>
              <w:pStyle w:val="Compact"/>
              <w:jc w:val="left"/>
            </w:pPr>
            <w:r>
              <w:rPr>
                <w:sz w:val="19"/>
              </w:rPr>
              <w:t xml:space="preserve">28.0% (8)</w:t>
            </w:r>
          </w:p>
        </w:tc>
      </w:tr>
      <w:tr>
        <w:tc>
          <w:tcPr/>
          <w:p>
            <w:pPr>
              <w:pStyle w:val="Compact"/>
              <w:jc w:val="left"/>
            </w:pPr>
            <w:r>
              <w:rPr>
                <w:sz w:val="19"/>
              </w:rPr>
              <w:t xml:space="preserve">Record-shattering drought (−2 sd for 6 years)</w:t>
            </w:r>
          </w:p>
        </w:tc>
        <w:tc>
          <w:tcPr/>
          <w:p>
            <w:pPr>
              <w:pStyle w:val="Compact"/>
              <w:jc w:val="left"/>
            </w:pPr>
            <w:r>
              <w:rPr>
                <w:sz w:val="19"/>
              </w:rPr>
              <w:t xml:space="preserve">26.7% (12)</w:t>
            </w:r>
          </w:p>
        </w:tc>
        <w:tc>
          <w:tcPr/>
          <w:p>
            <w:pPr>
              <w:pStyle w:val="Compact"/>
              <w:jc w:val="left"/>
            </w:pPr>
            <w:r>
              <w:rPr>
                <w:sz w:val="19"/>
              </w:rPr>
              <w:t xml:space="preserve">6.9% (3)</w:t>
            </w:r>
          </w:p>
        </w:tc>
        <w:tc>
          <w:tcPr/>
          <w:p>
            <w:pPr>
              <w:pStyle w:val="Compact"/>
              <w:jc w:val="left"/>
            </w:pPr>
            <w:r>
              <w:rPr>
                <w:sz w:val="19"/>
              </w:rPr>
              <w:t xml:space="preserve">5.0% (1)</w:t>
            </w:r>
          </w:p>
        </w:tc>
        <w:tc>
          <w:tcPr/>
          <w:p>
            <w:pPr>
              <w:pStyle w:val="Compact"/>
              <w:jc w:val="left"/>
            </w:pPr>
            <w:r>
              <w:rPr>
                <w:sz w:val="19"/>
              </w:rPr>
              <w:t xml:space="preserve">5.4% (2)</w:t>
            </w:r>
          </w:p>
        </w:tc>
        <w:tc>
          <w:tcPr/>
          <w:p>
            <w:pPr>
              <w:pStyle w:val="Compact"/>
              <w:jc w:val="left"/>
            </w:pPr>
            <w:r>
              <w:rPr>
                <w:sz w:val="19"/>
              </w:rPr>
              <w:t xml:space="preserve">3.8% (1)</w:t>
            </w:r>
          </w:p>
        </w:tc>
        <w:tc>
          <w:tcPr/>
          <w:p>
            <w:pPr>
              <w:pStyle w:val="Compact"/>
              <w:jc w:val="left"/>
            </w:pPr>
            <w:r>
              <w:rPr>
                <w:sz w:val="19"/>
              </w:rPr>
              <w:t xml:space="preserve">23.1% (8)</w:t>
            </w:r>
          </w:p>
        </w:tc>
      </w:tr>
      <w:tr>
        <w:tc>
          <w:tcPr/>
          <w:p>
            <w:pPr>
              <w:pStyle w:val="Compact"/>
              <w:jc w:val="left"/>
            </w:pPr>
            <w:r>
              <w:rPr>
                <w:sz w:val="19"/>
              </w:rPr>
              <w:t xml:space="preserve">Same drought, farmers respond 3× more strongly (causal change)</w:t>
            </w:r>
          </w:p>
        </w:tc>
        <w:tc>
          <w:tcPr/>
          <w:p>
            <w:pPr>
              <w:pStyle w:val="Compact"/>
              <w:jc w:val="left"/>
            </w:pPr>
            <w:r>
              <w:rPr>
                <w:sz w:val="19"/>
              </w:rPr>
              <w:t xml:space="preserve">21.5% (10)</w:t>
            </w:r>
          </w:p>
        </w:tc>
        <w:tc>
          <w:tcPr/>
          <w:p>
            <w:pPr>
              <w:pStyle w:val="Compact"/>
              <w:jc w:val="left"/>
            </w:pPr>
            <w:r>
              <w:rPr>
                <w:sz w:val="19"/>
              </w:rPr>
              <w:t xml:space="preserve">8.3% (6)</w:t>
            </w:r>
          </w:p>
        </w:tc>
        <w:tc>
          <w:tcPr/>
          <w:p>
            <w:pPr>
              <w:pStyle w:val="Compact"/>
              <w:jc w:val="left"/>
            </w:pPr>
            <w:r>
              <w:rPr>
                <w:sz w:val="19"/>
              </w:rPr>
              <w:t xml:space="preserve">6.9% (4)</w:t>
            </w:r>
          </w:p>
        </w:tc>
        <w:tc>
          <w:tcPr/>
          <w:p>
            <w:pPr>
              <w:pStyle w:val="Compact"/>
              <w:jc w:val="left"/>
            </w:pPr>
            <w:r>
              <w:rPr>
                <w:sz w:val="19"/>
              </w:rPr>
              <w:t xml:space="preserve">6.7% (3)</w:t>
            </w:r>
          </w:p>
        </w:tc>
        <w:tc>
          <w:tcPr/>
          <w:p>
            <w:pPr>
              <w:pStyle w:val="Compact"/>
              <w:jc w:val="left"/>
            </w:pPr>
            <w:r>
              <w:rPr>
                <w:sz w:val="19"/>
              </w:rPr>
              <w:t xml:space="preserve">4.3% (2)</w:t>
            </w:r>
          </w:p>
        </w:tc>
        <w:tc>
          <w:tcPr/>
          <w:p>
            <w:pPr>
              <w:pStyle w:val="Compact"/>
              <w:jc w:val="left"/>
            </w:pPr>
            <w:r>
              <w:rPr>
                <w:sz w:val="19"/>
              </w:rPr>
              <w:t xml:space="preserve">24.5% (9)</w:t>
            </w:r>
          </w:p>
        </w:tc>
      </w:tr>
      <w:tr>
        <w:tc>
          <w:tcPr/>
          <w:p>
            <w:pPr>
              <w:pStyle w:val="Compact"/>
              <w:jc w:val="left"/>
            </w:pPr>
            <w:r>
              <w:rPr>
                <w:sz w:val="19"/>
              </w:rPr>
              <w:t xml:space="preserve">Drought, then 2 years of intense rain on dry ground</w:t>
            </w:r>
          </w:p>
        </w:tc>
        <w:tc>
          <w:tcPr/>
          <w:p>
            <w:pPr>
              <w:pStyle w:val="Compact"/>
              <w:jc w:val="left"/>
            </w:pPr>
            <w:r>
              <w:rPr>
                <w:sz w:val="19"/>
              </w:rPr>
              <w:t xml:space="preserve">23.2% (10)</w:t>
            </w:r>
          </w:p>
        </w:tc>
        <w:tc>
          <w:tcPr/>
          <w:p>
            <w:pPr>
              <w:pStyle w:val="Compact"/>
              <w:jc w:val="left"/>
            </w:pPr>
            <w:r>
              <w:rPr>
                <w:sz w:val="19"/>
              </w:rPr>
              <w:t xml:space="preserve">6.2% (3)</w:t>
            </w:r>
          </w:p>
        </w:tc>
        <w:tc>
          <w:tcPr/>
          <w:p>
            <w:pPr>
              <w:pStyle w:val="Compact"/>
              <w:jc w:val="left"/>
            </w:pPr>
            <w:r>
              <w:rPr>
                <w:sz w:val="19"/>
              </w:rPr>
              <w:t xml:space="preserve">5.0% (2)</w:t>
            </w:r>
          </w:p>
        </w:tc>
        <w:tc>
          <w:tcPr/>
          <w:p>
            <w:pPr>
              <w:pStyle w:val="Compact"/>
              <w:jc w:val="left"/>
            </w:pPr>
            <w:r>
              <w:rPr>
                <w:sz w:val="19"/>
              </w:rPr>
              <w:t xml:space="preserve">4.8% (2)</w:t>
            </w:r>
          </w:p>
        </w:tc>
        <w:tc>
          <w:tcPr/>
          <w:p>
            <w:pPr>
              <w:pStyle w:val="Compact"/>
              <w:jc w:val="left"/>
            </w:pPr>
            <w:r>
              <w:rPr>
                <w:sz w:val="19"/>
              </w:rPr>
              <w:t xml:space="preserve">3.7% (1)</w:t>
            </w:r>
          </w:p>
        </w:tc>
        <w:tc>
          <w:tcPr/>
          <w:p>
            <w:pPr>
              <w:pStyle w:val="Compact"/>
              <w:jc w:val="left"/>
            </w:pPr>
            <w:r>
              <w:rPr>
                <w:sz w:val="19"/>
              </w:rPr>
              <w:t xml:space="preserve">24.9% (9)</w:t>
            </w:r>
          </w:p>
        </w:tc>
      </w:tr>
      <w:tr>
        <w:tc>
          <w:tcPr/>
          <w:p>
            <w:pPr>
              <w:pStyle w:val="Compact"/>
              <w:jc w:val="left"/>
            </w:pPr>
            <w:r>
              <w:rPr>
                <w:sz w:val="19"/>
              </w:rPr>
              <w:t xml:space="preserve">Samples in 30 years</w:t>
            </w:r>
          </w:p>
        </w:tc>
        <w:tc>
          <w:tcPr/>
          <w:p>
            <w:pPr>
              <w:pStyle w:val="Compact"/>
              <w:jc w:val="left"/>
            </w:pPr>
            <w:r>
              <w:rPr>
                <w:sz w:val="19"/>
              </w:rPr>
              <w:t xml:space="preserve">0</w:t>
            </w:r>
          </w:p>
        </w:tc>
        <w:tc>
          <w:tcPr/>
          <w:p>
            <w:pPr>
              <w:pStyle w:val="Compact"/>
              <w:jc w:val="left"/>
            </w:pPr>
            <w:r>
              <w:rPr>
                <w:sz w:val="19"/>
              </w:rPr>
              <w:t xml:space="preserve">30</w:t>
            </w:r>
          </w:p>
        </w:tc>
        <w:tc>
          <w:tcPr/>
          <w:p>
            <w:pPr>
              <w:pStyle w:val="Compact"/>
              <w:jc w:val="left"/>
            </w:pPr>
            <w:r>
              <w:rPr>
                <w:sz w:val="19"/>
              </w:rPr>
              <w:t xml:space="preserve">36</w:t>
            </w:r>
          </w:p>
        </w:tc>
        <w:tc>
          <w:tcPr/>
          <w:p>
            <w:pPr>
              <w:pStyle w:val="Compact"/>
              <w:jc w:val="left"/>
            </w:pPr>
            <w:r>
              <w:rPr>
                <w:sz w:val="19"/>
              </w:rPr>
              <w:t xml:space="preserve">30</w:t>
            </w:r>
          </w:p>
        </w:tc>
        <w:tc>
          <w:tcPr/>
          <w:p>
            <w:pPr>
              <w:pStyle w:val="Compact"/>
              <w:jc w:val="left"/>
            </w:pPr>
            <w:r>
              <w:rPr>
                <w:sz w:val="19"/>
              </w:rPr>
              <w:t xml:space="preserve">36</w:t>
            </w:r>
          </w:p>
        </w:tc>
        <w:tc>
          <w:tcPr/>
          <w:p>
            <w:pPr>
              <w:pStyle w:val="Compact"/>
              <w:jc w:val="left"/>
            </w:pPr>
            <w:r>
              <w:rPr>
                <w:sz w:val="19"/>
              </w:rPr>
              <w:t xml:space="preserve">36</w:t>
            </w:r>
          </w:p>
        </w:tc>
      </w:tr>
    </w:tbl>
    <w:p>
      <w:pPr>
        <w:pStyle w:val="BodyText"/>
      </w:pPr>
      <w:r>
        <w:rPr>
          <w:bCs/>
          <w:b/>
        </w:rPr>
        <w:t xml:space="preserve">What the test shows.</w:t>
      </w:r>
      <w:r>
        <w:t xml:space="preserve"> </w:t>
      </w:r>
      <w:r>
        <w:t xml:space="preserve">(1) The extremes, not the decision, now drive the risk: the drought multiplies the exceeding seasons by 2.1 and the causal change by 2.3. (2) The detectors fire in 49% of the seasons of an extreme and 9% outside it, so the extra samples go where the drift is. (3) In the three drought storylines a continuous sensor that reacts at 89% of the standard leaves 20% of the seasons above it, against 6% with ROJA-GO: the aquifer has memory, so acting at the standard is late, and the certified margin acts earlier. (4) The certificate is still needed: least squares with the same watch under-warns in 25% of the stress seasons.</w:t>
      </w:r>
    </w:p>
    <w:p>
      <w:pPr>
        <w:pStyle w:val="BodyText"/>
      </w:pPr>
      <w:r>
        <w:rPr>
          <w:bCs/>
          <w:b/>
        </w:rPr>
        <w:t xml:space="preserve">For Fushë-Kuqe.</w:t>
      </w:r>
      <w:r>
        <w:t xml:space="preserve"> </w:t>
      </w:r>
      <w:r>
        <w:t xml:space="preserve">Before a drought season, agree the rule with the stakeholders in this form: pump as decided while the alarm is silent; cut when it sounds; take one chloride sample a year at the supply screen, and one more as soon as the rain gauge or the piezometers leave the range of the record. Report with every decision the margin, the samples spent and the confounding strength</w:t>
      </w:r>
      <w:r>
        <w:t xml:space="preserve"> </w:t>
      </w:r>
      <m:oMath>
        <m:sSub>
          <m:e>
            <m:r>
              <m:t>Λ</m:t>
            </m:r>
          </m:e>
          <m:sub>
            <m:r>
              <m:rPr>
                <m:sty m:val="p"/>
              </m:rPr>
              <m:t>c</m:t>
            </m:r>
            <m:r>
              <m:rPr>
                <m:sty m:val="p"/>
              </m:rPr>
              <m:t>r</m:t>
            </m:r>
            <m:r>
              <m:rPr>
                <m:sty m:val="p"/>
              </m:rPr>
              <m:t>i</m:t>
            </m:r>
            <m:r>
              <m:rPr>
                <m:sty m:val="p"/>
              </m:rPr>
              <m:t>t</m:t>
            </m:r>
          </m:sub>
        </m:sSub>
      </m:oMath>
      <w:r>
        <w:t xml:space="preserve"> </w:t>
      </w:r>
      <w:r>
        <w:t xml:space="preserve">that would overturn it (paper 5).</w:t>
      </w:r>
    </w:p>
    <w:bookmarkEnd w:id="30"/>
    <w:bookmarkStart w:id="31" w:name="verification-and-caveats"/>
    <w:p>
      <w:pPr>
        <w:pStyle w:val="Heading2"/>
      </w:pPr>
      <w:r>
        <w:t xml:space="preserve">5. Verification and caveats</w:t>
      </w:r>
    </w:p>
    <w:p>
      <w:pPr>
        <w:numPr>
          <w:ilvl w:val="0"/>
          <w:numId w:val="1002"/>
        </w:numPr>
        <w:pStyle w:val="Compact"/>
      </w:pPr>
      <w:r>
        <w:t xml:space="preserve">The network of this session blocked Crossref, doi.org, arXiv and several publisher hosts. Every DOI and affiliation was therefore confirmed from publisher or repository records found by search (ORA, CaltechAUTHORS, Harvard DASH, DSpace@MIT, PMC, RePEc, ADS), not from Crossref. Pages of the NeurIPS, UAI and PASC papers and some article numbers are not verified.</w:t>
      </w:r>
    </w:p>
    <w:p>
      <w:pPr>
        <w:numPr>
          <w:ilvl w:val="0"/>
          <w:numId w:val="1002"/>
        </w:numPr>
        <w:pStyle w:val="Compact"/>
      </w:pPr>
      <w:r>
        <w:t xml:space="preserve">Numbers flagged as uncertain in the notes are not used here: Wu et al. (2024) report two different intervals in two versions; per-region numbers of Kew et al. (2021) and the coincidence probabilities of Murgatroyd &amp; Hall (2020) were not retrieved.</w:t>
      </w:r>
    </w:p>
    <w:p>
      <w:pPr>
        <w:numPr>
          <w:ilvl w:val="0"/>
          <w:numId w:val="1002"/>
        </w:numPr>
        <w:pStyle w:val="Compact"/>
      </w:pPr>
      <w:r>
        <w:t xml:space="preserve">Kurth et al. (2023) and Frederikse et al. (2020) have Caltech authors together with NVIDIA and JPL authors. None of the twenty papers is about seawater intrusion; their use here is our transfer, and the test is on a synthetic 2-D section, not on field data.</w:t>
      </w:r>
    </w:p>
    <w:p>
      <w:pPr>
        <w:numPr>
          <w:ilvl w:val="0"/>
          <w:numId w:val="1002"/>
        </w:numPr>
        <w:pStyle w:val="Compact"/>
      </w:pPr>
      <w:r>
        <w:t xml:space="preserve">Code: experiments/spiranca_go/sx_run.py (storylines, watch, closed loop); results res/sx.json. All 20 papers are new to this series: none is in the 3,162 references of the earlier reviews.</w:t>
      </w:r>
    </w:p>
    <w:bookmarkEnd w:id="31"/>
    <w:sectPr>
      <w:pgSz w:orient="landscape" w:w="16838" w:h="11906"/>
      <w:pgMar w:left="907" w:right="907" w:top="850" w:bottom="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4"/>
    </w:rPr>
  </w:style>
  <w:style w:styleId="BodyText" w:type="paragraph">
    <w:name w:val="Body Text"/>
    <w:basedOn w:val="Normal"/>
    <w:link w:val="BodyTextChar"/>
    <w:pPr>
      <w:spacing w:after="180" w:before="180"/>
    </w:pPr>
    <w:qFormat/>
    <w:rPr>
      <w:rFonts w:ascii="Calibri" w:hAnsi="Calibri"/>
      <w:sz w:val="24"/>
    </w:rPr>
  </w:style>
  <w:style w:customStyle="1" w:styleId="FirstParagraph" w:type="paragraph">
    <w:name w:val="First Paragraph"/>
    <w:basedOn w:val="BodyText"/>
    <w:next w:val="BodyText"/>
    <w:qFormat/>
    <w:rPr>
      <w:rFonts w:ascii="Calibri" w:hAnsi="Calibri"/>
      <w:sz w:val="24"/>
    </w:rPr>
  </w:style>
  <w:style w:customStyle="1" w:styleId="Compact" w:type="paragraph">
    <w:name w:val="Compact"/>
    <w:basedOn w:val="BodyText"/>
    <w:qFormat/>
    <w:pPr>
      <w:spacing w:after="36" w:before="36"/>
    </w:pPr>
    <w:rPr>
      <w:rFonts w:ascii="Calibri" w:hAnsi="Calibri"/>
      <w:sz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F3864"/>
      <w:sz w:val="44"/>
      <w:szCs w:val="36"/>
    </w:rPr>
  </w:style>
  <w:style w:styleId="Subtitle" w:type="paragraph">
    <w:name w:val="Subtitle"/>
    <w:basedOn w:val="Title"/>
    <w:next w:val="BodyText"/>
    <w:qFormat/>
    <w:pPr>
      <w:keepNext/>
      <w:keepLines/>
      <w:spacing w:after="240" w:before="240"/>
      <w:jc w:val="center"/>
    </w:pPr>
    <w:rPr>
      <w:rFonts w:ascii="Calibri" w:hAnsi="Calibri"/>
      <w:color w:val="2E5597"/>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b/>
      <w:bCs/>
      <w:color w:val="1F3864"/>
      <w:sz w:val="32"/>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b/>
      <w:bCs/>
      <w:color w:val="2E5597"/>
      <w:sz w:val="27"/>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Calibri" w:hAnsi="Calibri"/>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Mathematical decisions for stakeholders under intense rainfall, drought and causal change</dc:title>
  <dc:creator>Dulian Zeqiraj</dc:creator>
  <cp:keywords/>
  <dcterms:created xsi:type="dcterms:W3CDTF">2026-10-28T02:06:34Z</dcterms:created>
  <dcterms:modified xsi:type="dcterms:W3CDTF">2026-10-28T02:06:34Z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Review 61 — twenty papers from Oxford, Caltech, Harvard and MIT (2020–2026), what each changes in MONTIMI-GO / SPIRANCA-GO, and the ROJA-GO innovation</vt:lpwstr>
  </property>
</Properties>
</file>