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SHËNIM KËRKIMOR · INOVACION I TESTUAR</w:t>
      </w:r>
    </w:p>
    <w:p>
      <w:pPr>
        <w:pBdr>
          <w:bottom w:val="single" w:color="1F3864" w:sz="12" w:space="8"/>
        </w:pBdr>
        <w:spacing w:after="240"/>
      </w:pPr>
      <w:r>
        <w:rPr>
          <w:b/>
          <w:bCs/>
          <w:color w:val="1F3864"/>
          <w:sz w:val="52"/>
          <w:szCs w:val="52"/>
        </w:rPr>
        <w:t xml:space="preserve">PRAG-GO në problemin e Henry-t</w:t>
      </w:r>
    </w:p>
    <w:p>
      <w:pPr>
        <w:spacing w:after="360"/>
      </w:pPr>
      <w:r>
        <w:rPr>
          <w:color w:val="3A4350"/>
          <w:sz w:val="26"/>
          <w:szCs w:val="26"/>
        </w:rPr>
        <w:t xml:space="preserve">Dizajn i orientuar nga rreziku i kalimit të pragut të kripësisë, i testuar me zgjidhësin me dendësi të ndryshueshme të projektit SWI-Goal-OED</w:t>
      </w:r>
    </w:p>
    <w:p>
      <w:pPr>
        <w:spacing w:after="360"/>
      </w:pPr>
      <w:r>
        <w:rPr>
          <w:b/>
          <w:bCs/>
          <w:color w:val="92400E"/>
          <w:sz w:val="22"/>
          <w:szCs w:val="22"/>
        </w:rPr>
        <w:t xml:space="preserve">Henry 41 × 21 · 14 000 zgjidhje për prior · 4 960 dizajne · EIG e saktë pa linearizim</w:t>
      </w:r>
    </w:p>
    <w:p>
      <w:pPr>
        <w:pBdr>
          <w:left w:val="single" w:color="1F3864" w:sz="24" w:space="6"/>
        </w:pBdr>
        <w:shd w:fill="EEF3FA" w:color="auto" w:val="clear"/>
        <w:spacing w:after="220" w:before="120" w:line="276" w:lineRule="auto"/>
        <w:ind w:left="140" w:right="60"/>
        <w:jc w:val="both"/>
      </w:pPr>
      <w:r>
        <w:rPr>
          <w:b/>
          <w:bCs/>
          <w:color w:val="1F3864"/>
        </w:rPr>
        <w:t xml:space="preserve">PËRMBLEDHJE  </w:t>
      </w:r>
      <w:r>
        <w:rPr>
          <w:b/>
          <w:bCs/>
        </w:rPr>
        <w:t xml:space="preserve">Pyetja:</w:t>
      </w:r>
      <w:r>
        <w:t xml:space="preserve"> a ndryshon dizajni optimal i monitorimit kur qëllimi nuk është masa e kripës, por kalimi i pragut 1% në puset e furnizimit? </w:t>
      </w:r>
      <w:r>
        <w:rPr>
          <w:b/>
          <w:bCs/>
        </w:rPr>
        <w:t xml:space="preserve">Metoda:</w:t>
      </w:r>
      <w:r>
        <w:t xml:space="preserve"> problemi i Henry-t me zgjidhësin e projektit (maja 1.3918 m e riprodhuar saktë), 12 000 realizime për prior, 4 960 dizajne me 3 puse dhe EIG e saktë pa linearizim. </w:t>
      </w:r>
      <w:r>
        <w:rPr>
          <w:b/>
          <w:bCs/>
        </w:rPr>
        <w:t xml:space="preserve">Rezultati:</w:t>
      </w:r>
      <w:r>
        <w:t xml:space="preserve"> dizajni për masën e kripës arrin 80.4% (rreziku në A) dhe 84.4% (rreziku në A ose B) të optimumit me prior-in Gausian, dhe 75.5% me heterogjenitet lokal; PRAG-GO me adjoint arrin 100.0%, 99.6% dhe 99.8%. Teorema 1 mbijeton jolinearitetin: dizajni për përqendrimin në A arrin 98.5%–99.4% të optimumit për rrezikun në A.</w:t>
      </w:r>
    </w:p>
    <w:p>
      <w:pPr>
        <w:spacing w:after="80" w:before="240"/>
      </w:pPr>
      <w:r>
        <w:rPr>
          <w:b/>
          <w:bCs/>
          <w:color w:val="1F3864"/>
        </w:rPr>
        <w:t xml:space="preserve">Çfarë përmban</w:t>
      </w:r>
    </w:p>
    <w:p>
      <w:pPr>
        <w:pStyle w:val="ListParagraph"/>
        <w:numPr>
          <w:ilvl w:val="0"/>
          <w:numId w:val="2"/>
        </w:numPr>
        <w:spacing w:after="60"/>
        <w:jc w:val="both"/>
      </w:pPr>
      <w:r>
        <w:rPr>
          <w:b/>
          <w:bCs/>
        </w:rPr>
        <w:t xml:space="preserve">Modeli:</w:t>
      </w:r>
      <w:r>
        <w:t xml:space="preserve"> transferimi i zgjidhësit të projektit dhe kontrolli i tij kundrejt numrave të README-së.</w:t>
      </w:r>
    </w:p>
    <w:p>
      <w:pPr>
        <w:pStyle w:val="ListParagraph"/>
        <w:numPr>
          <w:ilvl w:val="0"/>
          <w:numId w:val="2"/>
        </w:numPr>
        <w:spacing w:after="60"/>
        <w:jc w:val="both"/>
      </w:pPr>
      <w:r>
        <w:rPr>
          <w:b/>
          <w:bCs/>
        </w:rPr>
        <w:t xml:space="preserve">Eksperimenti:</w:t>
      </w:r>
      <w:r>
        <w:t xml:space="preserve"> prior-i, dy puset e furnizimit, 32 kandidatët dhe vlerësuesi i saktë i EIG-së.</w:t>
      </w:r>
    </w:p>
    <w:p>
      <w:pPr>
        <w:pStyle w:val="ListParagraph"/>
        <w:numPr>
          <w:ilvl w:val="0"/>
          <w:numId w:val="2"/>
        </w:numPr>
        <w:spacing w:after="60"/>
        <w:jc w:val="both"/>
      </w:pPr>
      <w:r>
        <w:rPr>
          <w:b/>
          <w:bCs/>
        </w:rPr>
        <w:t xml:space="preserve">Rezultatet:</w:t>
      </w:r>
      <w:r>
        <w:t xml:space="preserve"> tri prior-ë, pesë kritere dhe kontrolli i konvergjencës, me figura.</w:t>
      </w:r>
    </w:p>
    <w:p>
      <w:pPr>
        <w:pStyle w:val="ListParagraph"/>
        <w:numPr>
          <w:ilvl w:val="0"/>
          <w:numId w:val="2"/>
        </w:numPr>
        <w:spacing w:after="60"/>
        <w:jc w:val="both"/>
      </w:pPr>
      <w:r>
        <w:rPr>
          <w:b/>
          <w:bCs/>
        </w:rPr>
        <w:t xml:space="preserve">Mësimet dhe hapat e ardhshëm</w:t>
      </w:r>
      <w:r>
        <w:t xml:space="preserve"> për Fushë-Kuqen.</w:t>
      </w:r>
    </w:p>
    <w:p>
      <w:pPr>
        <w:spacing w:before="600"/>
      </w:pPr>
      <w:r>
        <w:rPr>
          <w:color w:val="5B6573"/>
          <w:sz w:val="20"/>
          <w:szCs w:val="20"/>
        </w:rPr>
        <w:t xml:space="preserve">Data: 12 tetor 2026  ·  Vazhdim i propozimit PRAG-GO të dokumentit 15</w:t>
      </w:r>
    </w:p>
    <w:p>
      <w:pPr>
        <w:pStyle w:val="Heading1"/>
        <w:pageBreakBefore/>
      </w:pPr>
      <w:r>
        <w:rPr>
          <w:color w:val="1F3864"/>
        </w:rPr>
        <w:t xml:space="preserve">1. Pyetja dhe përgjigjja e shkurtër</w:t>
      </w:r>
    </w:p>
    <w:p>
      <w:pPr>
        <w:spacing w:after="120"/>
        <w:jc w:val="both"/>
      </w:pPr>
      <w:r>
        <w:t xml:space="preserve">Dokumenti 15 propozoi PRAG-GO-n: dizajnin e rrjetit të monitorimit që maksimizon informacionin për kalimin e një pragu të kripësisë, </w:t>
      </w:r>
      <m:oMath>
        <m:r>
          <m:t>q</m:t>
        </m:r>
        <m:r>
          <m:rPr>
            <m:sty m:val="p"/>
          </m:rPr>
          <m:t>=</m:t>
        </m:r>
        <m:r>
          <m:rPr>
            <m:sty m:val="p"/>
          </m:rPr>
          <m:t>I</m:t>
        </m:r>
        <m:d>
          <m:dPr>
            <m:begChr m:val="("/>
            <m:sepChr m:val=""/>
            <m:endChr m:val=")"/>
            <m:grow/>
          </m:dPr>
          <m:e>
            <m:sSub>
              <m:e>
                <m:r>
                  <m:rPr>
                    <m:sty m:val="p"/>
                  </m:rPr>
                  <m:t>max</m:t>
                </m:r>
              </m:e>
              <m:sub>
                <m:r>
                  <m:t>w</m:t>
                </m:r>
              </m:sub>
            </m:sSub>
            <m:sSub>
              <m:e>
                <m:r>
                  <m:t>c</m:t>
                </m:r>
              </m:e>
              <m:sub>
                <m:r>
                  <m:t>w</m:t>
                </m:r>
              </m:sub>
            </m:sSub>
            <m:r>
              <m:rPr>
                <m:sty m:val="p"/>
              </m:rPr>
              <m:t>&gt;</m:t>
            </m:r>
            <m:r>
              <m:t>τ</m:t>
            </m:r>
          </m:e>
        </m:d>
      </m:oMath>
      <w:r>
        <w:t xml:space="preserve">, në vend të informacionit për një sasi mesatare si masa e kripës. Atje u vërtetuan dy teorema në modelin linear-Gausian: për një qëllim skalar, rreziku dhe mesatarja kanë të njëjtin dizajn optimal (Teorema 1), ndërsa për rrezikun në disa zona dizajnet mund të ndryshojnë (Teorema 2). Ky dokument e çon propozimin në problemin e Henry-t me zgjidhësin me dendësi të ndryshueshme të projektit, ku modeli nuk është linear dhe kripësia nuk është Gausiane. Pyetjet janë tri:</w:t>
      </w:r>
    </w:p>
    <w:p>
      <w:pPr>
        <w:pStyle w:val="ListParagraph"/>
        <w:numPr>
          <w:ilvl w:val="0"/>
          <w:numId w:val="3"/>
        </w:numPr>
        <w:spacing w:after="60"/>
        <w:jc w:val="both"/>
      </w:pPr>
      <w:r>
        <w:rPr>
          <w:b/>
          <w:bCs/>
        </w:rPr>
        <w:t xml:space="preserve">Sa humb dizajni aktual i projektit</w:t>
      </w:r>
      <w:r>
        <w:t xml:space="preserve">, i optimizuar për masën e kripës, kur qëllimi i vërtetë është rreziku në puset e furnizimit?</w:t>
      </w:r>
    </w:p>
    <w:p>
      <w:pPr>
        <w:pStyle w:val="ListParagraph"/>
        <w:numPr>
          <w:ilvl w:val="0"/>
          <w:numId w:val="3"/>
        </w:numPr>
        <w:spacing w:after="60"/>
        <w:jc w:val="both"/>
      </w:pPr>
      <w:r>
        <w:rPr>
          <w:b/>
          <w:bCs/>
        </w:rPr>
        <w:t xml:space="preserve">A mbijeton Teorema 1</w:t>
      </w:r>
      <w:r>
        <w:t xml:space="preserve"> në modelin jolinear: a e gjen dizajni për përqendrimin mesatar në pus edhe dizajnin për rrezikun në të njëjtin pus?</w:t>
      </w:r>
    </w:p>
    <w:p>
      <w:pPr>
        <w:pStyle w:val="ListParagraph"/>
        <w:numPr>
          <w:ilvl w:val="0"/>
          <w:numId w:val="3"/>
        </w:numPr>
        <w:spacing w:after="60"/>
        <w:jc w:val="both"/>
      </w:pPr>
      <w:r>
        <w:rPr>
          <w:b/>
          <w:bCs/>
        </w:rPr>
        <w:t xml:space="preserve">A e gjen formula e mbyllur e PRAG-GO-s</w:t>
      </w:r>
      <w:r>
        <w:t xml:space="preserve">, e llogaritur me ndjeshmëritë adjoint të projektit, dizajnin optimal të saktë, të vlerësuar pa asnjë linearizim?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Në problemin e Henry-t, dizajni aktual për masën e kripës kap vetëm 75.5%–84.4% të informacionit optimal për rrezikun në puset e furnizimit kur heterogjeniteti është i vazhdueshëm, ndërsa formula e mbyllur e PRAG-GO-s, e llogaritur me ndjeshmëritë adjoint të projektit, arrin 99.6%–100% të optimumit të saktë për rrezikun «A ose B» në të tre prior-ët.</w:t>
      </w:r>
    </w:p>
    <w:p>
      <w:pPr>
        <w:spacing w:after="240"/>
      </w:pPr>
    </w:p>
    <w:p>
      <w:pPr>
        <w:pStyle w:val="Heading1"/>
      </w:pPr>
      <w:r>
        <w:rPr>
          <w:color w:val="1F3864"/>
        </w:rPr>
        <w:t xml:space="preserve">2. Modeli: problemi i Henry-t me zgjidhësin e projektit</w:t>
      </w:r>
    </w:p>
    <w:p>
      <w:pPr>
        <w:spacing w:after="120"/>
        <w:jc w:val="both"/>
      </w:pPr>
      <w:r>
        <w:t xml:space="preserve">Përdorëm të njëjtin diskretizim si skriptet e validuara të projektit (src/vd_residual.m dhe src/vd_solve_forward.m), të transferuar në Python: vëllime të fundme me qendër në qeliza, koka ekuivalente e ujit të ëmbël </w:t>
      </w:r>
      <m:oMath>
        <m:r>
          <m:t>h</m:t>
        </m:r>
      </m:oMath>
      <w:r>
        <w:t xml:space="preserve"> dhe kripësia relative </w:t>
      </w:r>
      <m:oMath>
        <m:r>
          <m:t>c</m:t>
        </m:r>
      </m:oMath>
      <w:r>
        <w:t xml:space="preserve">, mesatare harmonike e përçueshmërisë në faqe dhe advektim «upwind» i rendit të parë. Me </w:t>
      </w:r>
      <m:oMath>
        <m:r>
          <m:t>K</m:t>
        </m:r>
        <m:r>
          <m:rPr>
            <m:sty m:val="p"/>
          </m:rPr>
          <m:t>=</m:t>
        </m:r>
        <m:sSub>
          <m:e>
            <m:r>
              <m:t>K</m:t>
            </m:r>
          </m:e>
          <m:sub>
            <m:r>
              <m:rPr>
                <m:sty m:val="p"/>
              </m:rPr>
              <m:t>r</m:t>
            </m:r>
            <m:r>
              <m:rPr>
                <m:sty m:val="p"/>
              </m:rPr>
              <m:t>e</m:t>
            </m:r>
            <m:r>
              <m:rPr>
                <m:sty m:val="p"/>
              </m:rPr>
              <m:t>f</m:t>
            </m:r>
          </m:sub>
        </m:sSub>
        <m:sSup>
          <m:e>
            <m:r>
              <m:t>e</m:t>
            </m:r>
          </m:e>
          <m:sup>
            <m:r>
              <m:t>θ</m:t>
            </m:r>
          </m:sup>
        </m:sSup>
      </m:oMath>
      <w:r>
        <w:t xml:space="preserve"> për çdo qelizë, sistemi i bashkuar i zgjidhur me Newton është:</w:t>
      </w:r>
    </w:p>
    <w:p>
      <w:pPr>
        <w:pStyle w:val="Equation"/>
      </w:pPr>
      <m:oMathPara>
        <m:oMathParaPr>
          <m:jc m:val="center"/>
        </m:oMathParaPr>
        <m:oMath>
          <m:r>
            <m:rPr>
              <m:sty m:val="p"/>
            </m:rPr>
            <m:t>∇</m:t>
          </m:r>
          <m:r>
            <m:rPr>
              <m:sty m:val="p"/>
            </m:rPr>
            <m:t>⋅</m:t>
          </m:r>
          <m:d>
            <m:dPr>
              <m:begChr m:val="("/>
              <m:sepChr m:val=""/>
              <m:endChr m:val=")"/>
              <m:grow/>
            </m:dPr>
            <m:e>
              <m:r>
                <m:t>K</m:t>
              </m:r>
              <m:d>
                <m:dPr>
                  <m:begChr m:val="("/>
                  <m:sepChr m:val=""/>
                  <m:endChr m:val=")"/>
                  <m:grow/>
                </m:dPr>
                <m:e>
                  <m:r>
                    <m:rPr>
                      <m:sty m:val="p"/>
                    </m:rPr>
                    <m:t>∇</m:t>
                  </m:r>
                  <m:r>
                    <m:t>h</m:t>
                  </m:r>
                  <m:r>
                    <m:rPr>
                      <m:sty m:val="p"/>
                    </m:rPr>
                    <m:t>+</m:t>
                  </m:r>
                  <m:r>
                    <m:t>ε</m:t>
                  </m:r>
                  <m:r>
                    <m:t>c</m:t>
                  </m:r>
                  <m:r>
                    <m:t> </m:t>
                  </m:r>
                  <m:sSub>
                    <m:e>
                      <m:r>
                        <m:t>e</m:t>
                      </m:r>
                    </m:e>
                    <m:sub>
                      <m:r>
                        <m:t>z</m:t>
                      </m:r>
                    </m:sub>
                  </m:sSub>
                </m:e>
              </m:d>
            </m:e>
          </m:d>
          <m:r>
            <m:rPr>
              <m:sty m:val="p"/>
            </m:rPr>
            <m:t>=</m:t>
          </m:r>
          <m:r>
            <m:t>0</m:t>
          </m:r>
          <m:r>
            <m:rPr>
              <m:sty m:val="p"/>
            </m:rPr>
            <m:t>,</m:t>
          </m:r>
          <m:r>
            <m:t>  </m:t>
          </m:r>
          <m:r>
            <m:rPr>
              <m:sty m:val="p"/>
            </m:rPr>
            <m:t>∇</m:t>
          </m:r>
          <m:r>
            <m:rPr>
              <m:sty m:val="p"/>
            </m:rPr>
            <m:t>⋅</m:t>
          </m:r>
          <m:d>
            <m:dPr>
              <m:begChr m:val="("/>
              <m:sepChr m:val=""/>
              <m:endChr m:val=")"/>
              <m:grow/>
            </m:dPr>
            <m:e>
              <m:r>
                <m:t>q</m:t>
              </m:r>
              <m:r>
                <m:t>c</m:t>
              </m:r>
            </m:e>
          </m:d>
          <m:r>
            <m:rPr>
              <m:sty m:val="p"/>
            </m:rPr>
            <m:t>−</m:t>
          </m:r>
          <m:r>
            <m:rPr>
              <m:sty m:val="p"/>
            </m:rPr>
            <m:t>∇</m:t>
          </m:r>
          <m:r>
            <m:rPr>
              <m:sty m:val="p"/>
            </m:rPr>
            <m:t>⋅</m:t>
          </m:r>
          <m:d>
            <m:dPr>
              <m:begChr m:val="("/>
              <m:sepChr m:val=""/>
              <m:endChr m:val=")"/>
              <m:grow/>
            </m:dPr>
            <m:e>
              <m:r>
                <m:t>ϕ</m:t>
              </m:r>
              <m:r>
                <m:t>D</m:t>
              </m:r>
              <m:r>
                <m:rPr>
                  <m:sty m:val="p"/>
                </m:rPr>
                <m:t>∇</m:t>
              </m:r>
              <m:r>
                <m:t>c</m:t>
              </m:r>
            </m:e>
          </m:d>
          <m:r>
            <m:rPr>
              <m:sty m:val="p"/>
            </m:rPr>
            <m:t>=</m:t>
          </m:r>
          <m:r>
            <m:t>0</m:t>
          </m:r>
          <m:r>
            <m:rPr>
              <m:sty m:val="p"/>
            </m:rPr>
            <m:t>,</m:t>
          </m:r>
          <m:r>
            <m:t>  </m:t>
          </m:r>
          <m:r>
            <m:t>q</m:t>
          </m:r>
          <m:r>
            <m:rPr>
              <m:sty m:val="p"/>
            </m:rPr>
            <m:t>=</m:t>
          </m:r>
          <m:r>
            <m:rPr>
              <m:sty m:val="p"/>
            </m:rPr>
            <m:t>−</m:t>
          </m:r>
          <m:r>
            <m:t>K</m:t>
          </m:r>
          <m:d>
            <m:dPr>
              <m:begChr m:val="("/>
              <m:sepChr m:val=""/>
              <m:endChr m:val=")"/>
              <m:grow/>
            </m:dPr>
            <m:e>
              <m:r>
                <m:rPr>
                  <m:sty m:val="p"/>
                </m:rPr>
                <m:t>∇</m:t>
              </m:r>
              <m:r>
                <m:t>h</m:t>
              </m:r>
              <m:r>
                <m:rPr>
                  <m:sty m:val="p"/>
                </m:rPr>
                <m:t>+</m:t>
              </m:r>
              <m:r>
                <m:t>ε</m:t>
              </m:r>
              <m:r>
                <m:t>c</m:t>
              </m:r>
              <m:r>
                <m:t> </m:t>
              </m:r>
              <m:sSub>
                <m:e>
                  <m:r>
                    <m:t>e</m:t>
                  </m:r>
                </m:e>
                <m:sub>
                  <m:r>
                    <m:t>z</m:t>
                  </m:r>
                </m:sub>
              </m:sSub>
            </m:e>
          </m:d>
        </m:oMath>
      </m:oMathPara>
    </w:p>
    <w:p>
      <w:pPr>
        <w:spacing w:after="120"/>
        <w:jc w:val="both"/>
      </w:pPr>
      <w:r>
        <w:t xml:space="preserve">me </w:t>
      </w:r>
      <m:oMath>
        <m:r>
          <m:t>ε</m:t>
        </m:r>
        <m:r>
          <m:rPr>
            <m:sty m:val="p"/>
          </m:rPr>
          <m:t>=</m:t>
        </m:r>
        <m:r>
          <m:t>0.025</m:t>
        </m:r>
      </m:oMath>
      <w:r>
        <w:t xml:space="preserve">, </w:t>
      </w:r>
      <m:oMath>
        <m:r>
          <m:t>ϕ</m:t>
        </m:r>
        <m:r>
          <m:rPr>
            <m:sty m:val="p"/>
          </m:rPr>
          <m:t>=</m:t>
        </m:r>
        <m:r>
          <m:t>0.35</m:t>
        </m:r>
      </m:oMath>
      <w:r>
        <w:t xml:space="preserve">, </w:t>
      </w:r>
      <m:oMath>
        <m:r>
          <m:t>ϕ</m:t>
        </m:r>
        <m:r>
          <m:t>D</m:t>
        </m:r>
        <m:r>
          <m:rPr>
            <m:sty m:val="p"/>
          </m:rPr>
          <m:t>=</m:t>
        </m:r>
        <m:r>
          <m:t>6.6</m:t>
        </m:r>
        <m:r>
          <m:rPr>
            <m:sty m:val="p"/>
          </m:rPr>
          <m:t>⋅</m:t>
        </m:r>
        <m:sSup>
          <m:e>
            <m:r>
              <m:t>10</m:t>
            </m:r>
          </m:e>
          <m:sup>
            <m:r>
              <m:rPr>
                <m:sty m:val="p"/>
              </m:rPr>
              <m:t>−</m:t>
            </m:r>
            <m:r>
              <m:t>6</m:t>
            </m:r>
          </m:sup>
        </m:sSup>
      </m:oMath>
      <w:r>
        <w:t xml:space="preserve"> m²/s (vlera e korrigjuar e Henry-t), prurje e ujit të ëmbël </w:t>
      </w:r>
      <m:oMath>
        <m:r>
          <m:t>6.6</m:t>
        </m:r>
        <m:r>
          <m:rPr>
            <m:sty m:val="p"/>
          </m:rPr>
          <m:t>⋅</m:t>
        </m:r>
        <m:sSup>
          <m:e>
            <m:r>
              <m:t>10</m:t>
            </m:r>
          </m:e>
          <m:sup>
            <m:r>
              <m:rPr>
                <m:sty m:val="p"/>
              </m:rPr>
              <m:t>−</m:t>
            </m:r>
            <m:r>
              <m:t>5</m:t>
            </m:r>
          </m:sup>
        </m:sSup>
      </m:oMath>
      <w:r>
        <w:t xml:space="preserve"> m²/s në kufirin e majtë dhe det hidrostatik në të djathtë. Jakobiani llogaritet me diferenca të fundme dhe me ngjyrosje të kolonave (10 vlerësime të mbetjes në vend të 1722), ndaj një zgjidhje 41 × 21 zgjat rreth 0.05 s. Transferimi riprodhon saktë numrat e README-së së projektit: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00"/>
        <w:gridCol w:w="2546"/>
        <w:gridCol w:w="2546"/>
        <w:gridCol w:w="2546"/>
      </w:tblGrid>
      <w:tr>
        <w:trPr>
          <w:cantSplit/>
          <w:tblHeader/>
        </w:trPr>
        <w:tc>
          <w:tcPr>
            <w:tcW w:type="dxa" w:w="2000"/>
            <w:shd w:fill="1F3864" w:color="auto" w:val="clear"/>
            <w:tcMar>
              <w:top w:type="dxa" w:w="60"/>
              <w:left w:type="dxa" w:w="100"/>
              <w:bottom w:type="dxa" w:w="60"/>
              <w:right w:type="dxa" w:w="100"/>
            </w:tcMar>
            <w:vAlign w:val="top"/>
          </w:tcPr>
          <w:p>
            <w:r>
              <w:rPr>
                <w:b/>
                <w:bCs/>
                <w:color w:val="FFFFFF"/>
                <w:sz w:val="17"/>
                <w:szCs w:val="17"/>
              </w:rPr>
              <w:t xml:space="preserve">Rrjeta</w:t>
            </w:r>
          </w:p>
        </w:tc>
        <w:tc>
          <w:tcPr>
            <w:tcW w:type="dxa" w:w="2546"/>
            <w:shd w:fill="1F3864" w:color="auto" w:val="clear"/>
            <w:tcMar>
              <w:top w:type="dxa" w:w="60"/>
              <w:left w:type="dxa" w:w="100"/>
              <w:bottom w:type="dxa" w:w="60"/>
              <w:right w:type="dxa" w:w="100"/>
            </w:tcMar>
            <w:vAlign w:val="top"/>
          </w:tcPr>
          <w:p>
            <w:r>
              <w:rPr>
                <w:b/>
                <w:bCs/>
                <w:color w:val="FFFFFF"/>
                <w:sz w:val="17"/>
                <w:szCs w:val="17"/>
              </w:rPr>
              <w:t xml:space="preserve">Maja e pykës (Python)</w:t>
            </w:r>
          </w:p>
        </w:tc>
        <w:tc>
          <w:tcPr>
            <w:tcW w:type="dxa" w:w="2546"/>
            <w:shd w:fill="1F3864" w:color="auto" w:val="clear"/>
            <w:tcMar>
              <w:top w:type="dxa" w:w="60"/>
              <w:left w:type="dxa" w:w="100"/>
              <w:bottom w:type="dxa" w:w="60"/>
              <w:right w:type="dxa" w:w="100"/>
            </w:tcMar>
            <w:vAlign w:val="top"/>
          </w:tcPr>
          <w:p>
            <w:r>
              <w:rPr>
                <w:b/>
                <w:bCs/>
                <w:color w:val="FFFFFF"/>
                <w:sz w:val="17"/>
                <w:szCs w:val="17"/>
              </w:rPr>
              <w:t xml:space="preserve">Maja e pykës (projekti)</w:t>
            </w:r>
          </w:p>
        </w:tc>
        <w:tc>
          <w:tcPr>
            <w:tcW w:type="dxa" w:w="2546"/>
            <w:shd w:fill="1F3864" w:color="auto" w:val="clear"/>
            <w:tcMar>
              <w:top w:type="dxa" w:w="60"/>
              <w:left w:type="dxa" w:w="100"/>
              <w:bottom w:type="dxa" w:w="60"/>
              <w:right w:type="dxa" w:w="100"/>
            </w:tcMar>
            <w:vAlign w:val="top"/>
          </w:tcPr>
          <w:p>
            <w:r>
              <w:rPr>
                <w:b/>
                <w:bCs/>
                <w:color w:val="FFFFFF"/>
                <w:sz w:val="17"/>
                <w:szCs w:val="17"/>
              </w:rPr>
              <w:t xml:space="preserve">Mbetja |F|</w:t>
            </w:r>
          </w:p>
        </w:tc>
      </w:tr>
      <w:tr>
        <w:trPr>
          <w:cantSplit/>
        </w:trPr>
        <w:tc>
          <w:tcPr>
            <w:tcW w:type="dxa" w:w="2000"/>
            <w:tcMar>
              <w:top w:type="dxa" w:w="60"/>
              <w:left w:type="dxa" w:w="100"/>
              <w:bottom w:type="dxa" w:w="60"/>
              <w:right w:type="dxa" w:w="100"/>
            </w:tcMar>
            <w:vAlign w:val="top"/>
          </w:tcPr>
          <w:p>
            <w:r>
              <w:rPr>
                <w:sz w:val="17"/>
                <w:szCs w:val="17"/>
              </w:rPr>
              <w:t xml:space="preserve">16 × 8</w:t>
            </w:r>
          </w:p>
        </w:tc>
        <w:tc>
          <w:tcPr>
            <w:tcW w:type="dxa" w:w="2546"/>
            <w:tcMar>
              <w:top w:type="dxa" w:w="60"/>
              <w:left w:type="dxa" w:w="100"/>
              <w:bottom w:type="dxa" w:w="60"/>
              <w:right w:type="dxa" w:w="100"/>
            </w:tcMar>
            <w:vAlign w:val="top"/>
          </w:tcPr>
          <w:p>
            <w:r>
              <w:rPr>
                <w:sz w:val="17"/>
                <w:szCs w:val="17"/>
              </w:rPr>
              <w:t xml:space="preserve">1.4226 m</w:t>
            </w:r>
          </w:p>
        </w:tc>
        <w:tc>
          <w:tcPr>
            <w:tcW w:type="dxa" w:w="2546"/>
            <w:tcMar>
              <w:top w:type="dxa" w:w="60"/>
              <w:left w:type="dxa" w:w="100"/>
              <w:bottom w:type="dxa" w:w="60"/>
              <w:right w:type="dxa" w:w="100"/>
            </w:tcMar>
            <w:vAlign w:val="top"/>
          </w:tcPr>
          <w:p>
            <w:r>
              <w:rPr>
                <w:sz w:val="17"/>
                <w:szCs w:val="17"/>
              </w:rPr>
              <w:t xml:space="preserve">1.4226 m</w:t>
            </w:r>
          </w:p>
        </w:tc>
        <w:tc>
          <w:tcPr>
            <w:tcW w:type="dxa" w:w="2546"/>
            <w:tcMar>
              <w:top w:type="dxa" w:w="60"/>
              <w:left w:type="dxa" w:w="100"/>
              <w:bottom w:type="dxa" w:w="60"/>
              <w:right w:type="dxa" w:w="100"/>
            </w:tcMar>
            <w:vAlign w:val="top"/>
          </w:tcPr>
          <w:p>
            <w:r>
              <w:rPr>
                <w:sz w:val="17"/>
                <w:szCs w:val="17"/>
              </w:rPr>
              <w:t xml:space="preserve">3.2·10⁻¹⁷</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32 × 16</w:t>
            </w:r>
          </w:p>
        </w:tc>
        <w:tc>
          <w:tcPr>
            <w:tcW w:type="dxa" w:w="2546"/>
            <w:shd w:fill="F7F9FC" w:color="auto" w:val="clear"/>
            <w:tcMar>
              <w:top w:type="dxa" w:w="60"/>
              <w:left w:type="dxa" w:w="100"/>
              <w:bottom w:type="dxa" w:w="60"/>
              <w:right w:type="dxa" w:w="100"/>
            </w:tcMar>
            <w:vAlign w:val="top"/>
          </w:tcPr>
          <w:p>
            <w:r>
              <w:rPr>
                <w:sz w:val="17"/>
                <w:szCs w:val="17"/>
              </w:rPr>
              <w:t xml:space="preserve">1.3971 m</w:t>
            </w:r>
          </w:p>
        </w:tc>
        <w:tc>
          <w:tcPr>
            <w:tcW w:type="dxa" w:w="2546"/>
            <w:shd w:fill="F7F9FC" w:color="auto" w:val="clear"/>
            <w:tcMar>
              <w:top w:type="dxa" w:w="60"/>
              <w:left w:type="dxa" w:w="100"/>
              <w:bottom w:type="dxa" w:w="60"/>
              <w:right w:type="dxa" w:w="100"/>
            </w:tcMar>
            <w:vAlign w:val="top"/>
          </w:tcPr>
          <w:p>
            <w:r>
              <w:rPr>
                <w:sz w:val="17"/>
                <w:szCs w:val="17"/>
              </w:rPr>
              <w:t xml:space="preserve">1.3971 m</w:t>
            </w:r>
          </w:p>
        </w:tc>
        <w:tc>
          <w:tcPr>
            <w:tcW w:type="dxa" w:w="2546"/>
            <w:shd w:fill="F7F9FC" w:color="auto" w:val="clear"/>
            <w:tcMar>
              <w:top w:type="dxa" w:w="60"/>
              <w:left w:type="dxa" w:w="100"/>
              <w:bottom w:type="dxa" w:w="60"/>
              <w:right w:type="dxa" w:w="100"/>
            </w:tcMar>
            <w:vAlign w:val="top"/>
          </w:tcPr>
          <w:p>
            <w:r>
              <w:rPr>
                <w:sz w:val="17"/>
                <w:szCs w:val="17"/>
              </w:rPr>
              <w:t xml:space="preserve">2.3·10⁻¹⁶</w:t>
            </w:r>
          </w:p>
        </w:tc>
      </w:tr>
      <w:tr>
        <w:trPr>
          <w:cantSplit/>
        </w:trPr>
        <w:tc>
          <w:tcPr>
            <w:tcW w:type="dxa" w:w="2000"/>
            <w:tcMar>
              <w:top w:type="dxa" w:w="60"/>
              <w:left w:type="dxa" w:w="100"/>
              <w:bottom w:type="dxa" w:w="60"/>
              <w:right w:type="dxa" w:w="100"/>
            </w:tcMar>
            <w:vAlign w:val="top"/>
          </w:tcPr>
          <w:p>
            <w:r>
              <w:rPr>
                <w:sz w:val="17"/>
                <w:szCs w:val="17"/>
              </w:rPr>
              <w:t xml:space="preserve">41 × 21</w:t>
            </w:r>
          </w:p>
        </w:tc>
        <w:tc>
          <w:tcPr>
            <w:tcW w:type="dxa" w:w="2546"/>
            <w:tcMar>
              <w:top w:type="dxa" w:w="60"/>
              <w:left w:type="dxa" w:w="100"/>
              <w:bottom w:type="dxa" w:w="60"/>
              <w:right w:type="dxa" w:w="100"/>
            </w:tcMar>
            <w:vAlign w:val="top"/>
          </w:tcPr>
          <w:p>
            <w:r>
              <w:rPr>
                <w:sz w:val="17"/>
                <w:szCs w:val="17"/>
              </w:rPr>
              <w:t xml:space="preserve">1.3918 m</w:t>
            </w:r>
          </w:p>
        </w:tc>
        <w:tc>
          <w:tcPr>
            <w:tcW w:type="dxa" w:w="2546"/>
            <w:tcMar>
              <w:top w:type="dxa" w:w="60"/>
              <w:left w:type="dxa" w:w="100"/>
              <w:bottom w:type="dxa" w:w="60"/>
              <w:right w:type="dxa" w:w="100"/>
            </w:tcMar>
            <w:vAlign w:val="top"/>
          </w:tcPr>
          <w:p>
            <w:r>
              <w:rPr>
                <w:sz w:val="17"/>
                <w:szCs w:val="17"/>
              </w:rPr>
              <w:t xml:space="preserve">1.3918 m</w:t>
            </w:r>
          </w:p>
        </w:tc>
        <w:tc>
          <w:tcPr>
            <w:tcW w:type="dxa" w:w="2546"/>
            <w:tcMar>
              <w:top w:type="dxa" w:w="60"/>
              <w:left w:type="dxa" w:w="100"/>
              <w:bottom w:type="dxa" w:w="60"/>
              <w:right w:type="dxa" w:w="100"/>
            </w:tcMar>
            <w:vAlign w:val="top"/>
          </w:tcPr>
          <w:p>
            <w:r>
              <w:rPr>
                <w:sz w:val="17"/>
                <w:szCs w:val="17"/>
              </w:rPr>
              <w:t xml:space="preserve">3.5·10⁻¹⁴ (projekti: 3.5·10⁻¹⁴)</w:t>
            </w:r>
          </w:p>
        </w:tc>
      </w:tr>
    </w:tbl>
    <w:p>
      <w:pPr>
        <w:spacing w:after="160"/>
      </w:pPr>
    </w:p>
    <w:p>
      <w:pPr>
        <w:spacing w:after="120"/>
        <w:jc w:val="both"/>
      </w:pPr>
      <w:r>
        <w:t xml:space="preserve">Ndjeshmëritë adjoint të qëllimeve u kontrolluan me diferenca qendrore në një drejtim të rastit: gabimi relativ ishte </w:t>
      </w:r>
      <m:oMath>
        <m:r>
          <m:t>1.6</m:t>
        </m:r>
        <m:r>
          <m:rPr>
            <m:sty m:val="p"/>
          </m:rPr>
          <m:t>⋅</m:t>
        </m:r>
        <m:sSup>
          <m:e>
            <m:r>
              <m:t>10</m:t>
            </m:r>
          </m:e>
          <m:sup>
            <m:r>
              <m:rPr>
                <m:sty m:val="p"/>
              </m:rPr>
              <m:t>−</m:t>
            </m:r>
            <m:r>
              <m:t>4</m:t>
            </m:r>
          </m:sup>
        </m:sSup>
      </m:oMath>
      <w:r>
        <w:t xml:space="preserve">, i pritshëm për një mbetje me advektim «upwind» që nuk është kudo e diferencueshme.</w:t>
      </w:r>
    </w:p>
    <w:p>
      <w:pPr>
        <w:spacing w:after="240"/>
      </w:pPr>
    </w:p>
    <w:p>
      <w:pPr>
        <w:pStyle w:val="Heading1"/>
      </w:pPr>
      <w:r>
        <w:rPr>
          <w:color w:val="1F3864"/>
        </w:rPr>
        <w:t xml:space="preserve">3. Eksperimenti: prior-i, puset dhe kriteret</w:t>
      </w:r>
    </w:p>
    <w:p>
      <w:pPr>
        <w:spacing w:after="120"/>
        <w:jc w:val="both"/>
      </w:pPr>
      <w:r>
        <w:rPr>
          <w:b/>
          <w:bCs/>
        </w:rPr>
        <w:t xml:space="preserve">Prior-i.</w:t>
      </w:r>
      <w:r>
        <w:t xml:space="preserve"> Log-përçueshmëria e çdo qelize është Gausiane me kovariancë eksponenciale, </w:t>
      </w:r>
      <m:oMath>
        <m:r>
          <m:t>σ</m:t>
        </m:r>
        <m:r>
          <m:rPr>
            <m:sty m:val="p"/>
          </m:rPr>
          <m:t>=</m:t>
        </m:r>
        <m:r>
          <m:t>0.5</m:t>
        </m:r>
      </m:oMath>
      <w:r>
        <w:t xml:space="preserve">, gjatësi korrelacioni 0.5 m horizontalisht dhe 0.2 m vertikalisht. Me këtë prior, maja e pykës ka mesatare 1.36 m dhe devijim standard 0.18 m.</w:t>
      </w:r>
    </w:p>
    <w:p>
      <w:pPr>
        <w:spacing w:after="120"/>
        <w:jc w:val="both"/>
      </w:pPr>
      <w:r>
        <w:rPr>
          <w:b/>
          <w:bCs/>
        </w:rPr>
        <w:t xml:space="preserve">Qëllimet.</w:t>
      </w:r>
      <w:r>
        <w:t xml:space="preserve"> Dy puse furnizimi brenda tokës: A në </w:t>
      </w:r>
      <m:oMath>
        <m:d>
          <m:dPr>
            <m:begChr m:val="("/>
            <m:sepChr m:val=""/>
            <m:endChr m:val=")"/>
            <m:grow/>
          </m:dPr>
          <m:e>
            <m:r>
              <m:t>0.61</m:t>
            </m:r>
            <m:r>
              <m:rPr>
                <m:sty m:val="p"/>
              </m:rPr>
              <m:t>,</m:t>
            </m:r>
            <m:r>
              <m:t> </m:t>
            </m:r>
            <m:r>
              <m:t>0.12</m:t>
            </m:r>
          </m:e>
        </m:d>
      </m:oMath>
      <w:r>
        <w:t xml:space="preserve"> m dhe B në </w:t>
      </w:r>
      <m:oMath>
        <m:d>
          <m:dPr>
            <m:begChr m:val="("/>
            <m:sepChr m:val=""/>
            <m:endChr m:val=")"/>
            <m:grow/>
          </m:dPr>
          <m:e>
            <m:r>
              <m:t>0.80</m:t>
            </m:r>
            <m:r>
              <m:rPr>
                <m:sty m:val="p"/>
              </m:rPr>
              <m:t>,</m:t>
            </m:r>
            <m:r>
              <m:t> </m:t>
            </m:r>
            <m:r>
              <m:t>0.60</m:t>
            </m:r>
          </m:e>
        </m:d>
      </m:oMath>
      <w:r>
        <w:t xml:space="preserve"> m. Pragu është </w:t>
      </w:r>
      <m:oMath>
        <m:r>
          <m:t>τ</m:t>
        </m:r>
        <m:r>
          <m:rPr>
            <m:sty m:val="p"/>
          </m:rPr>
          <m:t>=</m:t>
        </m:r>
        <m:r>
          <m:t>0.01</m:t>
        </m:r>
      </m:oMath>
      <w:r>
        <w:t xml:space="preserve">, pra 1% e ujit të detit (rreth 190 mg/L klorur). Probabiliteti prior i kalimit është 0.35 për A dhe 0.38 për «A ose B». Për krahasim mbajmë edhe qëllimin aktual të projektit, masën e kripës në dritaren </w:t>
      </w:r>
      <m:oMath>
        <m:r>
          <m:t>1.0</m:t>
        </m:r>
        <m:r>
          <m:rPr>
            <m:sty m:val="p"/>
          </m:rPr>
          <m:t>&lt;</m:t>
        </m:r>
        <m:r>
          <m:t>x</m:t>
        </m:r>
        <m:r>
          <m:rPr>
            <m:sty m:val="p"/>
          </m:rPr>
          <m:t>&lt;</m:t>
        </m:r>
        <m:r>
          <m:t>1.6</m:t>
        </m:r>
      </m:oMath>
      <w:r>
        <w:t xml:space="preserve"> m.</w:t>
      </w:r>
    </w:p>
    <w:p>
      <w:pPr>
        <w:spacing w:after="120"/>
        <w:jc w:val="both"/>
      </w:pPr>
      <w:r>
        <w:rPr>
          <w:b/>
          <w:bCs/>
        </w:rPr>
        <w:t xml:space="preserve">Matjet dhe dizajnet.</w:t>
      </w:r>
      <w:r>
        <w:t xml:space="preserve"> 32 pika kandidate (8 kolona × 4 thellësi) matin kripësinë me zhurmë </w:t>
      </w:r>
      <m:oMath>
        <m:sSub>
          <m:e>
            <m:r>
              <m:t>σ</m:t>
            </m:r>
          </m:e>
          <m:sub>
            <m:r>
              <m:t>ε</m:t>
            </m:r>
          </m:sub>
        </m:sSub>
        <m:r>
          <m:rPr>
            <m:sty m:val="p"/>
          </m:rPr>
          <m:t>=</m:t>
        </m:r>
        <m:r>
          <m:t>0.01</m:t>
        </m:r>
      </m:oMath>
      <w:r>
        <w:t xml:space="preserve">; çdo dizajn zgjedh 3 pika, pra 4 960 dizajne, të gjitha të vlerësuara.</w:t>
      </w:r>
    </w:p>
    <w:p>
      <w:pPr>
        <w:keepNext/>
        <w:spacing w:after="60" w:before="120"/>
        <w:jc w:val="center"/>
      </w:pPr>
      <w:r>
        <w:drawing>
          <wp:inline distT="0" distB="0" distL="0" distR="0">
            <wp:extent cx="5581650" cy="5410200"/>
            <wp:effectExtent t="0" r="0" b="0" l="0"/>
            <wp:docPr id="1" name="Konfigurimi i eksperimentit në problemin e Henry-t" descr="Konfigurimi i eksperimentit në problemin e Henry-t" title="Konfigurimi i eksperimentit në problemin e Henr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5410200"/>
                    </a:xfrm>
                    <a:prstGeom prst="rect">
                      <a:avLst/>
                    </a:prstGeom>
                  </pic:spPr>
                </pic:pic>
              </a:graphicData>
            </a:graphic>
          </wp:inline>
        </w:drawing>
      </w:r>
    </w:p>
    <w:p>
      <w:pPr>
        <w:spacing w:after="200"/>
        <w:jc w:val="both"/>
      </w:pPr>
      <w:r>
        <w:rPr>
          <w:b/>
          <w:bCs/>
          <w:color w:val="3A4350"/>
          <w:sz w:val="18"/>
          <w:szCs w:val="18"/>
        </w:rPr>
        <w:t xml:space="preserve">Figura 1.</w:t>
      </w:r>
      <w:r>
        <w:rPr>
          <w:color w:val="3A4350"/>
          <w:sz w:val="18"/>
          <w:szCs w:val="18"/>
        </w:rPr>
        <w:t xml:space="preserve"> (a) Kripësia relative në prior-in mesatar me izokloret 1% (vijë e ndërprerë) dhe 50% (vijë e plotë), dritarja e masës së kripës (drejtkëndëshi me pika), 32 pikat kandidate (rrathë) dhe puset e furnizimit A, B (trekëndësha). (b) Probabiliteti prior që kripësia të kalojë 1%, nga 1 000 realizime.</w:t>
      </w:r>
    </w:p>
    <w:p>
      <w:pPr>
        <w:spacing w:after="120"/>
        <w:jc w:val="both"/>
      </w:pPr>
      <w:r>
        <w:rPr>
          <w:b/>
          <w:bCs/>
        </w:rPr>
        <w:t xml:space="preserve">EIG-ja e saktë.</w:t>
      </w:r>
      <w:r>
        <w:t xml:space="preserve"> Për një qëllim binar, EIG-ja është </w:t>
      </w:r>
      <m:oMath>
        <m:r>
          <m:rPr>
            <m:sty m:val="p"/>
          </m:rPr>
          <m:t>E</m:t>
        </m:r>
        <m:r>
          <m:rPr>
            <m:sty m:val="p"/>
          </m:rPr>
          <m:t>I</m:t>
        </m:r>
        <m:r>
          <m:rPr>
            <m:sty m:val="p"/>
          </m:rPr>
          <m:t>G</m:t>
        </m:r>
        <m:r>
          <m:rPr>
            <m:sty m:val="p"/>
          </m:rPr>
          <m:t>=</m:t>
        </m:r>
        <m:r>
          <m:t>h</m:t>
        </m:r>
        <m:d>
          <m:dPr>
            <m:begChr m:val="("/>
            <m:sepChr m:val=""/>
            <m:endChr m:val=")"/>
            <m:grow/>
          </m:dPr>
          <m:e>
            <m:sSub>
              <m:e>
                <m:r>
                  <m:t>p</m:t>
                </m:r>
              </m:e>
              <m:sub>
                <m:r>
                  <m:t>0</m:t>
                </m:r>
              </m:sub>
            </m:sSub>
          </m:e>
        </m:d>
        <m:r>
          <m:rPr>
            <m:sty m:val="p"/>
          </m:rPr>
          <m:t>−</m:t>
        </m:r>
        <m:sSub>
          <m:e>
            <m:r>
              <m:rPr>
                <m:scr m:val="double-struck"/>
                <m:sty m:val="p"/>
              </m:rPr>
              <m:t>E</m:t>
            </m:r>
          </m:e>
          <m:sub>
            <m:r>
              <m:t>y</m:t>
            </m:r>
          </m:sub>
        </m:sSub>
        <m:d>
          <m:dPr>
            <m:begChr m:val="["/>
            <m:sepChr m:val=""/>
            <m:endChr m:val="]"/>
            <m:grow/>
          </m:dPr>
          <m:e>
            <m:r>
              <m:t>h</m:t>
            </m:r>
            <m:d>
              <m:dPr>
                <m:begChr m:val="("/>
                <m:sepChr m:val=""/>
                <m:endChr m:val=")"/>
                <m:grow/>
              </m:dPr>
              <m:e>
                <m:r>
                  <m:t>P</m:t>
                </m:r>
                <m:d>
                  <m:dPr>
                    <m:begChr m:val="("/>
                    <m:sepChr m:val=""/>
                    <m:endChr m:val=")"/>
                    <m:grow/>
                  </m:dPr>
                  <m:e>
                    <m:r>
                      <m:t>q</m:t>
                    </m:r>
                    <m:r>
                      <m:rPr>
                        <m:sty m:val="p"/>
                      </m:rPr>
                      <m:t>=</m:t>
                    </m:r>
                    <m:r>
                      <m:t>1</m:t>
                    </m:r>
                    <m:r>
                      <m:rPr>
                        <m:sty m:val="p"/>
                      </m:rPr>
                      <m:t>∣</m:t>
                    </m:r>
                    <m:r>
                      <m:t>y</m:t>
                    </m:r>
                  </m:e>
                </m:d>
              </m:e>
            </m:d>
          </m:e>
        </m:d>
      </m:oMath>
      <w:r>
        <w:t xml:space="preserve"> me </w:t>
      </w:r>
      <m:oMath>
        <m:r>
          <m:t>h</m:t>
        </m:r>
      </m:oMath>
      <w:r>
        <w:t xml:space="preserve"> entropinë binare. E vlerësojmë pa asnjë linearizim, me ripeshim të një ansambli prej 12 000 zgjidhjesh SEAWAT-i të llojit Henry dhe me 2 000 të dhëna sintetike të jashtme, të njëjta për të gjitha dizajnet (numra të rastit të përbashkët):</w:t>
      </w:r>
    </w:p>
    <w:p>
      <w:pPr>
        <w:pStyle w:val="Equation"/>
      </w:pPr>
      <m:oMathPara>
        <m:oMathParaPr>
          <m:jc m:val="center"/>
        </m:oMathParaPr>
        <m:oMath>
          <m:acc>
            <m:accPr>
              <m:chr m:val="̂"/>
            </m:accPr>
            <m:e>
              <m:r>
                <m:rPr>
                  <m:sty m:val="p"/>
                </m:rPr>
                <m:t>E</m:t>
              </m:r>
              <m:r>
                <m:rPr>
                  <m:sty m:val="p"/>
                </m:rPr>
                <m:t>I</m:t>
              </m:r>
              <m:r>
                <m:rPr>
                  <m:sty m:val="p"/>
                </m:rPr>
                <m:t>G</m:t>
              </m:r>
            </m:e>
          </m:acc>
          <m:d>
            <m:dPr>
              <m:begChr m:val="("/>
              <m:sepChr m:val=""/>
              <m:endChr m:val=")"/>
              <m:grow/>
            </m:dPr>
            <m:e>
              <m:r>
                <m:t>d</m:t>
              </m:r>
            </m:e>
          </m:d>
          <m:r>
            <m:rPr>
              <m:sty m:val="p"/>
            </m:rPr>
            <m:t>=</m:t>
          </m:r>
          <m:r>
            <m:t>h</m:t>
          </m:r>
          <m:d>
            <m:dPr>
              <m:begChr m:val="("/>
              <m:sepChr m:val=""/>
              <m:endChr m:val=")"/>
              <m:grow/>
            </m:dPr>
            <m:e>
              <m:bar>
                <m:barPr>
                  <m:pos m:val="top"/>
                </m:barPr>
                <m:e>
                  <m:r>
                    <m:t>q</m:t>
                  </m:r>
                </m:e>
              </m:bar>
            </m:e>
          </m:d>
          <m:r>
            <m:rPr>
              <m:sty m:val="p"/>
            </m:rPr>
            <m:t>−</m:t>
          </m:r>
          <m:f>
            <m:fPr>
              <m:type m:val="bar"/>
            </m:fPr>
            <m:num>
              <m:r>
                <m:t>1</m:t>
              </m:r>
            </m:num>
            <m:den>
              <m:sSub>
                <m:e>
                  <m:r>
                    <m:t>N</m:t>
                  </m:r>
                </m:e>
                <m:sub>
                  <m:r>
                    <m:t>y</m:t>
                  </m:r>
                </m:sub>
              </m:sSub>
            </m:den>
          </m:f>
          <m:nary>
            <m:naryPr>
              <m:chr m:val="∑"/>
              <m:limLoc m:val="undOvr"/>
              <m:subHide m:val="off"/>
              <m:supHide m:val="off"/>
            </m:naryPr>
            <m:sub>
              <m:r>
                <m:t>j</m:t>
              </m:r>
              <m:r>
                <m:rPr>
                  <m:sty m:val="p"/>
                </m:rPr>
                <m:t>=</m:t>
              </m:r>
              <m:r>
                <m:t>1</m:t>
              </m:r>
            </m:sub>
            <m:sup>
              <m:sSub>
                <m:e>
                  <m:r>
                    <m:t>N</m:t>
                  </m:r>
                </m:e>
                <m:sub>
                  <m:r>
                    <m:t>y</m:t>
                  </m:r>
                </m:sub>
              </m:sSub>
            </m:sup>
            <m:e>
              <m:r>
                <m:t>h</m:t>
              </m:r>
            </m:e>
          </m:nary>
          <m:d>
            <m:dPr>
              <m:begChr m:val="("/>
              <m:sepChr m:val=""/>
              <m:endChr m:val=")"/>
              <m:grow/>
            </m:dPr>
            <m:e>
              <m:sSub>
                <m:e>
                  <m:acc>
                    <m:accPr>
                      <m:chr m:val="̂"/>
                    </m:accPr>
                    <m:e>
                      <m:r>
                        <m:t>p</m:t>
                      </m:r>
                    </m:e>
                  </m:acc>
                </m:e>
                <m:sub>
                  <m:r>
                    <m:t>j</m:t>
                  </m:r>
                </m:sub>
              </m:sSub>
            </m:e>
          </m:d>
          <m:r>
            <m:rPr>
              <m:sty m:val="p"/>
            </m:rPr>
            <m:t>,</m:t>
          </m:r>
          <m:r>
            <m:t>  </m:t>
          </m:r>
          <m:sSub>
            <m:e>
              <m:acc>
                <m:accPr>
                  <m:chr m:val="̂"/>
                </m:accPr>
                <m:e>
                  <m:r>
                    <m:t>p</m:t>
                  </m:r>
                </m:e>
              </m:acc>
            </m:e>
            <m:sub>
              <m:r>
                <m:t>j</m:t>
              </m:r>
            </m:sub>
          </m:sSub>
          <m:r>
            <m:rPr>
              <m:sty m:val="p"/>
            </m:rPr>
            <m:t>=</m:t>
          </m:r>
          <m:f>
            <m:fPr>
              <m:type m:val="bar"/>
            </m:fPr>
            <m:num>
              <m:nary>
                <m:naryPr>
                  <m:chr m:val="∑"/>
                  <m:limLoc m:val="undOvr"/>
                  <m:subHide m:val="off"/>
                  <m:supHide m:val="on"/>
                </m:naryPr>
                <m:sub>
                  <m:r>
                    <m:t>i</m:t>
                  </m:r>
                </m:sub>
                <m:sup>
                  <m:r>
                    <m:t>​</m:t>
                  </m:r>
                </m:sup>
                <m:e>
                  <m:sSub>
                    <m:e>
                      <m:r>
                        <m:t>w</m:t>
                      </m:r>
                    </m:e>
                    <m:sub>
                      <m:r>
                        <m:t>i</m:t>
                      </m:r>
                      <m:r>
                        <m:t>j</m:t>
                      </m:r>
                    </m:sub>
                  </m:sSub>
                </m:e>
              </m:nary>
              <m:sSub>
                <m:e>
                  <m:r>
                    <m:t>q</m:t>
                  </m:r>
                </m:e>
                <m:sub>
                  <m:r>
                    <m:t>i</m:t>
                  </m:r>
                </m:sub>
              </m:sSub>
            </m:num>
            <m:den>
              <m:nary>
                <m:naryPr>
                  <m:chr m:val="∑"/>
                  <m:limLoc m:val="undOvr"/>
                  <m:subHide m:val="off"/>
                  <m:supHide m:val="on"/>
                </m:naryPr>
                <m:sub>
                  <m:r>
                    <m:t>i</m:t>
                  </m:r>
                </m:sub>
                <m:sup>
                  <m:r>
                    <m:t>​</m:t>
                  </m:r>
                </m:sup>
                <m:e>
                  <m:sSub>
                    <m:e>
                      <m:r>
                        <m:t>w</m:t>
                      </m:r>
                    </m:e>
                    <m:sub>
                      <m:r>
                        <m:t>i</m:t>
                      </m:r>
                      <m:r>
                        <m:t>j</m:t>
                      </m:r>
                    </m:sub>
                  </m:sSub>
                </m:e>
              </m:nary>
            </m:den>
          </m:f>
          <m:r>
            <m:rPr>
              <m:sty m:val="p"/>
            </m:rPr>
            <m:t>,</m:t>
          </m:r>
          <m:r>
            <m:t>  </m:t>
          </m:r>
          <m:sSub>
            <m:e>
              <m:r>
                <m:t>w</m:t>
              </m:r>
            </m:e>
            <m:sub>
              <m:r>
                <m:t>i</m:t>
              </m:r>
              <m:r>
                <m:t>j</m:t>
              </m:r>
            </m:sub>
          </m:sSub>
          <m:r>
            <m:rPr>
              <m:sty m:val="p"/>
            </m:rPr>
            <m:t>=</m:t>
          </m:r>
          <m:r>
            <m:rPr>
              <m:sty m:val="p"/>
            </m:rPr>
            <m:t>exp</m:t>
          </m:r>
          <m:d>
            <m:dPr>
              <m:begChr m:val="("/>
              <m:sepChr m:val=""/>
              <m:endChr m:val=")"/>
              <m:grow/>
            </m:dPr>
            <m:e>
              <m:r>
                <m:rPr>
                  <m:sty m:val="p"/>
                </m:rPr>
                <m:t>−</m:t>
              </m:r>
              <m:f>
                <m:fPr>
                  <m:type m:val="bar"/>
                </m:fPr>
                <m:num>
                  <m:sSup>
                    <m:e>
                      <m:d>
                        <m:dPr>
                          <m:begChr m:val="∥"/>
                          <m:sepChr m:val=""/>
                          <m:endChr m:val="∥"/>
                          <m:grow/>
                        </m:dPr>
                        <m:e>
                          <m:sSub>
                            <m:e>
                              <m:r>
                                <m:t>y</m:t>
                              </m:r>
                            </m:e>
                            <m:sub>
                              <m:r>
                                <m:t>j</m:t>
                              </m:r>
                            </m:sub>
                          </m:sSub>
                          <m:r>
                            <m:rPr>
                              <m:sty m:val="p"/>
                            </m:rPr>
                            <m:t>−</m:t>
                          </m:r>
                          <m:sSub>
                            <m:e>
                              <m:r>
                                <m:t>g</m:t>
                              </m:r>
                            </m:e>
                            <m:sub>
                              <m:r>
                                <m:t>d</m:t>
                              </m:r>
                            </m:sub>
                          </m:sSub>
                          <m:d>
                            <m:dPr>
                              <m:begChr m:val="("/>
                              <m:sepChr m:val=""/>
                              <m:endChr m:val=")"/>
                              <m:grow/>
                            </m:dPr>
                            <m:e>
                              <m:sSub>
                                <m:e>
                                  <m:r>
                                    <m:t>θ</m:t>
                                  </m:r>
                                </m:e>
                                <m:sub>
                                  <m:r>
                                    <m:t>i</m:t>
                                  </m:r>
                                </m:sub>
                              </m:sSub>
                            </m:e>
                          </m:d>
                        </m:e>
                      </m:d>
                    </m:e>
                    <m:sup>
                      <m:r>
                        <m:t>2</m:t>
                      </m:r>
                    </m:sup>
                  </m:sSup>
                </m:num>
                <m:den>
                  <m:r>
                    <m:t>2</m:t>
                  </m:r>
                  <m:sSubSup>
                    <m:e>
                      <m:r>
                        <m:t>σ</m:t>
                      </m:r>
                    </m:e>
                    <m:sub>
                      <m:r>
                        <m:t>ε</m:t>
                      </m:r>
                    </m:sub>
                    <m:sup>
                      <m:r>
                        <m:t>2</m:t>
                      </m:r>
                    </m:sup>
                  </m:sSubSup>
                </m:den>
              </m:f>
            </m:e>
          </m:d>
        </m:oMath>
      </m:oMathPara>
    </w:p>
    <w:p>
      <w:pPr>
        <w:spacing w:after="120"/>
        <w:jc w:val="both"/>
      </w:pPr>
      <w:r>
        <w:rPr>
          <w:b/>
          <w:bCs/>
        </w:rPr>
        <w:t xml:space="preserve">Kriteret që krahasohen.</w:t>
      </w:r>
      <w:r>
        <w:t xml:space="preserve"> (1) EIG-ja lineare e masës së kripës, pra pipeline-i aktual i projektit me Lemën 1 dhe adjointin; (2) EIG-ja lineare e përqendrimit në A, që sipas Teoremës 1 jep dizajnin e rrezikut për A; (3) formula e mbyllur e PRAG-GO-s për rrezikun në A ose B, me momentet nga adjointi; (4) e njëjta formulë me momentet e ansamblit; (5) e njëjta formulë pas transformimit normal-score të çdo ndryshoreje. Varianti (5) është i ligjshëm vetëm për qëllimet me prag, sepse ngjarja e kalimit nuk ndryshon nën një transformim monoton: </w:t>
      </w:r>
      <m:oMath>
        <m:r>
          <m:rPr>
            <m:sty m:val="p"/>
          </m:rPr>
          <m:t>I</m:t>
        </m:r>
        <m:d>
          <m:dPr>
            <m:begChr m:val="("/>
            <m:sepChr m:val=""/>
            <m:endChr m:val=")"/>
            <m:grow/>
          </m:dPr>
          <m:e>
            <m:r>
              <m:t>c</m:t>
            </m:r>
            <m:r>
              <m:rPr>
                <m:sty m:val="p"/>
              </m:rPr>
              <m:t>&gt;</m:t>
            </m:r>
            <m:r>
              <m:t>τ</m:t>
            </m:r>
          </m:e>
        </m:d>
        <m:r>
          <m:rPr>
            <m:sty m:val="p"/>
          </m:rPr>
          <m:t>=</m:t>
        </m:r>
        <m:r>
          <m:rPr>
            <m:sty m:val="p"/>
          </m:rPr>
          <m:t>I</m:t>
        </m:r>
        <m:d>
          <m:dPr>
            <m:begChr m:val="("/>
            <m:sepChr m:val=""/>
            <m:endChr m:val=")"/>
            <m:grow/>
          </m:dPr>
          <m:e>
            <m:r>
              <m:t>T</m:t>
            </m:r>
            <m:d>
              <m:dPr>
                <m:begChr m:val="("/>
                <m:sepChr m:val=""/>
                <m:endChr m:val=")"/>
                <m:grow/>
              </m:dPr>
              <m:e>
                <m:r>
                  <m:t>c</m:t>
                </m:r>
              </m:e>
            </m:d>
            <m:r>
              <m:rPr>
                <m:sty m:val="p"/>
              </m:rPr>
              <m:t>&gt;</m:t>
            </m:r>
            <m:r>
              <m:t>T</m:t>
            </m:r>
            <m:d>
              <m:dPr>
                <m:begChr m:val="("/>
                <m:sepChr m:val=""/>
                <m:endChr m:val=")"/>
                <m:grow/>
              </m:dPr>
              <m:e>
                <m:r>
                  <m:t>τ</m:t>
                </m:r>
              </m:e>
            </m:d>
          </m:e>
        </m:d>
      </m:oMath>
      <w:r>
        <w:t xml:space="preserve">.</w:t>
      </w:r>
    </w:p>
    <w:p>
      <w:pPr>
        <w:pStyle w:val="Equation"/>
      </w:pPr>
      <m:oMathPara>
        <m:oMathParaPr>
          <m:jc m:val="center"/>
        </m:oMathParaPr>
        <m:oMath>
          <m:sSub>
            <m:e>
              <m:r>
                <m:rPr>
                  <m:sty m:val="p"/>
                </m:rPr>
                <m:t>E</m:t>
              </m:r>
              <m:r>
                <m:rPr>
                  <m:sty m:val="p"/>
                </m:rPr>
                <m:t>I</m:t>
              </m:r>
              <m:r>
                <m:rPr>
                  <m:sty m:val="p"/>
                </m:rPr>
                <m:t>G</m:t>
              </m:r>
            </m:e>
            <m:sub>
              <m:r>
                <m:rPr>
                  <m:sty m:val="p"/>
                </m:rPr>
                <m:t>max</m:t>
              </m:r>
            </m:sub>
          </m:sSub>
          <m:d>
            <m:dPr>
              <m:begChr m:val="("/>
              <m:sepChr m:val=""/>
              <m:endChr m:val=")"/>
              <m:grow/>
            </m:dPr>
            <m:e>
              <m:r>
                <m:t>d</m:t>
              </m:r>
            </m:e>
          </m:d>
          <m:r>
            <m:rPr>
              <m:sty m:val="p"/>
            </m:rPr>
            <m:t>=</m:t>
          </m:r>
          <m:r>
            <m:t>h</m:t>
          </m:r>
          <m:d>
            <m:dPr>
              <m:begChr m:val="("/>
              <m:sepChr m:val=""/>
              <m:endChr m:val=")"/>
              <m:grow/>
            </m:dPr>
            <m:e>
              <m:sSub>
                <m:e>
                  <m:r>
                    <m:t>p</m:t>
                  </m:r>
                </m:e>
                <m:sub>
                  <m:r>
                    <m:t>0</m:t>
                  </m:r>
                </m:sub>
              </m:sSub>
            </m:e>
          </m:d>
          <m:r>
            <m:rPr>
              <m:sty m:val="p"/>
            </m:rPr>
            <m:t>−</m:t>
          </m:r>
          <m:sSub>
            <m:e>
              <m:r>
                <m:rPr>
                  <m:scr m:val="double-struck"/>
                  <m:sty m:val="p"/>
                </m:rPr>
                <m:t>E</m:t>
              </m:r>
            </m:e>
            <m:sub>
              <m:sSub>
                <m:e>
                  <m:acc>
                    <m:accPr>
                      <m:chr m:val="̂"/>
                    </m:accPr>
                    <m:e>
                      <m:r>
                        <m:t>z</m:t>
                      </m:r>
                    </m:e>
                  </m:acc>
                </m:e>
                <m:sub>
                  <m:r>
                    <m:t>d</m:t>
                  </m:r>
                </m:sub>
              </m:sSub>
              <m:r>
                <m:rPr>
                  <m:sty m:val="p"/>
                </m:rPr>
                <m:t>∼</m:t>
              </m:r>
              <m:r>
                <m:rPr>
                  <m:scr m:val="script"/>
                  <m:sty m:val="p"/>
                </m:rPr>
                <m:t>N</m:t>
              </m:r>
              <m:d>
                <m:dPr>
                  <m:begChr m:val="("/>
                  <m:sepChr m:val=""/>
                  <m:endChr m:val=")"/>
                  <m:grow/>
                </m:dPr>
                <m:e>
                  <m:r>
                    <m:t>0</m:t>
                  </m:r>
                  <m:r>
                    <m:rPr>
                      <m:sty m:val="p"/>
                    </m:rPr>
                    <m:t>,</m:t>
                  </m:r>
                  <m:sSub>
                    <m:e>
                      <m:r>
                        <m:t>K</m:t>
                      </m:r>
                    </m:e>
                    <m:sub>
                      <m:r>
                        <m:t>d</m:t>
                      </m:r>
                    </m:sub>
                  </m:sSub>
                </m:e>
              </m:d>
            </m:sub>
          </m:sSub>
          <m:d>
            <m:dPr>
              <m:begChr m:val="["/>
              <m:sepChr m:val=""/>
              <m:endChr m:val="]"/>
              <m:grow/>
            </m:dPr>
            <m:e>
              <m:r>
                <m:t>h</m:t>
              </m:r>
              <m:d>
                <m:dPr>
                  <m:begChr m:val="("/>
                  <m:sepChr m:val=""/>
                  <m:endChr m:val=")"/>
                  <m:grow/>
                </m:dPr>
                <m:e>
                  <m:r>
                    <m:t>1</m:t>
                  </m:r>
                  <m:r>
                    <m:rPr>
                      <m:sty m:val="p"/>
                    </m:rPr>
                    <m:t>−</m:t>
                  </m:r>
                  <m:sSub>
                    <m:e>
                      <m:r>
                        <m:t>Φ</m:t>
                      </m:r>
                    </m:e>
                    <m:sub>
                      <m:r>
                        <m:t>2</m:t>
                      </m:r>
                    </m:sub>
                  </m:sSub>
                  <m:d>
                    <m:dPr>
                      <m:begChr m:val="("/>
                      <m:sepChr m:val=""/>
                      <m:endChr m:val=")"/>
                      <m:grow/>
                    </m:dPr>
                    <m:e>
                      <m:f>
                        <m:fPr>
                          <m:type m:val="bar"/>
                        </m:fPr>
                        <m:num>
                          <m:r>
                            <m:t>τ</m:t>
                          </m:r>
                          <m:r>
                            <m:rPr>
                              <m:sty m:val="p"/>
                            </m:rPr>
                            <m:t>−</m:t>
                          </m:r>
                          <m:sSub>
                            <m:e>
                              <m:r>
                                <m:t>μ</m:t>
                              </m:r>
                            </m:e>
                            <m:sub>
                              <m:r>
                                <m:t>A</m:t>
                              </m:r>
                            </m:sub>
                          </m:sSub>
                          <m:r>
                            <m:rPr>
                              <m:sty m:val="p"/>
                            </m:rPr>
                            <m:t>−</m:t>
                          </m:r>
                          <m:sSub>
                            <m:e>
                              <m:acc>
                                <m:accPr>
                                  <m:chr m:val="̂"/>
                                </m:accPr>
                                <m:e>
                                  <m:r>
                                    <m:t>z</m:t>
                                  </m:r>
                                </m:e>
                              </m:acc>
                            </m:e>
                            <m:sub>
                              <m:r>
                                <m:t>1</m:t>
                              </m:r>
                            </m:sub>
                          </m:sSub>
                        </m:num>
                        <m:den>
                          <m:sSub>
                            <m:e>
                              <m:r>
                                <m:t>s</m:t>
                              </m:r>
                            </m:e>
                            <m:sub>
                              <m:r>
                                <m:t>1</m:t>
                              </m:r>
                            </m:sub>
                          </m:sSub>
                        </m:den>
                      </m:f>
                      <m:r>
                        <m:rPr>
                          <m:sty m:val="p"/>
                        </m:rPr>
                        <m:t>,</m:t>
                      </m:r>
                      <m:f>
                        <m:fPr>
                          <m:type m:val="bar"/>
                        </m:fPr>
                        <m:num>
                          <m:r>
                            <m:t>τ</m:t>
                          </m:r>
                          <m:r>
                            <m:rPr>
                              <m:sty m:val="p"/>
                            </m:rPr>
                            <m:t>−</m:t>
                          </m:r>
                          <m:sSub>
                            <m:e>
                              <m:r>
                                <m:t>μ</m:t>
                              </m:r>
                            </m:e>
                            <m:sub>
                              <m:r>
                                <m:t>B</m:t>
                              </m:r>
                            </m:sub>
                          </m:sSub>
                          <m:r>
                            <m:rPr>
                              <m:sty m:val="p"/>
                            </m:rPr>
                            <m:t>−</m:t>
                          </m:r>
                          <m:sSub>
                            <m:e>
                              <m:acc>
                                <m:accPr>
                                  <m:chr m:val="̂"/>
                                </m:accPr>
                                <m:e>
                                  <m:r>
                                    <m:t>z</m:t>
                                  </m:r>
                                </m:e>
                              </m:acc>
                            </m:e>
                            <m:sub>
                              <m:r>
                                <m:t>2</m:t>
                              </m:r>
                            </m:sub>
                          </m:sSub>
                        </m:num>
                        <m:den>
                          <m:sSub>
                            <m:e>
                              <m:r>
                                <m:t>s</m:t>
                              </m:r>
                            </m:e>
                            <m:sub>
                              <m:r>
                                <m:t>2</m:t>
                              </m:r>
                            </m:sub>
                          </m:sSub>
                        </m:den>
                      </m:f>
                      <m:r>
                        <m:rPr>
                          <m:sty m:val="p"/>
                        </m:rPr>
                        <m:t>;</m:t>
                      </m:r>
                      <m:r>
                        <m:t>r</m:t>
                      </m:r>
                    </m:e>
                  </m:d>
                </m:e>
              </m:d>
            </m:e>
          </m:d>
        </m:oMath>
      </m:oMathPara>
    </w:p>
    <w:p>
      <w:pPr>
        <w:spacing w:after="240"/>
      </w:pPr>
    </w:p>
    <w:p>
      <w:pPr>
        <w:pStyle w:val="Heading1"/>
      </w:pPr>
      <w:r>
        <w:rPr>
          <w:color w:val="1F3864"/>
        </w:rPr>
        <w:t xml:space="preserve">4. Rezultatet me prior-in Gausian</w:t>
      </w:r>
    </w:p>
    <w:p>
      <w:pPr>
        <w:spacing w:after="120"/>
        <w:jc w:val="both"/>
      </w:pPr>
      <w:r>
        <w:t xml:space="preserve">Tabela jep EIG-në e saktë të dizajnit që zgjedh çdo kriter, si përqindje e optimumit të saktë mbi të 4 960 dizajnet, dhe korrelacionin e renditjes (Spearman) të kriterit me EIG-në e saktë.</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638"/>
        <w:gridCol w:w="2000"/>
        <w:gridCol w:w="2000"/>
        <w:gridCol w:w="2000"/>
      </w:tblGrid>
      <w:tr>
        <w:trPr>
          <w:cantSplit/>
          <w:tblHeader/>
        </w:trPr>
        <w:tc>
          <w:tcPr>
            <w:tcW w:type="dxa" w:w="3638"/>
            <w:shd w:fill="D97706" w:color="auto" w:val="clear"/>
            <w:tcMar>
              <w:top w:type="dxa" w:w="60"/>
              <w:left w:type="dxa" w:w="100"/>
              <w:bottom w:type="dxa" w:w="60"/>
              <w:right w:type="dxa" w:w="100"/>
            </w:tcMar>
            <w:vAlign w:val="top"/>
          </w:tcPr>
          <w:p>
            <w:r>
              <w:rPr>
                <w:b/>
                <w:bCs/>
                <w:color w:val="FFFFFF"/>
                <w:sz w:val="17"/>
                <w:szCs w:val="17"/>
              </w:rPr>
              <w:t xml:space="preserve">Kriteri</w:t>
            </w:r>
          </w:p>
        </w:tc>
        <w:tc>
          <w:tcPr>
            <w:tcW w:type="dxa" w:w="2000"/>
            <w:shd w:fill="D97706" w:color="auto" w:val="clear"/>
            <w:tcMar>
              <w:top w:type="dxa" w:w="60"/>
              <w:left w:type="dxa" w:w="100"/>
              <w:bottom w:type="dxa" w:w="60"/>
              <w:right w:type="dxa" w:w="100"/>
            </w:tcMar>
            <w:vAlign w:val="top"/>
          </w:tcPr>
          <w:p>
            <w:r>
              <w:rPr>
                <w:b/>
                <w:bCs/>
                <w:color w:val="FFFFFF"/>
                <w:sz w:val="17"/>
                <w:szCs w:val="17"/>
              </w:rPr>
              <w:t xml:space="preserve">Rreziku A: % e optimumit</w:t>
            </w:r>
          </w:p>
        </w:tc>
        <w:tc>
          <w:tcPr>
            <w:tcW w:type="dxa" w:w="2000"/>
            <w:shd w:fill="D97706" w:color="auto" w:val="clear"/>
            <w:tcMar>
              <w:top w:type="dxa" w:w="60"/>
              <w:left w:type="dxa" w:w="100"/>
              <w:bottom w:type="dxa" w:w="60"/>
              <w:right w:type="dxa" w:w="100"/>
            </w:tcMar>
            <w:vAlign w:val="top"/>
          </w:tcPr>
          <w:p>
            <w:r>
              <w:rPr>
                <w:b/>
                <w:bCs/>
                <w:color w:val="FFFFFF"/>
                <w:sz w:val="17"/>
                <w:szCs w:val="17"/>
              </w:rPr>
              <w:t xml:space="preserve">A ose B: % e optimumit</w:t>
            </w:r>
          </w:p>
        </w:tc>
        <w:tc>
          <w:tcPr>
            <w:tcW w:type="dxa" w:w="2000"/>
            <w:shd w:fill="D97706" w:color="auto" w:val="clear"/>
            <w:tcMar>
              <w:top w:type="dxa" w:w="60"/>
              <w:left w:type="dxa" w:w="100"/>
              <w:bottom w:type="dxa" w:w="60"/>
              <w:right w:type="dxa" w:w="100"/>
            </w:tcMar>
            <w:vAlign w:val="top"/>
          </w:tcPr>
          <w:p>
            <w:r>
              <w:rPr>
                <w:b/>
                <w:bCs/>
                <w:color w:val="FFFFFF"/>
                <w:sz w:val="17"/>
                <w:szCs w:val="17"/>
              </w:rPr>
              <w:t xml:space="preserve">Spearman (A ose B)</w:t>
            </w:r>
          </w:p>
        </w:tc>
      </w:tr>
      <w:tr>
        <w:trPr>
          <w:cantSplit/>
        </w:trPr>
        <w:tc>
          <w:tcPr>
            <w:tcW w:type="dxa" w:w="3638"/>
            <w:tcMar>
              <w:top w:type="dxa" w:w="60"/>
              <w:left w:type="dxa" w:w="100"/>
              <w:bottom w:type="dxa" w:w="60"/>
              <w:right w:type="dxa" w:w="100"/>
            </w:tcMar>
            <w:vAlign w:val="top"/>
          </w:tcPr>
          <w:p>
            <w:r>
              <w:rPr>
                <w:sz w:val="17"/>
                <w:szCs w:val="17"/>
              </w:rPr>
              <w:t xml:space="preserve">EIG lineare e masës së kripës (projekti aktual)</w:t>
            </w:r>
          </w:p>
        </w:tc>
        <w:tc>
          <w:tcPr>
            <w:tcW w:type="dxa" w:w="2000"/>
            <w:tcMar>
              <w:top w:type="dxa" w:w="60"/>
              <w:left w:type="dxa" w:w="100"/>
              <w:bottom w:type="dxa" w:w="60"/>
              <w:right w:type="dxa" w:w="100"/>
            </w:tcMar>
            <w:vAlign w:val="top"/>
          </w:tcPr>
          <w:p>
            <w:r>
              <w:rPr>
                <w:sz w:val="17"/>
                <w:szCs w:val="17"/>
              </w:rPr>
              <w:t xml:space="preserve">80.4%</w:t>
            </w:r>
          </w:p>
        </w:tc>
        <w:tc>
          <w:tcPr>
            <w:tcW w:type="dxa" w:w="2000"/>
            <w:tcMar>
              <w:top w:type="dxa" w:w="60"/>
              <w:left w:type="dxa" w:w="100"/>
              <w:bottom w:type="dxa" w:w="60"/>
              <w:right w:type="dxa" w:w="100"/>
            </w:tcMar>
            <w:vAlign w:val="top"/>
          </w:tcPr>
          <w:p>
            <w:r>
              <w:rPr>
                <w:sz w:val="17"/>
                <w:szCs w:val="17"/>
              </w:rPr>
              <w:t xml:space="preserve">84.4%</w:t>
            </w:r>
          </w:p>
        </w:tc>
        <w:tc>
          <w:tcPr>
            <w:tcW w:type="dxa" w:w="2000"/>
            <w:tcMar>
              <w:top w:type="dxa" w:w="60"/>
              <w:left w:type="dxa" w:w="100"/>
              <w:bottom w:type="dxa" w:w="60"/>
              <w:right w:type="dxa" w:w="100"/>
            </w:tcMar>
            <w:vAlign w:val="top"/>
          </w:tcPr>
          <w:p>
            <w:r>
              <w:rPr>
                <w:sz w:val="17"/>
                <w:szCs w:val="17"/>
              </w:rPr>
              <w:t xml:space="preserve">0.53</w:t>
            </w:r>
          </w:p>
        </w:tc>
      </w:tr>
      <w:tr>
        <w:trPr>
          <w:cantSplit/>
        </w:trPr>
        <w:tc>
          <w:tcPr>
            <w:tcW w:type="dxa" w:w="3638"/>
            <w:shd w:fill="F7F9FC" w:color="auto" w:val="clear"/>
            <w:tcMar>
              <w:top w:type="dxa" w:w="60"/>
              <w:left w:type="dxa" w:w="100"/>
              <w:bottom w:type="dxa" w:w="60"/>
              <w:right w:type="dxa" w:w="100"/>
            </w:tcMar>
            <w:vAlign w:val="top"/>
          </w:tcPr>
          <w:p>
            <w:r>
              <w:rPr>
                <w:sz w:val="17"/>
                <w:szCs w:val="17"/>
              </w:rPr>
              <w:t xml:space="preserve">EIG lineare e përqendrimit mesatar në A dhe B</w:t>
            </w:r>
          </w:p>
        </w:tc>
        <w:tc>
          <w:tcPr>
            <w:tcW w:type="dxa" w:w="2000"/>
            <w:shd w:fill="F7F9FC" w:color="auto" w:val="clear"/>
            <w:tcMar>
              <w:top w:type="dxa" w:w="60"/>
              <w:left w:type="dxa" w:w="100"/>
              <w:bottom w:type="dxa" w:w="60"/>
              <w:right w:type="dxa" w:w="100"/>
            </w:tcMar>
            <w:vAlign w:val="top"/>
          </w:tcPr>
          <w:p>
            <w:r>
              <w:rPr>
                <w:sz w:val="17"/>
                <w:szCs w:val="17"/>
              </w:rPr>
              <w:t xml:space="preserve">97.6%</w:t>
            </w:r>
          </w:p>
        </w:tc>
        <w:tc>
          <w:tcPr>
            <w:tcW w:type="dxa" w:w="2000"/>
            <w:shd w:fill="F7F9FC" w:color="auto" w:val="clear"/>
            <w:tcMar>
              <w:top w:type="dxa" w:w="60"/>
              <w:left w:type="dxa" w:w="100"/>
              <w:bottom w:type="dxa" w:w="60"/>
              <w:right w:type="dxa" w:w="100"/>
            </w:tcMar>
            <w:vAlign w:val="top"/>
          </w:tcPr>
          <w:p>
            <w:r>
              <w:rPr>
                <w:sz w:val="17"/>
                <w:szCs w:val="17"/>
              </w:rPr>
              <w:t xml:space="preserve">99.2%</w:t>
            </w:r>
          </w:p>
        </w:tc>
        <w:tc>
          <w:tcPr>
            <w:tcW w:type="dxa" w:w="2000"/>
            <w:shd w:fill="F7F9FC" w:color="auto" w:val="clear"/>
            <w:tcMar>
              <w:top w:type="dxa" w:w="60"/>
              <w:left w:type="dxa" w:w="100"/>
              <w:bottom w:type="dxa" w:w="60"/>
              <w:right w:type="dxa" w:w="100"/>
            </w:tcMar>
            <w:vAlign w:val="top"/>
          </w:tcPr>
          <w:p>
            <w:r>
              <w:rPr>
                <w:sz w:val="17"/>
                <w:szCs w:val="17"/>
              </w:rPr>
              <w:t xml:space="preserve">0.97</w:t>
            </w:r>
          </w:p>
        </w:tc>
      </w:tr>
      <w:tr>
        <w:trPr>
          <w:cantSplit/>
        </w:trPr>
        <w:tc>
          <w:tcPr>
            <w:tcW w:type="dxa" w:w="3638"/>
            <w:tcMar>
              <w:top w:type="dxa" w:w="60"/>
              <w:left w:type="dxa" w:w="100"/>
              <w:bottom w:type="dxa" w:w="60"/>
              <w:right w:type="dxa" w:w="100"/>
            </w:tcMar>
            <w:vAlign w:val="top"/>
          </w:tcPr>
          <w:p>
            <w:r>
              <w:rPr>
                <w:sz w:val="17"/>
                <w:szCs w:val="17"/>
              </w:rPr>
              <w:t xml:space="preserve">EIG lineare e përqendrimit në A (Teorema 1)</w:t>
            </w:r>
          </w:p>
        </w:tc>
        <w:tc>
          <w:tcPr>
            <w:tcW w:type="dxa" w:w="2000"/>
            <w:tcMar>
              <w:top w:type="dxa" w:w="60"/>
              <w:left w:type="dxa" w:w="100"/>
              <w:bottom w:type="dxa" w:w="60"/>
              <w:right w:type="dxa" w:w="100"/>
            </w:tcMar>
            <w:vAlign w:val="top"/>
          </w:tcPr>
          <w:p>
            <w:r>
              <w:rPr>
                <w:sz w:val="17"/>
                <w:szCs w:val="17"/>
              </w:rPr>
              <w:t xml:space="preserve">98.5%</w:t>
            </w:r>
          </w:p>
        </w:tc>
        <w:tc>
          <w:tcPr>
            <w:tcW w:type="dxa" w:w="2000"/>
            <w:tcMar>
              <w:top w:type="dxa" w:w="60"/>
              <w:left w:type="dxa" w:w="100"/>
              <w:bottom w:type="dxa" w:w="60"/>
              <w:right w:type="dxa" w:w="100"/>
            </w:tcMar>
            <w:vAlign w:val="top"/>
          </w:tcPr>
          <w:p>
            <w:r>
              <w:rPr>
                <w:sz w:val="17"/>
                <w:szCs w:val="17"/>
              </w:rPr>
              <w:t xml:space="preserve">96.1%</w:t>
            </w:r>
          </w:p>
        </w:tc>
        <w:tc>
          <w:tcPr>
            <w:tcW w:type="dxa" w:w="2000"/>
            <w:tcMar>
              <w:top w:type="dxa" w:w="60"/>
              <w:left w:type="dxa" w:w="100"/>
              <w:bottom w:type="dxa" w:w="60"/>
              <w:right w:type="dxa" w:w="100"/>
            </w:tcMar>
            <w:vAlign w:val="top"/>
          </w:tcPr>
          <w:p>
            <w:r>
              <w:rPr>
                <w:sz w:val="17"/>
                <w:szCs w:val="17"/>
              </w:rPr>
              <w:t xml:space="preserve">0.97</w:t>
            </w:r>
          </w:p>
        </w:tc>
      </w:tr>
      <w:tr>
        <w:trPr>
          <w:cantSplit/>
        </w:trPr>
        <w:tc>
          <w:tcPr>
            <w:tcW w:type="dxa" w:w="3638"/>
            <w:shd w:fill="F7F9FC" w:color="auto" w:val="clear"/>
            <w:tcMar>
              <w:top w:type="dxa" w:w="60"/>
              <w:left w:type="dxa" w:w="100"/>
              <w:bottom w:type="dxa" w:w="60"/>
              <w:right w:type="dxa" w:w="100"/>
            </w:tcMar>
            <w:vAlign w:val="top"/>
          </w:tcPr>
          <w:p>
            <w:r>
              <w:rPr>
                <w:sz w:val="17"/>
                <w:szCs w:val="17"/>
              </w:rPr>
              <w:t xml:space="preserve">PRAG-GO, formula e mbyllur me adjoint</w:t>
            </w:r>
          </w:p>
        </w:tc>
        <w:tc>
          <w:tcPr>
            <w:tcW w:type="dxa" w:w="2000"/>
            <w:shd w:fill="F7F9FC" w:color="auto" w:val="clear"/>
            <w:tcMar>
              <w:top w:type="dxa" w:w="60"/>
              <w:left w:type="dxa" w:w="100"/>
              <w:bottom w:type="dxa" w:w="60"/>
              <w:right w:type="dxa" w:w="100"/>
            </w:tcMar>
            <w:vAlign w:val="top"/>
          </w:tcPr>
          <w:p>
            <w:r>
              <w:rPr>
                <w:sz w:val="17"/>
                <w:szCs w:val="17"/>
              </w:rPr>
              <w:t xml:space="preserve">98.5%</w:t>
            </w:r>
          </w:p>
        </w:tc>
        <w:tc>
          <w:tcPr>
            <w:tcW w:type="dxa" w:w="2000"/>
            <w:shd w:fill="F7F9FC" w:color="auto" w:val="clear"/>
            <w:tcMar>
              <w:top w:type="dxa" w:w="60"/>
              <w:left w:type="dxa" w:w="100"/>
              <w:bottom w:type="dxa" w:w="60"/>
              <w:right w:type="dxa" w:w="100"/>
            </w:tcMar>
            <w:vAlign w:val="top"/>
          </w:tcPr>
          <w:p>
            <w:r>
              <w:rPr>
                <w:sz w:val="17"/>
                <w:szCs w:val="17"/>
              </w:rPr>
              <w:t xml:space="preserve">100.0%</w:t>
            </w:r>
          </w:p>
        </w:tc>
        <w:tc>
          <w:tcPr>
            <w:tcW w:type="dxa" w:w="2000"/>
            <w:shd w:fill="F7F9FC" w:color="auto" w:val="clear"/>
            <w:tcMar>
              <w:top w:type="dxa" w:w="60"/>
              <w:left w:type="dxa" w:w="100"/>
              <w:bottom w:type="dxa" w:w="60"/>
              <w:right w:type="dxa" w:w="100"/>
            </w:tcMar>
            <w:vAlign w:val="top"/>
          </w:tcPr>
          <w:p>
            <w:r>
              <w:rPr>
                <w:sz w:val="17"/>
                <w:szCs w:val="17"/>
              </w:rPr>
              <w:t xml:space="preserve">0.98</w:t>
            </w:r>
          </w:p>
        </w:tc>
      </w:tr>
      <w:tr>
        <w:trPr>
          <w:cantSplit/>
        </w:trPr>
        <w:tc>
          <w:tcPr>
            <w:tcW w:type="dxa" w:w="3638"/>
            <w:tcMar>
              <w:top w:type="dxa" w:w="60"/>
              <w:left w:type="dxa" w:w="100"/>
              <w:bottom w:type="dxa" w:w="60"/>
              <w:right w:type="dxa" w:w="100"/>
            </w:tcMar>
            <w:vAlign w:val="top"/>
          </w:tcPr>
          <w:p>
            <w:r>
              <w:rPr>
                <w:sz w:val="17"/>
                <w:szCs w:val="17"/>
              </w:rPr>
              <w:t xml:space="preserve">PRAG-GO me momente ansambli</w:t>
            </w:r>
          </w:p>
        </w:tc>
        <w:tc>
          <w:tcPr>
            <w:tcW w:type="dxa" w:w="2000"/>
            <w:tcMar>
              <w:top w:type="dxa" w:w="60"/>
              <w:left w:type="dxa" w:w="100"/>
              <w:bottom w:type="dxa" w:w="60"/>
              <w:right w:type="dxa" w:w="100"/>
            </w:tcMar>
            <w:vAlign w:val="top"/>
          </w:tcPr>
          <w:p>
            <w:r>
              <w:rPr>
                <w:sz w:val="17"/>
                <w:szCs w:val="17"/>
              </w:rPr>
              <w:t xml:space="preserve">86.8%</w:t>
            </w:r>
          </w:p>
        </w:tc>
        <w:tc>
          <w:tcPr>
            <w:tcW w:type="dxa" w:w="2000"/>
            <w:tcMar>
              <w:top w:type="dxa" w:w="60"/>
              <w:left w:type="dxa" w:w="100"/>
              <w:bottom w:type="dxa" w:w="60"/>
              <w:right w:type="dxa" w:w="100"/>
            </w:tcMar>
            <w:vAlign w:val="top"/>
          </w:tcPr>
          <w:p>
            <w:r>
              <w:rPr>
                <w:sz w:val="17"/>
                <w:szCs w:val="17"/>
              </w:rPr>
              <w:t xml:space="preserve">85.2%</w:t>
            </w:r>
          </w:p>
        </w:tc>
        <w:tc>
          <w:tcPr>
            <w:tcW w:type="dxa" w:w="2000"/>
            <w:tcMar>
              <w:top w:type="dxa" w:w="60"/>
              <w:left w:type="dxa" w:w="100"/>
              <w:bottom w:type="dxa" w:w="60"/>
              <w:right w:type="dxa" w:w="100"/>
            </w:tcMar>
            <w:vAlign w:val="top"/>
          </w:tcPr>
          <w:p>
            <w:r>
              <w:rPr>
                <w:sz w:val="17"/>
                <w:szCs w:val="17"/>
              </w:rPr>
              <w:t xml:space="preserve">0.57</w:t>
            </w:r>
          </w:p>
        </w:tc>
      </w:tr>
      <w:tr>
        <w:trPr>
          <w:cantSplit/>
        </w:trPr>
        <w:tc>
          <w:tcPr>
            <w:tcW w:type="dxa" w:w="3638"/>
            <w:shd w:fill="F7F9FC" w:color="auto" w:val="clear"/>
            <w:tcMar>
              <w:top w:type="dxa" w:w="60"/>
              <w:left w:type="dxa" w:w="100"/>
              <w:bottom w:type="dxa" w:w="60"/>
              <w:right w:type="dxa" w:w="100"/>
            </w:tcMar>
            <w:vAlign w:val="top"/>
          </w:tcPr>
          <w:p>
            <w:r>
              <w:rPr>
                <w:sz w:val="17"/>
                <w:szCs w:val="17"/>
              </w:rPr>
              <w:t xml:space="preserve">PRAG-GO me ansambël normal-score</w:t>
            </w:r>
          </w:p>
        </w:tc>
        <w:tc>
          <w:tcPr>
            <w:tcW w:type="dxa" w:w="2000"/>
            <w:shd w:fill="F7F9FC" w:color="auto" w:val="clear"/>
            <w:tcMar>
              <w:top w:type="dxa" w:w="60"/>
              <w:left w:type="dxa" w:w="100"/>
              <w:bottom w:type="dxa" w:w="60"/>
              <w:right w:type="dxa" w:w="100"/>
            </w:tcMar>
            <w:vAlign w:val="top"/>
          </w:tcPr>
          <w:p>
            <w:r>
              <w:rPr>
                <w:sz w:val="17"/>
                <w:szCs w:val="17"/>
              </w:rPr>
              <w:t xml:space="preserve">94.7%</w:t>
            </w:r>
          </w:p>
        </w:tc>
        <w:tc>
          <w:tcPr>
            <w:tcW w:type="dxa" w:w="2000"/>
            <w:shd w:fill="F7F9FC" w:color="auto" w:val="clear"/>
            <w:tcMar>
              <w:top w:type="dxa" w:w="60"/>
              <w:left w:type="dxa" w:w="100"/>
              <w:bottom w:type="dxa" w:w="60"/>
              <w:right w:type="dxa" w:w="100"/>
            </w:tcMar>
            <w:vAlign w:val="top"/>
          </w:tcPr>
          <w:p>
            <w:r>
              <w:rPr>
                <w:sz w:val="17"/>
                <w:szCs w:val="17"/>
              </w:rPr>
              <w:t xml:space="preserve">95.1%</w:t>
            </w:r>
          </w:p>
        </w:tc>
        <w:tc>
          <w:tcPr>
            <w:tcW w:type="dxa" w:w="2000"/>
            <w:shd w:fill="F7F9FC" w:color="auto" w:val="clear"/>
            <w:tcMar>
              <w:top w:type="dxa" w:w="60"/>
              <w:left w:type="dxa" w:w="100"/>
              <w:bottom w:type="dxa" w:w="60"/>
              <w:right w:type="dxa" w:w="100"/>
            </w:tcMar>
            <w:vAlign w:val="top"/>
          </w:tcPr>
          <w:p>
            <w:r>
              <w:rPr>
                <w:sz w:val="17"/>
                <w:szCs w:val="17"/>
              </w:rPr>
              <w:t xml:space="preserve">0.85</w:t>
            </w:r>
          </w:p>
        </w:tc>
      </w:tr>
    </w:tbl>
    <w:p>
      <w:pPr>
        <w:spacing w:after="160"/>
      </w:pPr>
    </w:p>
    <w:p>
      <w:pPr>
        <w:spacing w:after="120"/>
        <w:jc w:val="both"/>
      </w:pPr>
      <w:r>
        <w:t xml:space="preserve">Dizajni i projektit për masën e kripës, puset (20, 25, 26), ndodhet pranë majës së pykës dhe humb 19.6% të informacionit për rrezikun në A dhe 15.6% për rrezikun në A ose B; korrelacioni i renditjes me EIG-në e saktë është vetëm 0.53. Dizajni për përqendrimin në A arrin 98.5% për rrezikun në A, pra Teorema 1 mbetet pothuajse e saktë edhe me model jolinear. Formula e PRAG-GO-s me dy zona dhe me momentet adjoint zgjodhi puset (12, 17, 24), që janë optimumi i saktë për rrezikun në A ose B (Spearman 0.98). Me momentet e ansamblit, e njëjta formulë humb 14.8%: linearizimi global e përzien regjimin ku kripësia është afër zeros me atë ku ajo rritet, dhe zgjedh puse pranë izoklores 1%, ku në gjysmën e realizimeve matja është praktikisht zero. Transformimi normal-score, i ligjshëm vetëm për qëllimet me prag, e ngre atë në 95.1%.</w:t>
      </w:r>
    </w:p>
    <w:p>
      <w:pPr>
        <w:keepNext/>
        <w:spacing w:after="60" w:before="120"/>
        <w:jc w:val="center"/>
      </w:pPr>
      <w:r>
        <w:drawing>
          <wp:inline distT="0" distB="0" distL="0" distR="0">
            <wp:extent cx="4752975" cy="2095500"/>
            <wp:effectExtent t="0" r="0" b="0" l="0"/>
            <wp:docPr id="1" name="Kriteri kundrejt EIG-së së saktë për të 4960 dizajnet" descr="Kriteri kundrejt EIG-së së saktë për të 4960 dizajnet" title="Kriteri kundrejt EIG-së së saktë për të 4960 dizaj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095500"/>
                    </a:xfrm>
                    <a:prstGeom prst="rect">
                      <a:avLst/>
                    </a:prstGeom>
                  </pic:spPr>
                </pic:pic>
              </a:graphicData>
            </a:graphic>
          </wp:inline>
        </w:drawing>
      </w:r>
    </w:p>
    <w:p>
      <w:pPr>
        <w:spacing w:after="200"/>
        <w:jc w:val="both"/>
      </w:pPr>
      <w:r>
        <w:rPr>
          <w:b/>
          <w:bCs/>
          <w:color w:val="3A4350"/>
          <w:sz w:val="18"/>
          <w:szCs w:val="18"/>
        </w:rPr>
        <w:t xml:space="preserve">Figura 2.</w:t>
      </w:r>
      <w:r>
        <w:rPr>
          <w:color w:val="3A4350"/>
          <w:sz w:val="18"/>
          <w:szCs w:val="18"/>
        </w:rPr>
        <w:t xml:space="preserve"> Vlera e kriterit kundrejt EIG-së së saktë të rrezikut «A ose B» për të 4 960 dizajnet. Majtas: EIG-ja lineare e masës së kripës; djathtas: formula e PRAG-GO-s me adjoint. Pika portokalli është dizajni që zgjedh kriteri, vija e ndërprerë optimumi i saktë.</w:t>
      </w:r>
    </w:p>
    <w:p>
      <w:pPr>
        <w:keepNext/>
        <w:spacing w:after="60" w:before="120"/>
        <w:jc w:val="center"/>
      </w:pPr>
      <w:r>
        <w:drawing>
          <wp:inline distT="0" distB="0" distL="0" distR="0">
            <wp:extent cx="3962400" cy="5676900"/>
            <wp:effectExtent t="0" r="0" b="0" l="0"/>
            <wp:docPr id="1" name="Dizajnet e zgjedhura nga tre kriteret" descr="Dizajnet e zgjedhura nga tre kriteret" title="Dizajnet e zgjedhura nga tre krite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62400" cy="5676900"/>
                    </a:xfrm>
                    <a:prstGeom prst="rect">
                      <a:avLst/>
                    </a:prstGeom>
                  </pic:spPr>
                </pic:pic>
              </a:graphicData>
            </a:graphic>
          </wp:inline>
        </w:drawing>
      </w:r>
    </w:p>
    <w:p>
      <w:pPr>
        <w:spacing w:after="200"/>
        <w:jc w:val="both"/>
      </w:pPr>
      <w:r>
        <w:rPr>
          <w:b/>
          <w:bCs/>
          <w:color w:val="3A4350"/>
          <w:sz w:val="18"/>
          <w:szCs w:val="18"/>
        </w:rPr>
        <w:t xml:space="preserve">Figura 3.</w:t>
      </w:r>
      <w:r>
        <w:rPr>
          <w:color w:val="3A4350"/>
          <w:sz w:val="18"/>
          <w:szCs w:val="18"/>
        </w:rPr>
        <w:t xml:space="preserve"> Tre pikat e zgjedhura (rrathë portokalli) nga PRAG-GO me adjoint, nga EIG-ja lineare e masës së kripës dhe nga PRAG-GO me momente ansambli, me EIG-në e saktë të rrezikut «A ose B». Vija e ndërprerë është izoklorja 1% e prior-it mesatar.</w:t>
      </w:r>
    </w:p>
    <w:p>
      <w:pPr>
        <w:spacing w:after="120"/>
        <w:jc w:val="both"/>
      </w:pPr>
      <w:r>
        <w:rPr>
          <w:b/>
          <w:bCs/>
        </w:rPr>
        <w:t xml:space="preserve">Kontrolli i konvergjencës.</w:t>
      </w:r>
      <w:r>
        <w:t xml:space="preserve"> Dizajnet e zgjedhura u rivlerësuan në dy gjysma të pavarura të ansamblit (6 000 realizime secila) dhe me zhurmë të re. Përqindjet ndryshuan të shumtën rreth 1.5 pikë, ndërsa pesë dizajnet më të mira janë brenda 0.5% të njëri-tjetrit: optimumi është i sheshtë, por humbja e dizajnit për masën dhe afërsia e PRAG-GO-s me optimumin janë të qëndrueshme.</w:t>
      </w:r>
    </w:p>
    <w:p>
      <w:pPr>
        <w:spacing w:after="240"/>
      </w:pPr>
    </w:p>
    <w:p>
      <w:pPr>
        <w:pStyle w:val="Heading1"/>
      </w:pPr>
      <w:r>
        <w:rPr>
          <w:color w:val="1F3864"/>
        </w:rPr>
        <w:t xml:space="preserve">5. Prior-ë të tjerë: heterogjenitet lokal dhe facie</w:t>
      </w:r>
    </w:p>
    <w:p>
      <w:pPr>
        <w:spacing w:after="120"/>
        <w:jc w:val="both"/>
      </w:pPr>
      <w:r>
        <w:t xml:space="preserve">Përsëritëm të gjithë eksperimentin me dy prior-ë të tjerë: (i) heterogjenitet lokal, me </w:t>
      </w:r>
      <m:oMath>
        <m:r>
          <m:t>σ</m:t>
        </m:r>
        <m:r>
          <m:rPr>
            <m:sty m:val="p"/>
          </m:rPr>
          <m:t>=</m:t>
        </m:r>
        <m:r>
          <m:t>0.7</m:t>
        </m:r>
      </m:oMath>
      <w:r>
        <w:t xml:space="preserve"> dhe gjatësi korrelacioni 0.2 m dhe 0.1 m; (ii) një përzierje me dy facie, ku mesatarja e log-përçueshmërisë është </w:t>
      </w:r>
      <m:oMath>
        <m:r>
          <m:rPr>
            <m:sty m:val="p"/>
          </m:rPr>
          <m:t>−</m:t>
        </m:r>
        <m:r>
          <m:t>0.5</m:t>
        </m:r>
      </m:oMath>
      <w:r>
        <w:t xml:space="preserve"> ose </w:t>
      </w:r>
      <m:oMath>
        <m:r>
          <m:rPr>
            <m:sty m:val="p"/>
          </m:rPr>
          <m:t>+</m:t>
        </m:r>
        <m:r>
          <m:t>0.5</m:t>
        </m:r>
      </m:oMath>
      <w:r>
        <w:t xml:space="preserve"> me probabilitet </w:t>
      </w:r>
      <m:oMath>
        <m:r>
          <m:t>1</m:t>
        </m:r>
        <m:r>
          <m:rPr>
            <m:sty m:val="p"/>
          </m:rPr>
          <m:t>/</m:t>
        </m:r>
        <m:r>
          <m:t>2</m:t>
        </m:r>
      </m:oMath>
      <w:r>
        <w:t xml:space="preserve">. Në rastin (ii) kriteret lineare përdorin përafrimin Gausian të përzierjes, pra kovariancën e përbashkët, siç do të bënte pipeline-i aktual pa njohjen e facieve.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1700"/>
        <w:gridCol w:w="1560"/>
        <w:gridCol w:w="1560"/>
        <w:gridCol w:w="1560"/>
        <w:gridCol w:w="1558"/>
      </w:tblGrid>
      <w:tr>
        <w:trPr>
          <w:cantSplit/>
          <w:tblHeader/>
        </w:trPr>
        <w:tc>
          <w:tcPr>
            <w:tcW w:type="dxa" w:w="1700"/>
            <w:shd w:fill="D97706" w:color="auto" w:val="clear"/>
            <w:tcMar>
              <w:top w:type="dxa" w:w="60"/>
              <w:left w:type="dxa" w:w="100"/>
              <w:bottom w:type="dxa" w:w="60"/>
              <w:right w:type="dxa" w:w="100"/>
            </w:tcMar>
            <w:vAlign w:val="top"/>
          </w:tcPr>
          <w:p>
            <w:r>
              <w:rPr>
                <w:b/>
                <w:bCs/>
                <w:color w:val="FFFFFF"/>
                <w:sz w:val="16"/>
                <w:szCs w:val="16"/>
              </w:rPr>
              <w:t xml:space="preserve">Prior-i</w:t>
            </w:r>
          </w:p>
        </w:tc>
        <w:tc>
          <w:tcPr>
            <w:tcW w:type="dxa" w:w="1700"/>
            <w:shd w:fill="D97706" w:color="auto" w:val="clear"/>
            <w:tcMar>
              <w:top w:type="dxa" w:w="60"/>
              <w:left w:type="dxa" w:w="100"/>
              <w:bottom w:type="dxa" w:w="60"/>
              <w:right w:type="dxa" w:w="100"/>
            </w:tcMar>
            <w:vAlign w:val="top"/>
          </w:tcPr>
          <w:p>
            <w:r>
              <w:rPr>
                <w:b/>
                <w:bCs/>
                <w:color w:val="FFFFFF"/>
                <w:sz w:val="16"/>
                <w:szCs w:val="16"/>
              </w:rPr>
              <w:t xml:space="preserve">P(A) / P(A ose B)</w:t>
            </w:r>
          </w:p>
        </w:tc>
        <w:tc>
          <w:tcPr>
            <w:tcW w:type="dxa" w:w="1560"/>
            <w:shd w:fill="D97706" w:color="auto" w:val="clear"/>
            <w:tcMar>
              <w:top w:type="dxa" w:w="60"/>
              <w:left w:type="dxa" w:w="100"/>
              <w:bottom w:type="dxa" w:w="60"/>
              <w:right w:type="dxa" w:w="100"/>
            </w:tcMar>
            <w:vAlign w:val="top"/>
          </w:tcPr>
          <w:p>
            <w:r>
              <w:rPr>
                <w:b/>
                <w:bCs/>
                <w:color w:val="FFFFFF"/>
                <w:sz w:val="16"/>
                <w:szCs w:val="16"/>
              </w:rPr>
              <w:t xml:space="preserve">Masa e kripës</w:t>
            </w:r>
          </w:p>
        </w:tc>
        <w:tc>
          <w:tcPr>
            <w:tcW w:type="dxa" w:w="1560"/>
            <w:shd w:fill="D97706" w:color="auto" w:val="clear"/>
            <w:tcMar>
              <w:top w:type="dxa" w:w="60"/>
              <w:left w:type="dxa" w:w="100"/>
              <w:bottom w:type="dxa" w:w="60"/>
              <w:right w:type="dxa" w:w="100"/>
            </w:tcMar>
            <w:vAlign w:val="top"/>
          </w:tcPr>
          <w:p>
            <w:r>
              <w:rPr>
                <w:b/>
                <w:bCs/>
                <w:color w:val="FFFFFF"/>
                <w:sz w:val="16"/>
                <w:szCs w:val="16"/>
              </w:rPr>
              <w:t xml:space="preserve">Përqendrimi në A</w:t>
            </w:r>
          </w:p>
        </w:tc>
        <w:tc>
          <w:tcPr>
            <w:tcW w:type="dxa" w:w="1560"/>
            <w:shd w:fill="D97706" w:color="auto" w:val="clear"/>
            <w:tcMar>
              <w:top w:type="dxa" w:w="60"/>
              <w:left w:type="dxa" w:w="100"/>
              <w:bottom w:type="dxa" w:w="60"/>
              <w:right w:type="dxa" w:w="100"/>
            </w:tcMar>
            <w:vAlign w:val="top"/>
          </w:tcPr>
          <w:p>
            <w:r>
              <w:rPr>
                <w:b/>
                <w:bCs/>
                <w:color w:val="FFFFFF"/>
                <w:sz w:val="16"/>
                <w:szCs w:val="16"/>
              </w:rPr>
              <w:t xml:space="preserve">PRAG-GO adjoint</w:t>
            </w:r>
          </w:p>
        </w:tc>
        <w:tc>
          <w:tcPr>
            <w:tcW w:type="dxa" w:w="1558"/>
            <w:shd w:fill="D97706" w:color="auto" w:val="clear"/>
            <w:tcMar>
              <w:top w:type="dxa" w:w="60"/>
              <w:left w:type="dxa" w:w="100"/>
              <w:bottom w:type="dxa" w:w="60"/>
              <w:right w:type="dxa" w:w="100"/>
            </w:tcMar>
            <w:vAlign w:val="top"/>
          </w:tcPr>
          <w:p>
            <w:r>
              <w:rPr>
                <w:b/>
                <w:bCs/>
                <w:color w:val="FFFFFF"/>
                <w:sz w:val="16"/>
                <w:szCs w:val="16"/>
              </w:rPr>
              <w:t xml:space="preserve">PRAG-GO normal-score</w:t>
            </w:r>
          </w:p>
        </w:tc>
      </w:tr>
      <w:tr>
        <w:trPr>
          <w:cantSplit/>
        </w:trPr>
        <w:tc>
          <w:tcPr>
            <w:tcW w:type="dxa" w:w="1700"/>
            <w:tcMar>
              <w:top w:type="dxa" w:w="60"/>
              <w:left w:type="dxa" w:w="100"/>
              <w:bottom w:type="dxa" w:w="60"/>
              <w:right w:type="dxa" w:w="100"/>
            </w:tcMar>
            <w:vAlign w:val="top"/>
          </w:tcPr>
          <w:p>
            <w:r>
              <w:rPr>
                <w:sz w:val="16"/>
                <w:szCs w:val="16"/>
              </w:rPr>
              <w:t xml:space="preserve">Gausian (σ = 0.5; 0.5 m / 0.2 m)</w:t>
            </w:r>
          </w:p>
        </w:tc>
        <w:tc>
          <w:tcPr>
            <w:tcW w:type="dxa" w:w="1700"/>
            <w:tcMar>
              <w:top w:type="dxa" w:w="60"/>
              <w:left w:type="dxa" w:w="100"/>
              <w:bottom w:type="dxa" w:w="60"/>
              <w:right w:type="dxa" w:w="100"/>
            </w:tcMar>
            <w:vAlign w:val="top"/>
          </w:tcPr>
          <w:p>
            <w:r>
              <w:rPr>
                <w:sz w:val="16"/>
                <w:szCs w:val="16"/>
              </w:rPr>
              <w:t xml:space="preserve">0.35 / 0.38</w:t>
            </w:r>
          </w:p>
        </w:tc>
        <w:tc>
          <w:tcPr>
            <w:tcW w:type="dxa" w:w="1560"/>
            <w:tcMar>
              <w:top w:type="dxa" w:w="60"/>
              <w:left w:type="dxa" w:w="100"/>
              <w:bottom w:type="dxa" w:w="60"/>
              <w:right w:type="dxa" w:w="100"/>
            </w:tcMar>
            <w:vAlign w:val="top"/>
          </w:tcPr>
          <w:p>
            <w:r>
              <w:rPr>
                <w:sz w:val="16"/>
                <w:szCs w:val="16"/>
              </w:rPr>
              <w:t xml:space="preserve">80.4% / 84.4%</w:t>
            </w:r>
          </w:p>
        </w:tc>
        <w:tc>
          <w:tcPr>
            <w:tcW w:type="dxa" w:w="1560"/>
            <w:tcMar>
              <w:top w:type="dxa" w:w="60"/>
              <w:left w:type="dxa" w:w="100"/>
              <w:bottom w:type="dxa" w:w="60"/>
              <w:right w:type="dxa" w:w="100"/>
            </w:tcMar>
            <w:vAlign w:val="top"/>
          </w:tcPr>
          <w:p>
            <w:r>
              <w:rPr>
                <w:sz w:val="16"/>
                <w:szCs w:val="16"/>
              </w:rPr>
              <w:t xml:space="preserve">98.5% / 96.1%</w:t>
            </w:r>
          </w:p>
        </w:tc>
        <w:tc>
          <w:tcPr>
            <w:tcW w:type="dxa" w:w="1560"/>
            <w:tcMar>
              <w:top w:type="dxa" w:w="60"/>
              <w:left w:type="dxa" w:w="100"/>
              <w:bottom w:type="dxa" w:w="60"/>
              <w:right w:type="dxa" w:w="100"/>
            </w:tcMar>
            <w:vAlign w:val="top"/>
          </w:tcPr>
          <w:p>
            <w:r>
              <w:rPr>
                <w:sz w:val="16"/>
                <w:szCs w:val="16"/>
              </w:rPr>
              <w:t xml:space="preserve">98.5% / 100.0%</w:t>
            </w:r>
          </w:p>
        </w:tc>
        <w:tc>
          <w:tcPr>
            <w:tcW w:type="dxa" w:w="1558"/>
            <w:tcMar>
              <w:top w:type="dxa" w:w="60"/>
              <w:left w:type="dxa" w:w="100"/>
              <w:bottom w:type="dxa" w:w="60"/>
              <w:right w:type="dxa" w:w="100"/>
            </w:tcMar>
            <w:vAlign w:val="top"/>
          </w:tcPr>
          <w:p>
            <w:r>
              <w:rPr>
                <w:sz w:val="16"/>
                <w:szCs w:val="16"/>
              </w:rPr>
              <w:t xml:space="preserve">94.7% / 95.1%</w:t>
            </w:r>
          </w:p>
        </w:tc>
      </w:tr>
      <w:tr>
        <w:trPr>
          <w:cantSplit/>
        </w:trPr>
        <w:tc>
          <w:tcPr>
            <w:tcW w:type="dxa" w:w="1700"/>
            <w:shd w:fill="F7F9FC" w:color="auto" w:val="clear"/>
            <w:tcMar>
              <w:top w:type="dxa" w:w="60"/>
              <w:left w:type="dxa" w:w="100"/>
              <w:bottom w:type="dxa" w:w="60"/>
              <w:right w:type="dxa" w:w="100"/>
            </w:tcMar>
            <w:vAlign w:val="top"/>
          </w:tcPr>
          <w:p>
            <w:r>
              <w:rPr>
                <w:sz w:val="16"/>
                <w:szCs w:val="16"/>
              </w:rPr>
              <w:t xml:space="preserve">Lokal (σ = 0.7; 0.2 m / 0.1 m)</w:t>
            </w:r>
          </w:p>
        </w:tc>
        <w:tc>
          <w:tcPr>
            <w:tcW w:type="dxa" w:w="1700"/>
            <w:shd w:fill="F7F9FC" w:color="auto" w:val="clear"/>
            <w:tcMar>
              <w:top w:type="dxa" w:w="60"/>
              <w:left w:type="dxa" w:w="100"/>
              <w:bottom w:type="dxa" w:w="60"/>
              <w:right w:type="dxa" w:w="100"/>
            </w:tcMar>
            <w:vAlign w:val="top"/>
          </w:tcPr>
          <w:p>
            <w:r>
              <w:rPr>
                <w:sz w:val="16"/>
                <w:szCs w:val="16"/>
              </w:rPr>
              <w:t xml:space="preserve">0.33 / 0.37</w:t>
            </w:r>
          </w:p>
        </w:tc>
        <w:tc>
          <w:tcPr>
            <w:tcW w:type="dxa" w:w="1560"/>
            <w:shd w:fill="F7F9FC" w:color="auto" w:val="clear"/>
            <w:tcMar>
              <w:top w:type="dxa" w:w="60"/>
              <w:left w:type="dxa" w:w="100"/>
              <w:bottom w:type="dxa" w:w="60"/>
              <w:right w:type="dxa" w:w="100"/>
            </w:tcMar>
            <w:vAlign w:val="top"/>
          </w:tcPr>
          <w:p>
            <w:r>
              <w:rPr>
                <w:sz w:val="16"/>
                <w:szCs w:val="16"/>
              </w:rPr>
              <w:t xml:space="preserve">75.5% / 81.0%</w:t>
            </w:r>
          </w:p>
        </w:tc>
        <w:tc>
          <w:tcPr>
            <w:tcW w:type="dxa" w:w="1560"/>
            <w:shd w:fill="F7F9FC" w:color="auto" w:val="clear"/>
            <w:tcMar>
              <w:top w:type="dxa" w:w="60"/>
              <w:left w:type="dxa" w:w="100"/>
              <w:bottom w:type="dxa" w:w="60"/>
              <w:right w:type="dxa" w:w="100"/>
            </w:tcMar>
            <w:vAlign w:val="top"/>
          </w:tcPr>
          <w:p>
            <w:r>
              <w:rPr>
                <w:sz w:val="16"/>
                <w:szCs w:val="16"/>
              </w:rPr>
              <w:t xml:space="preserve">98.7% / 96.5%</w:t>
            </w:r>
          </w:p>
        </w:tc>
        <w:tc>
          <w:tcPr>
            <w:tcW w:type="dxa" w:w="1560"/>
            <w:shd w:fill="F7F9FC" w:color="auto" w:val="clear"/>
            <w:tcMar>
              <w:top w:type="dxa" w:w="60"/>
              <w:left w:type="dxa" w:w="100"/>
              <w:bottom w:type="dxa" w:w="60"/>
              <w:right w:type="dxa" w:w="100"/>
            </w:tcMar>
            <w:vAlign w:val="top"/>
          </w:tcPr>
          <w:p>
            <w:r>
              <w:rPr>
                <w:sz w:val="16"/>
                <w:szCs w:val="16"/>
              </w:rPr>
              <w:t xml:space="preserve">98.7% / 99.6%</w:t>
            </w:r>
          </w:p>
        </w:tc>
        <w:tc>
          <w:tcPr>
            <w:tcW w:type="dxa" w:w="1558"/>
            <w:shd w:fill="F7F9FC" w:color="auto" w:val="clear"/>
            <w:tcMar>
              <w:top w:type="dxa" w:w="60"/>
              <w:left w:type="dxa" w:w="100"/>
              <w:bottom w:type="dxa" w:w="60"/>
              <w:right w:type="dxa" w:w="100"/>
            </w:tcMar>
            <w:vAlign w:val="top"/>
          </w:tcPr>
          <w:p>
            <w:r>
              <w:rPr>
                <w:sz w:val="16"/>
                <w:szCs w:val="16"/>
              </w:rPr>
              <w:t xml:space="preserve">99.9% / 98.5%</w:t>
            </w:r>
          </w:p>
        </w:tc>
      </w:tr>
      <w:tr>
        <w:trPr>
          <w:cantSplit/>
        </w:trPr>
        <w:tc>
          <w:tcPr>
            <w:tcW w:type="dxa" w:w="1700"/>
            <w:tcMar>
              <w:top w:type="dxa" w:w="60"/>
              <w:left w:type="dxa" w:w="100"/>
              <w:bottom w:type="dxa" w:w="60"/>
              <w:right w:type="dxa" w:w="100"/>
            </w:tcMar>
            <w:vAlign w:val="top"/>
          </w:tcPr>
          <w:p>
            <w:r>
              <w:rPr>
                <w:sz w:val="16"/>
                <w:szCs w:val="16"/>
              </w:rPr>
              <w:t xml:space="preserve">Dy facie (±0.5)</w:t>
            </w:r>
          </w:p>
        </w:tc>
        <w:tc>
          <w:tcPr>
            <w:tcW w:type="dxa" w:w="1700"/>
            <w:tcMar>
              <w:top w:type="dxa" w:w="60"/>
              <w:left w:type="dxa" w:w="100"/>
              <w:bottom w:type="dxa" w:w="60"/>
              <w:right w:type="dxa" w:w="100"/>
            </w:tcMar>
            <w:vAlign w:val="top"/>
          </w:tcPr>
          <w:p>
            <w:r>
              <w:rPr>
                <w:sz w:val="16"/>
                <w:szCs w:val="16"/>
              </w:rPr>
              <w:t xml:space="preserve">0.48 / 0.48</w:t>
            </w:r>
          </w:p>
        </w:tc>
        <w:tc>
          <w:tcPr>
            <w:tcW w:type="dxa" w:w="1560"/>
            <w:tcMar>
              <w:top w:type="dxa" w:w="60"/>
              <w:left w:type="dxa" w:w="100"/>
              <w:bottom w:type="dxa" w:w="60"/>
              <w:right w:type="dxa" w:w="100"/>
            </w:tcMar>
            <w:vAlign w:val="top"/>
          </w:tcPr>
          <w:p>
            <w:r>
              <w:rPr>
                <w:sz w:val="16"/>
                <w:szCs w:val="16"/>
              </w:rPr>
              <w:t xml:space="preserve">96.0% / 97.3%</w:t>
            </w:r>
          </w:p>
        </w:tc>
        <w:tc>
          <w:tcPr>
            <w:tcW w:type="dxa" w:w="1560"/>
            <w:tcMar>
              <w:top w:type="dxa" w:w="60"/>
              <w:left w:type="dxa" w:w="100"/>
              <w:bottom w:type="dxa" w:w="60"/>
              <w:right w:type="dxa" w:w="100"/>
            </w:tcMar>
            <w:vAlign w:val="top"/>
          </w:tcPr>
          <w:p>
            <w:r>
              <w:rPr>
                <w:sz w:val="16"/>
                <w:szCs w:val="16"/>
              </w:rPr>
              <w:t xml:space="preserve">99.4% / 99.5%</w:t>
            </w:r>
          </w:p>
        </w:tc>
        <w:tc>
          <w:tcPr>
            <w:tcW w:type="dxa" w:w="1560"/>
            <w:tcMar>
              <w:top w:type="dxa" w:w="60"/>
              <w:left w:type="dxa" w:w="100"/>
              <w:bottom w:type="dxa" w:w="60"/>
              <w:right w:type="dxa" w:w="100"/>
            </w:tcMar>
            <w:vAlign w:val="top"/>
          </w:tcPr>
          <w:p>
            <w:r>
              <w:rPr>
                <w:sz w:val="16"/>
                <w:szCs w:val="16"/>
              </w:rPr>
              <w:t xml:space="preserve">99.4% / 99.8%</w:t>
            </w:r>
          </w:p>
        </w:tc>
        <w:tc>
          <w:tcPr>
            <w:tcW w:type="dxa" w:w="1558"/>
            <w:tcMar>
              <w:top w:type="dxa" w:w="60"/>
              <w:left w:type="dxa" w:w="100"/>
              <w:bottom w:type="dxa" w:w="60"/>
              <w:right w:type="dxa" w:w="100"/>
            </w:tcMar>
            <w:vAlign w:val="top"/>
          </w:tcPr>
          <w:p>
            <w:r>
              <w:rPr>
                <w:sz w:val="16"/>
                <w:szCs w:val="16"/>
              </w:rPr>
              <w:t xml:space="preserve">99.6% / 99.1%</w:t>
            </w:r>
          </w:p>
        </w:tc>
      </w:tr>
    </w:tbl>
    <w:p>
      <w:pPr>
        <w:spacing w:after="160"/>
      </w:pPr>
    </w:p>
    <w:p>
      <w:pPr>
        <w:spacing w:after="120"/>
        <w:jc w:val="both"/>
      </w:pPr>
      <w:r>
        <w:t xml:space="preserve">Me heterogjenitet lokal, humbja e dizajnit për masën rritet (75.5% për rrezikun në A), sepse kripësia pranë majës lidhet më dobët me kripësinë brenda tokës; PRAG-GO me adjoint arrin 99.6% për A ose B, dhe varianti normal-score 99.9% për A. Me dy facie, rreziku varet kryesisht nga një ndryshore diskrete, facia, që e identifikon pothuajse çdo pus: optimumi i saktë kap 0.674 nga 0.693 nats të mundshme, dhe të gjitha kriteret kalojnë 96.0% përveç linearizimit me ansambël (92.9%, me Spearman vetëm 0.10). Kur një skenar diskret dominon, orientimi nga qëllimi ka më pak rëndësi; kur heterogjeniteti është i vazhdueshëm dhe lokal, ai ka më shumë.</w:t>
      </w:r>
    </w:p>
    <w:p>
      <w:pPr>
        <w:spacing w:after="240"/>
      </w:pPr>
    </w:p>
    <w:p>
      <w:pPr>
        <w:pStyle w:val="Heading1"/>
      </w:pPr>
      <w:r>
        <w:rPr>
          <w:color w:val="1F3864"/>
        </w:rPr>
        <w:t xml:space="preserve">6. Çfarë mësojmë</w:t>
      </w:r>
    </w:p>
    <w:p>
      <w:pPr>
        <w:pStyle w:val="ListParagraph"/>
        <w:numPr>
          <w:ilvl w:val="0"/>
          <w:numId w:val="2"/>
        </w:numPr>
        <w:spacing w:after="60"/>
        <w:jc w:val="both"/>
      </w:pPr>
      <w:r>
        <w:rPr>
          <w:b/>
          <w:bCs/>
        </w:rPr>
        <w:t xml:space="preserve">Qëllimi ka rëndësi.</w:t>
      </w:r>
      <w:r>
        <w:t xml:space="preserve"> Dizajni i optimizuar për masën e kripës humb 15.6%–24.5% të informacionit për rrezikun rregullator me prior-ë me heterogjenitet të vazhdueshëm; me facie diskrete humbja bie në 4.0%.</w:t>
      </w:r>
    </w:p>
    <w:p>
      <w:pPr>
        <w:pStyle w:val="ListParagraph"/>
        <w:numPr>
          <w:ilvl w:val="0"/>
          <w:numId w:val="2"/>
        </w:numPr>
        <w:spacing w:after="60"/>
        <w:jc w:val="both"/>
      </w:pPr>
      <w:r>
        <w:rPr>
          <w:b/>
          <w:bCs/>
        </w:rPr>
        <w:t xml:space="preserve">Teorema 1 mbijeton jolinearitetin.</w:t>
      </w:r>
      <w:r>
        <w:t xml:space="preserve"> Për një pus të vetëm, dizajni për përqendrimin mesatar arrin 98.5% ose më shumë të optimumit për rrezikun: kur qëllimi është një zonë, mjafton Lema 1 e projektit me qëllimin e duhur.</w:t>
      </w:r>
    </w:p>
    <w:p>
      <w:pPr>
        <w:pStyle w:val="ListParagraph"/>
        <w:numPr>
          <w:ilvl w:val="0"/>
          <w:numId w:val="2"/>
        </w:numPr>
        <w:spacing w:after="60"/>
        <w:jc w:val="both"/>
      </w:pPr>
      <w:r>
        <w:rPr>
          <w:b/>
          <w:bCs/>
        </w:rPr>
        <w:t xml:space="preserve">Formula e mbyllur me adjoint është kriteri më i mirë i provuar.</w:t>
      </w:r>
      <w:r>
        <w:t xml:space="preserve"> PRAG-GO me dy zona arrin 100.0%, 99.6% dhe 99.8% të optimumit të saktë, me kosto të një vlerësimi të formulës për dizajn, pa ansambël.</w:t>
      </w:r>
    </w:p>
    <w:p>
      <w:pPr>
        <w:pStyle w:val="ListParagraph"/>
        <w:numPr>
          <w:ilvl w:val="0"/>
          <w:numId w:val="2"/>
        </w:numPr>
        <w:spacing w:after="60"/>
        <w:jc w:val="both"/>
      </w:pPr>
      <w:r>
        <w:rPr>
          <w:b/>
          <w:bCs/>
        </w:rPr>
        <w:t xml:space="preserve">Linearizimi lokal mund të jetë më i mirë se ai global.</w:t>
      </w:r>
      <w:r>
        <w:t xml:space="preserve"> Momentet e ansamblit humbin 7–15%, sepse kripësia është e kufizuar dhe ngopet afër zeros; transformimi normal-score e korrigjon pjesërisht, dhe ky korrigjim vlen vetëm për qëllimet me prag.</w:t>
      </w:r>
    </w:p>
    <w:p>
      <w:pPr>
        <w:pStyle w:val="ListParagraph"/>
        <w:numPr>
          <w:ilvl w:val="0"/>
          <w:numId w:val="2"/>
        </w:numPr>
        <w:spacing w:after="60"/>
        <w:jc w:val="both"/>
      </w:pPr>
      <w:r>
        <w:rPr>
          <w:b/>
          <w:bCs/>
        </w:rPr>
        <w:t xml:space="preserve">Ku të matet.</w:t>
      </w:r>
      <w:r>
        <w:t xml:space="preserve"> PRAG-GO zgjedh puse që përshkojnë zonën e përzierjes nga izoklorja 1% deri te maja, dizajni për masën vetëm pranë majës, dhe linearizimi me ansambël pranë izoklores 1%, ku matja shpesh është zero.</w:t>
      </w:r>
    </w:p>
    <w:p>
      <w:pPr>
        <w:spacing w:after="240"/>
      </w:pPr>
    </w:p>
    <w:p>
      <w:pPr>
        <w:pStyle w:val="Heading1"/>
      </w:pPr>
      <w:r>
        <w:rPr>
          <w:color w:val="1F3864"/>
        </w:rPr>
        <w:t xml:space="preserve">7. Hapat e ardhshëm</w:t>
      </w:r>
    </w:p>
    <w:p>
      <w:pPr>
        <w:pStyle w:val="ListParagraph"/>
        <w:numPr>
          <w:ilvl w:val="0"/>
          <w:numId w:val="4"/>
        </w:numPr>
        <w:spacing w:after="60"/>
        <w:jc w:val="both"/>
      </w:pPr>
      <w:r>
        <w:rPr>
          <w:b/>
          <w:bCs/>
        </w:rPr>
        <w:t xml:space="preserve">Kodi në projekt:</w:t>
      </w:r>
      <w:r>
        <w:t xml:space="preserve"> formula e PRAG-GO-s kërkon vetëm </w:t>
      </w:r>
      <m:oMath>
        <m:sSub>
          <m:e>
            <m:r>
              <m:t>K</m:t>
            </m:r>
          </m:e>
          <m:sub>
            <m:r>
              <m:t>d</m:t>
            </m:r>
          </m:sub>
        </m:sSub>
      </m:oMath>
      <w:r>
        <w:t xml:space="preserve"> dhe momentet e dy qëllimeve, që eig_operator.m i llogarit tashmë; mjafton një funksion i ri MATLAB me kuadraturën Gauss–Hermite dhe </w:t>
      </w:r>
      <m:oMath>
        <m:sSub>
          <m:e>
            <m:r>
              <m:t>Φ</m:t>
            </m:r>
          </m:e>
          <m:sub>
            <m:r>
              <m:t>2</m:t>
            </m:r>
          </m:sub>
        </m:sSub>
      </m:oMath>
      <w:r>
        <w:t xml:space="preserve">.</w:t>
      </w:r>
    </w:p>
    <w:p>
      <w:pPr>
        <w:pStyle w:val="ListParagraph"/>
        <w:numPr>
          <w:ilvl w:val="0"/>
          <w:numId w:val="4"/>
        </w:numPr>
        <w:spacing w:after="60"/>
        <w:jc w:val="both"/>
      </w:pPr>
      <w:r>
        <w:rPr>
          <w:b/>
          <w:bCs/>
        </w:rPr>
        <w:t xml:space="preserve">Fushë-Kuqja:</w:t>
      </w:r>
      <w:r>
        <w:t xml:space="preserve"> pragu 250 mg/L klorur në zonat e puseve të furnizimit, me 32 puset kandidate dhe me dizajnin aktual (5 puse monitorimi dhe 3 vende MAR) si referencë.</w:t>
      </w:r>
    </w:p>
    <w:p>
      <w:pPr>
        <w:pStyle w:val="ListParagraph"/>
        <w:numPr>
          <w:ilvl w:val="0"/>
          <w:numId w:val="4"/>
        </w:numPr>
        <w:spacing w:after="60"/>
        <w:jc w:val="both"/>
      </w:pPr>
      <w:r>
        <w:rPr>
          <w:b/>
          <w:bCs/>
        </w:rPr>
        <w:t xml:space="preserve">Prior-i i facieve me njohje:</w:t>
      </w:r>
      <w:r>
        <w:t xml:space="preserve"> kur faciet njihen, PRAG-GO llogaritet si përzierje e formulave të mbyllura, një për çdo skenar, në vend të përafrimit Gausian të përbashkët.</w:t>
      </w:r>
    </w:p>
    <w:p>
      <w:pPr>
        <w:pStyle w:val="ListParagraph"/>
        <w:numPr>
          <w:ilvl w:val="0"/>
          <w:numId w:val="4"/>
        </w:numPr>
        <w:spacing w:after="60"/>
        <w:jc w:val="both"/>
      </w:pPr>
      <w:r>
        <w:rPr>
          <w:b/>
          <w:bCs/>
        </w:rPr>
        <w:t xml:space="preserve">Ndjeshmëria ndaj zhurmës dhe pragut:</w:t>
      </w:r>
      <w:r>
        <w:t xml:space="preserve"> </w:t>
      </w:r>
      <m:oMath>
        <m:sSub>
          <m:e>
            <m:r>
              <m:t>σ</m:t>
            </m:r>
          </m:e>
          <m:sub>
            <m:r>
              <m:t>ε</m:t>
            </m:r>
          </m:sub>
        </m:sSub>
        <m:r>
          <m:rPr>
            <m:sty m:val="p"/>
          </m:rPr>
          <m:t>=</m:t>
        </m:r>
        <m:r>
          <m:t>0.005</m:t>
        </m:r>
      </m:oMath>
      <w:r>
        <w:t xml:space="preserve"> dhe </w:t>
      </w:r>
      <m:oMath>
        <m:r>
          <m:t>0.02</m:t>
        </m:r>
      </m:oMath>
      <w:r>
        <w:t xml:space="preserve">, dhe pragje 0.5% deri 5%.</w:t>
      </w:r>
    </w:p>
    <w:p>
      <w:pPr>
        <w:spacing w:after="240"/>
      </w:pPr>
    </w:p>
    <w:p>
      <w:pPr>
        <w:pStyle w:val="Heading1"/>
      </w:pPr>
      <w:r>
        <w:rPr>
          <w:color w:val="1F3864"/>
        </w:rPr>
        <w:t xml:space="preserve">8. Referencat</w:t>
      </w:r>
    </w:p>
    <w:p>
      <w:pPr>
        <w:tabs>
          <w:tab w:val="left" w:pos="567"/>
        </w:tabs>
        <w:spacing w:after="90"/>
        <w:ind w:left="567" w:hanging="567"/>
        <w:jc w:val="left"/>
      </w:pPr>
      <w:r>
        <w:rPr>
          <w:b/>
          <w:bCs/>
          <w:color w:val="1F3864"/>
          <w:sz w:val="19"/>
          <w:szCs w:val="19"/>
        </w:rPr>
        <w:t xml:space="preserve">[B1]	</w:t>
      </w:r>
      <w:r>
        <w:rPr>
          <w:sz w:val="19"/>
          <w:szCs w:val="19"/>
        </w:rPr>
        <w:t xml:space="preserve">Henry, H. R. (1964). Effects of dispersion on salt encroachment in coastal aquifers. In </w:t>
      </w:r>
      <w:r>
        <w:rPr>
          <w:i/>
          <w:iCs/>
          <w:sz w:val="19"/>
          <w:szCs w:val="19"/>
        </w:rPr>
        <w:t xml:space="preserve">Sea Water in Coastal Aquifers</w:t>
      </w:r>
      <w:r>
        <w:rPr>
          <w:sz w:val="19"/>
          <w:szCs w:val="19"/>
        </w:rPr>
        <w:t xml:space="preserve">, U.S. Geological Survey Water-Supply Paper 1613-C, C70–C84.</w:t>
      </w:r>
    </w:p>
    <w:p>
      <w:pPr>
        <w:tabs>
          <w:tab w:val="left" w:pos="567"/>
        </w:tabs>
        <w:spacing w:after="90"/>
        <w:ind w:left="567" w:hanging="567"/>
        <w:jc w:val="left"/>
      </w:pPr>
      <w:r>
        <w:rPr>
          <w:b/>
          <w:bCs/>
          <w:color w:val="1F3864"/>
          <w:sz w:val="19"/>
          <w:szCs w:val="19"/>
        </w:rPr>
        <w:t xml:space="preserve">[B2]	</w:t>
      </w:r>
      <w:r>
        <w:rPr>
          <w:sz w:val="19"/>
          <w:szCs w:val="19"/>
        </w:rPr>
        <w:t xml:space="preserve">Voss, C. I. &amp; Souza, W. R. (1987). Variable density flow and solute transport simulation of regional aquifers containing a narrow freshwater–saltwater transition zone. </w:t>
      </w:r>
      <w:r>
        <w:rPr>
          <w:i/>
          <w:iCs/>
          <w:sz w:val="19"/>
          <w:szCs w:val="19"/>
        </w:rPr>
        <w:t xml:space="preserve">Water Resources Research</w:t>
      </w:r>
      <w:r>
        <w:rPr>
          <w:sz w:val="19"/>
          <w:szCs w:val="19"/>
        </w:rPr>
        <w:t xml:space="preserve">, 23(10), 1851–1866.</w:t>
      </w:r>
      <w:r>
        <w:rPr>
          <w:sz w:val="19"/>
          <w:szCs w:val="19"/>
        </w:rPr>
        <w:t xml:space="preserve"> </w:t>
      </w:r>
      <w:hyperlink w:history="1" r:id="rId3kqt-wwsyicmej-vdpqwn">
        <w:r>
          <w:rPr>
            <w:color w:val="1D4ED8"/>
            <w:sz w:val="19"/>
            <w:szCs w:val="19"/>
            <w:u w:val="single"/>
          </w:rPr>
          <w:t xml:space="preserve">https://doi.org/10.1029/WR023i010p01851</w:t>
        </w:r>
      </w:hyperlink>
    </w:p>
    <w:p>
      <w:pPr>
        <w:tabs>
          <w:tab w:val="left" w:pos="567"/>
        </w:tabs>
        <w:spacing w:after="90"/>
        <w:ind w:left="567" w:hanging="567"/>
        <w:jc w:val="left"/>
      </w:pPr>
      <w:r>
        <w:rPr>
          <w:b/>
          <w:bCs/>
          <w:color w:val="1F3864"/>
          <w:sz w:val="19"/>
          <w:szCs w:val="19"/>
        </w:rPr>
        <w:t xml:space="preserve">[B3]	</w:t>
      </w:r>
      <w:r>
        <w:rPr>
          <w:sz w:val="19"/>
          <w:szCs w:val="19"/>
        </w:rPr>
        <w:t xml:space="preserve">Lindley, D. V. (1956). On a measure of the information provided by an experiment. </w:t>
      </w:r>
      <w:r>
        <w:rPr>
          <w:i/>
          <w:iCs/>
          <w:sz w:val="19"/>
          <w:szCs w:val="19"/>
        </w:rPr>
        <w:t xml:space="preserve">The Annals of Mathematical Statistics</w:t>
      </w:r>
      <w:r>
        <w:rPr>
          <w:sz w:val="19"/>
          <w:szCs w:val="19"/>
        </w:rPr>
        <w:t xml:space="preserve">, 27(4), 986–1005.</w:t>
      </w:r>
      <w:r>
        <w:rPr>
          <w:sz w:val="19"/>
          <w:szCs w:val="19"/>
        </w:rPr>
        <w:t xml:space="preserve"> </w:t>
      </w:r>
      <w:hyperlink w:history="1" r:id="rIdfgrcwgiygvk0mz-y0y4tp">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[B4]	</w:t>
      </w:r>
      <w:r>
        <w:rPr>
          <w:sz w:val="19"/>
          <w:szCs w:val="19"/>
        </w:rPr>
        <w:t xml:space="preserve">Blackwell, D. (1953). Equivalent comparisons of experiments. </w:t>
      </w:r>
      <w:r>
        <w:rPr>
          <w:i/>
          <w:iCs/>
          <w:sz w:val="19"/>
          <w:szCs w:val="19"/>
        </w:rPr>
        <w:t xml:space="preserve">The Annals of Mathematical Statistics</w:t>
      </w:r>
      <w:r>
        <w:rPr>
          <w:sz w:val="19"/>
          <w:szCs w:val="19"/>
        </w:rPr>
        <w:t xml:space="preserve">, 24(2), 265–272.</w:t>
      </w:r>
      <w:r>
        <w:rPr>
          <w:sz w:val="19"/>
          <w:szCs w:val="19"/>
        </w:rPr>
        <w:t xml:space="preserve"> </w:t>
      </w:r>
      <w:hyperlink w:history="1" r:id="rIdqeqbqarb6mtlijnujy3na">
        <w:r>
          <w:rPr>
            <w:color w:val="1D4ED8"/>
            <w:sz w:val="19"/>
            <w:szCs w:val="19"/>
            <w:u w:val="single"/>
          </w:rPr>
          <w:t xml:space="preserve">https://doi.org/10.1214/aoms/1177729032</w:t>
        </w:r>
      </w:hyperlink>
    </w:p>
    <w:p>
      <w:pPr>
        <w:tabs>
          <w:tab w:val="left" w:pos="567"/>
        </w:tabs>
        <w:spacing w:after="90"/>
        <w:ind w:left="567" w:hanging="567"/>
        <w:jc w:val="left"/>
      </w:pPr>
      <w:r>
        <w:rPr>
          <w:b/>
          <w:bCs/>
          <w:color w:val="1F3864"/>
          <w:sz w:val="19"/>
          <w:szCs w:val="19"/>
        </w:rPr>
        <w:t xml:space="preserve">[B5]	</w:t>
      </w:r>
      <w:r>
        <w:rPr>
          <w:sz w:val="19"/>
          <w:szCs w:val="19"/>
        </w:rPr>
        <w:t xml:space="preserve">Leube, P. C., Geiges, A. &amp; Nowak, W. (2012). Bayesian assessment of the expected data impact on prediction confidence in optimal sampling design. </w:t>
      </w:r>
      <w:r>
        <w:rPr>
          <w:i/>
          <w:iCs/>
          <w:sz w:val="19"/>
          <w:szCs w:val="19"/>
        </w:rPr>
        <w:t xml:space="preserve">Water Resources Research</w:t>
      </w:r>
      <w:r>
        <w:rPr>
          <w:sz w:val="19"/>
          <w:szCs w:val="19"/>
        </w:rPr>
        <w:t xml:space="preserve">, 48(2), W02501.</w:t>
      </w:r>
      <w:r>
        <w:rPr>
          <w:sz w:val="19"/>
          <w:szCs w:val="19"/>
        </w:rPr>
        <w:t xml:space="preserve"> </w:t>
      </w:r>
      <w:hyperlink w:history="1" r:id="rIdqnnne500ycczyd6_lt0dv">
        <w:r>
          <w:rPr>
            <w:color w:val="1D4ED8"/>
            <w:sz w:val="19"/>
            <w:szCs w:val="19"/>
            <w:u w:val="single"/>
          </w:rPr>
          <w:t xml:space="preserve">https://doi.org/10.1029/2010WR010137</w:t>
        </w:r>
      </w:hyperlink>
    </w:p>
    <w:p>
      <w:pPr>
        <w:tabs>
          <w:tab w:val="left" w:pos="567"/>
        </w:tabs>
        <w:spacing w:after="90"/>
        <w:ind w:left="567" w:hanging="567"/>
        <w:jc w:val="left"/>
      </w:pPr>
      <w:r>
        <w:rPr>
          <w:b/>
          <w:bCs/>
          <w:color w:val="1F3864"/>
          <w:sz w:val="19"/>
          <w:szCs w:val="19"/>
        </w:rPr>
        <w:t xml:space="preserve">[B6]	</w:t>
      </w:r>
      <w:r>
        <w:rPr>
          <w:sz w:val="19"/>
          <w:szCs w:val="19"/>
        </w:rPr>
        <w:t xml:space="preserve">Zeqiraj, D. (2026). Goal-oriented Bayesian experimental design for variable-density seawater intrusion. Dorëzuar në </w:t>
      </w:r>
      <w:r>
        <w:rPr>
          <w:i/>
          <w:iCs/>
          <w:sz w:val="19"/>
          <w:szCs w:val="19"/>
        </w:rPr>
        <w:t xml:space="preserve">Journal of Hydrology</w:t>
      </w:r>
      <w:r>
        <w:rPr>
          <w:sz w:val="19"/>
          <w:szCs w:val="19"/>
        </w:rPr>
        <w:t xml:space="preserve">; kodi: SWI-Goal-OED.</w:t>
      </w:r>
    </w:p>
    <w:p>
      <w:pPr>
        <w:spacing w:after="200"/>
      </w:pPr>
    </w:p>
    <w:p>
      <w:pPr>
        <w:spacing w:after="120"/>
      </w:pPr>
      <w:r>
        <w:rPr>
          <w:i/>
          <w:iCs/>
          <w:color w:val="5B6573"/>
          <w:sz w:val="18"/>
          <w:szCs w:val="18"/>
        </w:rPr>
        <w:t xml:space="preserve">Shënim mbi besueshmërinë: të gjitha rezultatet janë sintetike, në problemin e Henry-t 41 × 21, me dy puse furnizimi, zhurmë </w:t>
      </w:r>
      <m:oMath>
        <m:sSub>
          <m:e>
            <m:r>
              <m:t>σ</m:t>
            </m:r>
          </m:e>
          <m:sub>
            <m:r>
              <m:t>ε</m:t>
            </m:r>
          </m:sub>
        </m:sSub>
        <m:r>
          <m:rPr>
            <m:sty m:val="p"/>
          </m:rPr>
          <m:t>=</m:t>
        </m:r>
        <m:r>
          <m:t>0.01</m:t>
        </m:r>
      </m:oMath>
      <w:r>
        <w:rPr>
          <w:i/>
          <w:iCs/>
          <w:color w:val="5B6573"/>
          <w:sz w:val="18"/>
          <w:szCs w:val="18"/>
        </w:rPr>
        <w:t xml:space="preserve">, prag 1% dhe dizajne me 3 pika. Zgjidhësi është transferim në Python i skripteve MATLAB të projektit dhe riprodhon saktë numrat e README-së; ndjeshmëritë adjoint u kontrolluan me diferenca të fundme (gabim relativ </w:t>
      </w:r>
      <m:oMath>
        <m:r>
          <m:t>1.6</m:t>
        </m:r>
        <m:r>
          <m:rPr>
            <m:sty m:val="p"/>
          </m:rPr>
          <m:t>⋅</m:t>
        </m:r>
        <m:sSup>
          <m:e>
            <m:r>
              <m:t>10</m:t>
            </m:r>
          </m:e>
          <m:sup>
            <m:r>
              <m:rPr>
                <m:sty m:val="p"/>
              </m:rPr>
              <m:t>−</m:t>
            </m:r>
            <m:r>
              <m:t>4</m:t>
            </m:r>
          </m:sup>
        </m:sSup>
      </m:oMath>
      <w:r>
        <w:rPr>
          <w:i/>
          <w:iCs/>
          <w:color w:val="5B6573"/>
          <w:sz w:val="18"/>
          <w:szCs w:val="18"/>
        </w:rPr>
        <w:t xml:space="preserve">). EIG-ja e saktë vlerësohet me ripeshim: madhësia efektive e mostrës për optimumin ishte rreth 2 000 për prior-in Gausian dhe atë lokal, por vetëm 67–120 për prior-in me facie, ku aposteriori është shumë i ngushtë; kontrolli me gjysma të pavarura e konfirmoi renditjen në të tre rastet. Kodi dhe tabela e plotë e numrave ndodhen në experiments/prag_go_henry të repozitorit.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Shënim kërkimor · PRAG-GO në problemin e Henry-t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3kqt-wwsyicmej-vdpqwn" Type="http://schemas.openxmlformats.org/officeDocument/2006/relationships/hyperlink" Target="https://doi.org/10.1029/WR023i010p01851" TargetMode="External"/><Relationship Id="rIdfgrcwgiygvk0mz-y0y4tp" Type="http://schemas.openxmlformats.org/officeDocument/2006/relationships/hyperlink" Target="https://doi.org/10.1214/aoms/1177728069" TargetMode="External"/><Relationship Id="rIdqeqbqarb6mtlijnujy3na" Type="http://schemas.openxmlformats.org/officeDocument/2006/relationships/hyperlink" Target="https://doi.org/10.1214/aoms/1177729032" TargetMode="External"/><Relationship Id="rIdqnnne500ycczyd6_lt0dv" Type="http://schemas.openxmlformats.org/officeDocument/2006/relationships/hyperlink" Target="https://doi.org/10.1029/2010WR010137" TargetMode="External"/><Relationship Id="rId11" Type="http://schemas.openxmlformats.org/officeDocument/2006/relationships/image" Target="media/798db2736bafd357b5784b3c20120b1174dd0f6e.png"/><Relationship Id="rId12" Type="http://schemas.openxmlformats.org/officeDocument/2006/relationships/image" Target="media/f652e06d970124c517a0e1fb1f56abe627509a08.png"/><Relationship Id="rId13" Type="http://schemas.openxmlformats.org/officeDocument/2006/relationships/image" Target="media/225252ddf27dd734f15a0759b919b56949545d3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PRAG-GO në problemin e Henry-t</dc:title>
  <dc:creator>Kërkim artikujsh</dc:creator>
  <dc:description>Dizajn i orientuar nga rreziku i kalimit të pragut të kripësisë, i testuar me zgjidhësin me dendësi të ndryshueshme të projektit SWI-Goal-OED</dc:description>
  <cp:lastModifiedBy>Un-named</cp:lastModifiedBy>
  <cp:revision>1</cp:revision>
  <dcterms:created xsi:type="dcterms:W3CDTF">2026-10-12T08:40:43.176Z</dcterms:created>
  <dcterms:modified xsi:type="dcterms:W3CDTF">2026-10-12T08:40:43.176Z</dcterms:modified>
</cp:coreProperties>
</file>

<file path=docProps/custom.xml><?xml version="1.0" encoding="utf-8"?>
<Properties xmlns="http://schemas.openxmlformats.org/officeDocument/2006/custom-properties" xmlns:vt="http://schemas.openxmlformats.org/officeDocument/2006/docPropsVTypes"/>
</file>