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Deciding decisively under deep uncertainty: twenty papers from Oxford, Caltech, MIT and ETH Zürich</w:t>
      </w:r>
    </w:p>
    <w:p>
      <w:pPr>
        <w:spacing w:after="360"/>
      </w:pPr>
      <w:r>
        <w:rPr>
          <w:color w:val="3A4350"/>
          <w:sz w:val="26"/>
          <w:szCs w:val="26"/>
        </w:rPr>
        <w:t xml:space="preserve">How decision makers and stakeholders choose when probabilities are ambiguous or disputed and models misspecified, and still commit to one choice (2020–2026). With a theoretical introduction and VENDIMI-GO (</w:t>
      </w:r>
      <w:r>
        <w:rPr>
          <w:i/>
          <w:iCs/>
          <w:color w:val="3A4350"/>
          <w:sz w:val="26"/>
          <w:szCs w:val="26"/>
        </w:rPr>
        <w:t xml:space="preserve">vendimi</w:t>
      </w:r>
      <w:r>
        <w:rPr>
          <w:color w:val="3A4350"/>
          <w:sz w:val="26"/>
          <w:szCs w:val="26"/>
        </w:rPr>
        <w:t xml:space="preserve">: the decision), a tested rule that turns the dispute of the Fushë-Kuqe stakeholders into one committed choice of pumping and managed recharge</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4D4D4F"/>
          <w:sz w:val="24"/>
          <w:szCs w:val="24"/>
        </w:rPr>
        <w:t xml:space="preserve">MIT</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short theoretical introduction in five sections (deciding under ambiguity and deep uncertainty; committing robustly with chance constraints and guarantees; when to stop deliberating and decide; many stakeholders, one decision; what is open), read on the pumping and recharge decision of the Fushë-Kuqe stakeholders. </w:t>
      </w:r>
      <w:r>
        <w:rPr>
          <w:b/>
          <w:bCs/>
        </w:rPr>
        <w:t xml:space="preserve">Part II:</w:t>
      </w:r>
      <w:r>
        <w:t xml:space="preserve"> 20 papers of 2020–2026, five each from Oxford (O1–O5), Caltech (C1–C5), MIT (M1–M5) and ETH Zürich (E1–E5), each with a key equation in OMML, a box on </w:t>
      </w:r>
      <w:r>
        <w:rPr>
          <w:b/>
          <w:bCs/>
        </w:rPr>
        <w:t xml:space="preserve">why it is among the best</w:t>
      </w:r>
      <w:r>
        <w:t xml:space="preserve">, the </w:t>
      </w:r>
      <w:r>
        <w:rPr>
          <w:b/>
          <w:bCs/>
        </w:rPr>
        <w:t xml:space="preserve">open problem</w:t>
      </w:r>
      <w:r>
        <w:t xml:space="preserve"> it leaves and an innovation for Fushë-Kuqe. </w:t>
      </w:r>
      <w:r>
        <w:rPr>
          <w:b/>
          <w:bCs/>
        </w:rPr>
        <w:t xml:space="preserve">Part III:</w:t>
      </w:r>
      <w:r>
        <w:t xml:space="preserve"> synthesis, a map of opportunities, further reading, and the VENDIMI-GO innovation: stakeholders' beliefs as tilts of the calibrated chloride ensemble, a unanimous certified rule that always returns one committed choice, three propositions (a bound on disagreement, decisiveness and the end of deadlock, safe information), tested on 2,000 simulated truths with four information designs.</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the Oxford, Caltech, MIT or ETH Zürich affiliation that was confirmed, topic and the rating of mathematical depth (★ 1–5).</w:t>
      </w:r>
    </w:p>
    <w:p>
      <w:pPr>
        <w:pStyle w:val="ListParagraph"/>
        <w:numPr>
          <w:ilvl w:val="0"/>
          <w:numId w:val="2"/>
        </w:numPr>
        <w:spacing w:after="60"/>
        <w:jc w:val="both"/>
      </w:pPr>
      <w:r>
        <w:rPr>
          <w:b/>
          <w:bCs/>
        </w:rPr>
        <w:t xml:space="preserve">Summary</w:t>
      </w:r>
      <w:r>
        <w:t xml:space="preserve"> of the problem, the method and the main theorems, and the </w:t>
      </w:r>
      <w:r>
        <w:rPr>
          <w:b/>
          <w:bCs/>
        </w:rPr>
        <w:t xml:space="preserve">key equation</w:t>
      </w:r>
      <w:r>
        <w:t xml:space="preserve"> as a Word equation (OMML); equations are representative formulations unless the card says otherwise, since no full text was read.</w:t>
      </w:r>
    </w:p>
    <w:p>
      <w:pPr>
        <w:pStyle w:val="ListParagraph"/>
        <w:numPr>
          <w:ilvl w:val="0"/>
          <w:numId w:val="2"/>
        </w:numPr>
        <w:spacing w:after="60"/>
        <w:jc w:val="both"/>
      </w:pPr>
      <w:r>
        <w:rPr>
          <w:b/>
          <w:bCs/>
        </w:rPr>
        <w:t xml:space="preserve">Why it is among the best</w:t>
      </w:r>
      <w:r>
        <w:t xml:space="preserve">, the </w:t>
      </w:r>
      <w:r>
        <w:rPr>
          <w:b/>
          <w:bCs/>
        </w:rPr>
        <w:t xml:space="preserve">open problem</w:t>
      </w:r>
      <w:r>
        <w:t xml:space="preserve"> it leaves for the Fushë-Kuqe stakeholders, and a concrete </w:t>
      </w:r>
      <w:r>
        <w:rPr>
          <w:b/>
          <w:bCs/>
        </w:rPr>
        <w:t xml:space="preserve">innovation</w:t>
      </w:r>
      <w:r>
        <w:t xml:space="preserve"> for their decision.</w:t>
      </w:r>
    </w:p>
    <w:p>
      <w:pPr>
        <w:spacing w:before="360"/>
      </w:pPr>
      <w:r>
        <w:rPr>
          <w:color w:val="5B6573"/>
          <w:sz w:val="20"/>
          <w:szCs w:val="20"/>
        </w:rPr>
        <w:t xml:space="preserve">Search date: 26 October 2026  ·  Period covered: 2020–2026</w:t>
      </w:r>
    </w:p>
    <w:p>
      <w:pPr>
        <w:pStyle w:val="Heading1"/>
        <w:pageBreakBefore/>
      </w:pPr>
      <w:r>
        <w:rPr>
          <w:color w:val="1F3864"/>
        </w:rPr>
        <w:t xml:space="preserve">1. Theoretical introduction: ambiguity, robust commitment, stopping and group decisions</w:t>
      </w:r>
    </w:p>
    <w:p>
      <w:pPr>
        <w:spacing w:after="120"/>
      </w:pPr>
      <w:r>
        <w:rPr>
          <w:i/>
          <w:iCs/>
          <w:color w:val="5B6573"/>
          <w:sz w:val="18"/>
          <w:szCs w:val="18"/>
        </w:rPr>
        <w:t xml:space="preserve">Theoretical introduction written for this document. Statements attributed to classical works [B…] are standard results; forms simplified for this document are marked as such.</w:t>
      </w:r>
    </w:p>
    <w:p>
      <w:pPr>
        <w:spacing w:after="120"/>
        <w:jc w:val="both"/>
      </w:pPr>
      <w:r>
        <w:rPr>
          <w:b/>
          <w:bCs/>
        </w:rPr>
        <w:t xml:space="preserve">Hard decisions that still have to be taken.</w:t>
      </w:r>
      <w:r>
        <w:t xml:space="preserve"> At Fushë-Kuqe six parties share one coastal aquifer: the water utility that runs supply wells A1 and P10, private irrigators, coastal hotels, the municipality, the regional water agency and environmental groups. Together they must decide how much the supply wells may pump, whether to build three managed-recharge wells and whether to buy information first. The uncertainty is of three kinds. It is </w:t>
      </w:r>
      <w:r>
        <w:rPr>
          <w:i/>
          <w:iCs/>
        </w:rPr>
        <w:t xml:space="preserve">stochastic</w:t>
      </w:r>
      <w:r>
        <w:t xml:space="preserve">: recharge and the width of the mixing zone vary and are known only through a calibrated ensemble. It is </w:t>
      </w:r>
      <w:r>
        <w:rPr>
          <w:i/>
          <w:iCs/>
        </w:rPr>
        <w:t xml:space="preserve">deep</w:t>
      </w:r>
      <w:r>
        <w:t xml:space="preserve">: the parties do not agree on the probabilities, because each reads the drivers (a drying climate, the width of the mixing zone) differently. And it is </w:t>
      </w:r>
      <w:r>
        <w:rPr>
          <w:i/>
          <w:iCs/>
        </w:rPr>
        <w:t xml:space="preserve">contested</w:t>
      </w:r>
      <w:r>
        <w:t xml:space="preserve">: they weigh water, salinity and cost differently. Yet a pumping licence must be issued, and a recharge scheme built or not. This review asks how decision theory, optimisation and the theory of group decisions turn such situations into a </w:t>
      </w:r>
      <w:r>
        <w:rPr>
          <w:i/>
          <w:iCs/>
        </w:rPr>
        <w:t xml:space="preserve">decisive</w:t>
      </w:r>
      <w:r>
        <w:t xml:space="preserve"> choice, a committed action and an end to deliberation. Part I sets out four bodies of theory and what each says about decisiveness; Part II gives 20 papers of 2020–2026 from Oxford, Caltech, MIT and ETH Zürich; section 9 builds and tests a decisive rule for the Fushë-Kuqe stakeholders (VENDIMI-GO).</w:t>
      </w:r>
    </w:p>
    <w:p>
      <w:pPr>
        <w:pStyle w:val="Heading3"/>
      </w:pPr>
      <w:r>
        <w:rPr>
          <w:color w:val="1F3864"/>
        </w:rPr>
        <w:t xml:space="preserve">1.1 Deciding when probabilities are ambiguous</w:t>
      </w:r>
    </w:p>
    <w:p>
      <w:pPr>
        <w:spacing w:after="120"/>
        <w:jc w:val="both"/>
      </w:pPr>
      <w:r>
        <w:t xml:space="preserve">When a decision maker cannot settle on one prior, the maxmin criterion evaluates each action by its worst expected utility over a set </w:t>
      </w:r>
      <m:oMath>
        <m:r>
          <m:rPr>
            <m:scr m:val="script"/>
            <m:sty m:val="p"/>
          </m:rPr>
          <m:t>C</m:t>
        </m:r>
      </m:oMath>
      <w:r>
        <w:t xml:space="preserve"> of priors [B1]. The multiplier criterion of robust control replaces the set by a penalty on the relative entropy from a reference model </w:t>
      </w:r>
      <m:oMath>
        <m:sSub>
          <m:e>
            <m:r>
              <m:t>p</m:t>
            </m:r>
          </m:e>
          <m:sub>
            <m:r>
              <m:t>0</m:t>
            </m:r>
          </m:sub>
        </m:sSub>
      </m:oMath>
      <w:r>
        <w:t xml:space="preserve"> [B2]; by the variational formula for relative entropy its value has a closed form, and the worst-case belief is an exponential tilt of the reference model:</w:t>
      </w:r>
    </w:p>
    <w:p>
      <w:pPr>
        <w:pStyle w:val="Equation"/>
      </w:pPr>
      <m:oMathPara>
        <m:oMathParaPr>
          <m:jc m:val="center"/>
        </m:oMathParaPr>
        <m:oMath>
          <m:limLow>
            <m:e>
              <m:r>
                <m:rPr>
                  <m:sty m:val="p"/>
                </m:rPr>
                <m:t>max</m:t>
              </m:r>
            </m:e>
            <m:lim>
              <m:r>
                <m:t>a</m:t>
              </m:r>
            </m:lim>
          </m:limLow>
          <m:limLow>
            <m:e>
              <m:r>
                <m:rPr>
                  <m:sty m:val="p"/>
                </m:rPr>
                <m:t>min</m:t>
              </m:r>
            </m:e>
            <m:lim>
              <m:r>
                <m:t>p</m:t>
              </m:r>
              <m:r>
                <m:rPr>
                  <m:sty m:val="p"/>
                </m:rPr>
                <m:t>∈</m:t>
              </m:r>
              <m:r>
                <m:rPr>
                  <m:scr m:val="script"/>
                  <m:sty m:val="p"/>
                </m:rPr>
                <m:t>C</m:t>
              </m:r>
            </m:lim>
          </m:limLow>
          <m:sSub>
            <m:e>
              <m:r>
                <m:t>E</m:t>
              </m:r>
            </m:e>
            <m:sub>
              <m:r>
                <m:t>p</m:t>
              </m:r>
            </m:sub>
          </m:sSub>
          <m:d>
            <m:dPr>
              <m:begChr m:val="["/>
              <m:sepChr m:val=""/>
              <m:endChr m:val="]"/>
              <m:grow/>
            </m:dPr>
            <m:e>
              <m:r>
                <m:t>u</m:t>
              </m:r>
              <m:d>
                <m:dPr>
                  <m:begChr m:val="("/>
                  <m:sepChr m:val=""/>
                  <m:endChr m:val=")"/>
                  <m:grow/>
                </m:dPr>
                <m:e>
                  <m:r>
                    <m:t>a</m:t>
                  </m:r>
                  <m:r>
                    <m:rPr>
                      <m:sty m:val="p"/>
                    </m:rPr>
                    <m:t>,</m:t>
                  </m:r>
                  <m:r>
                    <m:t>θ</m:t>
                  </m:r>
                </m:e>
              </m:d>
            </m:e>
          </m:d>
          <m:r>
            <m:rPr>
              <m:sty m:val="p"/>
            </m:rPr>
            <m:t>,</m:t>
          </m:r>
          <m:r>
            <m:t>  </m:t>
          </m:r>
          <m:limLow>
            <m:e>
              <m:r>
                <m:rPr>
                  <m:sty m:val="p"/>
                </m:rPr>
                <m:t>min</m:t>
              </m:r>
            </m:e>
            <m:lim>
              <m:r>
                <m:t>p</m:t>
              </m:r>
            </m:lim>
          </m:limLow>
          <m:d>
            <m:dPr>
              <m:begChr m:val="{"/>
              <m:sepChr m:val=""/>
              <m:endChr m:val="}"/>
              <m:grow/>
            </m:dPr>
            <m:e>
              <m:sSub>
                <m:e>
                  <m:r>
                    <m:t>E</m:t>
                  </m:r>
                </m:e>
                <m:sub>
                  <m:r>
                    <m:t>p</m:t>
                  </m:r>
                </m:sub>
              </m:sSub>
              <m:d>
                <m:dPr>
                  <m:begChr m:val="["/>
                  <m:sepChr m:val=""/>
                  <m:endChr m:val="]"/>
                  <m:grow/>
                </m:dPr>
                <m:e>
                  <m:r>
                    <m:t>u</m:t>
                  </m:r>
                  <m:d>
                    <m:dPr>
                      <m:begChr m:val="("/>
                      <m:sepChr m:val=""/>
                      <m:endChr m:val=")"/>
                      <m:grow/>
                    </m:dPr>
                    <m:e>
                      <m:r>
                        <m:t>a</m:t>
                      </m:r>
                      <m:r>
                        <m:rPr>
                          <m:sty m:val="p"/>
                        </m:rPr>
                        <m:t>,</m:t>
                      </m:r>
                      <m:r>
                        <m:t>θ</m:t>
                      </m:r>
                    </m:e>
                  </m:d>
                </m:e>
              </m:d>
              <m:r>
                <m:rPr>
                  <m:sty m:val="p"/>
                </m:rPr>
                <m:t>+</m:t>
              </m:r>
              <m:f>
                <m:fPr>
                  <m:type m:val="bar"/>
                </m:fPr>
                <m:num>
                  <m:r>
                    <m:t>1</m:t>
                  </m:r>
                </m:num>
                <m:den>
                  <m:r>
                    <m:t>η</m:t>
                  </m:r>
                </m:den>
              </m:f>
              <m:r>
                <m:t> </m:t>
              </m:r>
              <m:r>
                <m:rPr>
                  <m:nor/>
                </m:rPr>
                <m:t>KL</m:t>
              </m:r>
              <m:d>
                <m:dPr>
                  <m:begChr m:val="("/>
                  <m:sepChr m:val=""/>
                  <m:endChr m:val=")"/>
                  <m:grow/>
                </m:dPr>
                <m:e>
                  <m:r>
                    <m:t>p</m:t>
                  </m:r>
                  <m:r>
                    <m:rPr>
                      <m:sty m:val="p"/>
                    </m:rPr>
                    <m:t>,</m:t>
                  </m:r>
                  <m:sSub>
                    <m:e>
                      <m:r>
                        <m:t>p</m:t>
                      </m:r>
                    </m:e>
                    <m:sub>
                      <m:r>
                        <m:t>0</m:t>
                      </m:r>
                    </m:sub>
                  </m:sSub>
                </m:e>
              </m:d>
            </m:e>
          </m:d>
          <m:r>
            <m:rPr>
              <m:sty m:val="p"/>
            </m:rPr>
            <m:t>=</m:t>
          </m:r>
          <m:r>
            <m:rPr>
              <m:sty m:val="p"/>
            </m:rPr>
            <m:t>−</m:t>
          </m:r>
          <m:f>
            <m:fPr>
              <m:type m:val="bar"/>
            </m:fPr>
            <m:num>
              <m:r>
                <m:t>1</m:t>
              </m:r>
            </m:num>
            <m:den>
              <m:r>
                <m:t>η</m:t>
              </m:r>
            </m:den>
          </m:f>
          <m:r>
            <m:rPr>
              <m:sty m:val="p"/>
            </m:rPr>
            <m:t>log</m:t>
          </m:r>
          <m:sSub>
            <m:e>
              <m:r>
                <m:t>E</m:t>
              </m:r>
            </m:e>
            <m:sub>
              <m:sSub>
                <m:e>
                  <m:r>
                    <m:t>p</m:t>
                  </m:r>
                </m:e>
                <m:sub>
                  <m:r>
                    <m:t>0</m:t>
                  </m:r>
                </m:sub>
              </m:sSub>
            </m:sub>
          </m:sSub>
          <m:d>
            <m:dPr>
              <m:begChr m:val="["/>
              <m:sepChr m:val=""/>
              <m:endChr m:val="]"/>
              <m:grow/>
            </m:dPr>
            <m:e>
              <m:sSup>
                <m:e>
                  <m:r>
                    <m:t>e</m:t>
                  </m:r>
                </m:e>
                <m:sup>
                  <m:r>
                    <m:rPr>
                      <m:sty m:val="p"/>
                    </m:rPr>
                    <m:t>−</m:t>
                  </m:r>
                  <m:r>
                    <m:t>η</m:t>
                  </m:r>
                  <m:r>
                    <m:t> </m:t>
                  </m:r>
                  <m:r>
                    <m:t>u</m:t>
                  </m:r>
                  <m:d>
                    <m:dPr>
                      <m:begChr m:val="("/>
                      <m:sepChr m:val=""/>
                      <m:endChr m:val=")"/>
                      <m:grow/>
                    </m:dPr>
                    <m:e>
                      <m:r>
                        <m:t>a</m:t>
                      </m:r>
                      <m:r>
                        <m:rPr>
                          <m:sty m:val="p"/>
                        </m:rPr>
                        <m:t>,</m:t>
                      </m:r>
                      <m:r>
                        <m:t>θ</m:t>
                      </m:r>
                    </m:e>
                  </m:d>
                </m:sup>
              </m:sSup>
            </m:e>
          </m:d>
        </m:oMath>
      </m:oMathPara>
    </w:p>
    <w:p>
      <w:pPr>
        <w:spacing w:after="120"/>
        <w:jc w:val="both"/>
      </w:pPr>
      <w:r>
        <w:t xml:space="preserve">Both criteria give a complete ranking and therefore a decision; their cost is caution. Decision making under deep uncertainty takes the next step when no set of priors can be agreed: robust decision making searches for strategies that perform acceptably across many futures and finds the futures in which they fail [B3], and dynamic adaptive policy pathways commit to a first action with predefined signposts for changing course [B6]. In Part II, a twofold multiprior relation ranks an act above another only when its worst case beats the other's best case, so the ranking is incomplete exactly where evidence is weak [C1]; background risk can make every theory of choice that respects first-order dominance accept small favourable gambles [C2], because adding independent noise turns a higher mean into first-order dominance [CR2]; distributionally robust portfolios have explicit first-order sensitivities to the radius of a Wasserstein ball of doubt [O5]; maxmin expected utility cannot be falsified by finite experiments once there are three states [CR1]; and anchor regression is the worst case of the squared error over a class of shifts [ER1].</w:t>
      </w:r>
    </w:p>
    <w:p>
      <w:pPr>
        <w:pStyle w:val="Heading3"/>
      </w:pPr>
      <w:r>
        <w:rPr>
          <w:color w:val="1F3864"/>
        </w:rPr>
        <w:t xml:space="preserve">1.2 Committing robustly: chance constraints with guarantees</w:t>
      </w:r>
    </w:p>
    <w:p>
      <w:pPr>
        <w:spacing w:after="120"/>
        <w:jc w:val="both"/>
      </w:pPr>
      <w:r>
        <w:t xml:space="preserve">Engineering decisions under uncertainty are often written as chance constraints: the committed decision must keep the probability of a bad event, here a supply screen above 250 mg/L, below </w:t>
      </w:r>
      <m:oMath>
        <m:r>
          <m:t>α</m:t>
        </m:r>
      </m:oMath>
      <w:r>
        <w:t xml:space="preserve">. When the probability is ambiguous it must hold for every distribution in an ambiguity set, which is a distributionally robust chance constraint; convex conservative approximations make such constraints tractable [B12]. When only samples are available, the scenario approach imposes the constraint on </w:t>
      </w:r>
      <m:oMath>
        <m:r>
          <m:t>N</m:t>
        </m:r>
      </m:oMath>
      <w:r>
        <w:t xml:space="preserve"> sampled scenarios and gives an exact bound, for convex programs with </w:t>
      </w:r>
      <m:oMath>
        <m:r>
          <m:t>d</m:t>
        </m:r>
      </m:oMath>
      <w:r>
        <w:t xml:space="preserve"> decision variables, on the probability that the solution violates the constraint for a new scenario [B10]:</w:t>
      </w:r>
    </w:p>
    <w:p>
      <w:pPr>
        <w:pStyle w:val="Equation"/>
      </w:pPr>
      <m:oMathPara>
        <m:oMathParaPr>
          <m:jc m:val="center"/>
        </m:oMathParaPr>
        <m:oMath>
          <m:sSup>
            <m:e>
              <m:r>
                <m:rPr>
                  <m:scr m:val="double-struck"/>
                  <m:sty m:val="p"/>
                </m:rPr>
                <m:t>P</m:t>
              </m:r>
            </m:e>
            <m:sup>
              <m:r>
                <m:t>N</m:t>
              </m:r>
            </m:sup>
          </m:sSup>
          <m:d>
            <m:dPr>
              <m:begChr m:val="("/>
              <m:sepChr m:val=""/>
              <m:endChr m:val=")"/>
              <m:grow/>
            </m:dPr>
            <m:e>
              <m:r>
                <m:t>V</m:t>
              </m:r>
              <m:d>
                <m:dPr>
                  <m:begChr m:val="("/>
                  <m:sepChr m:val=""/>
                  <m:endChr m:val=")"/>
                  <m:grow/>
                </m:dPr>
                <m:e>
                  <m:sSubSup>
                    <m:e>
                      <m:r>
                        <m:t>x</m:t>
                      </m:r>
                    </m:e>
                    <m:sub>
                      <m:r>
                        <m:t>N</m:t>
                      </m:r>
                    </m:sub>
                    <m:sup>
                      <m:r>
                        <m:rPr>
                          <m:sty m:val="p"/>
                        </m:rPr>
                        <m:t>⋆</m:t>
                      </m:r>
                    </m:sup>
                  </m:sSubSup>
                </m:e>
              </m:d>
              <m:r>
                <m:rPr>
                  <m:sty m:val="p"/>
                </m:rPr>
                <m:t>&gt;</m:t>
              </m:r>
              <m:r>
                <m:t>ϵ</m:t>
              </m:r>
            </m:e>
          </m:d>
          <m:r>
            <m:rPr>
              <m:sty m:val="p"/>
            </m:rPr>
            <m:t>≤</m:t>
          </m:r>
          <m:nary>
            <m:naryPr>
              <m:chr m:val="∑"/>
              <m:limLoc m:val="undOvr"/>
              <m:subHide m:val="off"/>
              <m:supHide m:val="off"/>
            </m:naryPr>
            <m:sub>
              <m:r>
                <m:t>i</m:t>
              </m:r>
              <m:r>
                <m:rPr>
                  <m:sty m:val="p"/>
                </m:rPr>
                <m:t>=</m:t>
              </m:r>
              <m:r>
                <m:t>0</m:t>
              </m:r>
            </m:sub>
            <m:sup>
              <m:r>
                <m:t>d</m:t>
              </m:r>
              <m:r>
                <m:rPr>
                  <m:sty m:val="p"/>
                </m:rPr>
                <m:t>−</m:t>
              </m:r>
              <m:r>
                <m:t>1</m:t>
              </m:r>
            </m:sup>
            <m:e>
              <m:d>
                <m:dPr>
                  <m:begChr m:val="("/>
                  <m:sepChr m:val=""/>
                  <m:endChr m:val=")"/>
                  <m:grow/>
                </m:dPr>
                <m:e>
                  <m:f>
                    <m:fPr>
                      <m:type m:val="noBar"/>
                    </m:fPr>
                    <m:num>
                      <m:r>
                        <m:t>N</m:t>
                      </m:r>
                    </m:num>
                    <m:den>
                      <m:r>
                        <m:t>i</m:t>
                      </m:r>
                    </m:den>
                  </m:f>
                </m:e>
              </m:d>
            </m:e>
          </m:nary>
          <m:sSup>
            <m:e>
              <m:r>
                <m:t>ϵ</m:t>
              </m:r>
            </m:e>
            <m:sup>
              <m:r>
                <m:t>i</m:t>
              </m:r>
            </m:sup>
          </m:sSup>
          <m:sSup>
            <m:e>
              <m:d>
                <m:dPr>
                  <m:begChr m:val="("/>
                  <m:sepChr m:val=""/>
                  <m:endChr m:val=")"/>
                  <m:grow/>
                </m:dPr>
                <m:e>
                  <m:r>
                    <m:t>1</m:t>
                  </m:r>
                  <m:r>
                    <m:rPr>
                      <m:sty m:val="p"/>
                    </m:rPr>
                    <m:t>−</m:t>
                  </m:r>
                  <m:r>
                    <m:t>ϵ</m:t>
                  </m:r>
                </m:e>
              </m:d>
            </m:e>
            <m:sup>
              <m:r>
                <m:t>N</m:t>
              </m:r>
              <m:r>
                <m:rPr>
                  <m:sty m:val="p"/>
                </m:rPr>
                <m:t>−</m:t>
              </m:r>
              <m:r>
                <m:t>i</m:t>
              </m:r>
            </m:sup>
          </m:sSup>
        </m:oMath>
      </m:oMathPara>
    </w:p>
    <w:p>
      <w:pPr>
        <w:spacing w:after="120"/>
        <w:jc w:val="both"/>
      </w:pPr>
      <w:r>
        <w:t xml:space="preserve">A guarantee of this kind is what lets a group commit: it is a statement about the decision actually taken, not about a model. In Part II, distributionally robust optimisation over a relative-entropy ball is proved to be the unique least conservative way to turn data into a decision whose out-of-sample disappointment decays at a prescribed rate [M3]; data-enabled predictive control keeps output chance constraints over a Wasserstein ball without a model of the system [E4]; optimal-transport ambiguity sets propagate through linear and nonlinear maps [E5]; sample-path robust optimisation commits to staged decisions with asymptotic optimality guarantees [M4]; a scenario certificate covers a whole region of strategic deviations around an equilibrium of a game [O1]; and Nash equilibria can be learned with probably-approximately-correct guarantees [OR1].</w:t>
      </w:r>
    </w:p>
    <w:p>
      <w:pPr>
        <w:pStyle w:val="Heading3"/>
      </w:pPr>
      <w:r>
        <w:rPr>
          <w:color w:val="1F3864"/>
        </w:rPr>
        <w:t xml:space="preserve">1.3 When to stop deliberating and decide</w:t>
      </w:r>
    </w:p>
    <w:p>
      <w:pPr>
        <w:spacing w:after="120"/>
        <w:jc w:val="both"/>
      </w:pPr>
      <w:r>
        <w:t xml:space="preserve">Information is worth buying when it can change the decision. Its value is the expected gain from deciding after seeing the data rather than before, which is never negative for a single decision maker [B13]. To stop sampling at a data-dependent time without losing the error guarantee, inference must be valid at every stopping time; for a non-negative martingale </w:t>
      </w:r>
      <m:oMath>
        <m:sSub>
          <m:e>
            <m:r>
              <m:t>M</m:t>
            </m:r>
          </m:e>
          <m:sub>
            <m:r>
              <m:t>t</m:t>
            </m:r>
          </m:sub>
        </m:sSub>
      </m:oMath>
      <w:r>
        <w:t xml:space="preserve"> with </w:t>
      </w:r>
      <m:oMath>
        <m:sSub>
          <m:e>
            <m:r>
              <m:t>M</m:t>
            </m:r>
          </m:e>
          <m:sub>
            <m:r>
              <m:t>0</m:t>
            </m:r>
          </m:sub>
        </m:sSub>
        <m:r>
          <m:rPr>
            <m:sty m:val="p"/>
          </m:rPr>
          <m:t>=</m:t>
        </m:r>
        <m:r>
          <m:t>1</m:t>
        </m:r>
      </m:oMath>
      <w:r>
        <w:t xml:space="preserve">, such as a likelihood ratio under the truth, Ville's inequality gives exactly that:</w:t>
      </w:r>
    </w:p>
    <w:p>
      <w:pPr>
        <w:pStyle w:val="Equation"/>
      </w:pPr>
      <m:oMathPara>
        <m:oMathParaPr>
          <m:jc m:val="center"/>
        </m:oMathParaPr>
        <m:oMath>
          <m:r>
            <m:rPr>
              <m:nor/>
            </m:rPr>
            <m:t>VOI</m:t>
          </m:r>
          <m:d>
            <m:dPr>
              <m:begChr m:val="("/>
              <m:sepChr m:val=""/>
              <m:endChr m:val=")"/>
              <m:grow/>
            </m:dPr>
            <m:e>
              <m:r>
                <m:t>d</m:t>
              </m:r>
            </m:e>
          </m:d>
          <m:r>
            <m:rPr>
              <m:sty m:val="p"/>
            </m:rPr>
            <m:t>=</m:t>
          </m:r>
          <m:r>
            <m:t>E</m:t>
          </m:r>
          <m:d>
            <m:dPr>
              <m:begChr m:val="["/>
              <m:sepChr m:val=""/>
              <m:endChr m:val="]"/>
              <m:grow/>
            </m:dPr>
            <m:e>
              <m:limLow>
                <m:e>
                  <m:r>
                    <m:rPr>
                      <m:sty m:val="p"/>
                    </m:rPr>
                    <m:t>max</m:t>
                  </m:r>
                </m:e>
                <m:lim>
                  <m:r>
                    <m:t>a</m:t>
                  </m:r>
                </m:lim>
              </m:limLow>
              <m:r>
                <m:t>E</m:t>
              </m:r>
              <m:d>
                <m:dPr>
                  <m:begChr m:val="["/>
                  <m:sepChr m:val=""/>
                  <m:endChr m:val="]"/>
                  <m:grow/>
                </m:dPr>
                <m:e>
                  <m:r>
                    <m:t>u</m:t>
                  </m:r>
                  <m:d>
                    <m:dPr>
                      <m:begChr m:val="("/>
                      <m:sepChr m:val=""/>
                      <m:endChr m:val=")"/>
                      <m:grow/>
                    </m:dPr>
                    <m:e>
                      <m:r>
                        <m:t>a</m:t>
                      </m:r>
                      <m:r>
                        <m:rPr>
                          <m:sty m:val="p"/>
                        </m:rPr>
                        <m:t>,</m:t>
                      </m:r>
                      <m:r>
                        <m:t>θ</m:t>
                      </m:r>
                    </m:e>
                  </m:d>
                  <m:r>
                    <m:rPr>
                      <m:sty m:val="p"/>
                    </m:rPr>
                    <m:t>∣</m:t>
                  </m:r>
                  <m:sSub>
                    <m:e>
                      <m:r>
                        <m:t>Y</m:t>
                      </m:r>
                    </m:e>
                    <m:sub>
                      <m:r>
                        <m:t>d</m:t>
                      </m:r>
                    </m:sub>
                  </m:sSub>
                </m:e>
              </m:d>
            </m:e>
          </m:d>
          <m:r>
            <m:rPr>
              <m:sty m:val="p"/>
            </m:rPr>
            <m:t>−</m:t>
          </m:r>
          <m:limLow>
            <m:e>
              <m:r>
                <m:rPr>
                  <m:sty m:val="p"/>
                </m:rPr>
                <m:t>max</m:t>
              </m:r>
            </m:e>
            <m:lim>
              <m:r>
                <m:t>a</m:t>
              </m:r>
            </m:lim>
          </m:limLow>
          <m:r>
            <m:t>E</m:t>
          </m:r>
          <m:d>
            <m:dPr>
              <m:begChr m:val="["/>
              <m:sepChr m:val=""/>
              <m:endChr m:val="]"/>
              <m:grow/>
            </m:dPr>
            <m:e>
              <m:r>
                <m:t>u</m:t>
              </m:r>
              <m:d>
                <m:dPr>
                  <m:begChr m:val="("/>
                  <m:sepChr m:val=""/>
                  <m:endChr m:val=")"/>
                  <m:grow/>
                </m:dPr>
                <m:e>
                  <m:r>
                    <m:t>a</m:t>
                  </m:r>
                  <m:r>
                    <m:rPr>
                      <m:sty m:val="p"/>
                    </m:rPr>
                    <m:t>,</m:t>
                  </m:r>
                  <m:r>
                    <m:t>θ</m:t>
                  </m:r>
                </m:e>
              </m:d>
            </m:e>
          </m:d>
          <m:r>
            <m:rPr>
              <m:sty m:val="p"/>
            </m:rPr>
            <m:t>≥</m:t>
          </m:r>
          <m:r>
            <m:t>0</m:t>
          </m:r>
          <m:r>
            <m:rPr>
              <m:sty m:val="p"/>
            </m:rPr>
            <m:t>,</m:t>
          </m:r>
          <m:r>
            <m:t>  </m:t>
          </m:r>
          <m:r>
            <m:rPr>
              <m:nor/>
            </m:rPr>
            <m:t>Pr</m:t>
          </m:r>
          <m:d>
            <m:dPr>
              <m:begChr m:val="("/>
              <m:sepChr m:val=""/>
              <m:endChr m:val=")"/>
              <m:grow/>
            </m:dPr>
            <m:e>
              <m:r>
                <m:rPr>
                  <m:sty m:val="p"/>
                </m:rPr>
                <m:t>∃</m:t>
              </m:r>
              <m:r>
                <m:t> </m:t>
              </m:r>
              <m:r>
                <m:t>t</m:t>
              </m:r>
              <m:r>
                <m:rPr>
                  <m:sty m:val="p"/>
                </m:rPr>
                <m:t>:</m:t>
              </m:r>
              <m:r>
                <m:t> </m:t>
              </m:r>
              <m:sSub>
                <m:e>
                  <m:r>
                    <m:t>M</m:t>
                  </m:r>
                </m:e>
                <m:sub>
                  <m:r>
                    <m:t>t</m:t>
                  </m:r>
                </m:sub>
              </m:sSub>
              <m:r>
                <m:rPr>
                  <m:sty m:val="p"/>
                </m:rPr>
                <m:t>≥</m:t>
              </m:r>
              <m:r>
                <m:t>1</m:t>
              </m:r>
              <m:r>
                <m:rPr>
                  <m:sty m:val="p"/>
                </m:rPr>
                <m:t>/</m:t>
              </m:r>
              <m:r>
                <m:t>α</m:t>
              </m:r>
            </m:e>
          </m:d>
          <m:r>
            <m:rPr>
              <m:sty m:val="p"/>
            </m:rPr>
            <m:t>≤</m:t>
          </m:r>
          <m:r>
            <m:t>α</m:t>
          </m:r>
        </m:oMath>
      </m:oMathPara>
    </w:p>
    <w:p>
      <w:pPr>
        <w:spacing w:after="120"/>
        <w:jc w:val="both"/>
      </w:pPr>
      <w:r>
        <w:t xml:space="preserve">In Part II, likelihood-ratio confidence sequences stay valid whatever rule ends the data-collection loop [E3]; a budget on the number of switches between actions creates phase transitions in the best attainable regret, so commitment has a sharp price [M5]; irrevocable online conversion with an untrusted forecast has a Pareto-optimal trade-off between trusting and hedging [C5]; and multistage robust optimisation formalises commit, observe and adapt [M4]. With several stakeholders a new difficulty appears: the value of information is computed under each stakeholder's own belief, and a design that one stakeholder values may be one that another fears.</w:t>
      </w:r>
    </w:p>
    <w:p>
      <w:pPr>
        <w:pStyle w:val="Heading3"/>
      </w:pPr>
      <w:r>
        <w:rPr>
          <w:color w:val="1F3864"/>
        </w:rPr>
        <w:t xml:space="preserve">1.4 Many stakeholders, one decision</w:t>
      </w:r>
    </w:p>
    <w:p>
      <w:pPr>
        <w:spacing w:after="120"/>
        <w:jc w:val="both"/>
      </w:pPr>
      <w:r>
        <w:t xml:space="preserve">If the stakeholders' beliefs must be merged, the linear opinion pool averages them [B4, B5]:</w:t>
      </w:r>
    </w:p>
    <w:p>
      <w:pPr>
        <w:pStyle w:val="Equation"/>
      </w:pPr>
      <m:oMathPara>
        <m:oMathParaPr>
          <m:jc m:val="center"/>
        </m:oMathParaPr>
        <m:oMath>
          <m:sSub>
            <m:e>
              <m:r>
                <m:t>p</m:t>
              </m:r>
            </m:e>
            <m:sub>
              <m:r>
                <m:rPr>
                  <m:nor/>
                </m:rPr>
                <m:t>pool</m:t>
              </m:r>
            </m:sub>
          </m:sSub>
          <m:r>
            <m:rPr>
              <m:sty m:val="p"/>
            </m:rPr>
            <m:t>=</m:t>
          </m:r>
          <m:nary>
            <m:naryPr>
              <m:chr m:val="∑"/>
              <m:limLoc m:val="undOvr"/>
              <m:subHide m:val="off"/>
              <m:supHide m:val="off"/>
            </m:naryPr>
            <m:sub>
              <m:r>
                <m:t>k</m:t>
              </m:r>
              <m:r>
                <m:rPr>
                  <m:sty m:val="p"/>
                </m:rPr>
                <m:t>=</m:t>
              </m:r>
              <m:r>
                <m:t>1</m:t>
              </m:r>
            </m:sub>
            <m:sup>
              <m:r>
                <m:t>K</m:t>
              </m:r>
            </m:sup>
            <m:e>
              <m:sSub>
                <m:e>
                  <m:r>
                    <m:t>w</m:t>
                  </m:r>
                </m:e>
                <m:sub>
                  <m:r>
                    <m:t>k</m:t>
                  </m:r>
                </m:sub>
              </m:sSub>
            </m:e>
          </m:nary>
          <m:r>
            <m:t> </m:t>
          </m:r>
          <m:sSub>
            <m:e>
              <m:r>
                <m:t>p</m:t>
              </m:r>
            </m:e>
            <m:sub>
              <m:r>
                <m:t>k</m:t>
              </m:r>
            </m:sub>
          </m:sSub>
          <m:r>
            <m:rPr>
              <m:sty m:val="p"/>
            </m:rPr>
            <m:t>,</m:t>
          </m:r>
          <m:r>
            <m:t>  </m:t>
          </m:r>
          <m:sSub>
            <m:e>
              <m:r>
                <m:t>w</m:t>
              </m:r>
            </m:e>
            <m:sub>
              <m:r>
                <m:t>k</m:t>
              </m:r>
            </m:sub>
          </m:sSub>
          <m:r>
            <m:rPr>
              <m:sty m:val="p"/>
            </m:rPr>
            <m:t>≥</m:t>
          </m:r>
          <m:r>
            <m:t>0</m:t>
          </m:r>
          <m:r>
            <m:rPr>
              <m:sty m:val="p"/>
            </m:rPr>
            <m:t>,</m:t>
          </m:r>
          <m:r>
            <m:t> </m:t>
          </m:r>
          <m:nary>
            <m:naryPr>
              <m:chr m:val="∑"/>
              <m:limLoc m:val="undOvr"/>
              <m:subHide m:val="off"/>
              <m:supHide m:val="off"/>
            </m:naryPr>
            <m:sub>
              <m:r>
                <m:t>k</m:t>
              </m:r>
              <m:r>
                <m:rPr>
                  <m:sty m:val="p"/>
                </m:rPr>
                <m:t>=</m:t>
              </m:r>
              <m:r>
                <m:t>1</m:t>
              </m:r>
            </m:sub>
            <m:sup>
              <m:r>
                <m:t>K</m:t>
              </m:r>
            </m:sup>
            <m:e>
              <m:sSub>
                <m:e>
                  <m:r>
                    <m:t>w</m:t>
                  </m:r>
                </m:e>
                <m:sub>
                  <m:r>
                    <m:t>k</m:t>
                  </m:r>
                </m:sub>
              </m:sSub>
            </m:e>
          </m:nary>
          <m:r>
            <m:rPr>
              <m:sty m:val="p"/>
            </m:rPr>
            <m:t>=</m:t>
          </m:r>
          <m:r>
            <m:t>1</m:t>
          </m:r>
        </m:oMath>
      </m:oMathPara>
    </w:p>
    <w:p>
      <w:pPr>
        <w:spacing w:after="120"/>
        <w:jc w:val="both"/>
      </w:pPr>
      <w:r>
        <w:t xml:space="preserve">Affine rules are the only ways to aggregate probabilities that respect unanimity; but when stakeholders differ in both beliefs and tastes, a group expected-utility ranking that respects their unanimous preferences is, under the weak Pareto condition and technical restrictions, dictatorial [B9]. Merging is also slow to come by itself: opinions merge as information grows without bound [B7], not after one sample. Voting, bargaining [B14] and design are the alternatives. In Part II, rules that treat voters equally without full symmetry can let coalitions as small as about the square root of the electorate win, but no smaller [C3], extending May's characterisation of majority rule [B11]; a committee chair can order pairwise votes with no regret [O2]; deliberation by coalitions around proposals terminates and, with compromise moves in Euclidean spaces, ends at a proposal of maximum support [O3]; a small paid committee can be made to acquire the right information [E1]; publishing a first group's vote changes the turnout of the rest [E2]; information design can guarantee a joint commitment in the smallest equilibrium of a coordination game [M1]; Bayesian reasoning in groups is computationally hard [M2]; pseudo-markets allocate scarce resources under constraints efficiently and fairly [C4]; and bounded reasoning changes which trading mechanism is best [O4]. The reserves add selection effects in learning from others [MR1], information lost by naive averaging [MR2], persuasion of receivers who neglect correlation [OR2] and feedback controllers that track equilibria online [ER2].</w:t>
      </w:r>
    </w:p>
    <w:p>
      <w:pPr>
        <w:pStyle w:val="Heading3"/>
      </w:pPr>
      <w:r>
        <w:rPr>
          <w:color w:val="1F3864"/>
        </w:rPr>
        <w:t xml:space="preserve">1.5 What is open for the Fushë-Kuqe stakeholders</w:t>
      </w:r>
    </w:p>
    <w:p>
      <w:pPr>
        <w:spacing w:after="120"/>
        <w:jc w:val="both"/>
      </w:pPr>
      <w:r>
        <w:t xml:space="preserve">Four questions remain, and the papers of Part II leave each of them open for a physical resource shared by parties who disagree about probabilities. How can each stakeholder's belief be written compactly, so that it can be stated, checked and argued over? Which rule turns five such beliefs into one committed pumping and recharge choice without averaging away the disagreement or deadlocking? Which information ends the dispute: data that narrow the disputed parameter, or data that settle the event that matters? And can the group agree to buy information first without anyone fearing it? Section 9 (VENDIMI-GO) answers these questions for Fushë-Kuqe with the calibrated chloride ensemble of this series.</w:t>
      </w:r>
    </w:p>
    <w:p>
      <w:pPr>
        <w:spacing w:after="200"/>
      </w:pPr>
    </w:p>
    <w:p>
      <w:pPr>
        <w:pStyle w:val="Heading1"/>
      </w:pPr>
      <w:r>
        <w:rPr>
          <w:color w:val="1F3864"/>
        </w:rPr>
        <w:t xml:space="preserve">2. Search methodology</w:t>
      </w:r>
    </w:p>
    <w:p>
      <w:pPr>
        <w:pStyle w:val="ListParagraph"/>
        <w:numPr>
          <w:ilvl w:val="0"/>
          <w:numId w:val="2"/>
        </w:numPr>
        <w:spacing w:after="60"/>
        <w:jc w:val="both"/>
      </w:pPr>
      <w:r>
        <w:rPr>
          <w:b/>
          <w:bCs/>
        </w:rPr>
        <w:t xml:space="preserve">Request and themes:</w:t>
      </w:r>
      <w:r>
        <w:t xml:space="preserve"> 20 papers of 2020–2026, five from each of Oxford, Caltech, MIT and ETH Zürich, on how decision makers and stakeholders decide in stochastic and deeply uncertain situations (ambiguous or disputed probabilities, misspecified models, disagreement) and how they still end with a decisive choice. Four themes: (1) deciding under ambiguity and deep uncertainty; (2) robust and risk-averse optimisation and control that commit to a decision; (3) when to stop and decide; (4) many stakeholders, one decision. Each card states its theme at the start of its link to Fushë-Kuqe. Every paper has at least one author at the named institution at the time of the work, confirmed from a search result.</w:t>
      </w:r>
    </w:p>
    <w:p>
      <w:pPr>
        <w:pStyle w:val="ListParagraph"/>
        <w:numPr>
          <w:ilvl w:val="0"/>
          <w:numId w:val="2"/>
        </w:numPr>
        <w:spacing w:after="60"/>
        <w:jc w:val="both"/>
      </w:pPr>
      <w:r>
        <w:rPr>
          <w:b/>
          <w:bCs/>
        </w:rPr>
        <w:t xml:space="preserve">What "best" means, in this order:</w:t>
      </w:r>
      <w:r>
        <w:t xml:space="preserve"> mathematical depth (representation and impossibility theorems, existence and characterisation results, finite-sample and out-of-sample guarantees, regret bounds, optimality of stopping and commitment rules, with proofs); recognition (Econometrica, American Economic Review, Review of Economic Studies, Journal of Economic Theory, Games and Economic Behavior, Management Science, Operations Research, IEEE Transactions on Automatic Control, Automatica, Mathematical Finance, JRSS-B, main-track NeurIPS); and usefulness for the Fushë-Kuqe decision.</w:t>
      </w:r>
    </w:p>
    <w:p>
      <w:pPr>
        <w:pStyle w:val="ListParagraph"/>
        <w:numPr>
          <w:ilvl w:val="0"/>
          <w:numId w:val="2"/>
        </w:numPr>
        <w:spacing w:after="60"/>
        <w:jc w:val="both"/>
      </w:pPr>
      <w:r>
        <w:rPr>
          <w:b/>
          <w:bCs/>
        </w:rPr>
        <w:t xml:space="preserve">No repetition, peer review, verification:</w:t>
      </w:r>
      <w:r>
        <w:t xml:space="preserve"> every candidate was checked against the 1,198 papers already reviewed as cards in the series, the 1,259 DOIs of earlier documents and the classical references cited earlier; preprints were not eligible, and no earlier classical reference was promoted to a card. Four agents searched the four institutions in parallel (at most 30 searches each). Sources were publisher and proceedings pages, institutional repositories (Oxford ORA, CaltechAUTHORS, DSpace@MIT, the ETH Research Collection) and author pages seen through search summaries; no full text could be read, so key equations are </w:t>
      </w:r>
      <w:r>
        <w:rPr>
          <w:i/>
          <w:iCs/>
        </w:rPr>
        <w:t xml:space="preserve">representative formulations</w:t>
      </w:r>
      <w:r>
        <w:t xml:space="preserve"> unless a card says otherwise, and unverified fields are marked "(not verified)". ★ rates mathematical depth (★★★★★ new theorems with research-level proofs; ★★★ a rigorous model or algorithm whose main results are simpler).</w:t>
      </w:r>
    </w:p>
    <w:p>
      <w:pPr>
        <w:pStyle w:val="ListParagraph"/>
        <w:numPr>
          <w:ilvl w:val="0"/>
          <w:numId w:val="2"/>
        </w:numPr>
        <w:spacing w:after="60"/>
        <w:jc w:val="both"/>
      </w:pPr>
      <w:r>
        <w:rPr>
          <w:b/>
          <w:bCs/>
        </w:rPr>
        <w:t xml:space="preserve">Recency:</w:t>
      </w:r>
      <w:r>
        <w:t xml:space="preserve"> eight from 2021, three from 2022, four from 2023, four from 2024, and one from 2025; nine of the 20 are from 2023 or later. </w:t>
      </w:r>
      <w:r>
        <w:rPr>
          <w:b/>
          <w:bCs/>
        </w:rPr>
        <w:t xml:space="preserve">Themes:</w:t>
      </w:r>
      <w:r>
        <w:t xml:space="preserve"> 3 cards on theme 1, 5 on theme 2, 3 on theme 3 and 9 on theme 4; the reserves add 3 on theme 1 and 5 on theme 4.</w:t>
      </w:r>
    </w:p>
    <w:p>
      <w:pPr>
        <w:pStyle w:val="Heading1"/>
      </w:pPr>
      <w:r>
        <w:rPr>
          <w:color w:val="1F3864"/>
        </w:rPr>
        <w:t xml:space="preserve">3. The 20 articles at a glance</w:t>
      </w:r>
    </w:p>
    <w:p>
      <w:pPr>
        <w:spacing w:after="120"/>
        <w:jc w:val="both"/>
      </w:pPr>
      <w:r>
        <w:t xml:space="preserve">The table is ordered by institution (O = Oxford, C = Caltech, M = MIT, E = ETH Zürich) and, within each institution, by the order of the cards; the last column gives the affiliations.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00"/>
        <w:gridCol w:w="3300"/>
        <w:gridCol w:w="3900"/>
        <w:gridCol w:w="1838"/>
      </w:tblGrid>
      <w:tr>
        <w:trPr>
          <w:cantSplit/>
          <w:tblHeader/>
        </w:trPr>
        <w:tc>
          <w:tcPr>
            <w:tcW w:type="dxa" w:w="600"/>
            <w:shd w:fill="1F3864" w:color="auto" w:val="clear"/>
            <w:tcMar>
              <w:top w:type="dxa" w:w="15"/>
              <w:left w:type="dxa" w:w="80"/>
              <w:bottom w:type="dxa" w:w="15"/>
              <w:right w:type="dxa" w:w="80"/>
            </w:tcMar>
            <w:vAlign w:val="top"/>
          </w:tcPr>
          <w:p>
            <w:r>
              <w:rPr>
                <w:b/>
                <w:bCs/>
                <w:color w:val="FFFFFF"/>
                <w:sz w:val="15"/>
                <w:szCs w:val="15"/>
              </w:rPr>
              <w:t xml:space="preserve">Code</w:t>
            </w:r>
          </w:p>
        </w:tc>
        <w:tc>
          <w:tcPr>
            <w:tcW w:type="dxa" w:w="3300"/>
            <w:shd w:fill="1F3864" w:color="auto" w:val="clear"/>
            <w:tcMar>
              <w:top w:type="dxa" w:w="15"/>
              <w:left w:type="dxa" w:w="80"/>
              <w:bottom w:type="dxa" w:w="15"/>
              <w:right w:type="dxa" w:w="80"/>
            </w:tcMar>
            <w:vAlign w:val="top"/>
          </w:tcPr>
          <w:p>
            <w:r>
              <w:rPr>
                <w:b/>
                <w:bCs/>
                <w:color w:val="FFFFFF"/>
                <w:sz w:val="15"/>
                <w:szCs w:val="15"/>
              </w:rPr>
              <w:t xml:space="preserve">Authors (year)</w:t>
            </w:r>
          </w:p>
        </w:tc>
        <w:tc>
          <w:tcPr>
            <w:tcW w:type="dxa" w:w="3900"/>
            <w:shd w:fill="1F3864" w:color="auto" w:val="clear"/>
            <w:tcMar>
              <w:top w:type="dxa" w:w="15"/>
              <w:left w:type="dxa" w:w="80"/>
              <w:bottom w:type="dxa" w:w="15"/>
              <w:right w:type="dxa" w:w="80"/>
            </w:tcMar>
            <w:vAlign w:val="top"/>
          </w:tcPr>
          <w:p>
            <w:r>
              <w:rPr>
                <w:b/>
                <w:bCs/>
                <w:color w:val="FFFFFF"/>
                <w:sz w:val="15"/>
                <w:szCs w:val="15"/>
              </w:rPr>
              <w:t xml:space="preserve">Venue</w:t>
            </w:r>
          </w:p>
        </w:tc>
        <w:tc>
          <w:tcPr>
            <w:tcW w:type="dxa" w:w="1838"/>
            <w:shd w:fill="1F3864" w:color="auto" w:val="clear"/>
            <w:tcMar>
              <w:top w:type="dxa" w:w="15"/>
              <w:left w:type="dxa" w:w="80"/>
              <w:bottom w:type="dxa" w:w="15"/>
              <w:right w:type="dxa" w:w="80"/>
            </w:tcMar>
            <w:vAlign w:val="top"/>
          </w:tcPr>
          <w:p>
            <w:r>
              <w:rPr>
                <w:b/>
                <w:bCs/>
                <w:color w:val="FFFFFF"/>
                <w:sz w:val="15"/>
                <w:szCs w:val="15"/>
              </w:rPr>
              <w:t xml:space="preserve">Affiliation</w:t>
            </w:r>
          </w:p>
        </w:tc>
      </w:tr>
      <w:tr>
        <w:trPr>
          <w:cantSplit/>
        </w:trPr>
        <w:tc>
          <w:tcPr>
            <w:tcW w:type="dxa" w:w="600"/>
            <w:tcMar>
              <w:top w:type="dxa" w:w="15"/>
              <w:left w:type="dxa" w:w="80"/>
              <w:bottom w:type="dxa" w:w="15"/>
              <w:right w:type="dxa" w:w="80"/>
            </w:tcMar>
            <w:vAlign w:val="top"/>
          </w:tcPr>
          <w:p>
            <w:r>
              <w:rPr>
                <w:b/>
                <w:bCs/>
                <w:color w:val="002147"/>
                <w:sz w:val="15"/>
                <w:szCs w:val="15"/>
              </w:rPr>
              <w:t xml:space="preserve">O1</w:t>
            </w:r>
          </w:p>
        </w:tc>
        <w:tc>
          <w:tcPr>
            <w:tcW w:type="dxa" w:w="3300"/>
            <w:tcMar>
              <w:top w:type="dxa" w:w="15"/>
              <w:left w:type="dxa" w:w="80"/>
              <w:bottom w:type="dxa" w:w="15"/>
              <w:right w:type="dxa" w:w="80"/>
            </w:tcMar>
            <w:vAlign w:val="top"/>
          </w:tcPr>
          <w:p>
            <w:r>
              <w:rPr>
                <w:sz w:val="15"/>
                <w:szCs w:val="15"/>
              </w:rPr>
              <w:t xml:space="preserve">Pantazis, Fele &amp; Margellos (2024)</w:t>
            </w:r>
          </w:p>
        </w:tc>
        <w:tc>
          <w:tcPr>
            <w:tcW w:type="dxa" w:w="3900"/>
            <w:tcMar>
              <w:top w:type="dxa" w:w="15"/>
              <w:left w:type="dxa" w:w="80"/>
              <w:bottom w:type="dxa" w:w="15"/>
              <w:right w:type="dxa" w:w="80"/>
            </w:tcMar>
            <w:vAlign w:val="top"/>
          </w:tcPr>
          <w:p>
            <w:r>
              <w:rPr>
                <w:sz w:val="15"/>
                <w:szCs w:val="15"/>
              </w:rPr>
              <w:t xml:space="preserve">Automatica 2024</w:t>
            </w:r>
          </w:p>
        </w:tc>
        <w:tc>
          <w:tcPr>
            <w:tcW w:type="dxa" w:w="1838"/>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O2</w:t>
            </w:r>
          </w:p>
        </w:tc>
        <w:tc>
          <w:tcPr>
            <w:tcW w:type="dxa" w:w="3300"/>
            <w:shd w:fill="F7F9FC" w:color="auto" w:val="clear"/>
            <w:tcMar>
              <w:top w:type="dxa" w:w="15"/>
              <w:left w:type="dxa" w:w="80"/>
              <w:bottom w:type="dxa" w:w="15"/>
              <w:right w:type="dxa" w:w="80"/>
            </w:tcMar>
            <w:vAlign w:val="top"/>
          </w:tcPr>
          <w:p>
            <w:r>
              <w:rPr>
                <w:sz w:val="15"/>
                <w:szCs w:val="15"/>
              </w:rPr>
              <w:t xml:space="preserve">Curello &amp; Sinander (2023)</w:t>
            </w:r>
          </w:p>
        </w:tc>
        <w:tc>
          <w:tcPr>
            <w:tcW w:type="dxa" w:w="3900"/>
            <w:shd w:fill="F7F9FC" w:color="auto" w:val="clear"/>
            <w:tcMar>
              <w:top w:type="dxa" w:w="15"/>
              <w:left w:type="dxa" w:w="80"/>
              <w:bottom w:type="dxa" w:w="15"/>
              <w:right w:type="dxa" w:w="80"/>
            </w:tcMar>
            <w:vAlign w:val="top"/>
          </w:tcPr>
          <w:p>
            <w:r>
              <w:rPr>
                <w:sz w:val="15"/>
                <w:szCs w:val="15"/>
              </w:rPr>
              <w:t xml:space="preserve">Rev. Econ. Stud. 2023</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 · Bonn</w:t>
            </w:r>
          </w:p>
        </w:tc>
      </w:tr>
      <w:tr>
        <w:trPr>
          <w:cantSplit/>
        </w:trPr>
        <w:tc>
          <w:tcPr>
            <w:tcW w:type="dxa" w:w="600"/>
            <w:tcMar>
              <w:top w:type="dxa" w:w="15"/>
              <w:left w:type="dxa" w:w="80"/>
              <w:bottom w:type="dxa" w:w="15"/>
              <w:right w:type="dxa" w:w="80"/>
            </w:tcMar>
            <w:vAlign w:val="top"/>
          </w:tcPr>
          <w:p>
            <w:r>
              <w:rPr>
                <w:b/>
                <w:bCs/>
                <w:color w:val="002147"/>
                <w:sz w:val="15"/>
                <w:szCs w:val="15"/>
              </w:rPr>
              <w:t xml:space="preserve">O3</w:t>
            </w:r>
          </w:p>
        </w:tc>
        <w:tc>
          <w:tcPr>
            <w:tcW w:type="dxa" w:w="3300"/>
            <w:tcMar>
              <w:top w:type="dxa" w:w="15"/>
              <w:left w:type="dxa" w:w="80"/>
              <w:bottom w:type="dxa" w:w="15"/>
              <w:right w:type="dxa" w:w="80"/>
            </w:tcMar>
            <w:vAlign w:val="top"/>
          </w:tcPr>
          <w:p>
            <w:r>
              <w:rPr>
                <w:sz w:val="15"/>
                <w:szCs w:val="15"/>
              </w:rPr>
              <w:t xml:space="preserve">Elkind, Grossi, Shapiro &amp; Talmon (2024)</w:t>
            </w:r>
          </w:p>
        </w:tc>
        <w:tc>
          <w:tcPr>
            <w:tcW w:type="dxa" w:w="3900"/>
            <w:tcMar>
              <w:top w:type="dxa" w:w="15"/>
              <w:left w:type="dxa" w:w="80"/>
              <w:bottom w:type="dxa" w:w="15"/>
              <w:right w:type="dxa" w:w="80"/>
            </w:tcMar>
            <w:vAlign w:val="top"/>
          </w:tcPr>
          <w:p>
            <w:r>
              <w:rPr>
                <w:sz w:val="15"/>
                <w:szCs w:val="15"/>
              </w:rPr>
              <w:t xml:space="preserve">Soc. Choice Welf. 2024</w:t>
            </w:r>
          </w:p>
        </w:tc>
        <w:tc>
          <w:tcPr>
            <w:tcW w:type="dxa" w:w="1838"/>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O4</w:t>
            </w:r>
          </w:p>
        </w:tc>
        <w:tc>
          <w:tcPr>
            <w:tcW w:type="dxa" w:w="3300"/>
            <w:shd w:fill="F7F9FC" w:color="auto" w:val="clear"/>
            <w:tcMar>
              <w:top w:type="dxa" w:w="15"/>
              <w:left w:type="dxa" w:w="80"/>
              <w:bottom w:type="dxa" w:w="15"/>
              <w:right w:type="dxa" w:w="80"/>
            </w:tcMar>
            <w:vAlign w:val="top"/>
          </w:tcPr>
          <w:p>
            <w:r>
              <w:rPr>
                <w:sz w:val="15"/>
                <w:szCs w:val="15"/>
              </w:rPr>
              <w:t xml:space="preserve">Crawford (2021)</w:t>
            </w:r>
          </w:p>
        </w:tc>
        <w:tc>
          <w:tcPr>
            <w:tcW w:type="dxa" w:w="3900"/>
            <w:shd w:fill="F7F9FC" w:color="auto" w:val="clear"/>
            <w:tcMar>
              <w:top w:type="dxa" w:w="15"/>
              <w:left w:type="dxa" w:w="80"/>
              <w:bottom w:type="dxa" w:w="15"/>
              <w:right w:type="dxa" w:w="80"/>
            </w:tcMar>
            <w:vAlign w:val="top"/>
          </w:tcPr>
          <w:p>
            <w:r>
              <w:rPr>
                <w:sz w:val="15"/>
                <w:szCs w:val="15"/>
              </w:rPr>
              <w:t xml:space="preserve">Games Econ. Behav. 2021</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 · UC San Diego</w:t>
            </w:r>
          </w:p>
        </w:tc>
      </w:tr>
      <w:tr>
        <w:trPr>
          <w:cantSplit/>
        </w:trPr>
        <w:tc>
          <w:tcPr>
            <w:tcW w:type="dxa" w:w="600"/>
            <w:tcMar>
              <w:top w:type="dxa" w:w="15"/>
              <w:left w:type="dxa" w:w="80"/>
              <w:bottom w:type="dxa" w:w="15"/>
              <w:right w:type="dxa" w:w="80"/>
            </w:tcMar>
            <w:vAlign w:val="top"/>
          </w:tcPr>
          <w:p>
            <w:r>
              <w:rPr>
                <w:b/>
                <w:bCs/>
                <w:color w:val="002147"/>
                <w:sz w:val="15"/>
                <w:szCs w:val="15"/>
              </w:rPr>
              <w:t xml:space="preserve">O5</w:t>
            </w:r>
          </w:p>
        </w:tc>
        <w:tc>
          <w:tcPr>
            <w:tcW w:type="dxa" w:w="3300"/>
            <w:tcMar>
              <w:top w:type="dxa" w:w="15"/>
              <w:left w:type="dxa" w:w="80"/>
              <w:bottom w:type="dxa" w:w="15"/>
              <w:right w:type="dxa" w:w="80"/>
            </w:tcMar>
            <w:vAlign w:val="top"/>
          </w:tcPr>
          <w:p>
            <w:r>
              <w:rPr>
                <w:sz w:val="15"/>
                <w:szCs w:val="15"/>
              </w:rPr>
              <w:t xml:space="preserve">Obłój &amp; Wiesel (2021)</w:t>
            </w:r>
          </w:p>
        </w:tc>
        <w:tc>
          <w:tcPr>
            <w:tcW w:type="dxa" w:w="3900"/>
            <w:tcMar>
              <w:top w:type="dxa" w:w="15"/>
              <w:left w:type="dxa" w:w="80"/>
              <w:bottom w:type="dxa" w:w="15"/>
              <w:right w:type="dxa" w:w="80"/>
            </w:tcMar>
            <w:vAlign w:val="top"/>
          </w:tcPr>
          <w:p>
            <w:r>
              <w:rPr>
                <w:sz w:val="15"/>
                <w:szCs w:val="15"/>
              </w:rPr>
              <w:t xml:space="preserve">Math. Finance 2021</w:t>
            </w:r>
          </w:p>
        </w:tc>
        <w:tc>
          <w:tcPr>
            <w:tcW w:type="dxa" w:w="1838"/>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C1</w:t>
            </w:r>
          </w:p>
        </w:tc>
        <w:tc>
          <w:tcPr>
            <w:tcW w:type="dxa" w:w="3300"/>
            <w:shd w:fill="F7F9FC" w:color="auto" w:val="clear"/>
            <w:tcMar>
              <w:top w:type="dxa" w:w="15"/>
              <w:left w:type="dxa" w:w="80"/>
              <w:bottom w:type="dxa" w:w="15"/>
              <w:right w:type="dxa" w:w="80"/>
            </w:tcMar>
            <w:vAlign w:val="top"/>
          </w:tcPr>
          <w:p>
            <w:r>
              <w:rPr>
                <w:sz w:val="15"/>
                <w:szCs w:val="15"/>
              </w:rPr>
              <w:t xml:space="preserve">Echenique, Miyashita, Nakamura, Pomatto &amp; Vinson (2022)</w:t>
            </w:r>
          </w:p>
        </w:tc>
        <w:tc>
          <w:tcPr>
            <w:tcW w:type="dxa" w:w="3900"/>
            <w:shd w:fill="F7F9FC" w:color="auto" w:val="clear"/>
            <w:tcMar>
              <w:top w:type="dxa" w:w="15"/>
              <w:left w:type="dxa" w:w="80"/>
              <w:bottom w:type="dxa" w:w="15"/>
              <w:right w:type="dxa" w:w="80"/>
            </w:tcMar>
            <w:vAlign w:val="top"/>
          </w:tcPr>
          <w:p>
            <w:r>
              <w:rPr>
                <w:sz w:val="15"/>
                <w:szCs w:val="15"/>
              </w:rPr>
              <w:t xml:space="preserve">J. Econ. Theory 2022</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w:t>
            </w:r>
          </w:p>
        </w:tc>
      </w:tr>
      <w:tr>
        <w:trPr>
          <w:cantSplit/>
        </w:trPr>
        <w:tc>
          <w:tcPr>
            <w:tcW w:type="dxa" w:w="600"/>
            <w:tcMar>
              <w:top w:type="dxa" w:w="15"/>
              <w:left w:type="dxa" w:w="80"/>
              <w:bottom w:type="dxa" w:w="15"/>
              <w:right w:type="dxa" w:w="80"/>
            </w:tcMar>
            <w:vAlign w:val="top"/>
          </w:tcPr>
          <w:p>
            <w:r>
              <w:rPr>
                <w:b/>
                <w:bCs/>
                <w:color w:val="B4410C"/>
                <w:sz w:val="15"/>
                <w:szCs w:val="15"/>
              </w:rPr>
              <w:t xml:space="preserve">C2</w:t>
            </w:r>
          </w:p>
        </w:tc>
        <w:tc>
          <w:tcPr>
            <w:tcW w:type="dxa" w:w="3300"/>
            <w:tcMar>
              <w:top w:type="dxa" w:w="15"/>
              <w:left w:type="dxa" w:w="80"/>
              <w:bottom w:type="dxa" w:w="15"/>
              <w:right w:type="dxa" w:w="80"/>
            </w:tcMar>
            <w:vAlign w:val="top"/>
          </w:tcPr>
          <w:p>
            <w:r>
              <w:rPr>
                <w:sz w:val="15"/>
                <w:szCs w:val="15"/>
              </w:rPr>
              <w:t xml:space="preserve">Mu, Pomatto, Strack &amp; Tamuz (2024)</w:t>
            </w:r>
          </w:p>
        </w:tc>
        <w:tc>
          <w:tcPr>
            <w:tcW w:type="dxa" w:w="3900"/>
            <w:tcMar>
              <w:top w:type="dxa" w:w="15"/>
              <w:left w:type="dxa" w:w="80"/>
              <w:bottom w:type="dxa" w:w="15"/>
              <w:right w:type="dxa" w:w="80"/>
            </w:tcMar>
            <w:vAlign w:val="top"/>
          </w:tcPr>
          <w:p>
            <w:r>
              <w:rPr>
                <w:sz w:val="15"/>
                <w:szCs w:val="15"/>
              </w:rPr>
              <w:t xml:space="preserve">AER: Insights 2024</w:t>
            </w:r>
          </w:p>
        </w:tc>
        <w:tc>
          <w:tcPr>
            <w:tcW w:type="dxa" w:w="1838"/>
            <w:tcMar>
              <w:top w:type="dxa" w:w="15"/>
              <w:left w:type="dxa" w:w="80"/>
              <w:bottom w:type="dxa" w:w="15"/>
              <w:right w:type="dxa" w:w="80"/>
            </w:tcMar>
            <w:vAlign w:val="top"/>
          </w:tcPr>
          <w:p>
            <w:r>
              <w:rPr>
                <w:b/>
                <w:bCs/>
                <w:color w:val="B4410C"/>
                <w:sz w:val="15"/>
                <w:szCs w:val="15"/>
              </w:rPr>
              <w:t xml:space="preserve">Caltech · Princeton · Yale</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C3</w:t>
            </w:r>
          </w:p>
        </w:tc>
        <w:tc>
          <w:tcPr>
            <w:tcW w:type="dxa" w:w="3300"/>
            <w:shd w:fill="F7F9FC" w:color="auto" w:val="clear"/>
            <w:tcMar>
              <w:top w:type="dxa" w:w="15"/>
              <w:left w:type="dxa" w:w="80"/>
              <w:bottom w:type="dxa" w:w="15"/>
              <w:right w:type="dxa" w:w="80"/>
            </w:tcMar>
            <w:vAlign w:val="top"/>
          </w:tcPr>
          <w:p>
            <w:r>
              <w:rPr>
                <w:sz w:val="15"/>
                <w:szCs w:val="15"/>
              </w:rPr>
              <w:t xml:space="preserve">Bartholdi, Hann-Caruthers, Josyula, Tamuz &amp; Yariv (2021)</w:t>
            </w:r>
          </w:p>
        </w:tc>
        <w:tc>
          <w:tcPr>
            <w:tcW w:type="dxa" w:w="3900"/>
            <w:shd w:fill="F7F9FC" w:color="auto" w:val="clear"/>
            <w:tcMar>
              <w:top w:type="dxa" w:w="15"/>
              <w:left w:type="dxa" w:w="80"/>
              <w:bottom w:type="dxa" w:w="15"/>
              <w:right w:type="dxa" w:w="80"/>
            </w:tcMar>
            <w:vAlign w:val="top"/>
          </w:tcPr>
          <w:p>
            <w:r>
              <w:rPr>
                <w:sz w:val="15"/>
                <w:szCs w:val="15"/>
              </w:rPr>
              <w:t xml:space="preserve">Econometrica 2021</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 · Princeton</w:t>
            </w:r>
          </w:p>
        </w:tc>
      </w:tr>
      <w:tr>
        <w:trPr>
          <w:cantSplit/>
        </w:trPr>
        <w:tc>
          <w:tcPr>
            <w:tcW w:type="dxa" w:w="600"/>
            <w:tcMar>
              <w:top w:type="dxa" w:w="15"/>
              <w:left w:type="dxa" w:w="80"/>
              <w:bottom w:type="dxa" w:w="15"/>
              <w:right w:type="dxa" w:w="80"/>
            </w:tcMar>
            <w:vAlign w:val="top"/>
          </w:tcPr>
          <w:p>
            <w:r>
              <w:rPr>
                <w:b/>
                <w:bCs/>
                <w:color w:val="B4410C"/>
                <w:sz w:val="15"/>
                <w:szCs w:val="15"/>
              </w:rPr>
              <w:t xml:space="preserve">C4</w:t>
            </w:r>
          </w:p>
        </w:tc>
        <w:tc>
          <w:tcPr>
            <w:tcW w:type="dxa" w:w="3300"/>
            <w:tcMar>
              <w:top w:type="dxa" w:w="15"/>
              <w:left w:type="dxa" w:w="80"/>
              <w:bottom w:type="dxa" w:w="15"/>
              <w:right w:type="dxa" w:w="80"/>
            </w:tcMar>
            <w:vAlign w:val="top"/>
          </w:tcPr>
          <w:p>
            <w:r>
              <w:rPr>
                <w:sz w:val="15"/>
                <w:szCs w:val="15"/>
              </w:rPr>
              <w:t xml:space="preserve">Echenique, Miralles &amp; Zhang (2021)</w:t>
            </w:r>
          </w:p>
        </w:tc>
        <w:tc>
          <w:tcPr>
            <w:tcW w:type="dxa" w:w="3900"/>
            <w:tcMar>
              <w:top w:type="dxa" w:w="15"/>
              <w:left w:type="dxa" w:w="80"/>
              <w:bottom w:type="dxa" w:w="15"/>
              <w:right w:type="dxa" w:w="80"/>
            </w:tcMar>
            <w:vAlign w:val="top"/>
          </w:tcPr>
          <w:p>
            <w:r>
              <w:rPr>
                <w:sz w:val="15"/>
                <w:szCs w:val="15"/>
              </w:rPr>
              <w:t xml:space="preserve">Am. Econ. Rev. 2021</w:t>
            </w:r>
          </w:p>
        </w:tc>
        <w:tc>
          <w:tcPr>
            <w:tcW w:type="dxa" w:w="1838"/>
            <w:tcMar>
              <w:top w:type="dxa" w:w="15"/>
              <w:left w:type="dxa" w:w="80"/>
              <w:bottom w:type="dxa" w:w="15"/>
              <w:right w:type="dxa" w:w="80"/>
            </w:tcMar>
            <w:vAlign w:val="top"/>
          </w:tcPr>
          <w:p>
            <w:r>
              <w:rPr>
                <w:b/>
                <w:bCs/>
                <w:color w:val="B4410C"/>
                <w:sz w:val="15"/>
                <w:szCs w:val="15"/>
              </w:rPr>
              <w:t xml:space="preserve">Caltech</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C5</w:t>
            </w:r>
          </w:p>
        </w:tc>
        <w:tc>
          <w:tcPr>
            <w:tcW w:type="dxa" w:w="3300"/>
            <w:shd w:fill="F7F9FC" w:color="auto" w:val="clear"/>
            <w:tcMar>
              <w:top w:type="dxa" w:w="15"/>
              <w:left w:type="dxa" w:w="80"/>
              <w:bottom w:type="dxa" w:w="15"/>
              <w:right w:type="dxa" w:w="80"/>
            </w:tcMar>
            <w:vAlign w:val="top"/>
          </w:tcPr>
          <w:p>
            <w:r>
              <w:rPr>
                <w:sz w:val="15"/>
                <w:szCs w:val="15"/>
              </w:rPr>
              <w:t xml:space="preserve">Sun, Lee, Hajiesmaili, Wierman &amp; Tsang (2021)</w:t>
            </w:r>
          </w:p>
        </w:tc>
        <w:tc>
          <w:tcPr>
            <w:tcW w:type="dxa" w:w="3900"/>
            <w:shd w:fill="F7F9FC" w:color="auto" w:val="clear"/>
            <w:tcMar>
              <w:top w:type="dxa" w:w="15"/>
              <w:left w:type="dxa" w:w="80"/>
              <w:bottom w:type="dxa" w:w="15"/>
              <w:right w:type="dxa" w:w="80"/>
            </w:tcMar>
            <w:vAlign w:val="top"/>
          </w:tcPr>
          <w:p>
            <w:r>
              <w:rPr>
                <w:sz w:val="15"/>
                <w:szCs w:val="15"/>
              </w:rPr>
              <w:t xml:space="preserve">NeurIPS 2021</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 · HKUST · UMass Amherst</w:t>
            </w:r>
          </w:p>
        </w:tc>
      </w:tr>
      <w:tr>
        <w:trPr>
          <w:cantSplit/>
        </w:trPr>
        <w:tc>
          <w:tcPr>
            <w:tcW w:type="dxa" w:w="600"/>
            <w:tcMar>
              <w:top w:type="dxa" w:w="15"/>
              <w:left w:type="dxa" w:w="80"/>
              <w:bottom w:type="dxa" w:w="15"/>
              <w:right w:type="dxa" w:w="80"/>
            </w:tcMar>
            <w:vAlign w:val="top"/>
          </w:tcPr>
          <w:p>
            <w:r>
              <w:rPr>
                <w:b/>
                <w:bCs/>
                <w:color w:val="4D4D4F"/>
                <w:sz w:val="15"/>
                <w:szCs w:val="15"/>
              </w:rPr>
              <w:t xml:space="preserve">M1</w:t>
            </w:r>
          </w:p>
        </w:tc>
        <w:tc>
          <w:tcPr>
            <w:tcW w:type="dxa" w:w="3300"/>
            <w:tcMar>
              <w:top w:type="dxa" w:w="15"/>
              <w:left w:type="dxa" w:w="80"/>
              <w:bottom w:type="dxa" w:w="15"/>
              <w:right w:type="dxa" w:w="80"/>
            </w:tcMar>
            <w:vAlign w:val="top"/>
          </w:tcPr>
          <w:p>
            <w:r>
              <w:rPr>
                <w:sz w:val="15"/>
                <w:szCs w:val="15"/>
              </w:rPr>
              <w:t xml:space="preserve">Morris, Oyama &amp; Takahashi (2024)</w:t>
            </w:r>
          </w:p>
        </w:tc>
        <w:tc>
          <w:tcPr>
            <w:tcW w:type="dxa" w:w="3900"/>
            <w:tcMar>
              <w:top w:type="dxa" w:w="15"/>
              <w:left w:type="dxa" w:w="80"/>
              <w:bottom w:type="dxa" w:w="15"/>
              <w:right w:type="dxa" w:w="80"/>
            </w:tcMar>
            <w:vAlign w:val="top"/>
          </w:tcPr>
          <w:p>
            <w:r>
              <w:rPr>
                <w:sz w:val="15"/>
                <w:szCs w:val="15"/>
              </w:rPr>
              <w:t xml:space="preserve">Econometrica 2024</w:t>
            </w:r>
          </w:p>
        </w:tc>
        <w:tc>
          <w:tcPr>
            <w:tcW w:type="dxa" w:w="1838"/>
            <w:tcMar>
              <w:top w:type="dxa" w:w="15"/>
              <w:left w:type="dxa" w:w="80"/>
              <w:bottom w:type="dxa" w:w="15"/>
              <w:right w:type="dxa" w:w="80"/>
            </w:tcMar>
            <w:vAlign w:val="top"/>
          </w:tcPr>
          <w:p>
            <w:r>
              <w:rPr>
                <w:b/>
                <w:bCs/>
                <w:color w:val="4D4D4F"/>
                <w:sz w:val="15"/>
                <w:szCs w:val="15"/>
              </w:rPr>
              <w:t xml:space="preserve">MIT · U. Tokyo · NUS</w:t>
            </w:r>
          </w:p>
        </w:tc>
      </w:tr>
      <w:tr>
        <w:trPr>
          <w:cantSplit/>
        </w:trPr>
        <w:tc>
          <w:tcPr>
            <w:tcW w:type="dxa" w:w="600"/>
            <w:shd w:fill="F7F9FC" w:color="auto" w:val="clear"/>
            <w:tcMar>
              <w:top w:type="dxa" w:w="15"/>
              <w:left w:type="dxa" w:w="80"/>
              <w:bottom w:type="dxa" w:w="15"/>
              <w:right w:type="dxa" w:w="80"/>
            </w:tcMar>
            <w:vAlign w:val="top"/>
          </w:tcPr>
          <w:p>
            <w:r>
              <w:rPr>
                <w:b/>
                <w:bCs/>
                <w:color w:val="4D4D4F"/>
                <w:sz w:val="15"/>
                <w:szCs w:val="15"/>
              </w:rPr>
              <w:t xml:space="preserve">M2</w:t>
            </w:r>
          </w:p>
        </w:tc>
        <w:tc>
          <w:tcPr>
            <w:tcW w:type="dxa" w:w="3300"/>
            <w:shd w:fill="F7F9FC" w:color="auto" w:val="clear"/>
            <w:tcMar>
              <w:top w:type="dxa" w:w="15"/>
              <w:left w:type="dxa" w:w="80"/>
              <w:bottom w:type="dxa" w:w="15"/>
              <w:right w:type="dxa" w:w="80"/>
            </w:tcMar>
            <w:vAlign w:val="top"/>
          </w:tcPr>
          <w:p>
            <w:r>
              <w:rPr>
                <w:sz w:val="15"/>
                <w:szCs w:val="15"/>
              </w:rPr>
              <w:t xml:space="preserve">Hązła, Jadbabaie, Mossel &amp; Rahimian (2021)</w:t>
            </w:r>
          </w:p>
        </w:tc>
        <w:tc>
          <w:tcPr>
            <w:tcW w:type="dxa" w:w="3900"/>
            <w:shd w:fill="F7F9FC" w:color="auto" w:val="clear"/>
            <w:tcMar>
              <w:top w:type="dxa" w:w="15"/>
              <w:left w:type="dxa" w:w="80"/>
              <w:bottom w:type="dxa" w:w="15"/>
              <w:right w:type="dxa" w:w="80"/>
            </w:tcMar>
            <w:vAlign w:val="top"/>
          </w:tcPr>
          <w:p>
            <w:r>
              <w:rPr>
                <w:sz w:val="15"/>
                <w:szCs w:val="15"/>
              </w:rPr>
              <w:t xml:space="preserve">Oper. Res. 2021</w:t>
            </w:r>
          </w:p>
        </w:tc>
        <w:tc>
          <w:tcPr>
            <w:tcW w:type="dxa" w:w="1838"/>
            <w:shd w:fill="F7F9FC" w:color="auto" w:val="clear"/>
            <w:tcMar>
              <w:top w:type="dxa" w:w="15"/>
              <w:left w:type="dxa" w:w="80"/>
              <w:bottom w:type="dxa" w:w="15"/>
              <w:right w:type="dxa" w:w="80"/>
            </w:tcMar>
            <w:vAlign w:val="top"/>
          </w:tcPr>
          <w:p>
            <w:r>
              <w:rPr>
                <w:b/>
                <w:bCs/>
                <w:color w:val="4D4D4F"/>
                <w:sz w:val="15"/>
                <w:szCs w:val="15"/>
              </w:rPr>
              <w:t xml:space="preserve">MIT · EPFL · Pittsburgh</w:t>
            </w:r>
          </w:p>
        </w:tc>
      </w:tr>
      <w:tr>
        <w:trPr>
          <w:cantSplit/>
        </w:trPr>
        <w:tc>
          <w:tcPr>
            <w:tcW w:type="dxa" w:w="600"/>
            <w:tcMar>
              <w:top w:type="dxa" w:w="15"/>
              <w:left w:type="dxa" w:w="80"/>
              <w:bottom w:type="dxa" w:w="15"/>
              <w:right w:type="dxa" w:w="80"/>
            </w:tcMar>
            <w:vAlign w:val="top"/>
          </w:tcPr>
          <w:p>
            <w:r>
              <w:rPr>
                <w:b/>
                <w:bCs/>
                <w:color w:val="4D4D4F"/>
                <w:sz w:val="15"/>
                <w:szCs w:val="15"/>
              </w:rPr>
              <w:t xml:space="preserve">M3</w:t>
            </w:r>
          </w:p>
        </w:tc>
        <w:tc>
          <w:tcPr>
            <w:tcW w:type="dxa" w:w="3300"/>
            <w:tcMar>
              <w:top w:type="dxa" w:w="15"/>
              <w:left w:type="dxa" w:w="80"/>
              <w:bottom w:type="dxa" w:w="15"/>
              <w:right w:type="dxa" w:w="80"/>
            </w:tcMar>
            <w:vAlign w:val="top"/>
          </w:tcPr>
          <w:p>
            <w:r>
              <w:rPr>
                <w:sz w:val="15"/>
                <w:szCs w:val="15"/>
              </w:rPr>
              <w:t xml:space="preserve">Van Parys, Mohajerin Esfahani &amp; Kuhn (2021)</w:t>
            </w:r>
          </w:p>
        </w:tc>
        <w:tc>
          <w:tcPr>
            <w:tcW w:type="dxa" w:w="3900"/>
            <w:tcMar>
              <w:top w:type="dxa" w:w="15"/>
              <w:left w:type="dxa" w:w="80"/>
              <w:bottom w:type="dxa" w:w="15"/>
              <w:right w:type="dxa" w:w="80"/>
            </w:tcMar>
            <w:vAlign w:val="top"/>
          </w:tcPr>
          <w:p>
            <w:r>
              <w:rPr>
                <w:sz w:val="15"/>
                <w:szCs w:val="15"/>
              </w:rPr>
              <w:t xml:space="preserve">Manag. Sci. 2021</w:t>
            </w:r>
          </w:p>
        </w:tc>
        <w:tc>
          <w:tcPr>
            <w:tcW w:type="dxa" w:w="1838"/>
            <w:tcMar>
              <w:top w:type="dxa" w:w="15"/>
              <w:left w:type="dxa" w:w="80"/>
              <w:bottom w:type="dxa" w:w="15"/>
              <w:right w:type="dxa" w:w="80"/>
            </w:tcMar>
            <w:vAlign w:val="top"/>
          </w:tcPr>
          <w:p>
            <w:r>
              <w:rPr>
                <w:b/>
                <w:bCs/>
                <w:color w:val="4D4D4F"/>
                <w:sz w:val="15"/>
                <w:szCs w:val="15"/>
              </w:rPr>
              <w:t xml:space="preserve">MIT · TU Delft · EPFL</w:t>
            </w:r>
          </w:p>
        </w:tc>
      </w:tr>
      <w:tr>
        <w:trPr>
          <w:cantSplit/>
        </w:trPr>
        <w:tc>
          <w:tcPr>
            <w:tcW w:type="dxa" w:w="600"/>
            <w:shd w:fill="F7F9FC" w:color="auto" w:val="clear"/>
            <w:tcMar>
              <w:top w:type="dxa" w:w="15"/>
              <w:left w:type="dxa" w:w="80"/>
              <w:bottom w:type="dxa" w:w="15"/>
              <w:right w:type="dxa" w:w="80"/>
            </w:tcMar>
            <w:vAlign w:val="top"/>
          </w:tcPr>
          <w:p>
            <w:r>
              <w:rPr>
                <w:b/>
                <w:bCs/>
                <w:color w:val="4D4D4F"/>
                <w:sz w:val="15"/>
                <w:szCs w:val="15"/>
              </w:rPr>
              <w:t xml:space="preserve">M4</w:t>
            </w:r>
          </w:p>
        </w:tc>
        <w:tc>
          <w:tcPr>
            <w:tcW w:type="dxa" w:w="3300"/>
            <w:shd w:fill="F7F9FC" w:color="auto" w:val="clear"/>
            <w:tcMar>
              <w:top w:type="dxa" w:w="15"/>
              <w:left w:type="dxa" w:w="80"/>
              <w:bottom w:type="dxa" w:w="15"/>
              <w:right w:type="dxa" w:w="80"/>
            </w:tcMar>
            <w:vAlign w:val="top"/>
          </w:tcPr>
          <w:p>
            <w:r>
              <w:rPr>
                <w:sz w:val="15"/>
                <w:szCs w:val="15"/>
              </w:rPr>
              <w:t xml:space="preserve">Bertsimas, Shtern &amp; Sturt (2023)</w:t>
            </w:r>
          </w:p>
        </w:tc>
        <w:tc>
          <w:tcPr>
            <w:tcW w:type="dxa" w:w="3900"/>
            <w:shd w:fill="F7F9FC" w:color="auto" w:val="clear"/>
            <w:tcMar>
              <w:top w:type="dxa" w:w="15"/>
              <w:left w:type="dxa" w:w="80"/>
              <w:bottom w:type="dxa" w:w="15"/>
              <w:right w:type="dxa" w:w="80"/>
            </w:tcMar>
            <w:vAlign w:val="top"/>
          </w:tcPr>
          <w:p>
            <w:r>
              <w:rPr>
                <w:sz w:val="15"/>
                <w:szCs w:val="15"/>
              </w:rPr>
              <w:t xml:space="preserve">Manag. Sci. 2023</w:t>
            </w:r>
          </w:p>
        </w:tc>
        <w:tc>
          <w:tcPr>
            <w:tcW w:type="dxa" w:w="1838"/>
            <w:shd w:fill="F7F9FC" w:color="auto" w:val="clear"/>
            <w:tcMar>
              <w:top w:type="dxa" w:w="15"/>
              <w:left w:type="dxa" w:w="80"/>
              <w:bottom w:type="dxa" w:w="15"/>
              <w:right w:type="dxa" w:w="80"/>
            </w:tcMar>
            <w:vAlign w:val="top"/>
          </w:tcPr>
          <w:p>
            <w:r>
              <w:rPr>
                <w:b/>
                <w:bCs/>
                <w:color w:val="4D4D4F"/>
                <w:sz w:val="15"/>
                <w:szCs w:val="15"/>
              </w:rPr>
              <w:t xml:space="preserve">MIT</w:t>
            </w:r>
          </w:p>
        </w:tc>
      </w:tr>
      <w:tr>
        <w:trPr>
          <w:cantSplit/>
        </w:trPr>
        <w:tc>
          <w:tcPr>
            <w:tcW w:type="dxa" w:w="600"/>
            <w:tcMar>
              <w:top w:type="dxa" w:w="15"/>
              <w:left w:type="dxa" w:w="80"/>
              <w:bottom w:type="dxa" w:w="15"/>
              <w:right w:type="dxa" w:w="80"/>
            </w:tcMar>
            <w:vAlign w:val="top"/>
          </w:tcPr>
          <w:p>
            <w:r>
              <w:rPr>
                <w:b/>
                <w:bCs/>
                <w:color w:val="4D4D4F"/>
                <w:sz w:val="15"/>
                <w:szCs w:val="15"/>
              </w:rPr>
              <w:t xml:space="preserve">M5</w:t>
            </w:r>
          </w:p>
        </w:tc>
        <w:tc>
          <w:tcPr>
            <w:tcW w:type="dxa" w:w="3300"/>
            <w:tcMar>
              <w:top w:type="dxa" w:w="15"/>
              <w:left w:type="dxa" w:w="80"/>
              <w:bottom w:type="dxa" w:w="15"/>
              <w:right w:type="dxa" w:w="80"/>
            </w:tcMar>
            <w:vAlign w:val="top"/>
          </w:tcPr>
          <w:p>
            <w:r>
              <w:rPr>
                <w:sz w:val="15"/>
                <w:szCs w:val="15"/>
              </w:rPr>
              <w:t xml:space="preserve">Simchi-Levi &amp; Xu (2023)</w:t>
            </w:r>
          </w:p>
        </w:tc>
        <w:tc>
          <w:tcPr>
            <w:tcW w:type="dxa" w:w="3900"/>
            <w:tcMar>
              <w:top w:type="dxa" w:w="15"/>
              <w:left w:type="dxa" w:w="80"/>
              <w:bottom w:type="dxa" w:w="15"/>
              <w:right w:type="dxa" w:w="80"/>
            </w:tcMar>
            <w:vAlign w:val="top"/>
          </w:tcPr>
          <w:p>
            <w:r>
              <w:rPr>
                <w:sz w:val="15"/>
                <w:szCs w:val="15"/>
              </w:rPr>
              <w:t xml:space="preserve">Manag. Sci. 2023</w:t>
            </w:r>
          </w:p>
        </w:tc>
        <w:tc>
          <w:tcPr>
            <w:tcW w:type="dxa" w:w="1838"/>
            <w:tcMar>
              <w:top w:type="dxa" w:w="15"/>
              <w:left w:type="dxa" w:w="80"/>
              <w:bottom w:type="dxa" w:w="15"/>
              <w:right w:type="dxa" w:w="80"/>
            </w:tcMar>
            <w:vAlign w:val="top"/>
          </w:tcPr>
          <w:p>
            <w:r>
              <w:rPr>
                <w:b/>
                <w:bCs/>
                <w:color w:val="4D4D4F"/>
                <w:sz w:val="15"/>
                <w:szCs w:val="15"/>
              </w:rPr>
              <w:t xml:space="preserve">MIT</w:t>
            </w:r>
          </w:p>
        </w:tc>
      </w:tr>
      <w:tr>
        <w:trPr>
          <w:cantSplit/>
        </w:trPr>
        <w:tc>
          <w:tcPr>
            <w:tcW w:type="dxa" w:w="600"/>
            <w:shd w:fill="F7F9FC" w:color="auto" w:val="clear"/>
            <w:tcMar>
              <w:top w:type="dxa" w:w="15"/>
              <w:left w:type="dxa" w:w="80"/>
              <w:bottom w:type="dxa" w:w="15"/>
              <w:right w:type="dxa" w:w="80"/>
            </w:tcMar>
            <w:vAlign w:val="top"/>
          </w:tcPr>
          <w:p>
            <w:r>
              <w:rPr>
                <w:b/>
                <w:bCs/>
                <w:color w:val="215CAF"/>
                <w:sz w:val="15"/>
                <w:szCs w:val="15"/>
              </w:rPr>
              <w:t xml:space="preserve">E1</w:t>
            </w:r>
          </w:p>
        </w:tc>
        <w:tc>
          <w:tcPr>
            <w:tcW w:type="dxa" w:w="3300"/>
            <w:shd w:fill="F7F9FC" w:color="auto" w:val="clear"/>
            <w:tcMar>
              <w:top w:type="dxa" w:w="15"/>
              <w:left w:type="dxa" w:w="80"/>
              <w:bottom w:type="dxa" w:w="15"/>
              <w:right w:type="dxa" w:w="80"/>
            </w:tcMar>
            <w:vAlign w:val="top"/>
          </w:tcPr>
          <w:p>
            <w:r>
              <w:rPr>
                <w:sz w:val="15"/>
                <w:szCs w:val="15"/>
              </w:rPr>
              <w:t xml:space="preserve">Gersbach, Mamageishvili &amp; Tejada (2022)</w:t>
            </w:r>
          </w:p>
        </w:tc>
        <w:tc>
          <w:tcPr>
            <w:tcW w:type="dxa" w:w="3900"/>
            <w:shd w:fill="F7F9FC" w:color="auto" w:val="clear"/>
            <w:tcMar>
              <w:top w:type="dxa" w:w="15"/>
              <w:left w:type="dxa" w:w="80"/>
              <w:bottom w:type="dxa" w:w="15"/>
              <w:right w:type="dxa" w:w="80"/>
            </w:tcMar>
            <w:vAlign w:val="top"/>
          </w:tcPr>
          <w:p>
            <w:r>
              <w:rPr>
                <w:sz w:val="15"/>
                <w:szCs w:val="15"/>
              </w:rPr>
              <w:t xml:space="preserve">Games Econ. Behav. 2022</w:t>
            </w:r>
          </w:p>
        </w:tc>
        <w:tc>
          <w:tcPr>
            <w:tcW w:type="dxa" w:w="1838"/>
            <w:shd w:fill="F7F9FC" w:color="auto" w:val="clear"/>
            <w:tcMar>
              <w:top w:type="dxa" w:w="15"/>
              <w:left w:type="dxa" w:w="80"/>
              <w:bottom w:type="dxa" w:w="15"/>
              <w:right w:type="dxa" w:w="80"/>
            </w:tcMar>
            <w:vAlign w:val="top"/>
          </w:tcPr>
          <w:p>
            <w:r>
              <w:rPr>
                <w:b/>
                <w:bCs/>
                <w:color w:val="215CAF"/>
                <w:sz w:val="15"/>
                <w:szCs w:val="15"/>
              </w:rPr>
              <w:t xml:space="preserve">ETH Zürich · Univ. Barcelona</w:t>
            </w:r>
          </w:p>
        </w:tc>
      </w:tr>
      <w:tr>
        <w:trPr>
          <w:cantSplit/>
        </w:trPr>
        <w:tc>
          <w:tcPr>
            <w:tcW w:type="dxa" w:w="600"/>
            <w:tcMar>
              <w:top w:type="dxa" w:w="15"/>
              <w:left w:type="dxa" w:w="80"/>
              <w:bottom w:type="dxa" w:w="15"/>
              <w:right w:type="dxa" w:w="80"/>
            </w:tcMar>
            <w:vAlign w:val="top"/>
          </w:tcPr>
          <w:p>
            <w:r>
              <w:rPr>
                <w:b/>
                <w:bCs/>
                <w:color w:val="215CAF"/>
                <w:sz w:val="15"/>
                <w:szCs w:val="15"/>
              </w:rPr>
              <w:t xml:space="preserve">E2</w:t>
            </w:r>
          </w:p>
        </w:tc>
        <w:tc>
          <w:tcPr>
            <w:tcW w:type="dxa" w:w="3300"/>
            <w:tcMar>
              <w:top w:type="dxa" w:w="15"/>
              <w:left w:type="dxa" w:w="80"/>
              <w:bottom w:type="dxa" w:w="15"/>
              <w:right w:type="dxa" w:w="80"/>
            </w:tcMar>
            <w:vAlign w:val="top"/>
          </w:tcPr>
          <w:p>
            <w:r>
              <w:rPr>
                <w:sz w:val="15"/>
                <w:szCs w:val="15"/>
              </w:rPr>
              <w:t xml:space="preserve">Gersbach, Mamageishvili &amp; Tejada (2021)</w:t>
            </w:r>
          </w:p>
        </w:tc>
        <w:tc>
          <w:tcPr>
            <w:tcW w:type="dxa" w:w="3900"/>
            <w:tcMar>
              <w:top w:type="dxa" w:w="15"/>
              <w:left w:type="dxa" w:w="80"/>
              <w:bottom w:type="dxa" w:w="15"/>
              <w:right w:type="dxa" w:w="80"/>
            </w:tcMar>
            <w:vAlign w:val="top"/>
          </w:tcPr>
          <w:p>
            <w:r>
              <w:rPr>
                <w:sz w:val="15"/>
                <w:szCs w:val="15"/>
              </w:rPr>
              <w:t xml:space="preserve">J. Econ. Theory 2021</w:t>
            </w:r>
          </w:p>
        </w:tc>
        <w:tc>
          <w:tcPr>
            <w:tcW w:type="dxa" w:w="1838"/>
            <w:tcMar>
              <w:top w:type="dxa" w:w="15"/>
              <w:left w:type="dxa" w:w="80"/>
              <w:bottom w:type="dxa" w:w="15"/>
              <w:right w:type="dxa" w:w="80"/>
            </w:tcMar>
            <w:vAlign w:val="top"/>
          </w:tcPr>
          <w:p>
            <w:r>
              <w:rPr>
                <w:b/>
                <w:bCs/>
                <w:color w:val="215CAF"/>
                <w:sz w:val="15"/>
                <w:szCs w:val="15"/>
              </w:rPr>
              <w:t xml:space="preserve">ETH Zürich</w:t>
            </w:r>
          </w:p>
        </w:tc>
      </w:tr>
      <w:tr>
        <w:trPr>
          <w:cantSplit/>
        </w:trPr>
        <w:tc>
          <w:tcPr>
            <w:tcW w:type="dxa" w:w="600"/>
            <w:shd w:fill="F7F9FC" w:color="auto" w:val="clear"/>
            <w:tcMar>
              <w:top w:type="dxa" w:w="15"/>
              <w:left w:type="dxa" w:w="80"/>
              <w:bottom w:type="dxa" w:w="15"/>
              <w:right w:type="dxa" w:w="80"/>
            </w:tcMar>
            <w:vAlign w:val="top"/>
          </w:tcPr>
          <w:p>
            <w:r>
              <w:rPr>
                <w:b/>
                <w:bCs/>
                <w:color w:val="215CAF"/>
                <w:sz w:val="15"/>
                <w:szCs w:val="15"/>
              </w:rPr>
              <w:t xml:space="preserve">E3</w:t>
            </w:r>
          </w:p>
        </w:tc>
        <w:tc>
          <w:tcPr>
            <w:tcW w:type="dxa" w:w="3300"/>
            <w:shd w:fill="F7F9FC" w:color="auto" w:val="clear"/>
            <w:tcMar>
              <w:top w:type="dxa" w:w="15"/>
              <w:left w:type="dxa" w:w="80"/>
              <w:bottom w:type="dxa" w:w="15"/>
              <w:right w:type="dxa" w:w="80"/>
            </w:tcMar>
            <w:vAlign w:val="top"/>
          </w:tcPr>
          <w:p>
            <w:r>
              <w:rPr>
                <w:sz w:val="15"/>
                <w:szCs w:val="15"/>
              </w:rPr>
              <w:t xml:space="preserve">Emmenegger, Mutný &amp; Krause (2023)</w:t>
            </w:r>
          </w:p>
        </w:tc>
        <w:tc>
          <w:tcPr>
            <w:tcW w:type="dxa" w:w="3900"/>
            <w:shd w:fill="F7F9FC" w:color="auto" w:val="clear"/>
            <w:tcMar>
              <w:top w:type="dxa" w:w="15"/>
              <w:left w:type="dxa" w:w="80"/>
              <w:bottom w:type="dxa" w:w="15"/>
              <w:right w:type="dxa" w:w="80"/>
            </w:tcMar>
            <w:vAlign w:val="top"/>
          </w:tcPr>
          <w:p>
            <w:r>
              <w:rPr>
                <w:sz w:val="15"/>
                <w:szCs w:val="15"/>
              </w:rPr>
              <w:t xml:space="preserve">NeurIPS 2023</w:t>
            </w:r>
          </w:p>
        </w:tc>
        <w:tc>
          <w:tcPr>
            <w:tcW w:type="dxa" w:w="1838"/>
            <w:shd w:fill="F7F9FC" w:color="auto" w:val="clear"/>
            <w:tcMar>
              <w:top w:type="dxa" w:w="15"/>
              <w:left w:type="dxa" w:w="80"/>
              <w:bottom w:type="dxa" w:w="15"/>
              <w:right w:type="dxa" w:w="80"/>
            </w:tcMar>
            <w:vAlign w:val="top"/>
          </w:tcPr>
          <w:p>
            <w:r>
              <w:rPr>
                <w:b/>
                <w:bCs/>
                <w:color w:val="215CAF"/>
                <w:sz w:val="15"/>
                <w:szCs w:val="15"/>
              </w:rPr>
              <w:t xml:space="preserve">ETH Zürich</w:t>
            </w:r>
          </w:p>
        </w:tc>
      </w:tr>
      <w:tr>
        <w:trPr>
          <w:cantSplit/>
        </w:trPr>
        <w:tc>
          <w:tcPr>
            <w:tcW w:type="dxa" w:w="600"/>
            <w:tcMar>
              <w:top w:type="dxa" w:w="15"/>
              <w:left w:type="dxa" w:w="80"/>
              <w:bottom w:type="dxa" w:w="15"/>
              <w:right w:type="dxa" w:w="80"/>
            </w:tcMar>
            <w:vAlign w:val="top"/>
          </w:tcPr>
          <w:p>
            <w:r>
              <w:rPr>
                <w:b/>
                <w:bCs/>
                <w:color w:val="215CAF"/>
                <w:sz w:val="15"/>
                <w:szCs w:val="15"/>
              </w:rPr>
              <w:t xml:space="preserve">E4</w:t>
            </w:r>
          </w:p>
        </w:tc>
        <w:tc>
          <w:tcPr>
            <w:tcW w:type="dxa" w:w="3300"/>
            <w:tcMar>
              <w:top w:type="dxa" w:w="15"/>
              <w:left w:type="dxa" w:w="80"/>
              <w:bottom w:type="dxa" w:w="15"/>
              <w:right w:type="dxa" w:w="80"/>
            </w:tcMar>
            <w:vAlign w:val="top"/>
          </w:tcPr>
          <w:p>
            <w:r>
              <w:rPr>
                <w:sz w:val="15"/>
                <w:szCs w:val="15"/>
              </w:rPr>
              <w:t xml:space="preserve">Coulson, Lygeros &amp; Dörfler (2022)</w:t>
            </w:r>
          </w:p>
        </w:tc>
        <w:tc>
          <w:tcPr>
            <w:tcW w:type="dxa" w:w="3900"/>
            <w:tcMar>
              <w:top w:type="dxa" w:w="15"/>
              <w:left w:type="dxa" w:w="80"/>
              <w:bottom w:type="dxa" w:w="15"/>
              <w:right w:type="dxa" w:w="80"/>
            </w:tcMar>
            <w:vAlign w:val="top"/>
          </w:tcPr>
          <w:p>
            <w:r>
              <w:rPr>
                <w:sz w:val="15"/>
                <w:szCs w:val="15"/>
              </w:rPr>
              <w:t xml:space="preserve">IEEE Trans. Autom. Control 2022</w:t>
            </w:r>
          </w:p>
        </w:tc>
        <w:tc>
          <w:tcPr>
            <w:tcW w:type="dxa" w:w="1838"/>
            <w:tcMar>
              <w:top w:type="dxa" w:w="15"/>
              <w:left w:type="dxa" w:w="80"/>
              <w:bottom w:type="dxa" w:w="15"/>
              <w:right w:type="dxa" w:w="80"/>
            </w:tcMar>
            <w:vAlign w:val="top"/>
          </w:tcPr>
          <w:p>
            <w:r>
              <w:rPr>
                <w:b/>
                <w:bCs/>
                <w:color w:val="215CAF"/>
                <w:sz w:val="15"/>
                <w:szCs w:val="15"/>
              </w:rPr>
              <w:t xml:space="preserve">ETH Zürich</w:t>
            </w:r>
          </w:p>
        </w:tc>
      </w:tr>
      <w:tr>
        <w:trPr>
          <w:cantSplit/>
        </w:trPr>
        <w:tc>
          <w:tcPr>
            <w:tcW w:type="dxa" w:w="600"/>
            <w:shd w:fill="F7F9FC" w:color="auto" w:val="clear"/>
            <w:tcMar>
              <w:top w:type="dxa" w:w="15"/>
              <w:left w:type="dxa" w:w="80"/>
              <w:bottom w:type="dxa" w:w="15"/>
              <w:right w:type="dxa" w:w="80"/>
            </w:tcMar>
            <w:vAlign w:val="top"/>
          </w:tcPr>
          <w:p>
            <w:r>
              <w:rPr>
                <w:b/>
                <w:bCs/>
                <w:color w:val="215CAF"/>
                <w:sz w:val="15"/>
                <w:szCs w:val="15"/>
              </w:rPr>
              <w:t xml:space="preserve">E5</w:t>
            </w:r>
          </w:p>
        </w:tc>
        <w:tc>
          <w:tcPr>
            <w:tcW w:type="dxa" w:w="3300"/>
            <w:shd w:fill="F7F9FC" w:color="auto" w:val="clear"/>
            <w:tcMar>
              <w:top w:type="dxa" w:w="15"/>
              <w:left w:type="dxa" w:w="80"/>
              <w:bottom w:type="dxa" w:w="15"/>
              <w:right w:type="dxa" w:w="80"/>
            </w:tcMar>
            <w:vAlign w:val="top"/>
          </w:tcPr>
          <w:p>
            <w:r>
              <w:rPr>
                <w:sz w:val="15"/>
                <w:szCs w:val="15"/>
              </w:rPr>
              <w:t xml:space="preserve">Aolaritei, Lanzetti, Chen &amp; Dörfler (2025)</w:t>
            </w:r>
          </w:p>
        </w:tc>
        <w:tc>
          <w:tcPr>
            <w:tcW w:type="dxa" w:w="3900"/>
            <w:shd w:fill="F7F9FC" w:color="auto" w:val="clear"/>
            <w:tcMar>
              <w:top w:type="dxa" w:w="15"/>
              <w:left w:type="dxa" w:w="80"/>
              <w:bottom w:type="dxa" w:w="15"/>
              <w:right w:type="dxa" w:w="80"/>
            </w:tcMar>
            <w:vAlign w:val="top"/>
          </w:tcPr>
          <w:p>
            <w:r>
              <w:rPr>
                <w:sz w:val="15"/>
                <w:szCs w:val="15"/>
              </w:rPr>
              <w:t xml:space="preserve">IEEE Trans. Autom. Control 2025</w:t>
            </w:r>
          </w:p>
        </w:tc>
        <w:tc>
          <w:tcPr>
            <w:tcW w:type="dxa" w:w="1838"/>
            <w:shd w:fill="F7F9FC" w:color="auto" w:val="clear"/>
            <w:tcMar>
              <w:top w:type="dxa" w:w="15"/>
              <w:left w:type="dxa" w:w="80"/>
              <w:bottom w:type="dxa" w:w="15"/>
              <w:right w:type="dxa" w:w="80"/>
            </w:tcMar>
            <w:vAlign w:val="top"/>
          </w:tcPr>
          <w:p>
            <w:r>
              <w:rPr>
                <w:b/>
                <w:bCs/>
                <w:color w:val="215CAF"/>
                <w:sz w:val="15"/>
                <w:szCs w:val="15"/>
              </w:rPr>
              <w:t xml:space="preserve">ETH Zürich</w:t>
            </w:r>
          </w:p>
        </w:tc>
      </w:tr>
    </w:tbl>
    <w:p>
      <w:pPr>
        <w:spacing w:after="160"/>
      </w:pPr>
    </w:p>
    <w:p>
      <w:pPr>
        <w:pStyle w:val="Heading1"/>
      </w:pPr>
      <w:r>
        <w:rPr>
          <w:color w:val="002147"/>
        </w:rPr>
        <w:t xml:space="preserve">4. University of Oxford</w:t>
      </w:r>
    </w:p>
    <w:p>
      <w:pPr>
        <w:spacing w:after="120"/>
        <w:jc w:val="both"/>
      </w:pPr>
      <w:r>
        <w:t xml:space="preserve">Five Oxford groups. George Pantazis, Filiberto Fele and Kostas Margellos certify a whole region of strategic deviations around an equilibrium of a game with uncertain shared constraints [O1]; Gregorio Curello and Ludvig Sinander show that a committee chair can order pairwise votes with no regret [O2]; Edith Elkind, Davide Grossi, Ehud Shapiro and Nimrod Talmon prove when deliberation by coalitions reaches a proposal of maximum support [O3]; Vincent Crawford finds the best trading mechanism when traders reason in levels [O4]; and Jan Obłój and Johannes Wiesel compute how a robust decision moves with the size of the doubt about the model [O5].</w:t>
      </w:r>
    </w:p>
    <w:p>
      <w:pPr>
        <w:keepNext/>
        <w:pBdr>
          <w:top w:val="single" w:color="002147" w:sz="6" w:space="4"/>
        </w:pBdr>
        <w:spacing w:after="60" w:before="220"/>
      </w:pPr>
      <w:r>
        <w:rPr>
          <w:b/>
          <w:bCs/>
          <w:color w:val="002147"/>
          <w:sz w:val="23"/>
          <w:szCs w:val="23"/>
        </w:rPr>
        <w:t xml:space="preserve">O1  </w:t>
      </w:r>
      <w:r>
        <w:rPr>
          <w:b/>
          <w:bCs/>
          <w:color w:val="1F3864"/>
          <w:sz w:val="23"/>
          <w:szCs w:val="23"/>
        </w:rPr>
        <w:t xml:space="preserve">A priori data-driven robustness guarantees on strategic deviations from generalised Nash equilibria</w:t>
      </w:r>
    </w:p>
    <w:p>
      <w:pPr>
        <w:keepNext/>
        <w:spacing w:after="60" w:line="240" w:lineRule="auto"/>
      </w:pPr>
      <w:r>
        <w:rPr>
          <w:b/>
          <w:bCs/>
          <w:color w:val="333B47"/>
          <w:sz w:val="15"/>
          <w:szCs w:val="15"/>
        </w:rPr>
        <w:t xml:space="preserve">Authors: </w:t>
      </w:r>
      <w:r>
        <w:rPr>
          <w:sz w:val="15"/>
          <w:szCs w:val="15"/>
        </w:rPr>
        <w:t xml:space="preserve">George Pantazis, Filiberto Fele, Kostas Margellos</w:t>
      </w:r>
      <w:r>
        <w:rPr>
          <w:sz w:val="15"/>
          <w:szCs w:val="15"/>
        </w:rPr>
        <w:t xml:space="preserve">   </w:t>
      </w:r>
      <w:r>
        <w:rPr>
          <w:b/>
          <w:bCs/>
          <w:color w:val="333B47"/>
          <w:sz w:val="15"/>
          <w:szCs w:val="15"/>
        </w:rPr>
        <w:t xml:space="preserve">Published in: </w:t>
      </w:r>
      <w:r>
        <w:rPr>
          <w:sz w:val="15"/>
          <w:szCs w:val="15"/>
        </w:rPr>
        <w:t xml:space="preserve">Automatica, 167, article 111746 (2024)</w:t>
      </w:r>
      <w:r>
        <w:rPr>
          <w:sz w:val="15"/>
          <w:szCs w:val="15"/>
        </w:rPr>
        <w:t xml:space="preserve">   </w:t>
      </w:r>
      <w:r>
        <w:rPr>
          <w:b/>
          <w:bCs/>
          <w:color w:val="333B47"/>
          <w:sz w:val="15"/>
          <w:szCs w:val="15"/>
        </w:rPr>
        <w:t xml:space="preserve">Link: </w:t>
      </w:r>
      <w:hyperlink w:history="1" r:id="rIdhzqe3sj-0v3msukk_ax-i">
        <w:r>
          <w:rPr>
            <w:color w:val="1D4ED8"/>
            <w:sz w:val="15"/>
            <w:szCs w:val="15"/>
            <w:u w:val="single"/>
          </w:rPr>
          <w:t xml:space="preserve">https://doi.org/10.1016/j.automatica.2024.111746</w:t>
        </w:r>
      </w:hyperlink>
    </w:p>
    <w:p>
      <w:pPr>
        <w:keepNext/>
        <w:spacing w:after="80" w:line="240" w:lineRule="auto"/>
      </w:pPr>
      <w:r>
        <w:rPr>
          <w:b/>
          <w:bCs/>
          <w:color w:val="333B47"/>
          <w:sz w:val="15"/>
          <w:szCs w:val="15"/>
        </w:rPr>
        <w:t xml:space="preserve">Affiliation: </w:t>
      </w:r>
      <w:r>
        <w:rPr>
          <w:color w:val="3A4350"/>
          <w:sz w:val="15"/>
          <w:szCs w:val="15"/>
        </w:rPr>
        <w:t xml:space="preserve">University of Oxford, Department of Engineering Science (Kostas Margellos; his Oxford Engineering page and the article deposited in Oxford's ORA repository appeared in the search results). Copies are also held by the TU Delft and Universidad de Sevilla repositories.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Agents in a noncooperative game share constraints that couple their decisions and depend on an uncertain parameter known only through samples. The authors propose a randomised, scenario-based algorithm that returns a nominal generalised Nash equilibrium together with a whole region of admissible strategic deviations around it. The main result is an a priori certificate: with a confidence fixed in advance, the probability that an unseen sample makes some point of that region infeasible stays below a prescribed level. For games with a potential whose minimiser is the social-welfare optimum, the authors show how the guaranteed feasibility of the region trades off against system-level efficiency; simulations confirm the theory.</w:t>
      </w:r>
    </w:p>
    <w:p>
      <w:pPr>
        <w:keepNext/>
        <w:spacing w:after="20" w:before="40"/>
      </w:pPr>
      <w:r>
        <w:rPr>
          <w:b/>
          <w:bCs/>
          <w:color w:val="002147"/>
          <w:sz w:val="17"/>
          <w:szCs w:val="17"/>
        </w:rPr>
        <w:t xml:space="preserve">Key equation.</w:t>
      </w:r>
      <w:r>
        <w:rPr>
          <w:i/>
          <w:iCs/>
          <w:color w:val="5B6573"/>
          <w:sz w:val="15"/>
          <w:szCs w:val="15"/>
        </w:rPr>
        <w:t xml:space="preserve">  A priori scenario bound on the violation probability of the certified region of deviations (representative formulation)</w:t>
      </w:r>
    </w:p>
    <w:p>
      <w:pPr>
        <w:pStyle w:val="Equation"/>
      </w:pPr>
      <m:oMathPara>
        <m:oMathParaPr>
          <m:jc m:val="center"/>
        </m:oMathParaPr>
        <m:oMath>
          <m:sSup>
            <m:e>
              <m:r>
                <m:rPr>
                  <m:scr m:val="double-struck"/>
                  <m:sty m:val="p"/>
                </m:rPr>
                <m:t>P</m:t>
              </m:r>
            </m:e>
            <m:sup>
              <m:r>
                <m:t>N</m:t>
              </m:r>
            </m:sup>
          </m:sSup>
          <m:d>
            <m:dPr>
              <m:begChr m:val="{"/>
              <m:sepChr m:val=""/>
              <m:endChr m:val="}"/>
              <m:grow/>
            </m:dPr>
            <m:e>
              <m:r>
                <m:t>V</m:t>
              </m:r>
              <m:d>
                <m:dPr>
                  <m:begChr m:val="("/>
                  <m:sepChr m:val=""/>
                  <m:endChr m:val=")"/>
                  <m:grow/>
                </m:dPr>
                <m:e>
                  <m:sSub>
                    <m:e>
                      <m:r>
                        <m:rPr>
                          <m:scr m:val="script"/>
                          <m:sty m:val="p"/>
                        </m:rPr>
                        <m:t>R</m:t>
                      </m:r>
                    </m:e>
                    <m:sub>
                      <m:r>
                        <m:t>N</m:t>
                      </m:r>
                    </m:sub>
                  </m:sSub>
                </m:e>
              </m:d>
              <m:r>
                <m:rPr>
                  <m:sty m:val="p"/>
                </m:rPr>
                <m:t>&gt;</m:t>
              </m:r>
              <m:r>
                <m:t>ϵ</m:t>
              </m:r>
            </m:e>
          </m:d>
          <m:r>
            <m:rPr>
              <m:sty m:val="p"/>
            </m:rPr>
            <m:t>≤</m:t>
          </m:r>
          <m:nary>
            <m:naryPr>
              <m:chr m:val="∑"/>
              <m:limLoc m:val="undOvr"/>
              <m:subHide m:val="off"/>
              <m:supHide m:val="off"/>
            </m:naryPr>
            <m:sub>
              <m:r>
                <m:t>i</m:t>
              </m:r>
              <m:r>
                <m:rPr>
                  <m:sty m:val="p"/>
                </m:rPr>
                <m:t>=</m:t>
              </m:r>
              <m:r>
                <m:t>0</m:t>
              </m:r>
            </m:sub>
            <m:sup>
              <m:r>
                <m:t>d</m:t>
              </m:r>
              <m:r>
                <m:rPr>
                  <m:sty m:val="p"/>
                </m:rPr>
                <m:t>−</m:t>
              </m:r>
              <m:r>
                <m:t>1</m:t>
              </m:r>
            </m:sup>
            <m:e>
              <m:d>
                <m:dPr>
                  <m:begChr m:val="("/>
                  <m:sepChr m:val=""/>
                  <m:endChr m:val=")"/>
                  <m:grow/>
                </m:dPr>
                <m:e>
                  <m:f>
                    <m:fPr>
                      <m:type m:val="noBar"/>
                    </m:fPr>
                    <m:num>
                      <m:r>
                        <m:t>N</m:t>
                      </m:r>
                    </m:num>
                    <m:den>
                      <m:r>
                        <m:t>i</m:t>
                      </m:r>
                    </m:den>
                  </m:f>
                </m:e>
              </m:d>
            </m:e>
          </m:nary>
          <m:sSup>
            <m:e>
              <m:r>
                <m:t>ϵ</m:t>
              </m:r>
            </m:e>
            <m:sup>
              <m:r>
                <m:t>i</m:t>
              </m:r>
            </m:sup>
          </m:sSup>
          <m:sSup>
            <m:e>
              <m:d>
                <m:dPr>
                  <m:begChr m:val="("/>
                  <m:sepChr m:val=""/>
                  <m:endChr m:val=")"/>
                  <m:grow/>
                </m:dPr>
                <m:e>
                  <m:r>
                    <m:t>1</m:t>
                  </m:r>
                  <m:r>
                    <m:rPr>
                      <m:sty m:val="p"/>
                    </m:rPr>
                    <m:t>−</m:t>
                  </m:r>
                  <m:r>
                    <m:t>ϵ</m:t>
                  </m:r>
                </m:e>
              </m:d>
            </m:e>
            <m:sup>
              <m:r>
                <m:t>N</m:t>
              </m:r>
              <m:r>
                <m:rPr>
                  <m:sty m:val="p"/>
                </m:rPr>
                <m:t>−</m:t>
              </m:r>
              <m:r>
                <m:t>i</m:t>
              </m:r>
            </m:sup>
          </m:sSup>
        </m:oMath>
      </m:oMathPara>
    </w:p>
    <w:p>
      <w:pPr>
        <w:spacing w:after="60"/>
        <w:jc w:val="both"/>
      </w:pPr>
      <m:oMath>
        <m:r>
          <m:t>N</m:t>
        </m:r>
      </m:oMath>
      <w:r>
        <w:rPr>
          <w:color w:val="3A4350"/>
          <w:sz w:val="15"/>
          <w:szCs w:val="15"/>
        </w:rPr>
        <w:t xml:space="preserve"> is the number of sampled scenarios, </w:t>
      </w:r>
      <m:oMath>
        <m:sSub>
          <m:e>
            <m:r>
              <m:rPr>
                <m:scr m:val="script"/>
                <m:sty m:val="p"/>
              </m:rPr>
              <m:t>R</m:t>
            </m:r>
          </m:e>
          <m:sub>
            <m:r>
              <m:t>N</m:t>
            </m:r>
          </m:sub>
        </m:sSub>
      </m:oMath>
      <w:r>
        <w:rPr>
          <w:color w:val="3A4350"/>
          <w:sz w:val="15"/>
          <w:szCs w:val="15"/>
        </w:rPr>
        <w:t xml:space="preserve"> the region of admissible deviations around the returned equilibrium, </w:t>
      </w:r>
      <m:oMath>
        <m:r>
          <m:t>V</m:t>
        </m:r>
        <m:d>
          <m:dPr>
            <m:begChr m:val="("/>
            <m:sepChr m:val=""/>
            <m:endChr m:val=")"/>
            <m:grow/>
          </m:dPr>
          <m:e>
            <m:sSub>
              <m:e>
                <m:r>
                  <m:rPr>
                    <m:scr m:val="script"/>
                    <m:sty m:val="p"/>
                  </m:rPr>
                  <m:t>R</m:t>
                </m:r>
              </m:e>
              <m:sub>
                <m:r>
                  <m:t>N</m:t>
                </m:r>
              </m:sub>
            </m:sSub>
          </m:e>
        </m:d>
      </m:oMath>
      <w:r>
        <w:rPr>
          <w:color w:val="3A4350"/>
          <w:sz w:val="15"/>
          <w:szCs w:val="15"/>
        </w:rPr>
        <w:t xml:space="preserve"> the probability that a new scenario makes some point of </w:t>
      </w:r>
      <m:oMath>
        <m:sSub>
          <m:e>
            <m:r>
              <m:rPr>
                <m:scr m:val="script"/>
                <m:sty m:val="p"/>
              </m:rPr>
              <m:t>R</m:t>
            </m:r>
          </m:e>
          <m:sub>
            <m:r>
              <m:t>N</m:t>
            </m:r>
          </m:sub>
        </m:sSub>
      </m:oMath>
      <w:r>
        <w:rPr>
          <w:color w:val="3A4350"/>
          <w:sz w:val="15"/>
          <w:szCs w:val="15"/>
        </w:rPr>
        <w:t xml:space="preserve"> infeasible, </w:t>
      </w:r>
      <m:oMath>
        <m:r>
          <m:t>ϵ</m:t>
        </m:r>
      </m:oMath>
      <w:r>
        <w:rPr>
          <w:color w:val="3A4350"/>
          <w:sz w:val="15"/>
          <w:szCs w:val="15"/>
        </w:rPr>
        <w:t xml:space="preserve"> the accepted risk and </w:t>
      </w:r>
      <m:oMath>
        <m:r>
          <m:t>d</m:t>
        </m:r>
      </m:oMath>
      <w:r>
        <w:rPr>
          <w:color w:val="3A4350"/>
          <w:sz w:val="15"/>
          <w:szCs w:val="15"/>
        </w:rPr>
        <w:t xml:space="preserve"> a bound on the number of scenarios that shape the solution.</w:t>
      </w:r>
    </w:p>
    <w:p>
      <w:pPr>
        <w:spacing w:after="60"/>
        <w:jc w:val="both"/>
      </w:pPr>
      <w:r>
        <w:rPr>
          <w:b/>
          <w:bCs/>
          <w:color w:val="002147"/>
          <w:sz w:val="17"/>
          <w:szCs w:val="17"/>
        </w:rPr>
        <w:t xml:space="preserve">Link to the Fushë-Kuqe stakeholders. </w:t>
      </w:r>
      <w:r>
        <w:rPr>
          <w:sz w:val="17"/>
          <w:szCs w:val="17"/>
        </w:rPr>
        <w:t xml:space="preserve">Belongs to theme 2. Fushë-Kuqe users share coupled constraints: total abstraction, the 250 mg/L limit at A1 and P10, the recharge budget. A certified region lets the regional agency publish a tolerance band, not one allocation, within which the utility, irrigators and hotels may deviate while the salinisation risk estimated from the 20 000 draws stays below the agreed level.</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moves scenario guarantees from a single equilibrium to a whole neighbourhood of deviations, answering a practical objection: real agents never play the computed equilibrium exactly. Published in Automatica (2024), it extends the Oxford group's PAC Nash-equilibrium work (IEEE TAC, 2021) to uncertain constraints that couple the agents.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certificate assumes that all scenarios come from one true distribution. It is open how to certify the region when stakeholders hold different distributions, for example different mixing-zone widths, which is exactly the disagreement at Fushë-Kuqe.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scenario-type certificate that holds uniformly over a set of strategic deviations, with an explicit trade-off between feasibility and efficiency in potential games. Proposed extension: treat the utility, irrigators and hotels as players with pumping shares, resample the 20 000 weighted chloride draws as scenarios and compute the certified region; then test whether it survives when the draws are reweighted to each stakeholder's own belief about the mixing-zone width.</w:t>
      </w:r>
    </w:p>
    <w:p>
      <w:pPr>
        <w:keepNext/>
        <w:pBdr>
          <w:top w:val="single" w:color="002147" w:sz="6" w:space="4"/>
        </w:pBdr>
        <w:spacing w:after="60" w:before="220"/>
      </w:pPr>
      <w:r>
        <w:rPr>
          <w:b/>
          <w:bCs/>
          <w:color w:val="002147"/>
          <w:sz w:val="23"/>
          <w:szCs w:val="23"/>
        </w:rPr>
        <w:t xml:space="preserve">O2  </w:t>
      </w:r>
      <w:r>
        <w:rPr>
          <w:b/>
          <w:bCs/>
          <w:color w:val="1F3864"/>
          <w:sz w:val="23"/>
          <w:szCs w:val="23"/>
        </w:rPr>
        <w:t xml:space="preserve">Agenda-manipulation in ranking</w:t>
      </w:r>
    </w:p>
    <w:p>
      <w:pPr>
        <w:keepNext/>
        <w:spacing w:after="60" w:line="240" w:lineRule="auto"/>
      </w:pPr>
      <w:r>
        <w:rPr>
          <w:b/>
          <w:bCs/>
          <w:color w:val="333B47"/>
          <w:sz w:val="15"/>
          <w:szCs w:val="15"/>
        </w:rPr>
        <w:t xml:space="preserve">Authors: </w:t>
      </w:r>
      <w:r>
        <w:rPr>
          <w:sz w:val="15"/>
          <w:szCs w:val="15"/>
        </w:rPr>
        <w:t xml:space="preserve">Gregorio Curello, Ludvig Sinander</w:t>
      </w:r>
      <w:r>
        <w:rPr>
          <w:sz w:val="15"/>
          <w:szCs w:val="15"/>
        </w:rPr>
        <w:t xml:space="preserve">   </w:t>
      </w:r>
      <w:r>
        <w:rPr>
          <w:b/>
          <w:bCs/>
          <w:color w:val="333B47"/>
          <w:sz w:val="15"/>
          <w:szCs w:val="15"/>
        </w:rPr>
        <w:t xml:space="preserve">Published in: </w:t>
      </w:r>
      <w:r>
        <w:rPr>
          <w:sz w:val="15"/>
          <w:szCs w:val="15"/>
        </w:rPr>
        <w:t xml:space="preserve">Review of Economic Studies, 90(4), 1865–1892 (2023)</w:t>
      </w:r>
      <w:r>
        <w:rPr>
          <w:sz w:val="15"/>
          <w:szCs w:val="15"/>
        </w:rPr>
        <w:t xml:space="preserve">   </w:t>
      </w:r>
      <w:r>
        <w:rPr>
          <w:b/>
          <w:bCs/>
          <w:color w:val="333B47"/>
          <w:sz w:val="15"/>
          <w:szCs w:val="15"/>
        </w:rPr>
        <w:t xml:space="preserve">Link: </w:t>
      </w:r>
      <w:hyperlink w:history="1" r:id="rIdygg8uuctkfpbbwygy56nz">
        <w:r>
          <w:rPr>
            <w:color w:val="1D4ED8"/>
            <w:sz w:val="15"/>
            <w:szCs w:val="15"/>
            <w:u w:val="single"/>
          </w:rPr>
          <w:t xml:space="preserve">https://doi.org/10.1093/restud/rdac071</w:t>
        </w:r>
      </w:hyperlink>
    </w:p>
    <w:p>
      <w:pPr>
        <w:keepNext/>
        <w:spacing w:after="80" w:line="240" w:lineRule="auto"/>
      </w:pPr>
      <w:r>
        <w:rPr>
          <w:b/>
          <w:bCs/>
          <w:color w:val="333B47"/>
          <w:sz w:val="15"/>
          <w:szCs w:val="15"/>
        </w:rPr>
        <w:t xml:space="preserve">Affiliation: </w:t>
      </w:r>
      <w:r>
        <w:rPr>
          <w:color w:val="3A4350"/>
          <w:sz w:val="15"/>
          <w:szCs w:val="15"/>
        </w:rPr>
        <w:t xml:space="preserve">Ludvig Sinander, Department of Economics, University of Oxford: the August 2022 arXiv version and the publication metadata give Bonn and Oxford (search result), and the paper is listed on the Oxford Economics website. Earlier versions list Sinander at Northwestern.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A committee ranks a set of alternatives by majority votes on pairs, and its chair chooses, adaptively, which pair is voted on next. The chair has preferences over the final ranking but no knowledge of how members will vote. The authors show that she can nevertheless do as well as if she knew every vote: 'regret-free' agenda strategies exist. They characterise these strategies in two ways, as the efficient ones and as those that avoid two intuitive agenda errors, and show that insertion sort is regret-free, is singled out by a lexicographic prioritisation and is outcome-equivalent to a recursive variant of the amendment procedure.</w:t>
      </w:r>
    </w:p>
    <w:p>
      <w:pPr>
        <w:keepNext/>
        <w:spacing w:after="20" w:before="40"/>
      </w:pPr>
      <w:r>
        <w:rPr>
          <w:b/>
          <w:bCs/>
          <w:color w:val="002147"/>
          <w:sz w:val="17"/>
          <w:szCs w:val="17"/>
        </w:rPr>
        <w:t xml:space="preserve">Key equation.</w:t>
      </w:r>
      <w:r>
        <w:rPr>
          <w:i/>
          <w:iCs/>
          <w:color w:val="5B6573"/>
          <w:sz w:val="15"/>
          <w:szCs w:val="15"/>
        </w:rPr>
        <w:t xml:space="preserve">  Regret-freeness of the insertion-sort agenda (representative formulation)</w:t>
      </w:r>
    </w:p>
    <w:p>
      <w:pPr>
        <w:pStyle w:val="Equation"/>
      </w:pPr>
      <m:oMathPara>
        <m:oMathParaPr>
          <m:jc m:val="center"/>
        </m:oMathParaPr>
        <m:oMath>
          <m:r>
            <m:rPr>
              <m:nor/>
            </m:rPr>
            <m:t>for every majority relation </m:t>
          </m:r>
          <m:r>
            <m:t>T</m:t>
          </m:r>
          <m:r>
            <m:rPr>
              <m:sty m:val="p"/>
            </m:rPr>
            <m:t>:</m:t>
          </m:r>
          <m:r>
            <m:t> </m:t>
          </m:r>
          <m:r>
            <m:rPr>
              <m:sty m:val="p"/>
            </m:rPr>
            <m:t>∄</m:t>
          </m:r>
          <m:r>
            <m:t> </m:t>
          </m:r>
          <m:r>
            <m:t>σ</m:t>
          </m:r>
          <m:r>
            <m:t> </m:t>
          </m:r>
          <m:r>
            <m:rPr>
              <m:nor/>
            </m:rPr>
            <m:t>such that</m:t>
          </m:r>
          <m:r>
            <m:t> </m:t>
          </m:r>
          <m:sSub>
            <m:e>
              <m:r>
                <m:t>R</m:t>
              </m:r>
            </m:e>
            <m:sub>
              <m:r>
                <m:t>σ</m:t>
              </m:r>
            </m:sub>
          </m:sSub>
          <m:d>
            <m:dPr>
              <m:begChr m:val="("/>
              <m:sepChr m:val=""/>
              <m:endChr m:val=")"/>
              <m:grow/>
            </m:dPr>
            <m:e>
              <m:r>
                <m:t>T</m:t>
              </m:r>
            </m:e>
          </m:d>
          <m:sSub>
            <m:e>
              <m:r>
                <m:rPr>
                  <m:sty m:val="p"/>
                </m:rPr>
                <m:t>≻</m:t>
              </m:r>
            </m:e>
            <m:sub>
              <m:r>
                <m:t>c</m:t>
              </m:r>
            </m:sub>
          </m:sSub>
          <m:sSub>
            <m:e>
              <m:r>
                <m:t>R</m:t>
              </m:r>
            </m:e>
            <m:sub>
              <m:r>
                <m:rPr>
                  <m:nor/>
                </m:rPr>
                <m:t>IS</m:t>
              </m:r>
            </m:sub>
          </m:sSub>
          <m:d>
            <m:dPr>
              <m:begChr m:val="("/>
              <m:sepChr m:val=""/>
              <m:endChr m:val=")"/>
              <m:grow/>
            </m:dPr>
            <m:e>
              <m:r>
                <m:t>T</m:t>
              </m:r>
            </m:e>
          </m:d>
        </m:oMath>
      </m:oMathPara>
    </w:p>
    <w:p>
      <w:pPr>
        <w:spacing w:after="60"/>
        <w:jc w:val="both"/>
      </w:pPr>
      <m:oMath>
        <m:r>
          <m:t>T</m:t>
        </m:r>
      </m:oMath>
      <w:r>
        <w:rPr>
          <w:color w:val="3A4350"/>
          <w:sz w:val="15"/>
          <w:szCs w:val="15"/>
        </w:rPr>
        <w:t xml:space="preserve"> is the unknown pattern of pairwise majority votes, </w:t>
      </w:r>
      <m:oMath>
        <m:r>
          <m:t>σ</m:t>
        </m:r>
      </m:oMath>
      <w:r>
        <w:rPr>
          <w:color w:val="3A4350"/>
          <w:sz w:val="15"/>
          <w:szCs w:val="15"/>
        </w:rPr>
        <w:t xml:space="preserve"> any adaptive agenda strategy, </w:t>
      </w:r>
      <m:oMath>
        <m:sSub>
          <m:e>
            <m:r>
              <m:t>R</m:t>
            </m:r>
          </m:e>
          <m:sub>
            <m:r>
              <m:t>σ</m:t>
            </m:r>
          </m:sub>
        </m:sSub>
        <m:d>
          <m:dPr>
            <m:begChr m:val="("/>
            <m:sepChr m:val=""/>
            <m:endChr m:val=")"/>
            <m:grow/>
          </m:dPr>
          <m:e>
            <m:r>
              <m:t>T</m:t>
            </m:r>
          </m:e>
        </m:d>
      </m:oMath>
      <w:r>
        <w:rPr>
          <w:color w:val="3A4350"/>
          <w:sz w:val="15"/>
          <w:szCs w:val="15"/>
        </w:rPr>
        <w:t xml:space="preserve"> the ranking it produces, </w:t>
      </w:r>
      <m:oMath>
        <m:sSub>
          <m:e>
            <m:r>
              <m:t>R</m:t>
            </m:r>
          </m:e>
          <m:sub>
            <m:r>
              <m:rPr>
                <m:nor/>
              </m:rPr>
              <m:t>IS</m:t>
            </m:r>
          </m:sub>
        </m:sSub>
        <m:d>
          <m:dPr>
            <m:begChr m:val="("/>
            <m:sepChr m:val=""/>
            <m:endChr m:val=")"/>
            <m:grow/>
          </m:dPr>
          <m:e>
            <m:r>
              <m:t>T</m:t>
            </m:r>
          </m:e>
        </m:d>
      </m:oMath>
      <w:r>
        <w:rPr>
          <w:color w:val="3A4350"/>
          <w:sz w:val="15"/>
          <w:szCs w:val="15"/>
        </w:rPr>
        <w:t xml:space="preserve"> the ranking produced by insertion sort and </w:t>
      </w:r>
      <m:oMath>
        <m:sSub>
          <m:e>
            <m:r>
              <m:rPr>
                <m:sty m:val="p"/>
              </m:rPr>
              <m:t>≻</m:t>
            </m:r>
          </m:e>
          <m:sub>
            <m:r>
              <m:t>c</m:t>
            </m:r>
          </m:sub>
        </m:sSub>
      </m:oMath>
      <w:r>
        <w:rPr>
          <w:color w:val="3A4350"/>
          <w:sz w:val="15"/>
          <w:szCs w:val="15"/>
        </w:rPr>
        <w:t xml:space="preserve"> the chair's strict preference over rankings.</w:t>
      </w:r>
    </w:p>
    <w:p>
      <w:pPr>
        <w:spacing w:after="60"/>
        <w:jc w:val="both"/>
      </w:pPr>
      <w:r>
        <w:rPr>
          <w:b/>
          <w:bCs/>
          <w:color w:val="002147"/>
          <w:sz w:val="17"/>
          <w:szCs w:val="17"/>
        </w:rPr>
        <w:t xml:space="preserve">Link to the Fushë-Kuqe stakeholders. </w:t>
      </w:r>
      <w:r>
        <w:rPr>
          <w:sz w:val="17"/>
          <w:szCs w:val="17"/>
        </w:rPr>
        <w:t xml:space="preserve">Belongs to theme 4. If the regional agency chairs a committee that must rank the options (planned pumping, reduced pumping, three recharge wells, buying the chloride sample first), the result shows that the chair can steer the final ranking without knowing how the utility, irrigators, hotels or environmental groups will vote, so the agenda must be agreed before voting starts.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a sharp, prior-free answer to an old question of voting theory: agenda power needs no information about voters. Published in the Review of Economic Studies (2023), it offers a full characterisation rather than an example and links sorting algorithms to the classical amendment procedure.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Votes are deterministic and preferences fixed. It is open whether regret-freeness survives when members' votes depend on uncertain chloride outcomes and change after information arrives, as when one shallow sample reshapes the rankings of irrigators and hotels.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characterisation of agenda strategies that are optimal state by state (regret-free) without any prior over votes, and the identification of insertion sort as the lexicographic member of this class. Proposed extension: derive each Fushë-Kuqe stakeholder's ranking of the four options under each of the 20 000 draws, run insertion-sort and arbitrary agendas, and measure how often the agenda, rather than the evidence, decides whether the recharge wells are built.</w:t>
      </w:r>
    </w:p>
    <w:p>
      <w:pPr>
        <w:keepNext/>
        <w:pBdr>
          <w:top w:val="single" w:color="002147" w:sz="6" w:space="4"/>
        </w:pBdr>
        <w:spacing w:after="60" w:before="220"/>
      </w:pPr>
      <w:r>
        <w:rPr>
          <w:b/>
          <w:bCs/>
          <w:color w:val="002147"/>
          <w:sz w:val="23"/>
          <w:szCs w:val="23"/>
        </w:rPr>
        <w:t xml:space="preserve">O3  </w:t>
      </w:r>
      <w:r>
        <w:rPr>
          <w:b/>
          <w:bCs/>
          <w:color w:val="1F3864"/>
          <w:sz w:val="23"/>
          <w:szCs w:val="23"/>
        </w:rPr>
        <w:t xml:space="preserve">United for change: deliberative coalition formation to change the status quo</w:t>
      </w:r>
    </w:p>
    <w:p>
      <w:pPr>
        <w:keepNext/>
        <w:spacing w:after="60" w:line="240" w:lineRule="auto"/>
      </w:pPr>
      <w:r>
        <w:rPr>
          <w:b/>
          <w:bCs/>
          <w:color w:val="333B47"/>
          <w:sz w:val="15"/>
          <w:szCs w:val="15"/>
        </w:rPr>
        <w:t xml:space="preserve">Authors: </w:t>
      </w:r>
      <w:r>
        <w:rPr>
          <w:sz w:val="15"/>
          <w:szCs w:val="15"/>
        </w:rPr>
        <w:t xml:space="preserve">Edith Elkind, Davide Grossi, Ehud Shapiro, Nimrod Talmon</w:t>
      </w:r>
      <w:r>
        <w:rPr>
          <w:sz w:val="15"/>
          <w:szCs w:val="15"/>
        </w:rPr>
        <w:t xml:space="preserve">   </w:t>
      </w:r>
      <w:r>
        <w:rPr>
          <w:b/>
          <w:bCs/>
          <w:color w:val="333B47"/>
          <w:sz w:val="15"/>
          <w:szCs w:val="15"/>
        </w:rPr>
        <w:t xml:space="preserve">Published in: </w:t>
      </w:r>
      <w:r>
        <w:rPr>
          <w:sz w:val="15"/>
          <w:szCs w:val="15"/>
        </w:rPr>
        <w:t xml:space="preserve">Social Choice and Welfare, 63(3–4), 717–746 (November 2024); earlier version in Proceedings of the AAAI Conference on Artificial Intelligence, 35(6), 5339–5346 (2021)</w:t>
      </w:r>
      <w:r>
        <w:rPr>
          <w:sz w:val="15"/>
          <w:szCs w:val="15"/>
        </w:rPr>
        <w:t xml:space="preserve">   </w:t>
      </w:r>
      <w:r>
        <w:rPr>
          <w:b/>
          <w:bCs/>
          <w:color w:val="333B47"/>
          <w:sz w:val="15"/>
          <w:szCs w:val="15"/>
        </w:rPr>
        <w:t xml:space="preserve">Link: </w:t>
      </w:r>
      <w:hyperlink w:history="1" r:id="rIdtcmzmam5haonttjas1j7p">
        <w:r>
          <w:rPr>
            <w:color w:val="1D4ED8"/>
            <w:sz w:val="15"/>
            <w:szCs w:val="15"/>
            <w:u w:val="single"/>
          </w:rPr>
          <w:t xml:space="preserve">https://doi.org/10.1007/s00355-024-01561-y</w:t>
        </w:r>
      </w:hyperlink>
    </w:p>
    <w:p>
      <w:pPr>
        <w:keepNext/>
        <w:spacing w:after="80" w:line="240" w:lineRule="auto"/>
      </w:pPr>
      <w:r>
        <w:rPr>
          <w:b/>
          <w:bCs/>
          <w:color w:val="333B47"/>
          <w:sz w:val="15"/>
          <w:szCs w:val="15"/>
        </w:rPr>
        <w:t xml:space="preserve">Affiliation: </w:t>
      </w:r>
      <w:r>
        <w:rPr>
          <w:color w:val="3A4350"/>
          <w:sz w:val="15"/>
          <w:szCs w:val="15"/>
        </w:rPr>
        <w:t xml:space="preserve">Edith Elkind, University of Oxford at the time of the work (search result on the paper; AAAI 2021 version). Co-authors' affiliations not verified beyond the paper's listing on University of Amsterdam and Weizmann Institute pages.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02147"/>
          <w:sz w:val="17"/>
          <w:szCs w:val="17"/>
        </w:rPr>
        <w:t xml:space="preserve">Summary. </w:t>
      </w:r>
      <w:r>
        <w:rPr>
          <w:sz w:val="17"/>
          <w:szCs w:val="17"/>
        </w:rPr>
        <w:t xml:space="preserve">Agents and proposals are points in a metric space; each agent supports only proposals it prefers to the status quo, and deliberation proceeds through coalitions gathered around proposals. Agents or whole coalitions switch proposals ('single-agent', 'follow' and 'merge' transitions), or several coalitions agree on a new 'compromise' proposal. Deliberation succeeds if it ends at a proposal of maximum support. The authors prove that single-agent, follow and merge dynamics terminate in polynomially many steps; follow transitions suffice on a line but not in two or more dimensions; in every Euclidean space every maximal run of compromise transitions succeeds; and richness is essential, since a finite subset of </w:t>
      </w:r>
      <m:oMath>
        <m:sSup>
          <m:e>
            <m:r>
              <m:rPr>
                <m:scr m:val="double-struck"/>
                <m:sty m:val="p"/>
              </m:rPr>
              <m:t>R</m:t>
            </m:r>
          </m:e>
          <m:sup>
            <m:r>
              <m:t>3</m:t>
            </m:r>
          </m:sup>
        </m:sSup>
      </m:oMath>
      <w:r>
        <w:rPr>
          <w:sz w:val="17"/>
          <w:szCs w:val="17"/>
        </w:rPr>
        <w:t xml:space="preserve"> defeats compromises.</w:t>
      </w:r>
    </w:p>
    <w:p>
      <w:pPr>
        <w:keepNext/>
        <w:spacing w:after="20" w:before="40"/>
      </w:pPr>
      <w:r>
        <w:rPr>
          <w:b/>
          <w:bCs/>
          <w:color w:val="002147"/>
          <w:sz w:val="17"/>
          <w:szCs w:val="17"/>
        </w:rPr>
        <w:t xml:space="preserve">Key equation.</w:t>
      </w:r>
      <w:r>
        <w:rPr>
          <w:i/>
          <w:iCs/>
          <w:color w:val="5B6573"/>
          <w:sz w:val="15"/>
          <w:szCs w:val="15"/>
        </w:rPr>
        <w:t xml:space="preserve">  Success criterion of deliberation (representative formulation)</w:t>
      </w:r>
    </w:p>
    <w:p>
      <w:pPr>
        <w:pStyle w:val="Equation"/>
      </w:pPr>
      <m:oMathPara>
        <m:oMathParaPr>
          <m:jc m:val="center"/>
        </m:oMathParaPr>
        <m:oMath>
          <m:d>
            <m:dPr>
              <m:begChr m:val="|"/>
              <m:sepChr m:val=""/>
              <m:endChr m:val="|"/>
              <m:grow/>
            </m:dPr>
            <m:e>
              <m:r>
                <m:t>S</m:t>
              </m:r>
              <m:d>
                <m:dPr>
                  <m:begChr m:val="("/>
                  <m:sepChr m:val=""/>
                  <m:endChr m:val=")"/>
                  <m:grow/>
                </m:dPr>
                <m:e>
                  <m:sSup>
                    <m:e>
                      <m:r>
                        <m:t>p</m:t>
                      </m:r>
                    </m:e>
                    <m:sup>
                      <m:r>
                        <m:rPr>
                          <m:sty m:val="p"/>
                        </m:rPr>
                        <m:t>⋆</m:t>
                      </m:r>
                    </m:sup>
                  </m:sSup>
                </m:e>
              </m:d>
            </m:e>
          </m:d>
          <m:r>
            <m:rPr>
              <m:sty m:val="p"/>
            </m:rPr>
            <m:t>=</m:t>
          </m:r>
          <m:limLow>
            <m:e>
              <m:r>
                <m:rPr>
                  <m:sty m:val="p"/>
                </m:rPr>
                <m:t>max</m:t>
              </m:r>
            </m:e>
            <m:lim>
              <m:r>
                <m:t>p</m:t>
              </m:r>
              <m:r>
                <m:rPr>
                  <m:sty m:val="p"/>
                </m:rPr>
                <m:t>∈</m:t>
              </m:r>
              <m:r>
                <m:rPr>
                  <m:scr m:val="script"/>
                  <m:sty m:val="p"/>
                </m:rPr>
                <m:t>P</m:t>
              </m:r>
            </m:lim>
          </m:limLow>
          <m:d>
            <m:dPr>
              <m:begChr m:val="|"/>
              <m:sepChr m:val=""/>
              <m:endChr m:val="|"/>
              <m:grow/>
            </m:dPr>
            <m:e>
              <m:d>
                <m:dPr>
                  <m:begChr m:val="{"/>
                  <m:sepChr m:val=""/>
                  <m:endChr m:val="}"/>
                  <m:grow/>
                </m:dPr>
                <m:e>
                  <m:r>
                    <m:t>i</m:t>
                  </m:r>
                  <m:r>
                    <m:rPr>
                      <m:sty m:val="p"/>
                    </m:rPr>
                    <m:t>:</m:t>
                  </m:r>
                  <m:r>
                    <m:t>d</m:t>
                  </m:r>
                  <m:d>
                    <m:dPr>
                      <m:begChr m:val="("/>
                      <m:sepChr m:val=""/>
                      <m:endChr m:val=")"/>
                      <m:grow/>
                    </m:dPr>
                    <m:e>
                      <m:sSub>
                        <m:e>
                          <m:r>
                            <m:t>v</m:t>
                          </m:r>
                        </m:e>
                        <m:sub>
                          <m:r>
                            <m:t>i</m:t>
                          </m:r>
                        </m:sub>
                      </m:sSub>
                      <m:r>
                        <m:rPr>
                          <m:sty m:val="p"/>
                        </m:rPr>
                        <m:t>,</m:t>
                      </m:r>
                      <m:r>
                        <m:t>p</m:t>
                      </m:r>
                    </m:e>
                  </m:d>
                  <m:r>
                    <m:rPr>
                      <m:sty m:val="p"/>
                    </m:rPr>
                    <m:t>&lt;</m:t>
                  </m:r>
                  <m:r>
                    <m:t>d</m:t>
                  </m:r>
                  <m:d>
                    <m:dPr>
                      <m:begChr m:val="("/>
                      <m:sepChr m:val=""/>
                      <m:endChr m:val=")"/>
                      <m:grow/>
                    </m:dPr>
                    <m:e>
                      <m:sSub>
                        <m:e>
                          <m:r>
                            <m:t>v</m:t>
                          </m:r>
                        </m:e>
                        <m:sub>
                          <m:r>
                            <m:t>i</m:t>
                          </m:r>
                        </m:sub>
                      </m:sSub>
                      <m:r>
                        <m:rPr>
                          <m:sty m:val="p"/>
                        </m:rPr>
                        <m:t>,</m:t>
                      </m:r>
                      <m:r>
                        <m:t>r</m:t>
                      </m:r>
                    </m:e>
                  </m:d>
                </m:e>
              </m:d>
            </m:e>
          </m:d>
        </m:oMath>
      </m:oMathPara>
    </w:p>
    <w:p>
      <w:pPr>
        <w:spacing w:after="60"/>
        <w:jc w:val="both"/>
      </w:pPr>
      <m:oMath>
        <m:sSub>
          <m:e>
            <m:r>
              <m:t>v</m:t>
            </m:r>
          </m:e>
          <m:sub>
            <m:r>
              <m:t>i</m:t>
            </m:r>
          </m:sub>
        </m:sSub>
      </m:oMath>
      <w:r>
        <w:rPr>
          <w:color w:val="3A4350"/>
          <w:sz w:val="15"/>
          <w:szCs w:val="15"/>
        </w:rPr>
        <w:t xml:space="preserve"> is agent </w:t>
      </w:r>
      <m:oMath>
        <m:r>
          <m:t>i</m:t>
        </m:r>
      </m:oMath>
      <w:r>
        <w:rPr>
          <w:color w:val="3A4350"/>
          <w:sz w:val="15"/>
          <w:szCs w:val="15"/>
        </w:rPr>
        <w:t xml:space="preserve">'s position, </w:t>
      </w:r>
      <m:oMath>
        <m:r>
          <m:t>r</m:t>
        </m:r>
      </m:oMath>
      <w:r>
        <w:rPr>
          <w:color w:val="3A4350"/>
          <w:sz w:val="15"/>
          <w:szCs w:val="15"/>
        </w:rPr>
        <w:t xml:space="preserve"> the status quo, </w:t>
      </w:r>
      <m:oMath>
        <m:r>
          <m:rPr>
            <m:scr m:val="script"/>
            <m:sty m:val="p"/>
          </m:rPr>
          <m:t>P</m:t>
        </m:r>
      </m:oMath>
      <w:r>
        <w:rPr>
          <w:color w:val="3A4350"/>
          <w:sz w:val="15"/>
          <w:szCs w:val="15"/>
        </w:rPr>
        <w:t xml:space="preserve"> the proposal space, </w:t>
      </w:r>
      <m:oMath>
        <m:r>
          <m:t>d</m:t>
        </m:r>
      </m:oMath>
      <w:r>
        <w:rPr>
          <w:color w:val="3A4350"/>
          <w:sz w:val="15"/>
          <w:szCs w:val="15"/>
        </w:rPr>
        <w:t xml:space="preserve"> the metric and </w:t>
      </w:r>
      <m:oMath>
        <m:r>
          <m:t>S</m:t>
        </m:r>
        <m:d>
          <m:dPr>
            <m:begChr m:val="("/>
            <m:sepChr m:val=""/>
            <m:endChr m:val=")"/>
            <m:grow/>
          </m:dPr>
          <m:e>
            <m:sSup>
              <m:e>
                <m:r>
                  <m:t>p</m:t>
                </m:r>
              </m:e>
              <m:sup>
                <m:r>
                  <m:rPr>
                    <m:sty m:val="p"/>
                  </m:rPr>
                  <m:t>⋆</m:t>
                </m:r>
              </m:sup>
            </m:sSup>
          </m:e>
        </m:d>
      </m:oMath>
      <w:r>
        <w:rPr>
          <w:color w:val="3A4350"/>
          <w:sz w:val="15"/>
          <w:szCs w:val="15"/>
        </w:rPr>
        <w:t xml:space="preserve"> the coalition supporting the final proposal </w:t>
      </w:r>
      <m:oMath>
        <m:sSup>
          <m:e>
            <m:r>
              <m:t>p</m:t>
            </m:r>
          </m:e>
          <m:sup>
            <m:r>
              <m:rPr>
                <m:sty m:val="p"/>
              </m:rPr>
              <m:t>⋆</m:t>
            </m:r>
          </m:sup>
        </m:sSup>
      </m:oMath>
      <w:r>
        <w:rPr>
          <w:color w:val="3A4350"/>
          <w:sz w:val="15"/>
          <w:szCs w:val="15"/>
        </w:rPr>
        <w:t xml:space="preserve">; success means that no proposal attracts more agents who prefer it to </w:t>
      </w:r>
      <m:oMath>
        <m:r>
          <m:t>r</m:t>
        </m:r>
      </m:oMath>
      <w:r>
        <w:rPr>
          <w:color w:val="3A4350"/>
          <w:sz w:val="15"/>
          <w:szCs w:val="15"/>
        </w:rPr>
        <w:t xml:space="preserve">.</w:t>
      </w:r>
    </w:p>
    <w:p>
      <w:pPr>
        <w:spacing w:after="60"/>
        <w:jc w:val="both"/>
      </w:pPr>
      <w:r>
        <w:rPr>
          <w:b/>
          <w:bCs/>
          <w:color w:val="002147"/>
          <w:sz w:val="17"/>
          <w:szCs w:val="17"/>
        </w:rPr>
        <w:t xml:space="preserve">Link to the Fushë-Kuqe stakeholders. </w:t>
      </w:r>
      <w:r>
        <w:rPr>
          <w:sz w:val="17"/>
          <w:szCs w:val="17"/>
        </w:rPr>
        <w:t xml:space="preserve">Belongs to theme 4. At Fushë-Kuqe the status quo is the planned pumping, with a 0.59 chance that A1 or P10 exceeds 250 mg/L. If the options (pumping cuts, recharge-well sites, buying the sample) are placed in a policy space, the theorems say which coalition moves let the six stakeholders converge on the most supported change instead of stalling.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a formal model, with convergence and termination theorems, of how open deliberation can end in a decisive, maximally supported change of the status quo, and it states precisely what remains open (polynomial termination of compromises). The journal version (2024) extends the AAAI 2021 paper with a section on hypercubes.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Positions are fixed and certain. It is open whether deliberation still converges to a maximally supported proposal when each agent's position is uncertain and moves after new chloride information, the situation of the Fushë-Kuqe stakeholders.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termination bounds and exact conditions under which coalition dynamics are guaranteed to reach a maximum-support proposal, with a counterexample showing why the richness of the proposal space matters. Proposed extension: place the six stakeholders in a two-dimensional space (pumping rate, number of recharge wells), with each position drawn from the 20 000 draws, and test how often compromise transitions converge before and after the chloride sample.</w:t>
      </w:r>
    </w:p>
    <w:p>
      <w:pPr>
        <w:keepNext/>
        <w:pBdr>
          <w:top w:val="single" w:color="002147" w:sz="6" w:space="4"/>
        </w:pBdr>
        <w:spacing w:after="60" w:before="220"/>
      </w:pPr>
      <w:r>
        <w:rPr>
          <w:b/>
          <w:bCs/>
          <w:color w:val="002147"/>
          <w:sz w:val="23"/>
          <w:szCs w:val="23"/>
        </w:rPr>
        <w:t xml:space="preserve">O4  </w:t>
      </w:r>
      <w:r>
        <w:rPr>
          <w:b/>
          <w:bCs/>
          <w:color w:val="1F3864"/>
          <w:sz w:val="23"/>
          <w:szCs w:val="23"/>
        </w:rPr>
        <w:t xml:space="preserve">Efficient mechanisms for level-k bilateral trading</w:t>
      </w:r>
    </w:p>
    <w:p>
      <w:pPr>
        <w:keepNext/>
        <w:spacing w:after="60" w:line="240" w:lineRule="auto"/>
      </w:pPr>
      <w:r>
        <w:rPr>
          <w:b/>
          <w:bCs/>
          <w:color w:val="333B47"/>
          <w:sz w:val="15"/>
          <w:szCs w:val="15"/>
        </w:rPr>
        <w:t xml:space="preserve">Authors: </w:t>
      </w:r>
      <w:r>
        <w:rPr>
          <w:sz w:val="15"/>
          <w:szCs w:val="15"/>
        </w:rPr>
        <w:t xml:space="preserve">Vincent P. Crawford</w:t>
      </w:r>
      <w:r>
        <w:rPr>
          <w:sz w:val="15"/>
          <w:szCs w:val="15"/>
        </w:rPr>
        <w:t xml:space="preserve">   </w:t>
      </w:r>
      <w:r>
        <w:rPr>
          <w:b/>
          <w:bCs/>
          <w:color w:val="333B47"/>
          <w:sz w:val="15"/>
          <w:szCs w:val="15"/>
        </w:rPr>
        <w:t xml:space="preserve">Published in: </w:t>
      </w:r>
      <w:r>
        <w:rPr>
          <w:sz w:val="15"/>
          <w:szCs w:val="15"/>
        </w:rPr>
        <w:t xml:space="preserve">Games and Economic Behavior, volume (not verified), 80–101 (2021)</w:t>
      </w:r>
      <w:r>
        <w:rPr>
          <w:sz w:val="15"/>
          <w:szCs w:val="15"/>
        </w:rPr>
        <w:t xml:space="preserve">   </w:t>
      </w:r>
      <w:r>
        <w:rPr>
          <w:b/>
          <w:bCs/>
          <w:color w:val="333B47"/>
          <w:sz w:val="15"/>
          <w:szCs w:val="15"/>
        </w:rPr>
        <w:t xml:space="preserve">Link: </w:t>
      </w:r>
      <w:hyperlink w:history="1" r:id="rIdhmkgrbwux9b8zmv2srbp2">
        <w:r>
          <w:rPr>
            <w:color w:val="1D4ED8"/>
            <w:sz w:val="15"/>
            <w:szCs w:val="15"/>
            <w:u w:val="single"/>
          </w:rPr>
          <w:t xml:space="preserve">https://doi.org/10.1016/j.geb.2021.02.005</w:t>
        </w:r>
      </w:hyperlink>
    </w:p>
    <w:p>
      <w:pPr>
        <w:keepNext/>
        <w:spacing w:after="80" w:line="240" w:lineRule="auto"/>
      </w:pPr>
      <w:r>
        <w:rPr>
          <w:b/>
          <w:bCs/>
          <w:color w:val="333B47"/>
          <w:sz w:val="15"/>
          <w:szCs w:val="15"/>
        </w:rPr>
        <w:t xml:space="preserve">Affiliation: </w:t>
      </w:r>
      <w:r>
        <w:rPr>
          <w:color w:val="3A4350"/>
          <w:sz w:val="15"/>
          <w:szCs w:val="15"/>
        </w:rPr>
        <w:t xml:space="preserve">Department of Economics and All Souls College, University of Oxford, and University of California, San Diego (affiliations given for the paper in the search result); the paper is also listed on the Oxford Economics website.</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The paper revisits Myerson and Satterthwaite's bilateral-trade problem, a buyer and a seller with private values, replacing equilibrium with a level-k model in which traders best respond to simplified beliefs about each other. It shows that the revelation principle fails: restricting attention to incentive-compatible direct mechanisms is no longer without loss of generality. If only level-k-incentive-compatible direct mechanisms are feasible and traders' levels are observable, the Myerson–Satterthwaite characterisation of surplus-maximising mechanisms generalises qualitatively. If levels are unobservable, generically a particular posted-price mechanism maximises expected total surplus subject to the incentive constraints, while unrestricted mechanisms may take completely different forms.</w:t>
      </w:r>
    </w:p>
    <w:p>
      <w:pPr>
        <w:keepNext/>
        <w:spacing w:after="20" w:before="40"/>
      </w:pPr>
      <w:r>
        <w:rPr>
          <w:b/>
          <w:bCs/>
          <w:color w:val="002147"/>
          <w:sz w:val="17"/>
          <w:szCs w:val="17"/>
        </w:rPr>
        <w:t xml:space="preserve">Key equation.</w:t>
      </w:r>
      <w:r>
        <w:rPr>
          <w:i/>
          <w:iCs/>
          <w:color w:val="5B6573"/>
          <w:sz w:val="15"/>
          <w:szCs w:val="15"/>
        </w:rPr>
        <w:t xml:space="preserve">  Expected gains from trade under a posted price (representative formulation)</w:t>
      </w:r>
    </w:p>
    <w:p>
      <w:pPr>
        <w:pStyle w:val="Equation"/>
      </w:pPr>
      <m:oMathPara>
        <m:oMathParaPr>
          <m:jc m:val="center"/>
        </m:oMathParaPr>
        <m:oMath>
          <m:r>
            <m:t>W</m:t>
          </m:r>
          <m:d>
            <m:dPr>
              <m:begChr m:val="("/>
              <m:sepChr m:val=""/>
              <m:endChr m:val=")"/>
              <m:grow/>
            </m:dPr>
            <m:e>
              <m:r>
                <m:t>p</m:t>
              </m:r>
            </m:e>
          </m:d>
          <m:r>
            <m:rPr>
              <m:sty m:val="p"/>
            </m:rPr>
            <m:t>=</m:t>
          </m:r>
          <m:r>
            <m:rPr>
              <m:scr m:val="double-struck"/>
              <m:sty m:val="p"/>
            </m:rPr>
            <m:t>E</m:t>
          </m:r>
          <m:d>
            <m:dPr>
              <m:begChr m:val="["/>
              <m:sepChr m:val=""/>
              <m:endChr m:val="]"/>
              <m:grow/>
            </m:dPr>
            <m:e>
              <m:d>
                <m:dPr>
                  <m:begChr m:val="("/>
                  <m:sepChr m:val=""/>
                  <m:endChr m:val=")"/>
                  <m:grow/>
                </m:dPr>
                <m:e>
                  <m:sSub>
                    <m:e>
                      <m:r>
                        <m:t>V</m:t>
                      </m:r>
                    </m:e>
                    <m:sub>
                      <m:r>
                        <m:t>B</m:t>
                      </m:r>
                    </m:sub>
                  </m:sSub>
                  <m:r>
                    <m:rPr>
                      <m:sty m:val="p"/>
                    </m:rPr>
                    <m:t>−</m:t>
                  </m:r>
                  <m:sSub>
                    <m:e>
                      <m:r>
                        <m:t>V</m:t>
                      </m:r>
                    </m:e>
                    <m:sub>
                      <m:r>
                        <m:t>S</m:t>
                      </m:r>
                    </m:sub>
                  </m:sSub>
                </m:e>
              </m:d>
              <m:r>
                <m:rPr>
                  <m:sty m:val="b"/>
                </m:rPr>
                <m:t>1</m:t>
              </m:r>
              <m:d>
                <m:dPr>
                  <m:begChr m:val="{"/>
                  <m:sepChr m:val=""/>
                  <m:endChr m:val="}"/>
                  <m:grow/>
                </m:dPr>
                <m:e>
                  <m:sSub>
                    <m:e>
                      <m:r>
                        <m:t>V</m:t>
                      </m:r>
                    </m:e>
                    <m:sub>
                      <m:r>
                        <m:t>S</m:t>
                      </m:r>
                    </m:sub>
                  </m:sSub>
                  <m:r>
                    <m:rPr>
                      <m:sty m:val="p"/>
                    </m:rPr>
                    <m:t>≤</m:t>
                  </m:r>
                  <m:r>
                    <m:t>p</m:t>
                  </m:r>
                  <m:r>
                    <m:rPr>
                      <m:sty m:val="p"/>
                    </m:rPr>
                    <m:t>≤</m:t>
                  </m:r>
                  <m:sSub>
                    <m:e>
                      <m:r>
                        <m:t>V</m:t>
                      </m:r>
                    </m:e>
                    <m:sub>
                      <m:r>
                        <m:t>B</m:t>
                      </m:r>
                    </m:sub>
                  </m:sSub>
                </m:e>
              </m:d>
            </m:e>
          </m:d>
        </m:oMath>
      </m:oMathPara>
    </w:p>
    <w:p>
      <w:pPr>
        <w:spacing w:after="60"/>
        <w:jc w:val="both"/>
      </w:pPr>
      <m:oMath>
        <m:sSub>
          <m:e>
            <m:r>
              <m:t>V</m:t>
            </m:r>
          </m:e>
          <m:sub>
            <m:r>
              <m:t>B</m:t>
            </m:r>
          </m:sub>
        </m:sSub>
      </m:oMath>
      <w:r>
        <w:rPr>
          <w:color w:val="3A4350"/>
          <w:sz w:val="15"/>
          <w:szCs w:val="15"/>
        </w:rPr>
        <w:t xml:space="preserve"> and </w:t>
      </w:r>
      <m:oMath>
        <m:sSub>
          <m:e>
            <m:r>
              <m:t>V</m:t>
            </m:r>
          </m:e>
          <m:sub>
            <m:r>
              <m:t>S</m:t>
            </m:r>
          </m:sub>
        </m:sSub>
      </m:oMath>
      <w:r>
        <w:rPr>
          <w:color w:val="3A4350"/>
          <w:sz w:val="15"/>
          <w:szCs w:val="15"/>
        </w:rPr>
        <w:t xml:space="preserve"> are the buyer's and seller's private values and </w:t>
      </w:r>
      <m:oMath>
        <m:r>
          <m:t>p</m:t>
        </m:r>
      </m:oMath>
      <w:r>
        <w:rPr>
          <w:color w:val="3A4350"/>
          <w:sz w:val="15"/>
          <w:szCs w:val="15"/>
        </w:rPr>
        <w:t xml:space="preserve"> the posted price; trade occurs only if both accept </w:t>
      </w:r>
      <m:oMath>
        <m:r>
          <m:t>p</m:t>
        </m:r>
      </m:oMath>
      <w:r>
        <w:rPr>
          <w:color w:val="3A4350"/>
          <w:sz w:val="15"/>
          <w:szCs w:val="15"/>
        </w:rPr>
        <w:t xml:space="preserve">, and with unobservable levels a particular posted price generically maximises this surplus subject to the incentive constraints.</w:t>
      </w:r>
    </w:p>
    <w:p>
      <w:pPr>
        <w:spacing w:after="60"/>
        <w:jc w:val="both"/>
      </w:pPr>
      <w:r>
        <w:rPr>
          <w:b/>
          <w:bCs/>
          <w:color w:val="002147"/>
          <w:sz w:val="17"/>
          <w:szCs w:val="17"/>
        </w:rPr>
        <w:t xml:space="preserve">Link to the Fushë-Kuqe stakeholders. </w:t>
      </w:r>
      <w:r>
        <w:rPr>
          <w:sz w:val="17"/>
          <w:szCs w:val="17"/>
        </w:rPr>
        <w:t xml:space="preserve">Belongs to theme 4. If the utility buys abstraction rights from irrigators near A1 and P10 to cut the salinity risk, values are private and neither side reasons in equilibrium. The result suggests posting a fixed compensation per cubic metre rather than running an elaborate auction, because a posted price does not rely on how stakeholders model each other.</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a cornerstone of mechanism design, the revelation principle, breaks once traders reason with non-equilibrium beliefs, and that a simple posted price then becomes optimal. The results are theorems, published in Games and Economic Behavior (2021), and the 2021 version corrects errors of earlier drafts.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Values are private but the physical state is not in doubt. Open: whether a posted price remains optimal when the gains from trade depend on an uncertain chloride response that buyer and seller assess with different priors.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level-k incentive compatibility, a proof that the revelation principle fails under it, and optimality of a posted price when levels are unobservable. Proposed extension: model a water-rights trade between irrigators and the utility in which the value of each cubic metre withdrawn depends on the exceedance probability from the 20 000 draws, and test whether one posted price still maximises expected surplus when the two sides weight the draws differently.</w:t>
      </w:r>
    </w:p>
    <w:p>
      <w:pPr>
        <w:keepNext/>
        <w:pBdr>
          <w:top w:val="single" w:color="002147" w:sz="6" w:space="4"/>
        </w:pBdr>
        <w:spacing w:after="60" w:before="220"/>
      </w:pPr>
      <w:r>
        <w:rPr>
          <w:b/>
          <w:bCs/>
          <w:color w:val="002147"/>
          <w:sz w:val="23"/>
          <w:szCs w:val="23"/>
        </w:rPr>
        <w:t xml:space="preserve">O5  </w:t>
      </w:r>
      <w:r>
        <w:rPr>
          <w:b/>
          <w:bCs/>
          <w:color w:val="1F3864"/>
          <w:sz w:val="23"/>
          <w:szCs w:val="23"/>
        </w:rPr>
        <w:t xml:space="preserve">Distributionally robust portfolio maximization and marginal utility pricing in one period financial markets</w:t>
      </w:r>
    </w:p>
    <w:p>
      <w:pPr>
        <w:keepNext/>
        <w:spacing w:after="60" w:line="240" w:lineRule="auto"/>
      </w:pPr>
      <w:r>
        <w:rPr>
          <w:b/>
          <w:bCs/>
          <w:color w:val="333B47"/>
          <w:sz w:val="15"/>
          <w:szCs w:val="15"/>
        </w:rPr>
        <w:t xml:space="preserve">Authors: </w:t>
      </w:r>
      <w:r>
        <w:rPr>
          <w:sz w:val="15"/>
          <w:szCs w:val="15"/>
        </w:rPr>
        <w:t xml:space="preserve">Jan Obłój, Johannes Wiesel</w:t>
      </w:r>
      <w:r>
        <w:rPr>
          <w:sz w:val="15"/>
          <w:szCs w:val="15"/>
        </w:rPr>
        <w:t xml:space="preserve">   </w:t>
      </w:r>
      <w:r>
        <w:rPr>
          <w:b/>
          <w:bCs/>
          <w:color w:val="333B47"/>
          <w:sz w:val="15"/>
          <w:szCs w:val="15"/>
        </w:rPr>
        <w:t xml:space="preserve">Published in: </w:t>
      </w:r>
      <w:r>
        <w:rPr>
          <w:sz w:val="15"/>
          <w:szCs w:val="15"/>
        </w:rPr>
        <w:t xml:space="preserve">Mathematical Finance, 31(4), 1454–1493 (October 2021; first published online 14 August 2021)</w:t>
      </w:r>
      <w:r>
        <w:rPr>
          <w:sz w:val="15"/>
          <w:szCs w:val="15"/>
        </w:rPr>
        <w:t xml:space="preserve">   </w:t>
      </w:r>
      <w:r>
        <w:rPr>
          <w:b/>
          <w:bCs/>
          <w:color w:val="333B47"/>
          <w:sz w:val="15"/>
          <w:szCs w:val="15"/>
        </w:rPr>
        <w:t xml:space="preserve">Link: </w:t>
      </w:r>
      <w:hyperlink w:history="1" r:id="rIdk3css0ws32eb1wv0amh_g">
        <w:r>
          <w:rPr>
            <w:color w:val="1D4ED8"/>
            <w:sz w:val="15"/>
            <w:szCs w:val="15"/>
            <w:u w:val="single"/>
          </w:rPr>
          <w:t xml:space="preserve">https://doi.org/10.1111/mafi.12337</w:t>
        </w:r>
      </w:hyperlink>
    </w:p>
    <w:p>
      <w:pPr>
        <w:keepNext/>
        <w:spacing w:after="80" w:line="240" w:lineRule="auto"/>
      </w:pPr>
      <w:r>
        <w:rPr>
          <w:b/>
          <w:bCs/>
          <w:color w:val="333B47"/>
          <w:sz w:val="15"/>
          <w:szCs w:val="15"/>
        </w:rPr>
        <w:t xml:space="preserve">Affiliation: </w:t>
      </w:r>
      <w:r>
        <w:rPr>
          <w:color w:val="3A4350"/>
          <w:sz w:val="15"/>
          <w:szCs w:val="15"/>
        </w:rPr>
        <w:t xml:space="preserve">University of Oxford (Jan Obłój; the article is deposited as a journal article in Oxford's ORA repository, seen in the search results). Wiesel's affiliation at publication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002147"/>
          <w:sz w:val="17"/>
          <w:szCs w:val="17"/>
        </w:rPr>
        <w:t xml:space="preserve">Summary. </w:t>
      </w:r>
      <w:r>
        <w:rPr>
          <w:sz w:val="17"/>
          <w:szCs w:val="17"/>
        </w:rPr>
        <w:t xml:space="preserve">A risk-averse agent chooses a portfolio in a one-period market but doubts the baseline model. The doubt is described non-parametrically by a Wasserstein ball of radius </w:t>
      </w:r>
      <m:oMath>
        <m:r>
          <m:t>δ</m:t>
        </m:r>
      </m:oMath>
      <w:r>
        <w:rPr>
          <w:sz w:val="17"/>
          <w:szCs w:val="17"/>
        </w:rPr>
        <w:t xml:space="preserve"> around the baseline law, and the agent maximises worst-case expected utility over the ball. Combining the classical Lagrangian approach with this description, the authors compute explicitly the first-order sensitivities, for small </w:t>
      </w:r>
      <m:oMath>
        <m:r>
          <m:t>δ</m:t>
        </m:r>
      </m:oMath>
      <w:r>
        <w:rPr>
          <w:sz w:val="17"/>
          <w:szCs w:val="17"/>
        </w:rPr>
        <w:t xml:space="preserve">, of the value function, of the optimal portfolio and of Davis' marginal-utility option prices. They find that these sensitivities can be non-monotone in the baseline Sharpe ratio and that model uncertainty can raise or lower option prices.</w:t>
      </w:r>
    </w:p>
    <w:p>
      <w:pPr>
        <w:keepNext/>
        <w:spacing w:after="20" w:before="40"/>
      </w:pPr>
      <w:r>
        <w:rPr>
          <w:b/>
          <w:bCs/>
          <w:color w:val="002147"/>
          <w:sz w:val="17"/>
          <w:szCs w:val="17"/>
        </w:rPr>
        <w:t xml:space="preserve">Key equation.</w:t>
      </w:r>
      <w:r>
        <w:rPr>
          <w:i/>
          <w:iCs/>
          <w:color w:val="5B6573"/>
          <w:sz w:val="15"/>
          <w:szCs w:val="15"/>
        </w:rPr>
        <w:t xml:space="preserve">  First-order loss of robust value for a small Wasserstein ball (representative formulation)</w:t>
      </w:r>
    </w:p>
    <w:p>
      <w:pPr>
        <w:pStyle w:val="Equation"/>
      </w:pPr>
      <m:oMathPara>
        <m:oMathParaPr>
          <m:jc m:val="center"/>
        </m:oMathParaPr>
        <m:oMath>
          <m:r>
            <m:t>V</m:t>
          </m:r>
          <m:d>
            <m:dPr>
              <m:begChr m:val="("/>
              <m:sepChr m:val=""/>
              <m:endChr m:val=")"/>
              <m:grow/>
            </m:dPr>
            <m:e>
              <m:r>
                <m:t>δ</m:t>
              </m:r>
            </m:e>
          </m:d>
          <m:r>
            <m:rPr>
              <m:sty m:val="p"/>
            </m:rPr>
            <m:t>=</m:t>
          </m:r>
          <m:r>
            <m:t>V</m:t>
          </m:r>
          <m:d>
            <m:dPr>
              <m:begChr m:val="("/>
              <m:sepChr m:val=""/>
              <m:endChr m:val=")"/>
              <m:grow/>
            </m:dPr>
            <m:e>
              <m:r>
                <m:t>0</m:t>
              </m:r>
            </m:e>
          </m:d>
          <m:r>
            <m:rPr>
              <m:sty m:val="p"/>
            </m:rPr>
            <m:t>−</m:t>
          </m:r>
          <m:r>
            <m:t>δ</m:t>
          </m:r>
          <m:r>
            <m:t> </m:t>
          </m:r>
          <m:r>
            <m:rPr>
              <m:sty m:val="p"/>
            </m:rPr>
            <m:t>∥</m:t>
          </m:r>
          <m:sSup>
            <m:e>
              <m:r>
                <m:t>a</m:t>
              </m:r>
            </m:e>
            <m:sup>
              <m:r>
                <m:rPr>
                  <m:sty m:val="p"/>
                </m:rPr>
                <m:t>⋆</m:t>
              </m:r>
            </m:sup>
          </m:sSup>
          <m:sSub>
            <m:e>
              <m:r>
                <m:rPr>
                  <m:sty m:val="p"/>
                </m:rPr>
                <m:t>∥</m:t>
              </m:r>
            </m:e>
            <m:sub>
              <m:r>
                <m:rPr>
                  <m:sty m:val="p"/>
                </m:rPr>
                <m:t>⋆</m:t>
              </m:r>
            </m:sub>
          </m:sSub>
          <m:sSup>
            <m:e>
              <m:d>
                <m:dPr>
                  <m:begChr m:val="("/>
                  <m:sepChr m:val=""/>
                  <m:endChr m:val=")"/>
                  <m:grow/>
                </m:dPr>
                <m:e>
                  <m:sSub>
                    <m:e>
                      <m:r>
                        <m:rPr>
                          <m:scr m:val="double-struck"/>
                          <m:sty m:val="p"/>
                        </m:rPr>
                        <m:t>E</m:t>
                      </m:r>
                    </m:e>
                    <m:sub>
                      <m:r>
                        <m:t>P</m:t>
                      </m:r>
                    </m:sub>
                  </m:sSub>
                  <m:d>
                    <m:dPr>
                      <m:begChr m:val="["/>
                      <m:sepChr m:val=""/>
                      <m:endChr m:val="]"/>
                      <m:grow/>
                    </m:dPr>
                    <m:e>
                      <m:sSup>
                        <m:e>
                          <m:d>
                            <m:dPr>
                              <m:begChr m:val="|"/>
                              <m:sepChr m:val=""/>
                              <m:endChr m:val="|"/>
                              <m:grow/>
                            </m:dPr>
                            <m:e>
                              <m:r>
                                <m:t>u</m:t>
                              </m:r>
                              <m:r>
                                <m:rPr>
                                  <m:sty m:val="p"/>
                                </m:rPr>
                                <m:t>′</m:t>
                              </m:r>
                              <m:d>
                                <m:dPr>
                                  <m:begChr m:val="("/>
                                  <m:sepChr m:val=""/>
                                  <m:endChr m:val=")"/>
                                  <m:grow/>
                                </m:dPr>
                                <m:e>
                                  <m:r>
                                    <m:t>x</m:t>
                                  </m:r>
                                  <m:r>
                                    <m:rPr>
                                      <m:sty m:val="p"/>
                                    </m:rPr>
                                    <m:t>+</m:t>
                                  </m:r>
                                  <m:sSup>
                                    <m:e>
                                      <m:r>
                                        <m:t>a</m:t>
                                      </m:r>
                                    </m:e>
                                    <m:sup>
                                      <m:r>
                                        <m:rPr>
                                          <m:sty m:val="p"/>
                                        </m:rPr>
                                        <m:t>⋆</m:t>
                                      </m:r>
                                    </m:sup>
                                  </m:sSup>
                                  <m:r>
                                    <m:rPr>
                                      <m:sty m:val="p"/>
                                    </m:rPr>
                                    <m:t>⋅</m:t>
                                  </m:r>
                                  <m:r>
                                    <m:t>Δ</m:t>
                                  </m:r>
                                  <m:r>
                                    <m:t>S</m:t>
                                  </m:r>
                                </m:e>
                              </m:d>
                            </m:e>
                          </m:d>
                        </m:e>
                        <m:sup>
                          <m:r>
                            <m:t>q</m:t>
                          </m:r>
                        </m:sup>
                      </m:sSup>
                    </m:e>
                  </m:d>
                </m:e>
              </m:d>
            </m:e>
            <m:sup>
              <m:r>
                <m:t>1</m:t>
              </m:r>
              <m:r>
                <m:rPr>
                  <m:sty m:val="p"/>
                </m:rPr>
                <m:t>/</m:t>
              </m:r>
              <m:r>
                <m:t>q</m:t>
              </m:r>
            </m:sup>
          </m:sSup>
          <m:r>
            <m:rPr>
              <m:sty m:val="p"/>
            </m:rPr>
            <m:t>+</m:t>
          </m:r>
          <m:r>
            <m:t>o</m:t>
          </m:r>
          <m:d>
            <m:dPr>
              <m:begChr m:val="("/>
              <m:sepChr m:val=""/>
              <m:endChr m:val=")"/>
              <m:grow/>
            </m:dPr>
            <m:e>
              <m:r>
                <m:t>δ</m:t>
              </m:r>
            </m:e>
          </m:d>
        </m:oMath>
      </m:oMathPara>
    </w:p>
    <w:p>
      <w:pPr>
        <w:spacing w:after="60"/>
        <w:jc w:val="both"/>
      </w:pPr>
      <m:oMath>
        <m:r>
          <m:t>V</m:t>
        </m:r>
        <m:d>
          <m:dPr>
            <m:begChr m:val="("/>
            <m:sepChr m:val=""/>
            <m:endChr m:val=")"/>
            <m:grow/>
          </m:dPr>
          <m:e>
            <m:r>
              <m:t>δ</m:t>
            </m:r>
          </m:e>
        </m:d>
      </m:oMath>
      <w:r>
        <w:rPr>
          <w:color w:val="3A4350"/>
          <w:sz w:val="15"/>
          <w:szCs w:val="15"/>
        </w:rPr>
        <w:t xml:space="preserve"> is the worst-case expected utility over the Wasserstein-</w:t>
      </w:r>
      <m:oMath>
        <m:r>
          <m:t>p</m:t>
        </m:r>
      </m:oMath>
      <w:r>
        <w:rPr>
          <w:color w:val="3A4350"/>
          <w:sz w:val="15"/>
          <w:szCs w:val="15"/>
        </w:rPr>
        <w:t xml:space="preserve"> ball of radius </w:t>
      </w:r>
      <m:oMath>
        <m:r>
          <m:t>δ</m:t>
        </m:r>
      </m:oMath>
      <w:r>
        <w:rPr>
          <w:color w:val="3A4350"/>
          <w:sz w:val="15"/>
          <w:szCs w:val="15"/>
        </w:rPr>
        <w:t xml:space="preserve"> around the baseline law </w:t>
      </w:r>
      <m:oMath>
        <m:r>
          <m:t>P</m:t>
        </m:r>
      </m:oMath>
      <w:r>
        <w:rPr>
          <w:color w:val="3A4350"/>
          <w:sz w:val="15"/>
          <w:szCs w:val="15"/>
        </w:rPr>
        <w:t xml:space="preserve">, </w:t>
      </w:r>
      <m:oMath>
        <m:sSup>
          <m:e>
            <m:r>
              <m:t>a</m:t>
            </m:r>
          </m:e>
          <m:sup>
            <m:r>
              <m:rPr>
                <m:sty m:val="p"/>
              </m:rPr>
              <m:t>⋆</m:t>
            </m:r>
          </m:sup>
        </m:sSup>
      </m:oMath>
      <w:r>
        <w:rPr>
          <w:color w:val="3A4350"/>
          <w:sz w:val="15"/>
          <w:szCs w:val="15"/>
        </w:rPr>
        <w:t xml:space="preserve"> the baseline optimal portfolio, </w:t>
      </w:r>
      <m:oMath>
        <m:r>
          <m:t>Δ</m:t>
        </m:r>
        <m:r>
          <m:t>S</m:t>
        </m:r>
      </m:oMath>
      <w:r>
        <w:rPr>
          <w:color w:val="3A4350"/>
          <w:sz w:val="15"/>
          <w:szCs w:val="15"/>
        </w:rPr>
        <w:t xml:space="preserve"> the asset returns, </w:t>
      </w:r>
      <m:oMath>
        <m:r>
          <m:t>u</m:t>
        </m:r>
      </m:oMath>
      <w:r>
        <w:rPr>
          <w:color w:val="3A4350"/>
          <w:sz w:val="15"/>
          <w:szCs w:val="15"/>
        </w:rPr>
        <w:t xml:space="preserve"> the utility, </w:t>
      </w:r>
      <m:oMath>
        <m:r>
          <m:rPr>
            <m:sty m:val="p"/>
          </m:rPr>
          <m:t>∥</m:t>
        </m:r>
        <m:r>
          <m:rPr>
            <m:sty m:val="p"/>
          </m:rPr>
          <m:t>⋅</m:t>
        </m:r>
        <m:sSub>
          <m:e>
            <m:r>
              <m:rPr>
                <m:sty m:val="p"/>
              </m:rPr>
              <m:t>∥</m:t>
            </m:r>
          </m:e>
          <m:sub>
            <m:r>
              <m:rPr>
                <m:sty m:val="p"/>
              </m:rPr>
              <m:t>⋆</m:t>
            </m:r>
          </m:sub>
        </m:sSub>
      </m:oMath>
      <w:r>
        <w:rPr>
          <w:color w:val="3A4350"/>
          <w:sz w:val="15"/>
          <w:szCs w:val="15"/>
        </w:rPr>
        <w:t xml:space="preserve"> the dual norm and </w:t>
      </w:r>
      <m:oMath>
        <m:r>
          <m:t>1</m:t>
        </m:r>
        <m:r>
          <m:rPr>
            <m:sty m:val="p"/>
          </m:rPr>
          <m:t>/</m:t>
        </m:r>
        <m:r>
          <m:t>p</m:t>
        </m:r>
        <m:r>
          <m:rPr>
            <m:sty m:val="p"/>
          </m:rPr>
          <m:t>+</m:t>
        </m:r>
        <m:r>
          <m:t>1</m:t>
        </m:r>
        <m:r>
          <m:rPr>
            <m:sty m:val="p"/>
          </m:rPr>
          <m:t>/</m:t>
        </m:r>
        <m:r>
          <m:t>q</m:t>
        </m:r>
        <m:r>
          <m:rPr>
            <m:sty m:val="p"/>
          </m:rPr>
          <m:t>=</m:t>
        </m:r>
        <m:r>
          <m:t>1</m:t>
        </m:r>
      </m:oMath>
      <w:r>
        <w:rPr>
          <w:color w:val="3A4350"/>
          <w:sz w:val="15"/>
          <w:szCs w:val="15"/>
        </w:rPr>
        <w:t xml:space="preserve">.</w:t>
      </w:r>
    </w:p>
    <w:p>
      <w:pPr>
        <w:spacing w:after="60"/>
        <w:jc w:val="both"/>
      </w:pPr>
      <w:r>
        <w:rPr>
          <w:b/>
          <w:bCs/>
          <w:color w:val="002147"/>
          <w:sz w:val="17"/>
          <w:szCs w:val="17"/>
        </w:rPr>
        <w:t xml:space="preserve">Link to the Fushë-Kuqe stakeholders. </w:t>
      </w:r>
      <w:r>
        <w:rPr>
          <w:sz w:val="17"/>
          <w:szCs w:val="17"/>
        </w:rPr>
        <w:t xml:space="preserve">Belongs to theme 1. Take the 20 000 calibrated draws as the baseline law and express each stakeholder's doubt about mixing-zone width or recharge as a Wasserstein radius. The first-order formula then tells the utility, before negotiation, how fast the expected value of a pumping plan at A1 and P10 erodes under model doubt, and which plan is least exposed.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general sensitivity theory of Wasserstein robustness into explicit, decision-level answers: how much value, and how much of the chosen action, a small dose of model doubt costs. Published in Mathematical Finance (2021), it also reports counter-intuitive comparative statics for prices.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Only small balls around one baseline are covered, and the decision is static. Open: robustness when stakeholders' baselines differ and doubt is large, and for a sequential plan in which the chloride sample shrinks the ball.</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explicit first-order sensitivities of the robust optimiser and of utility-indifference prices, not only of the value, under non-parametric Wasserstein uncertainty. Proposed extension: compute from the weighted draws the analogue of </w:t>
      </w:r>
      <m:oMath>
        <m:r>
          <m:rPr>
            <m:sty m:val="p"/>
          </m:rPr>
          <m:t>∥</m:t>
        </m:r>
        <m:sSup>
          <m:e>
            <m:r>
              <m:t>a</m:t>
            </m:r>
          </m:e>
          <m:sup>
            <m:r>
              <m:rPr>
                <m:sty m:val="p"/>
              </m:rPr>
              <m:t>⋆</m:t>
            </m:r>
          </m:sup>
        </m:sSup>
        <m:sSub>
          <m:e>
            <m:r>
              <m:rPr>
                <m:sty m:val="p"/>
              </m:rPr>
              <m:t>∥</m:t>
            </m:r>
          </m:e>
          <m:sub>
            <m:r>
              <m:rPr>
                <m:sty m:val="p"/>
              </m:rPr>
              <m:t>⋆</m:t>
            </m:r>
          </m:sub>
        </m:sSub>
      </m:oMath>
      <w:r>
        <w:rPr>
          <w:sz w:val="17"/>
          <w:szCs w:val="17"/>
        </w:rPr>
        <w:t xml:space="preserve"> times the </w:t>
      </w:r>
      <m:oMath>
        <m:sSup>
          <m:e>
            <m:r>
              <m:t>L</m:t>
            </m:r>
          </m:e>
          <m:sup>
            <m:r>
              <m:t>q</m:t>
            </m:r>
          </m:sup>
        </m:sSup>
      </m:oMath>
      <w:r>
        <w:rPr>
          <w:sz w:val="17"/>
          <w:szCs w:val="17"/>
        </w:rPr>
        <w:t xml:space="preserve"> norm of the marginal salinity cost for each plan (planned pumping, reduced pumping, three recharge wells), rank the plans by this robustness slope, and test whether one chloride sample lowers the slope enough to pay for itself.</w:t>
      </w:r>
    </w:p>
    <w:p>
      <w:pPr>
        <w:pStyle w:val="Heading1"/>
      </w:pPr>
      <w:r>
        <w:rPr>
          <w:color w:val="B4410C"/>
        </w:rPr>
        <w:t xml:space="preserve">5. California Institute of Technology (Caltech)</w:t>
      </w:r>
    </w:p>
    <w:p>
      <w:pPr>
        <w:spacing w:after="120"/>
        <w:jc w:val="both"/>
      </w:pPr>
      <w:r>
        <w:t xml:space="preserve">Five Caltech groups. Federico Echenique, Masaki Miyashita, Yuta Nakamura, Luciano Pomatto and Jamie Vinson represent a cautious, incomplete ranking of acts by two sets of priors [C1]; Xiaosheng Mu, Luciano Pomatto, Philipp Strack and Omer Tamuz show what background risk implies for small-stakes caution [C2]; Laurent Bartholdi, Wade Hann-Caruthers, Maya Josyula, Omer Tamuz and Leeat Yariv characterise voting rules that treat voters equally [C3]; Federico Echenique, Antonio Miralles and Jun Zhang allocate under constraints with a pseudo-market [C4]; and Bo Sun, Russell Lee, Mohammad Hajiesmaili, Adam Wierman and Danny Tsang find the best trade-off between trusting and hedging a forecast in irrevocable decisions [C5].</w:t>
      </w:r>
    </w:p>
    <w:p>
      <w:pPr>
        <w:keepNext/>
        <w:pBdr>
          <w:top w:val="single" w:color="B4410C" w:sz="6" w:space="4"/>
        </w:pBdr>
        <w:spacing w:after="60" w:before="220"/>
      </w:pPr>
      <w:r>
        <w:rPr>
          <w:b/>
          <w:bCs/>
          <w:color w:val="B4410C"/>
          <w:sz w:val="23"/>
          <w:szCs w:val="23"/>
        </w:rPr>
        <w:t xml:space="preserve">C1  </w:t>
      </w:r>
      <w:r>
        <w:rPr>
          <w:b/>
          <w:bCs/>
          <w:color w:val="1F3864"/>
          <w:sz w:val="23"/>
          <w:szCs w:val="23"/>
        </w:rPr>
        <w:t xml:space="preserve">Twofold multiprior preferences and failures of contingent reasoning</w:t>
      </w:r>
    </w:p>
    <w:p>
      <w:pPr>
        <w:keepNext/>
        <w:spacing w:after="60" w:line="240" w:lineRule="auto"/>
      </w:pPr>
      <w:r>
        <w:rPr>
          <w:b/>
          <w:bCs/>
          <w:color w:val="333B47"/>
          <w:sz w:val="15"/>
          <w:szCs w:val="15"/>
        </w:rPr>
        <w:t xml:space="preserve">Authors: </w:t>
      </w:r>
      <w:r>
        <w:rPr>
          <w:sz w:val="15"/>
          <w:szCs w:val="15"/>
        </w:rPr>
        <w:t xml:space="preserve">Federico Echenique, Masaki Miyashita, Yuta Nakamura, Luciano Pomatto, Jamie Vinson</w:t>
      </w:r>
      <w:r>
        <w:rPr>
          <w:sz w:val="15"/>
          <w:szCs w:val="15"/>
        </w:rPr>
        <w:t xml:space="preserve">   </w:t>
      </w:r>
      <w:r>
        <w:rPr>
          <w:b/>
          <w:bCs/>
          <w:color w:val="333B47"/>
          <w:sz w:val="15"/>
          <w:szCs w:val="15"/>
        </w:rPr>
        <w:t xml:space="preserve">Published in: </w:t>
      </w:r>
      <w:r>
        <w:rPr>
          <w:sz w:val="15"/>
          <w:szCs w:val="15"/>
        </w:rPr>
        <w:t xml:space="preserve">Journal of Economic Theory, 202, article 105448 (June 2022)</w:t>
      </w:r>
      <w:r>
        <w:rPr>
          <w:sz w:val="15"/>
          <w:szCs w:val="15"/>
        </w:rPr>
        <w:t xml:space="preserve">   </w:t>
      </w:r>
      <w:r>
        <w:rPr>
          <w:b/>
          <w:bCs/>
          <w:color w:val="333B47"/>
          <w:sz w:val="15"/>
          <w:szCs w:val="15"/>
        </w:rPr>
        <w:t xml:space="preserve">Link: </w:t>
      </w:r>
      <w:hyperlink w:history="1" r:id="rIdhwt85_u1ptgoej5fy55vp">
        <w:r>
          <w:rPr>
            <w:color w:val="1D4ED8"/>
            <w:sz w:val="15"/>
            <w:szCs w:val="15"/>
            <w:u w:val="single"/>
          </w:rPr>
          <w:t xml:space="preserve">https://doi.org/10.1016/j.jet.2022.105448</w:t>
        </w:r>
      </w:hyperlink>
    </w:p>
    <w:p>
      <w:pPr>
        <w:keepNext/>
        <w:spacing w:after="80" w:line="240" w:lineRule="auto"/>
      </w:pPr>
      <w:r>
        <w:rPr>
          <w:b/>
          <w:bCs/>
          <w:color w:val="333B47"/>
          <w:sz w:val="15"/>
          <w:szCs w:val="15"/>
        </w:rPr>
        <w:t xml:space="preserve">Affiliation: </w:t>
      </w:r>
      <w:r>
        <w:rPr>
          <w:color w:val="3A4350"/>
          <w:sz w:val="15"/>
          <w:szCs w:val="15"/>
        </w:rPr>
        <w:t xml:space="preserve">Caltech: the paper has a CaltechAUTHORS record (CaltechAUTHORS:20210303-133740093, published June 2022) and is listed on the CV of Luciano Pomatto, professor of economics in the Division of the Humanities and Social Sciences, Caltech (faculty page and CV seen in search results); Echenique was at Caltech when the work appeared and is now at UC Berkeley. Other co-authors' affiliations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Why do people fail to see that bidding one's value in a second-price auction is a dominant strategy? The paper models a decision maker who ranks act </w:t>
      </w:r>
      <m:oMath>
        <m:r>
          <m:t>f</m:t>
        </m:r>
      </m:oMath>
      <w:r>
        <w:rPr>
          <w:sz w:val="17"/>
          <w:szCs w:val="17"/>
        </w:rPr>
        <w:t xml:space="preserve"> above act </w:t>
      </w:r>
      <m:oMath>
        <m:r>
          <m:t>g</m:t>
        </m:r>
      </m:oMath>
      <w:r>
        <w:rPr>
          <w:sz w:val="17"/>
          <w:szCs w:val="17"/>
        </w:rPr>
        <w:t xml:space="preserve"> only when the worst expected utility of </w:t>
      </w:r>
      <m:oMath>
        <m:r>
          <m:t>f</m:t>
        </m:r>
      </m:oMath>
      <w:r>
        <w:rPr>
          <w:sz w:val="17"/>
          <w:szCs w:val="17"/>
        </w:rPr>
        <w:t xml:space="preserve"> over one set of probabilistic scenarios </w:t>
      </w:r>
      <m:oMath>
        <m:r>
          <m:t>C</m:t>
        </m:r>
      </m:oMath>
      <w:r>
        <w:rPr>
          <w:sz w:val="17"/>
          <w:szCs w:val="17"/>
        </w:rPr>
        <w:t xml:space="preserve"> exceeds the best expected utility of </w:t>
      </w:r>
      <m:oMath>
        <m:r>
          <m:t>g</m:t>
        </m:r>
      </m:oMath>
      <w:r>
        <w:rPr>
          <w:sz w:val="17"/>
          <w:szCs w:val="17"/>
        </w:rPr>
        <w:t xml:space="preserve"> over a second set </w:t>
      </w:r>
      <m:oMath>
        <m:r>
          <m:t>D</m:t>
        </m:r>
      </m:oMath>
      <w:r>
        <w:rPr>
          <w:sz w:val="17"/>
          <w:szCs w:val="17"/>
        </w:rPr>
        <w:t xml:space="preserve">. The representation theorem derives this incomplete, twofold-conservative relation from asymmetry, transitivity, Archimedean continuity, C-independence and convexity of upper and lower contour sets, with state-by-state dominance weakened. Subjective expected utility and obvious dominance are described as the extreme cases; comparative statics and a second-price-auction application follow.</w:t>
      </w:r>
    </w:p>
    <w:p>
      <w:pPr>
        <w:keepNext/>
        <w:spacing w:after="20" w:before="40"/>
      </w:pPr>
      <w:r>
        <w:rPr>
          <w:b/>
          <w:bCs/>
          <w:color w:val="B4410C"/>
          <w:sz w:val="17"/>
          <w:szCs w:val="17"/>
        </w:rPr>
        <w:t xml:space="preserve">Key equation.</w:t>
      </w:r>
      <w:r>
        <w:rPr>
          <w:i/>
          <w:iCs/>
          <w:color w:val="5B6573"/>
          <w:sz w:val="15"/>
          <w:szCs w:val="15"/>
        </w:rPr>
        <w:t xml:space="preserve">  Twofold multiprior representation (representative formulation; the exact conditions on the two scenario sets were not verified)</w:t>
      </w:r>
    </w:p>
    <w:p>
      <w:pPr>
        <w:pStyle w:val="Equation"/>
      </w:pPr>
      <m:oMathPara>
        <m:oMathParaPr>
          <m:jc m:val="center"/>
        </m:oMathParaPr>
        <m:oMath>
          <m:r>
            <m:t>f</m:t>
          </m:r>
          <m:r>
            <m:rPr>
              <m:sty m:val="p"/>
            </m:rPr>
            <m:t>≻</m:t>
          </m:r>
          <m:r>
            <m:t>g</m:t>
          </m:r>
          <m:r>
            <m:rPr>
              <m:sty m:val="p"/>
            </m:rPr>
            <m:t>⇔</m:t>
          </m:r>
          <m:limLow>
            <m:e>
              <m:r>
                <m:rPr>
                  <m:sty m:val="p"/>
                </m:rPr>
                <m:t>min</m:t>
              </m:r>
            </m:e>
            <m:lim>
              <m:r>
                <m:t>μ</m:t>
              </m:r>
              <m:r>
                <m:rPr>
                  <m:sty m:val="p"/>
                </m:rPr>
                <m:t>∈</m:t>
              </m:r>
              <m:r>
                <m:t>C</m:t>
              </m:r>
            </m:lim>
          </m:limLow>
          <m:r>
            <m:rPr>
              <m:sty m:val="p"/>
            </m:rPr>
            <m:t>∫</m:t>
          </m:r>
          <m:r>
            <m:t>u</m:t>
          </m:r>
          <m:d>
            <m:dPr>
              <m:begChr m:val="("/>
              <m:sepChr m:val=""/>
              <m:endChr m:val=")"/>
              <m:grow/>
            </m:dPr>
            <m:e>
              <m:r>
                <m:t>f</m:t>
              </m:r>
            </m:e>
          </m:d>
          <m:r>
            <m:t> </m:t>
          </m:r>
          <m:r>
            <m:t>d</m:t>
          </m:r>
          <m:r>
            <m:t>μ</m:t>
          </m:r>
          <m:r>
            <m:rPr>
              <m:sty m:val="p"/>
            </m:rPr>
            <m:t>&gt;</m:t>
          </m:r>
          <m:limLow>
            <m:e>
              <m:r>
                <m:rPr>
                  <m:sty m:val="p"/>
                </m:rPr>
                <m:t>max</m:t>
              </m:r>
            </m:e>
            <m:lim>
              <m:r>
                <m:t>μ</m:t>
              </m:r>
              <m:r>
                <m:rPr>
                  <m:sty m:val="p"/>
                </m:rPr>
                <m:t>∈</m:t>
              </m:r>
              <m:r>
                <m:t>D</m:t>
              </m:r>
            </m:lim>
          </m:limLow>
          <m:r>
            <m:rPr>
              <m:sty m:val="p"/>
            </m:rPr>
            <m:t>∫</m:t>
          </m:r>
          <m:r>
            <m:t>u</m:t>
          </m:r>
          <m:d>
            <m:dPr>
              <m:begChr m:val="("/>
              <m:sepChr m:val=""/>
              <m:endChr m:val=")"/>
              <m:grow/>
            </m:dPr>
            <m:e>
              <m:r>
                <m:t>g</m:t>
              </m:r>
            </m:e>
          </m:d>
          <m:r>
            <m:t> </m:t>
          </m:r>
          <m:r>
            <m:t>d</m:t>
          </m:r>
          <m:r>
            <m:t>μ</m:t>
          </m:r>
        </m:oMath>
      </m:oMathPara>
    </w:p>
    <w:p>
      <w:pPr>
        <w:spacing w:after="60"/>
        <w:jc w:val="both"/>
      </w:pPr>
      <m:oMath>
        <m:r>
          <m:t>f</m:t>
        </m:r>
      </m:oMath>
      <w:r>
        <w:rPr>
          <w:color w:val="3A4350"/>
          <w:sz w:val="15"/>
          <w:szCs w:val="15"/>
        </w:rPr>
        <w:t xml:space="preserve"> and </w:t>
      </w:r>
      <m:oMath>
        <m:r>
          <m:t>g</m:t>
        </m:r>
      </m:oMath>
      <w:r>
        <w:rPr>
          <w:color w:val="3A4350"/>
          <w:sz w:val="15"/>
          <w:szCs w:val="15"/>
        </w:rPr>
        <w:t xml:space="preserve"> are acts (maps from states to outcomes), </w:t>
      </w:r>
      <m:oMath>
        <m:r>
          <m:t>u</m:t>
        </m:r>
      </m:oMath>
      <w:r>
        <w:rPr>
          <w:color w:val="3A4350"/>
          <w:sz w:val="15"/>
          <w:szCs w:val="15"/>
        </w:rPr>
        <w:t xml:space="preserve"> a utility index and </w:t>
      </w:r>
      <m:oMath>
        <m:r>
          <m:t>C</m:t>
        </m:r>
      </m:oMath>
      <w:r>
        <w:rPr>
          <w:color w:val="3A4350"/>
          <w:sz w:val="15"/>
          <w:szCs w:val="15"/>
        </w:rPr>
        <w:t xml:space="preserve">, </w:t>
      </w:r>
      <m:oMath>
        <m:r>
          <m:t>D</m:t>
        </m:r>
      </m:oMath>
      <w:r>
        <w:rPr>
          <w:color w:val="3A4350"/>
          <w:sz w:val="15"/>
          <w:szCs w:val="15"/>
        </w:rPr>
        <w:t xml:space="preserve"> sets of priors (scenarios); </w:t>
      </w:r>
      <m:oMath>
        <m:r>
          <m:t>f</m:t>
        </m:r>
      </m:oMath>
      <w:r>
        <w:rPr>
          <w:color w:val="3A4350"/>
          <w:sz w:val="15"/>
          <w:szCs w:val="15"/>
        </w:rPr>
        <w:t xml:space="preserve"> is chosen over </w:t>
      </w:r>
      <m:oMath>
        <m:r>
          <m:t>g</m:t>
        </m:r>
      </m:oMath>
      <w:r>
        <w:rPr>
          <w:color w:val="3A4350"/>
          <w:sz w:val="15"/>
          <w:szCs w:val="15"/>
        </w:rPr>
        <w:t xml:space="preserve"> only if its worst case beats the best case of </w:t>
      </w:r>
      <m:oMath>
        <m:r>
          <m:t>g</m:t>
        </m:r>
      </m:oMath>
      <w:r>
        <w:rPr>
          <w:color w:val="3A4350"/>
          <w:sz w:val="15"/>
          <w:szCs w:val="15"/>
        </w:rPr>
        <w:t xml:space="preserve">; if neither act passes this test, the two stay unranked.</w:t>
      </w:r>
    </w:p>
    <w:p>
      <w:pPr>
        <w:spacing w:after="60"/>
        <w:jc w:val="both"/>
      </w:pPr>
      <w:r>
        <w:rPr>
          <w:b/>
          <w:bCs/>
          <w:color w:val="B4410C"/>
          <w:sz w:val="17"/>
          <w:szCs w:val="17"/>
        </w:rPr>
        <w:t xml:space="preserve">Link to the Fushë-Kuqe stakeholders. </w:t>
      </w:r>
      <w:r>
        <w:rPr>
          <w:sz w:val="17"/>
          <w:szCs w:val="17"/>
        </w:rPr>
        <w:t xml:space="preserve">Belongs to theme 1. It gives a test of when a Fushë-Kuqe action is decisively better: three recharge wells beat the planned pumping if their worst exceedance probability over all stakeholders' credible scenarios is below the planned pumping's best. The ensemble gives 0.25 against 0.59; the test asks whether this survives every stakeholder's beliefs on mixing-zone width and recharge.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an axiomatic foundation to obvious-dominance reasoning as an incomplete multiple-prior criterion, separating the scenarios used for the chosen act from those used for its rival, and nests subjective expected utility. Published in the Journal of Economic Theory by two Caltech theorists of choice under uncertainty and co-authors.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theorem describes one decision maker. How the scenario sets </w:t>
      </w:r>
      <m:oMath>
        <m:r>
          <m:t>C</m:t>
        </m:r>
      </m:oMath>
      <w:r>
        <w:rPr>
          <w:sz w:val="17"/>
          <w:szCs w:val="17"/>
        </w:rPr>
        <w:t xml:space="preserve"> and </w:t>
      </w:r>
      <m:oMath>
        <m:r>
          <m:t>D</m:t>
        </m:r>
      </m:oMath>
      <w:r>
        <w:rPr>
          <w:sz w:val="17"/>
          <w:szCs w:val="17"/>
        </w:rPr>
        <w:t xml:space="preserve"> should be built from several stakeholders' disputed priors, and when new data make the incomplete ranking complete, is open; for a coastal aquifer this would define when evidence settles the choice.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incomplete preference comparing the worst case of one act with the best case of the other, axiomatised through weakened dominance and nesting expected utility and obvious dominance. Proposed extension: take </w:t>
      </w:r>
      <m:oMath>
        <m:r>
          <m:t>C</m:t>
        </m:r>
      </m:oMath>
      <w:r>
        <w:rPr>
          <w:sz w:val="17"/>
          <w:szCs w:val="17"/>
        </w:rPr>
        <w:t xml:space="preserve"> and </w:t>
      </w:r>
      <m:oMath>
        <m:r>
          <m:t>D</m:t>
        </m:r>
      </m:oMath>
      <w:r>
        <w:rPr>
          <w:sz w:val="17"/>
          <w:szCs w:val="17"/>
        </w:rPr>
        <w:t xml:space="preserve"> as the union of stakeholders' reweightings of the 20 000 draws, check which pairs of actions (pumping levels, wells, sampling) are ranked, and compute how far the chloride sample shrinks the sets until one action is ranked above all others.</w:t>
      </w:r>
    </w:p>
    <w:p>
      <w:pPr>
        <w:keepNext/>
        <w:pBdr>
          <w:top w:val="single" w:color="B4410C" w:sz="6" w:space="4"/>
        </w:pBdr>
        <w:spacing w:after="60" w:before="220"/>
      </w:pPr>
      <w:r>
        <w:rPr>
          <w:b/>
          <w:bCs/>
          <w:color w:val="B4410C"/>
          <w:sz w:val="23"/>
          <w:szCs w:val="23"/>
        </w:rPr>
        <w:t xml:space="preserve">C2  </w:t>
      </w:r>
      <w:r>
        <w:rPr>
          <w:b/>
          <w:bCs/>
          <w:color w:val="1F3864"/>
          <w:sz w:val="23"/>
          <w:szCs w:val="23"/>
        </w:rPr>
        <w:t xml:space="preserve">Background risk and small-stakes risk aversion</w:t>
      </w:r>
    </w:p>
    <w:p>
      <w:pPr>
        <w:keepNext/>
        <w:spacing w:after="60" w:line="240" w:lineRule="auto"/>
      </w:pPr>
      <w:r>
        <w:rPr>
          <w:b/>
          <w:bCs/>
          <w:color w:val="333B47"/>
          <w:sz w:val="15"/>
          <w:szCs w:val="15"/>
        </w:rPr>
        <w:t xml:space="preserve">Authors: </w:t>
      </w:r>
      <w:r>
        <w:rPr>
          <w:sz w:val="15"/>
          <w:szCs w:val="15"/>
        </w:rPr>
        <w:t xml:space="preserve">Xiaosheng Mu, Luciano Pomatto, Philipp Strack, Omer Tamuz</w:t>
      </w:r>
      <w:r>
        <w:rPr>
          <w:sz w:val="15"/>
          <w:szCs w:val="15"/>
        </w:rPr>
        <w:t xml:space="preserve">   </w:t>
      </w:r>
      <w:r>
        <w:rPr>
          <w:b/>
          <w:bCs/>
          <w:color w:val="333B47"/>
          <w:sz w:val="15"/>
          <w:szCs w:val="15"/>
        </w:rPr>
        <w:t xml:space="preserve">Published in: </w:t>
      </w:r>
      <w:r>
        <w:rPr>
          <w:sz w:val="15"/>
          <w:szCs w:val="15"/>
        </w:rPr>
        <w:t xml:space="preserve">American Economic Review: Insights, 6(2), 262–276 (June 2024)</w:t>
      </w:r>
      <w:r>
        <w:rPr>
          <w:sz w:val="15"/>
          <w:szCs w:val="15"/>
        </w:rPr>
        <w:t xml:space="preserve">   </w:t>
      </w:r>
      <w:r>
        <w:rPr>
          <w:b/>
          <w:bCs/>
          <w:color w:val="333B47"/>
          <w:sz w:val="15"/>
          <w:szCs w:val="15"/>
        </w:rPr>
        <w:t xml:space="preserve">Link: </w:t>
      </w:r>
      <w:hyperlink w:history="1" r:id="rIdon5civvgktr-y41gcoo8d">
        <w:r>
          <w:rPr>
            <w:color w:val="1D4ED8"/>
            <w:sz w:val="15"/>
            <w:szCs w:val="15"/>
            <w:u w:val="single"/>
          </w:rPr>
          <w:t xml:space="preserve">https://doi.org/10.1257/aeri.20220480</w:t>
        </w:r>
      </w:hyperlink>
    </w:p>
    <w:p>
      <w:pPr>
        <w:keepNext/>
        <w:spacing w:after="80" w:line="240" w:lineRule="auto"/>
      </w:pPr>
      <w:r>
        <w:rPr>
          <w:b/>
          <w:bCs/>
          <w:color w:val="333B47"/>
          <w:sz w:val="15"/>
          <w:szCs w:val="15"/>
        </w:rPr>
        <w:t xml:space="preserve">Affiliation: </w:t>
      </w:r>
      <w:r>
        <w:rPr>
          <w:color w:val="3A4350"/>
          <w:sz w:val="15"/>
          <w:szCs w:val="15"/>
        </w:rPr>
        <w:t xml:space="preserve">Luciano Pomatto and Omer Tamuz, Division of the Humanities and Social Sciences, Caltech (search summaries of this paper give Caltech; the division is listed for both on their 2024 Econometrica paper; a draft is hosted on Pomatto's Caltech page and he presented it at the Caltech Bray social sciences seminar); Xiaosheng Mu, Princeton; Philipp Strack, Yale.</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People often reject small favourable gambles, such as losing 10 or winning 11 dollars with equal odds. The paper proves that under plausible background risk no theory of choice under risk, including expected utility, prospect theory and rank-dependent utility, can at once (i) be averse to such small gambles, (ii) respect first-order stochastic dominance and (iii) account for background risk. The engine is the theorem of Pomatto, Strack and Tamuz (2020): if one gamble has a higher mean than another, adding a suitable independent risk to both makes the first dominate in first order. In the illustration, background risk with exponential tails and standard deviation above 200 dollars forces acceptance.</w:t>
      </w:r>
    </w:p>
    <w:p>
      <w:pPr>
        <w:keepNext/>
        <w:spacing w:after="20" w:before="40"/>
      </w:pPr>
      <w:r>
        <w:rPr>
          <w:b/>
          <w:bCs/>
          <w:color w:val="B4410C"/>
          <w:sz w:val="17"/>
          <w:szCs w:val="17"/>
        </w:rPr>
        <w:t xml:space="preserve">Key equation.</w:t>
      </w:r>
      <w:r>
        <w:rPr>
          <w:i/>
          <w:iCs/>
          <w:color w:val="5B6573"/>
          <w:sz w:val="15"/>
          <w:szCs w:val="15"/>
        </w:rPr>
        <w:t xml:space="preserve">  Dominance under independent background risk that drives the impossibility (representative formulation)</w:t>
      </w:r>
    </w:p>
    <w:p>
      <w:pPr>
        <w:pStyle w:val="Equation"/>
      </w:pPr>
      <m:oMathPara>
        <m:oMathParaPr>
          <m:jc m:val="center"/>
        </m:oMathParaPr>
        <m:oMath>
          <m:r>
            <m:rPr>
              <m:scr m:val="double-struck"/>
              <m:sty m:val="p"/>
            </m:rPr>
            <m:t>E</m:t>
          </m:r>
          <m:d>
            <m:dPr>
              <m:begChr m:val="["/>
              <m:sepChr m:val=""/>
              <m:endChr m:val="]"/>
              <m:grow/>
            </m:dPr>
            <m:e>
              <m:r>
                <m:t>X</m:t>
              </m:r>
            </m:e>
          </m:d>
          <m:r>
            <m:rPr>
              <m:sty m:val="p"/>
            </m:rPr>
            <m:t>&gt;</m:t>
          </m:r>
          <m:r>
            <m:t>0</m:t>
          </m:r>
          <m:r>
            <m:t> </m:t>
          </m:r>
          <m:r>
            <m:rPr>
              <m:sty m:val="p"/>
            </m:rPr>
            <m:t>⇒</m:t>
          </m:r>
          <m:r>
            <m:t> </m:t>
          </m:r>
          <m:r>
            <m:t>w</m:t>
          </m:r>
          <m:r>
            <m:rPr>
              <m:sty m:val="p"/>
            </m:rPr>
            <m:t>+</m:t>
          </m:r>
          <m:r>
            <m:t>X</m:t>
          </m:r>
          <m:r>
            <m:rPr>
              <m:sty m:val="p"/>
            </m:rPr>
            <m:t>+</m:t>
          </m:r>
          <m:r>
            <m:t>Z</m:t>
          </m:r>
          <m:sSub>
            <m:e>
              <m:r>
                <m:rPr>
                  <m:sty m:val="p"/>
                </m:rPr>
                <m:t>≽</m:t>
              </m:r>
            </m:e>
            <m:sub>
              <m:r>
                <m:rPr>
                  <m:nor/>
                </m:rPr>
                <m:t>FOSD</m:t>
              </m:r>
            </m:sub>
          </m:sSub>
          <m:r>
            <m:t>w</m:t>
          </m:r>
          <m:r>
            <m:rPr>
              <m:sty m:val="p"/>
            </m:rPr>
            <m:t>+</m:t>
          </m:r>
          <m:r>
            <m:t>Z</m:t>
          </m:r>
          <m:r>
            <m:t> </m:t>
          </m:r>
          <m:r>
            <m:rPr>
              <m:nor/>
            </m:rPr>
            <m:t>for an independent background risk </m:t>
          </m:r>
          <m:r>
            <m:t>Z</m:t>
          </m:r>
          <m:r>
            <m:rPr>
              <m:nor/>
            </m:rPr>
            <m:t> that is large enough</m:t>
          </m:r>
        </m:oMath>
      </m:oMathPara>
    </w:p>
    <w:p>
      <w:pPr>
        <w:spacing w:after="60"/>
        <w:jc w:val="both"/>
      </w:pPr>
      <m:oMath>
        <m:r>
          <m:t>X</m:t>
        </m:r>
      </m:oMath>
      <w:r>
        <w:rPr>
          <w:color w:val="3A4350"/>
          <w:sz w:val="15"/>
          <w:szCs w:val="15"/>
        </w:rPr>
        <w:t xml:space="preserve"> is the small gamble, </w:t>
      </w:r>
      <m:oMath>
        <m:r>
          <m:t>Z</m:t>
        </m:r>
      </m:oMath>
      <w:r>
        <w:rPr>
          <w:color w:val="3A4350"/>
          <w:sz w:val="15"/>
          <w:szCs w:val="15"/>
        </w:rPr>
        <w:t xml:space="preserve"> background risk independent of </w:t>
      </w:r>
      <m:oMath>
        <m:r>
          <m:t>X</m:t>
        </m:r>
      </m:oMath>
      <w:r>
        <w:rPr>
          <w:color w:val="3A4350"/>
          <w:sz w:val="15"/>
          <w:szCs w:val="15"/>
        </w:rPr>
        <w:t xml:space="preserve">, </w:t>
      </w:r>
      <m:oMath>
        <m:r>
          <m:t>w</m:t>
        </m:r>
      </m:oMath>
      <w:r>
        <w:rPr>
          <w:color w:val="3A4350"/>
          <w:sz w:val="15"/>
          <w:szCs w:val="15"/>
        </w:rPr>
        <w:t xml:space="preserve"> initial wealth and </w:t>
      </w:r>
      <m:oMath>
        <m:sSub>
          <m:e>
            <m:r>
              <m:rPr>
                <m:sty m:val="p"/>
              </m:rPr>
              <m:t>≽</m:t>
            </m:r>
          </m:e>
          <m:sub>
            <m:r>
              <m:rPr>
                <m:nor/>
              </m:rPr>
              <m:t>FOSD</m:t>
            </m:r>
          </m:sub>
        </m:sSub>
      </m:oMath>
      <w:r>
        <w:rPr>
          <w:color w:val="3A4350"/>
          <w:sz w:val="15"/>
          <w:szCs w:val="15"/>
        </w:rPr>
        <w:t xml:space="preserve"> first-order stochastic dominance; any preference that respects dominance must then accept </w:t>
      </w:r>
      <m:oMath>
        <m:r>
          <m:t>X</m:t>
        </m:r>
      </m:oMath>
      <w:r>
        <w:rPr>
          <w:color w:val="3A4350"/>
          <w:sz w:val="15"/>
          <w:szCs w:val="15"/>
        </w:rPr>
        <w:t xml:space="preserve">, so small-stakes aversion cannot coexist with dominance and background risk.</w:t>
      </w:r>
    </w:p>
    <w:p>
      <w:pPr>
        <w:spacing w:after="60"/>
        <w:jc w:val="both"/>
      </w:pPr>
      <w:r>
        <w:rPr>
          <w:b/>
          <w:bCs/>
          <w:color w:val="B4410C"/>
          <w:sz w:val="17"/>
          <w:szCs w:val="17"/>
        </w:rPr>
        <w:t xml:space="preserve">Link to the Fushë-Kuqe stakeholders. </w:t>
      </w:r>
      <w:r>
        <w:rPr>
          <w:sz w:val="17"/>
          <w:szCs w:val="17"/>
        </w:rPr>
        <w:t xml:space="preserve">Belongs to theme 1. Fushë-Kuqe stakeholders face small choices (one chloride sample, a modest pumping step) on top of large background risks (a drying climate, sea-level rise, tourism income). If those risks were independent of the choice, caution about a small favourable step would violate dominance; legitimate caution must come from correlation, for example salinisation peaking in dry years.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puzzle of small-stakes risk aversion into an impossibility theorem that holds across expected utility, prospect theory and rank-dependent utility, using only dominance and independence, with a quantified illustration. Published in American Economic Review: Insights and built on the authors' Journal of Political Economy theorem.</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theorem needs background risk independent of the gamble and with a known distribution. Whether a version holds when background risk is correlated with the gamble (drought raising both chloride and demand) or ambiguous is open, and it decides whether coastal stakeholders' caution is rational.</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impossibility for all dominance-respecting models, obtained by adding independent noise rather than by calibrating a utility curve. Proposed extension: from the 20 000 weighted draws build each stakeholder's background payoff (supply shortfall, crop or hotel income under climate scenarios) and test whether adding the sample or a pumping step yields first-order dominance; where it fails, measure the dependence between the step's loss and the background that justifies caution.</w:t>
      </w:r>
    </w:p>
    <w:p>
      <w:pPr>
        <w:keepNext/>
        <w:pBdr>
          <w:top w:val="single" w:color="B4410C" w:sz="6" w:space="4"/>
        </w:pBdr>
        <w:spacing w:after="60" w:before="220"/>
      </w:pPr>
      <w:r>
        <w:rPr>
          <w:b/>
          <w:bCs/>
          <w:color w:val="B4410C"/>
          <w:sz w:val="23"/>
          <w:szCs w:val="23"/>
        </w:rPr>
        <w:t xml:space="preserve">C3  </w:t>
      </w:r>
      <w:r>
        <w:rPr>
          <w:b/>
          <w:bCs/>
          <w:color w:val="1F3864"/>
          <w:sz w:val="23"/>
          <w:szCs w:val="23"/>
        </w:rPr>
        <w:t xml:space="preserve">Equitable voting rules</w:t>
      </w:r>
    </w:p>
    <w:p>
      <w:pPr>
        <w:keepNext/>
        <w:spacing w:after="60" w:line="240" w:lineRule="auto"/>
      </w:pPr>
      <w:r>
        <w:rPr>
          <w:b/>
          <w:bCs/>
          <w:color w:val="333B47"/>
          <w:sz w:val="15"/>
          <w:szCs w:val="15"/>
        </w:rPr>
        <w:t xml:space="preserve">Authors: </w:t>
      </w:r>
      <w:r>
        <w:rPr>
          <w:sz w:val="15"/>
          <w:szCs w:val="15"/>
        </w:rPr>
        <w:t xml:space="preserve">Laurent Bartholdi, Wade Hann-Caruthers, Maya Josyula, Omer Tamuz, Leeat Yariv</w:t>
      </w:r>
      <w:r>
        <w:rPr>
          <w:sz w:val="15"/>
          <w:szCs w:val="15"/>
        </w:rPr>
        <w:t xml:space="preserve">   </w:t>
      </w:r>
      <w:r>
        <w:rPr>
          <w:b/>
          <w:bCs/>
          <w:color w:val="333B47"/>
          <w:sz w:val="15"/>
          <w:szCs w:val="15"/>
        </w:rPr>
        <w:t xml:space="preserve">Published in: </w:t>
      </w:r>
      <w:r>
        <w:rPr>
          <w:sz w:val="15"/>
          <w:szCs w:val="15"/>
        </w:rPr>
        <w:t xml:space="preserve">Econometrica, 89(2), 563–589 (March 2021)</w:t>
      </w:r>
      <w:r>
        <w:rPr>
          <w:sz w:val="15"/>
          <w:szCs w:val="15"/>
        </w:rPr>
        <w:t xml:space="preserve">   </w:t>
      </w:r>
      <w:r>
        <w:rPr>
          <w:b/>
          <w:bCs/>
          <w:color w:val="333B47"/>
          <w:sz w:val="15"/>
          <w:szCs w:val="15"/>
        </w:rPr>
        <w:t xml:space="preserve">Link: </w:t>
      </w:r>
      <w:hyperlink w:history="1" r:id="rIdlly-jtddifcabukw67olt">
        <w:r>
          <w:rPr>
            <w:color w:val="1D4ED8"/>
            <w:sz w:val="15"/>
            <w:szCs w:val="15"/>
            <w:u w:val="single"/>
          </w:rPr>
          <w:t xml:space="preserve">https://doi.org/10.3982/ECTA17032</w:t>
        </w:r>
      </w:hyperlink>
    </w:p>
    <w:p>
      <w:pPr>
        <w:keepNext/>
        <w:spacing w:after="80" w:line="240" w:lineRule="auto"/>
      </w:pPr>
      <w:r>
        <w:rPr>
          <w:b/>
          <w:bCs/>
          <w:color w:val="333B47"/>
          <w:sz w:val="15"/>
          <w:szCs w:val="15"/>
        </w:rPr>
        <w:t xml:space="preserve">Affiliation: </w:t>
      </w:r>
      <w:r>
        <w:rPr>
          <w:color w:val="3A4350"/>
          <w:sz w:val="15"/>
          <w:szCs w:val="15"/>
        </w:rPr>
        <w:t xml:space="preserve">Omer Tamuz, Division of the Humanities and Social Sciences, Caltech (search listing; CaltechAUTHORS records 20190625-114737785 and 20210414-131421263, the latter the published version); Leeat Yariv, Princeton (Princeton research portal lists the paper). Other co-authors' affiliations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B4410C"/>
          <w:sz w:val="17"/>
          <w:szCs w:val="17"/>
        </w:rPr>
        <w:t xml:space="preserve">Summary. </w:t>
      </w:r>
      <w:r>
        <w:rPr>
          <w:sz w:val="17"/>
          <w:szCs w:val="17"/>
        </w:rPr>
        <w:t xml:space="preserve">May's theorem (1952) says that with two alternatives, majority rule is the only rule that is anonymous (fully symmetric in voters), neutral and positively responsive. Many real procedures give voters identical roles without full symmetry. The paper weakens symmetry to equity, which requires only that any voter can be mapped to any other by a relabelling of voters that leaves the rule unchanged. Using group theory, the authors show that this admits a far richer class of rules that still treat voters equally; such rules can have minimal winning coalitions that are a vanishing fraction of the population, but never fewer than the square root of the population size.</w:t>
      </w:r>
    </w:p>
    <w:p>
      <w:pPr>
        <w:keepNext/>
        <w:spacing w:after="20" w:before="40"/>
      </w:pPr>
      <w:r>
        <w:rPr>
          <w:b/>
          <w:bCs/>
          <w:color w:val="B4410C"/>
          <w:sz w:val="17"/>
          <w:szCs w:val="17"/>
        </w:rPr>
        <w:t xml:space="preserve">Key equation.</w:t>
      </w:r>
      <w:r>
        <w:rPr>
          <w:i/>
          <w:iCs/>
          <w:color w:val="5B6573"/>
          <w:sz w:val="15"/>
          <w:szCs w:val="15"/>
        </w:rPr>
        <w:t xml:space="preserve">  Lower bound on minimal winning coalitions of equitable rules, as stated in the abstract (representative formulation)</w:t>
      </w:r>
    </w:p>
    <w:p>
      <w:pPr>
        <w:pStyle w:val="Equation"/>
      </w:pPr>
      <m:oMathPara>
        <m:oMathParaPr>
          <m:jc m:val="center"/>
        </m:oMathParaPr>
        <m:oMath>
          <m:d>
            <m:dPr>
              <m:begChr m:val="|"/>
              <m:sepChr m:val=""/>
              <m:endChr m:val="|"/>
              <m:grow/>
            </m:dPr>
            <m:e>
              <m:r>
                <m:t>C</m:t>
              </m:r>
            </m:e>
          </m:d>
          <m:r>
            <m:rPr>
              <m:sty m:val="p"/>
            </m:rPr>
            <m:t>≥</m:t>
          </m:r>
          <m:rad>
            <m:radPr>
              <m:degHide m:val="on"/>
            </m:radPr>
            <m:deg/>
            <m:e>
              <m:r>
                <m:t>n</m:t>
              </m:r>
            </m:e>
          </m:rad>
          <m:r>
            <m:t> </m:t>
          </m:r>
          <m:r>
            <m:rPr>
              <m:nor/>
            </m:rPr>
            <m:t>for every minimal winning coalition </m:t>
          </m:r>
          <m:r>
            <m:t>C</m:t>
          </m:r>
        </m:oMath>
      </m:oMathPara>
    </w:p>
    <w:p>
      <w:pPr>
        <w:spacing w:after="60"/>
        <w:jc w:val="both"/>
      </w:pPr>
      <m:oMath>
        <m:r>
          <m:t>n</m:t>
        </m:r>
      </m:oMath>
      <w:r>
        <w:rPr>
          <w:color w:val="3A4350"/>
          <w:sz w:val="15"/>
          <w:szCs w:val="15"/>
        </w:rPr>
        <w:t xml:space="preserve"> is the number of voters and </w:t>
      </w:r>
      <m:oMath>
        <m:r>
          <m:t>C</m:t>
        </m:r>
      </m:oMath>
      <w:r>
        <w:rPr>
          <w:color w:val="3A4350"/>
          <w:sz w:val="15"/>
          <w:szCs w:val="15"/>
        </w:rPr>
        <w:t xml:space="preserve"> a minimal winning coalition of an equitable rule; the paper also shows that equitable rules exist whose minimal winning coalitions are a vanishing fraction of </w:t>
      </w:r>
      <m:oMath>
        <m:r>
          <m:t>n</m:t>
        </m:r>
      </m:oMath>
      <w:r>
        <w:rPr>
          <w:color w:val="3A4350"/>
          <w:sz w:val="15"/>
          <w:szCs w:val="15"/>
        </w:rPr>
        <w:t xml:space="preserve">, so equal treatment does not force majority rule.</w:t>
      </w:r>
    </w:p>
    <w:p>
      <w:pPr>
        <w:spacing w:after="60"/>
        <w:jc w:val="both"/>
      </w:pPr>
      <w:r>
        <w:rPr>
          <w:b/>
          <w:bCs/>
          <w:color w:val="B4410C"/>
          <w:sz w:val="17"/>
          <w:szCs w:val="17"/>
        </w:rPr>
        <w:t xml:space="preserve">Link to the Fushë-Kuqe stakeholders. </w:t>
      </w:r>
      <w:r>
        <w:rPr>
          <w:sz w:val="17"/>
          <w:szCs w:val="17"/>
        </w:rPr>
        <w:t xml:space="preserve">Belongs to theme 4. A Fushë-Kuqe assembly (utility, irrigators, hotels, municipality, regional agency, environmental groups, perhaps several delegates each) must take yes-or-no decisions such as building the three recharge wells. The paper shows procedures that give every delegate an identical role yet differ from majority, and sets a floor: with 36 delegates at least 6 must back a decision.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reopens one of the founding results of social choice: equal roles for voters do not force majority rule, and a decisive group can be as small as a vanishing fraction of voters but no smaller than </w:t>
      </w:r>
      <m:oMath>
        <m:rad>
          <m:radPr>
            <m:degHide m:val="on"/>
          </m:radPr>
          <m:deg/>
          <m:e>
            <m:r>
              <m:t>n</m:t>
            </m:r>
          </m:e>
        </m:rad>
      </m:oMath>
      <w:r>
        <w:rPr>
          <w:sz w:val="17"/>
          <w:szCs w:val="17"/>
        </w:rPr>
        <w:t xml:space="preserve">. It brings group theory into social choice. Published in Econometrica.</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analysis treats fixed preferences over two alternatives. Which equitable rules best recover the action that is robust under every stakeholder's beliefs, when votes rest on disputed probabilities and may change after a chloride sample, is open and would be new for aquifer governance.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group-theoretic weakening of May's symmetry, constructions with vanishing-fraction winning coalitions and the </w:t>
      </w:r>
      <m:oMath>
        <m:rad>
          <m:radPr>
            <m:degHide m:val="on"/>
          </m:radPr>
          <m:deg/>
          <m:e>
            <m:r>
              <m:t>n</m:t>
            </m:r>
          </m:e>
        </m:rad>
      </m:oMath>
      <w:r>
        <w:rPr>
          <w:sz w:val="17"/>
          <w:szCs w:val="17"/>
        </w:rPr>
        <w:t xml:space="preserve"> lower bound. Proposed extension: for a delegate assembly structured by sector and location, define equitable rules from the sector-location symmetry group; simulate votes on the recharge wells with delegates' beliefs drawn by reweighting the 20 000 draws, before and after the sample, and compare how often each rule picks the action robust to all beliefs.</w:t>
      </w:r>
    </w:p>
    <w:p>
      <w:pPr>
        <w:keepNext/>
        <w:pBdr>
          <w:top w:val="single" w:color="B4410C" w:sz="6" w:space="4"/>
        </w:pBdr>
        <w:spacing w:after="60" w:before="220"/>
      </w:pPr>
      <w:r>
        <w:rPr>
          <w:b/>
          <w:bCs/>
          <w:color w:val="B4410C"/>
          <w:sz w:val="23"/>
          <w:szCs w:val="23"/>
        </w:rPr>
        <w:t xml:space="preserve">C4  </w:t>
      </w:r>
      <w:r>
        <w:rPr>
          <w:b/>
          <w:bCs/>
          <w:color w:val="1F3864"/>
          <w:sz w:val="23"/>
          <w:szCs w:val="23"/>
        </w:rPr>
        <w:t xml:space="preserve">Constrained pseudo-market equilibrium</w:t>
      </w:r>
    </w:p>
    <w:p>
      <w:pPr>
        <w:keepNext/>
        <w:spacing w:after="60" w:line="240" w:lineRule="auto"/>
      </w:pPr>
      <w:r>
        <w:rPr>
          <w:b/>
          <w:bCs/>
          <w:color w:val="333B47"/>
          <w:sz w:val="15"/>
          <w:szCs w:val="15"/>
        </w:rPr>
        <w:t xml:space="preserve">Authors: </w:t>
      </w:r>
      <w:r>
        <w:rPr>
          <w:sz w:val="15"/>
          <w:szCs w:val="15"/>
        </w:rPr>
        <w:t xml:space="preserve">Federico Echenique, Antonio Miralles, Jun Zhang</w:t>
      </w:r>
      <w:r>
        <w:rPr>
          <w:sz w:val="15"/>
          <w:szCs w:val="15"/>
        </w:rPr>
        <w:t xml:space="preserve">   </w:t>
      </w:r>
      <w:r>
        <w:rPr>
          <w:b/>
          <w:bCs/>
          <w:color w:val="333B47"/>
          <w:sz w:val="15"/>
          <w:szCs w:val="15"/>
        </w:rPr>
        <w:t xml:space="preserve">Published in: </w:t>
      </w:r>
      <w:r>
        <w:rPr>
          <w:sz w:val="15"/>
          <w:szCs w:val="15"/>
        </w:rPr>
        <w:t xml:space="preserve">American Economic Review, 111(11), 3699–3732 (November 2021)</w:t>
      </w:r>
      <w:r>
        <w:rPr>
          <w:sz w:val="15"/>
          <w:szCs w:val="15"/>
        </w:rPr>
        <w:t xml:space="preserve">   </w:t>
      </w:r>
      <w:r>
        <w:rPr>
          <w:b/>
          <w:bCs/>
          <w:color w:val="333B47"/>
          <w:sz w:val="15"/>
          <w:szCs w:val="15"/>
        </w:rPr>
        <w:t xml:space="preserve">Link: </w:t>
      </w:r>
      <w:hyperlink w:history="1" r:id="rIduwnz2bid_wqubuhokabpo">
        <w:r>
          <w:rPr>
            <w:color w:val="1D4ED8"/>
            <w:sz w:val="15"/>
            <w:szCs w:val="15"/>
            <w:u w:val="single"/>
          </w:rPr>
          <w:t xml:space="preserve">https://doi.org/10.1257/aer.20201769</w:t>
        </w:r>
      </w:hyperlink>
    </w:p>
    <w:p>
      <w:pPr>
        <w:keepNext/>
        <w:spacing w:after="80" w:line="240" w:lineRule="auto"/>
      </w:pPr>
      <w:r>
        <w:rPr>
          <w:b/>
          <w:bCs/>
          <w:color w:val="333B47"/>
          <w:sz w:val="15"/>
          <w:szCs w:val="15"/>
        </w:rPr>
        <w:t xml:space="preserve">Affiliation: </w:t>
      </w:r>
      <w:r>
        <w:rPr>
          <w:color w:val="3A4350"/>
          <w:sz w:val="15"/>
          <w:szCs w:val="15"/>
        </w:rPr>
        <w:t xml:space="preserve">Federico Echenique, Caltech at publication: the paper has a CaltechAUTHORS record (CaltechAUTHORS:20210304-093802203, published November 2021); his division (Humanities and Social Sciences) is not shown in that result (not verified). Miralles and Zhang affiliations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Allocating indivisible resources without money (school seats, courses, rooms) under constraints is hard to do efficiently and fairly. Extending the Hylland–Zeckhauser pseudo-market, in which agents hold token budgets and buy probability shares of goods, the paper allows general constraints, including diversity, scheduling, roommate and knapsack constraints. Constraints create pecuniary externalities, which are internalised by prices: agents pay to the extent that their purchases affect the relevant constraints at equilibrium prices. The main results show that the resulting market equilibrium outcome is constrained efficient, and that it is fair whenever the constraints do not single out individual agents.</w:t>
      </w:r>
    </w:p>
    <w:p>
      <w:pPr>
        <w:keepNext/>
        <w:spacing w:after="20" w:before="40"/>
      </w:pPr>
      <w:r>
        <w:rPr>
          <w:b/>
          <w:bCs/>
          <w:color w:val="B4410C"/>
          <w:sz w:val="17"/>
          <w:szCs w:val="17"/>
        </w:rPr>
        <w:t xml:space="preserve">Key equation.</w:t>
      </w:r>
      <w:r>
        <w:rPr>
          <w:i/>
          <w:iCs/>
          <w:color w:val="5B6573"/>
          <w:sz w:val="15"/>
          <w:szCs w:val="15"/>
        </w:rPr>
        <w:t xml:space="preserve">  Agent demand in a constrained pseudo-market, paying for goods and for the use of constraints (representative formulation)</w:t>
      </w:r>
    </w:p>
    <w:p>
      <w:pPr>
        <w:pStyle w:val="Equation"/>
      </w:pPr>
      <m:oMathPara>
        <m:oMathParaPr>
          <m:jc m:val="center"/>
        </m:oMathParaPr>
        <m:oMath>
          <m:sSub>
            <m:e>
              <m:r>
                <m:t>x</m:t>
              </m:r>
            </m:e>
            <m:sub>
              <m:r>
                <m:t>i</m:t>
              </m:r>
            </m:sub>
          </m:sSub>
          <m:r>
            <m:rPr>
              <m:sty m:val="p"/>
            </m:rPr>
            <m:t>∈</m:t>
          </m:r>
          <m:r>
            <m:rPr>
              <m:sty m:val="p"/>
            </m:rPr>
            <m:t>arg</m:t>
          </m:r>
          <m:r>
            <m:rPr>
              <m:sty m:val="p"/>
            </m:rPr>
            <m:t>max</m:t>
          </m:r>
          <m:d>
            <m:dPr>
              <m:begChr m:val="{"/>
              <m:sepChr m:val=""/>
              <m:endChr m:val="}"/>
              <m:grow/>
            </m:dPr>
            <m:e>
              <m:sSub>
                <m:e>
                  <m:r>
                    <m:t>u</m:t>
                  </m:r>
                </m:e>
                <m:sub>
                  <m:r>
                    <m:t>i</m:t>
                  </m:r>
                </m:sub>
              </m:sSub>
              <m:r>
                <m:rPr>
                  <m:sty m:val="p"/>
                </m:rPr>
                <m:t>⋅</m:t>
              </m:r>
              <m:r>
                <m:t>x</m:t>
              </m:r>
              <m:r>
                <m:rPr>
                  <m:sty m:val="p"/>
                </m:rPr>
                <m:t>:</m:t>
              </m:r>
              <m:r>
                <m:t>x</m:t>
              </m:r>
              <m:r>
                <m:rPr>
                  <m:sty m:val="p"/>
                </m:rPr>
                <m:t>∈</m:t>
              </m:r>
              <m:sSub>
                <m:e>
                  <m:r>
                    <m:t>X</m:t>
                  </m:r>
                </m:e>
                <m:sub>
                  <m:r>
                    <m:t>i</m:t>
                  </m:r>
                </m:sub>
              </m:sSub>
              <m:r>
                <m:rPr>
                  <m:sty m:val="p"/>
                </m:rPr>
                <m:t>,</m:t>
              </m:r>
              <m:r>
                <m:t> </m:t>
              </m:r>
              <m:d>
                <m:dPr>
                  <m:begChr m:val="("/>
                  <m:sepChr m:val=""/>
                  <m:endChr m:val=")"/>
                  <m:grow/>
                </m:dPr>
                <m:e>
                  <m:r>
                    <m:t>p</m:t>
                  </m:r>
                  <m:r>
                    <m:rPr>
                      <m:sty m:val="p"/>
                    </m:rPr>
                    <m:t>+</m:t>
                  </m:r>
                  <m:nary>
                    <m:naryPr>
                      <m:chr m:val="∑"/>
                      <m:limLoc m:val="undOvr"/>
                      <m:subHide m:val="off"/>
                      <m:supHide m:val="on"/>
                    </m:naryPr>
                    <m:sub>
                      <m:r>
                        <m:t>k</m:t>
                      </m:r>
                    </m:sub>
                    <m:sup>
                      <m:r>
                        <m:t>​</m:t>
                      </m:r>
                    </m:sup>
                    <m:e>
                      <m:sSub>
                        <m:e>
                          <m:r>
                            <m:t>q</m:t>
                          </m:r>
                        </m:e>
                        <m:sub>
                          <m:r>
                            <m:t>k</m:t>
                          </m:r>
                        </m:sub>
                      </m:sSub>
                    </m:e>
                  </m:nary>
                  <m:sSub>
                    <m:e>
                      <m:r>
                        <m:t>a</m:t>
                      </m:r>
                    </m:e>
                    <m:sub>
                      <m:r>
                        <m:t>i</m:t>
                      </m:r>
                      <m:r>
                        <m:t>k</m:t>
                      </m:r>
                    </m:sub>
                  </m:sSub>
                </m:e>
              </m:d>
              <m:r>
                <m:rPr>
                  <m:sty m:val="p"/>
                </m:rPr>
                <m:t>⋅</m:t>
              </m:r>
              <m:r>
                <m:t>x</m:t>
              </m:r>
              <m:r>
                <m:rPr>
                  <m:sty m:val="p"/>
                </m:rPr>
                <m:t>≤</m:t>
              </m:r>
              <m:sSub>
                <m:e>
                  <m:r>
                    <m:t>w</m:t>
                  </m:r>
                </m:e>
                <m:sub>
                  <m:r>
                    <m:t>i</m:t>
                  </m:r>
                </m:sub>
              </m:sSub>
            </m:e>
          </m:d>
        </m:oMath>
      </m:oMathPara>
    </w:p>
    <w:p>
      <w:pPr>
        <w:spacing w:after="60"/>
        <w:jc w:val="both"/>
      </w:pPr>
      <m:oMath>
        <m:r>
          <m:t>x</m:t>
        </m:r>
      </m:oMath>
      <w:r>
        <w:rPr>
          <w:color w:val="3A4350"/>
          <w:sz w:val="15"/>
          <w:szCs w:val="15"/>
        </w:rPr>
        <w:t xml:space="preserve"> is a vector of probability shares, </w:t>
      </w:r>
      <m:oMath>
        <m:sSub>
          <m:e>
            <m:r>
              <m:t>u</m:t>
            </m:r>
          </m:e>
          <m:sub>
            <m:r>
              <m:t>i</m:t>
            </m:r>
          </m:sub>
        </m:sSub>
      </m:oMath>
      <w:r>
        <w:rPr>
          <w:color w:val="3A4350"/>
          <w:sz w:val="15"/>
          <w:szCs w:val="15"/>
        </w:rPr>
        <w:t xml:space="preserve"> agent </w:t>
      </w:r>
      <m:oMath>
        <m:r>
          <m:t>i</m:t>
        </m:r>
      </m:oMath>
      <w:r>
        <w:rPr>
          <w:color w:val="3A4350"/>
          <w:sz w:val="15"/>
          <w:szCs w:val="15"/>
        </w:rPr>
        <w:t xml:space="preserve">'s utilities, </w:t>
      </w:r>
      <m:oMath>
        <m:sSub>
          <m:e>
            <m:r>
              <m:t>X</m:t>
            </m:r>
          </m:e>
          <m:sub>
            <m:r>
              <m:t>i</m:t>
            </m:r>
          </m:sub>
        </m:sSub>
      </m:oMath>
      <w:r>
        <w:rPr>
          <w:color w:val="3A4350"/>
          <w:sz w:val="15"/>
          <w:szCs w:val="15"/>
        </w:rPr>
        <w:t xml:space="preserve"> her feasible consumption set, </w:t>
      </w:r>
      <m:oMath>
        <m:r>
          <m:t>p</m:t>
        </m:r>
      </m:oMath>
      <w:r>
        <w:rPr>
          <w:color w:val="3A4350"/>
          <w:sz w:val="15"/>
          <w:szCs w:val="15"/>
        </w:rPr>
        <w:t xml:space="preserve"> the prices of goods, </w:t>
      </w:r>
      <m:oMath>
        <m:sSub>
          <m:e>
            <m:r>
              <m:t>q</m:t>
            </m:r>
          </m:e>
          <m:sub>
            <m:r>
              <m:t>k</m:t>
            </m:r>
          </m:sub>
        </m:sSub>
        <m:r>
          <m:rPr>
            <m:sty m:val="p"/>
          </m:rPr>
          <m:t>≥</m:t>
        </m:r>
        <m:r>
          <m:t>0</m:t>
        </m:r>
      </m:oMath>
      <w:r>
        <w:rPr>
          <w:color w:val="3A4350"/>
          <w:sz w:val="15"/>
          <w:szCs w:val="15"/>
        </w:rPr>
        <w:t xml:space="preserve"> the price of constraint </w:t>
      </w:r>
      <m:oMath>
        <m:r>
          <m:t>k</m:t>
        </m:r>
      </m:oMath>
      <w:r>
        <w:rPr>
          <w:color w:val="3A4350"/>
          <w:sz w:val="15"/>
          <w:szCs w:val="15"/>
        </w:rPr>
        <w:t xml:space="preserve">, </w:t>
      </w:r>
      <m:oMath>
        <m:sSub>
          <m:e>
            <m:r>
              <m:t>a</m:t>
            </m:r>
          </m:e>
          <m:sub>
            <m:r>
              <m:t>i</m:t>
            </m:r>
            <m:r>
              <m:t>k</m:t>
            </m:r>
          </m:sub>
        </m:sSub>
      </m:oMath>
      <w:r>
        <w:rPr>
          <w:color w:val="3A4350"/>
          <w:sz w:val="15"/>
          <w:szCs w:val="15"/>
        </w:rPr>
        <w:t xml:space="preserve"> the coefficients of her consumption in that constraint and </w:t>
      </w:r>
      <m:oMath>
        <m:sSub>
          <m:e>
            <m:r>
              <m:t>w</m:t>
            </m:r>
          </m:e>
          <m:sub>
            <m:r>
              <m:t>i</m:t>
            </m:r>
          </m:sub>
        </m:sSub>
      </m:oMath>
      <w:r>
        <w:rPr>
          <w:color w:val="3A4350"/>
          <w:sz w:val="15"/>
          <w:szCs w:val="15"/>
        </w:rPr>
        <w:t xml:space="preserve"> her token budget.</w:t>
      </w:r>
    </w:p>
    <w:p>
      <w:pPr>
        <w:spacing w:after="60"/>
        <w:jc w:val="both"/>
      </w:pPr>
      <w:r>
        <w:rPr>
          <w:b/>
          <w:bCs/>
          <w:color w:val="B4410C"/>
          <w:sz w:val="17"/>
          <w:szCs w:val="17"/>
        </w:rPr>
        <w:t xml:space="preserve">Link to the Fushë-Kuqe stakeholders. </w:t>
      </w:r>
      <w:r>
        <w:rPr>
          <w:sz w:val="17"/>
          <w:szCs w:val="17"/>
        </w:rPr>
        <w:t xml:space="preserve">Belongs to theme 4. Pumping at A1 and P10, irrigation wells and hotel wells share one constraint: the probability of exceeding 250 mg/L chloride. A constrained pseudo-market with equal token budgets lets each user pay for its effect on that constraint, giving an efficient and fair allocation of the risk budget instead of protracted bargaining.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classic no-money market mechanism into a general tool for constrained allocation, with prices that make each agent bear her effect on shared constraints, and establishes constrained efficiency and fairness. Published in the American Economic Review.</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Constraints in the paper are known and linear in the allocation. With chance constraints whose coefficients come from an uncertain chloride model and are disputed between stakeholders, existence, efficiency and fairness of such equilibria are open, and would be new for aquifer allocation.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pseudo-market for general constraint structures, with constraint prices internalising externalities, giving constrained efficiency and conditional fairness. Proposed extension: linearise the exceedance probability at A1 and P10 in each user's pumping (sensitivities from the 20 000 draws), impose a 10% risk cap, and compute equilibria with equal budgets with and without the chloride sample; the change in the constraint price values the sample.</w:t>
      </w:r>
    </w:p>
    <w:p>
      <w:pPr>
        <w:keepNext/>
        <w:pBdr>
          <w:top w:val="single" w:color="B4410C" w:sz="6" w:space="4"/>
        </w:pBdr>
        <w:spacing w:after="60" w:before="220"/>
      </w:pPr>
      <w:r>
        <w:rPr>
          <w:b/>
          <w:bCs/>
          <w:color w:val="B4410C"/>
          <w:sz w:val="23"/>
          <w:szCs w:val="23"/>
        </w:rPr>
        <w:t xml:space="preserve">C5  </w:t>
      </w:r>
      <w:r>
        <w:rPr>
          <w:b/>
          <w:bCs/>
          <w:color w:val="1F3864"/>
          <w:sz w:val="23"/>
          <w:szCs w:val="23"/>
        </w:rPr>
        <w:t xml:space="preserve">Pareto-optimal learning-augmented algorithms for online conversion problems</w:t>
      </w:r>
    </w:p>
    <w:p>
      <w:pPr>
        <w:keepNext/>
        <w:spacing w:after="60" w:line="240" w:lineRule="auto"/>
      </w:pPr>
      <w:r>
        <w:rPr>
          <w:b/>
          <w:bCs/>
          <w:color w:val="333B47"/>
          <w:sz w:val="15"/>
          <w:szCs w:val="15"/>
        </w:rPr>
        <w:t xml:space="preserve">Authors: </w:t>
      </w:r>
      <w:r>
        <w:rPr>
          <w:sz w:val="15"/>
          <w:szCs w:val="15"/>
        </w:rPr>
        <w:t xml:space="preserve">Bo Sun, Russell Lee, Mohammad Hajiesmaili, Adam Wierman, Danny Tsang</w:t>
      </w:r>
      <w:r>
        <w:rPr>
          <w:sz w:val="15"/>
          <w:szCs w:val="15"/>
        </w:rPr>
        <w:t xml:space="preserve">   </w:t>
      </w:r>
      <w:r>
        <w:rPr>
          <w:b/>
          <w:bCs/>
          <w:color w:val="333B47"/>
          <w:sz w:val="15"/>
          <w:szCs w:val="15"/>
        </w:rPr>
        <w:t xml:space="preserve">Published in: </w:t>
      </w:r>
      <w:r>
        <w:rPr>
          <w:sz w:val="15"/>
          <w:szCs w:val="15"/>
        </w:rPr>
        <w:t xml:space="preserve">Advances in Neural Information Processing Systems 34 (NeurIPS 2021), main track (pages not verified)</w:t>
      </w:r>
      <w:r>
        <w:rPr>
          <w:sz w:val="15"/>
          <w:szCs w:val="15"/>
        </w:rPr>
        <w:t xml:space="preserve">   </w:t>
      </w:r>
      <w:r>
        <w:rPr>
          <w:b/>
          <w:bCs/>
          <w:color w:val="333B47"/>
          <w:sz w:val="15"/>
          <w:szCs w:val="15"/>
        </w:rPr>
        <w:t xml:space="preserve">Link: </w:t>
      </w:r>
      <w:hyperlink w:history="1" r:id="rId0cxfwoz_yms3vgyrxkdth">
        <w:r>
          <w:rPr>
            <w:color w:val="1D4ED8"/>
            <w:sz w:val="15"/>
            <w:szCs w:val="15"/>
            <w:u w:val="single"/>
          </w:rPr>
          <w:t xml:space="preserve">https://proceedings.neurips.cc/paper/2021/hash/55a988dfb00a914717b3000a3374694c-Abstract.html</w:t>
        </w:r>
      </w:hyperlink>
    </w:p>
    <w:p>
      <w:pPr>
        <w:keepNext/>
        <w:spacing w:after="80" w:line="240" w:lineRule="auto"/>
      </w:pPr>
      <w:r>
        <w:rPr>
          <w:b/>
          <w:bCs/>
          <w:color w:val="333B47"/>
          <w:sz w:val="15"/>
          <w:szCs w:val="15"/>
        </w:rPr>
        <w:t xml:space="preserve">Affiliation: </w:t>
      </w:r>
      <w:r>
        <w:rPr>
          <w:color w:val="3A4350"/>
          <w:sz w:val="15"/>
          <w:szCs w:val="15"/>
        </w:rPr>
        <w:t xml:space="preserve">Adam Wierman, Caltech: a search summary of the paper lists his affiliation as Caltech and the other authors at HKUST and UMass Amherst; his department (Computing and Mathematical Sciences) is not shown in that result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An agent must convert an asset (sell it, or buy a commodity) over a horizon while prices arrive online within known bounds, and every conversion is irrevocable: the integral version is 1-max-search, the fractional version one-way trading. Classic competitive algorithms protect against the worst case but ignore forecasts. The paper adds an untrusted prediction and asks for consistency (competitive ratio when the prediction is right) and robustness (ratio whatever happens). It designs a family of online threshold-based algorithms and proves that it attains the Pareto-optimal trade-off: no online algorithm has better consistency for a given robustness. Experiments use Bitcoin conversion.</w:t>
      </w:r>
    </w:p>
    <w:p>
      <w:pPr>
        <w:keepNext/>
        <w:spacing w:after="20" w:before="40"/>
      </w:pPr>
      <w:r>
        <w:rPr>
          <w:b/>
          <w:bCs/>
          <w:color w:val="B4410C"/>
          <w:sz w:val="17"/>
          <w:szCs w:val="17"/>
        </w:rPr>
        <w:t xml:space="preserve">Key equation.</w:t>
      </w:r>
      <w:r>
        <w:rPr>
          <w:i/>
          <w:iCs/>
          <w:color w:val="5B6573"/>
          <w:sz w:val="15"/>
          <w:szCs w:val="15"/>
        </w:rPr>
        <w:t xml:space="preserve">  Classic robust threshold for one-way trading on which threshold-based algorithms build (representative formulation, not transcribed from the paper)</w:t>
      </w:r>
    </w:p>
    <w:p>
      <w:pPr>
        <w:pStyle w:val="Equation"/>
      </w:pPr>
      <m:oMathPara>
        <m:oMathParaPr>
          <m:jc m:val="center"/>
        </m:oMathParaPr>
        <m:oMath>
          <m:r>
            <m:t>ϕ</m:t>
          </m:r>
          <m:d>
            <m:dPr>
              <m:begChr m:val="("/>
              <m:sepChr m:val=""/>
              <m:endChr m:val=")"/>
              <m:grow/>
            </m:dPr>
            <m:e>
              <m:r>
                <m:t>w</m:t>
              </m:r>
            </m:e>
          </m:d>
          <m:r>
            <m:rPr>
              <m:sty m:val="p"/>
            </m:rPr>
            <m:t>=</m:t>
          </m:r>
          <m:r>
            <m:t>L</m:t>
          </m:r>
          <m:r>
            <m:rPr>
              <m:sty m:val="p"/>
            </m:rPr>
            <m:t>+</m:t>
          </m:r>
          <m:d>
            <m:dPr>
              <m:begChr m:val="("/>
              <m:sepChr m:val=""/>
              <m:endChr m:val=")"/>
              <m:grow/>
            </m:dPr>
            <m:e>
              <m:r>
                <m:t>α</m:t>
              </m:r>
              <m:r>
                <m:rPr>
                  <m:sty m:val="p"/>
                </m:rPr>
                <m:t>−</m:t>
              </m:r>
              <m:r>
                <m:t>1</m:t>
              </m:r>
            </m:e>
          </m:d>
          <m:r>
            <m:t>L</m:t>
          </m:r>
          <m:sSup>
            <m:e>
              <m:r>
                <m:t>e</m:t>
              </m:r>
            </m:e>
            <m:sup>
              <m:r>
                <m:t>α</m:t>
              </m:r>
              <m:r>
                <m:t>w</m:t>
              </m:r>
            </m:sup>
          </m:sSup>
          <m:r>
            <m:rPr>
              <m:sty m:val="p"/>
            </m:rPr>
            <m:t>,</m:t>
          </m:r>
          <m:r>
            <m:t> </m:t>
          </m:r>
          <m:d>
            <m:dPr>
              <m:begChr m:val="("/>
              <m:sepChr m:val=""/>
              <m:endChr m:val=")"/>
              <m:grow/>
            </m:dPr>
            <m:e>
              <m:r>
                <m:t>α</m:t>
              </m:r>
              <m:r>
                <m:rPr>
                  <m:sty m:val="p"/>
                </m:rPr>
                <m:t>−</m:t>
              </m:r>
              <m:r>
                <m:t>1</m:t>
              </m:r>
            </m:e>
          </m:d>
          <m:sSup>
            <m:e>
              <m:r>
                <m:t>e</m:t>
              </m:r>
            </m:e>
            <m:sup>
              <m:r>
                <m:t>α</m:t>
              </m:r>
            </m:sup>
          </m:sSup>
          <m:r>
            <m:rPr>
              <m:sty m:val="p"/>
            </m:rPr>
            <m:t>=</m:t>
          </m:r>
          <m:r>
            <m:t>θ</m:t>
          </m:r>
          <m:r>
            <m:rPr>
              <m:sty m:val="p"/>
            </m:rPr>
            <m:t>−</m:t>
          </m:r>
          <m:r>
            <m:t>1</m:t>
          </m:r>
          <m:r>
            <m:rPr>
              <m:sty m:val="p"/>
            </m:rPr>
            <m:t>,</m:t>
          </m:r>
          <m:r>
            <m:t> </m:t>
          </m:r>
          <m:r>
            <m:t>θ</m:t>
          </m:r>
          <m:r>
            <m:rPr>
              <m:sty m:val="p"/>
            </m:rPr>
            <m:t>=</m:t>
          </m:r>
          <m:r>
            <m:t>U</m:t>
          </m:r>
          <m:r>
            <m:rPr>
              <m:sty m:val="p"/>
            </m:rPr>
            <m:t>/</m:t>
          </m:r>
          <m:r>
            <m:t>L</m:t>
          </m:r>
        </m:oMath>
      </m:oMathPara>
    </w:p>
    <w:p>
      <w:pPr>
        <w:spacing w:after="60"/>
        <w:jc w:val="both"/>
      </w:pPr>
      <m:oMath>
        <m:r>
          <m:t>w</m:t>
        </m:r>
        <m:r>
          <m:rPr>
            <m:sty m:val="p"/>
          </m:rPr>
          <m:t>∈</m:t>
        </m:r>
        <m:d>
          <m:dPr>
            <m:begChr m:val="["/>
            <m:sepChr m:val=""/>
            <m:endChr m:val="]"/>
            <m:grow/>
          </m:dPr>
          <m:e>
            <m:r>
              <m:t>0</m:t>
            </m:r>
            <m:r>
              <m:rPr>
                <m:sty m:val="p"/>
              </m:rPr>
              <m:t>,</m:t>
            </m:r>
            <m:r>
              <m:t>1</m:t>
            </m:r>
          </m:e>
        </m:d>
      </m:oMath>
      <w:r>
        <w:rPr>
          <w:color w:val="3A4350"/>
          <w:sz w:val="15"/>
          <w:szCs w:val="15"/>
        </w:rPr>
        <w:t xml:space="preserve"> is the fraction already converted, </w:t>
      </w:r>
      <m:oMath>
        <m:r>
          <m:t>ϕ</m:t>
        </m:r>
        <m:d>
          <m:dPr>
            <m:begChr m:val="("/>
            <m:sepChr m:val=""/>
            <m:endChr m:val=")"/>
            <m:grow/>
          </m:dPr>
          <m:e>
            <m:r>
              <m:t>w</m:t>
            </m:r>
          </m:e>
        </m:d>
      </m:oMath>
      <w:r>
        <w:rPr>
          <w:color w:val="3A4350"/>
          <w:sz w:val="15"/>
          <w:szCs w:val="15"/>
        </w:rPr>
        <w:t xml:space="preserve"> the price above which the next unit is sold, </w:t>
      </w:r>
      <m:oMath>
        <m:r>
          <m:t>L</m:t>
        </m:r>
      </m:oMath>
      <w:r>
        <w:rPr>
          <w:color w:val="3A4350"/>
          <w:sz w:val="15"/>
          <w:szCs w:val="15"/>
        </w:rPr>
        <w:t xml:space="preserve"> and </w:t>
      </w:r>
      <m:oMath>
        <m:r>
          <m:t>U</m:t>
        </m:r>
      </m:oMath>
      <w:r>
        <w:rPr>
          <w:color w:val="3A4350"/>
          <w:sz w:val="15"/>
          <w:szCs w:val="15"/>
        </w:rPr>
        <w:t xml:space="preserve"> the price bounds and </w:t>
      </w:r>
      <m:oMath>
        <m:r>
          <m:t>α</m:t>
        </m:r>
      </m:oMath>
      <w:r>
        <w:rPr>
          <w:color w:val="3A4350"/>
          <w:sz w:val="15"/>
          <w:szCs w:val="15"/>
        </w:rPr>
        <w:t xml:space="preserve"> the resulting worst-case competitive ratio; the paper's algorithms modify such thresholds using the prediction, with the robustness level as the tuning parameter.</w:t>
      </w:r>
    </w:p>
    <w:p>
      <w:pPr>
        <w:spacing w:after="60"/>
        <w:jc w:val="both"/>
      </w:pPr>
      <w:r>
        <w:rPr>
          <w:b/>
          <w:bCs/>
          <w:color w:val="B4410C"/>
          <w:sz w:val="17"/>
          <w:szCs w:val="17"/>
        </w:rPr>
        <w:t xml:space="preserve">Link to the Fushë-Kuqe stakeholders. </w:t>
      </w:r>
      <w:r>
        <w:rPr>
          <w:sz w:val="17"/>
          <w:szCs w:val="17"/>
        </w:rPr>
        <w:t xml:space="preserve">Belongs to theme 3. Releasing a seasonal pumping allowance, or approving recharge wells, is an irrevocable conversion made as dryness signals arrive. Threshold rules guarantee a worst-case ratio however the season unfolds and approach the optimum if the model forecast is right; stakeholders who distrust the chloride model can agree on a robustness level rather than argue over it.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settles the consistency–robustness frontier for a classic family of irrevocable online decisions, with matching algorithms and impossibility bounds, a template for using forecasts one does not fully trust. Main-track NeurIPS paper; a 2025 study of trade-offs in learning-augmented algorithms re-examines its algorithm.</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Values are scalar prices with known bounds and there is one decision maker. Conversion when the loss is environmental and delayed (salinisation), and when stakeholders disagree on how far to trust the prediction, is open and would be new for aquifer operation.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one threshold family covering integral and fractional conversion, with tight consistency–robustness Pareto frontiers. Proposed extension: treat the release of the seasonal pumping allowance at A1 and P10 as one-way trading of a 10% risk budget, using the calibrated model's forecast of the season's recharge as advice; compute the frontier, let each stakeholder pick a robustness level, and test on past recharge series whether one common threshold satisfies all.</w:t>
      </w:r>
    </w:p>
    <w:p>
      <w:pPr>
        <w:pStyle w:val="Heading1"/>
      </w:pPr>
      <w:r>
        <w:rPr>
          <w:color w:val="4D4D4F"/>
        </w:rPr>
        <w:t xml:space="preserve">6. Massachusetts Institute of Technology (MIT)</w:t>
      </w:r>
    </w:p>
    <w:p>
      <w:pPr>
        <w:spacing w:after="120"/>
        <w:jc w:val="both"/>
      </w:pPr>
      <w:r>
        <w:t xml:space="preserve">Five MIT groups. Stephen Morris, Daisuke Oyama and Satoru Takahashi characterise when information design guarantees a joint commitment [M1]; Jan Hązła, Ali Jadbabaie, Elchanan Mossel and M. Amin Rahimian prove that Bayesian decision making in groups is computationally hard [M2]; Bart Van Parys, Peyman Mohajerin Esfahani and Daniel Kuhn prove that distributionally robust optimisation is the optimal way from data to decisions [M3]; Dimitris Bertsimas, Shimrit Shtern and Bradley Sturt give data-driven multistage decisions with guarantees [M4]; and David Simchi-Levi and Yunzong Xu find phase transitions in learning when switching is limited [M5].</w:t>
      </w:r>
    </w:p>
    <w:p>
      <w:pPr>
        <w:keepNext/>
        <w:pBdr>
          <w:top w:val="single" w:color="4D4D4F" w:sz="6" w:space="4"/>
        </w:pBdr>
        <w:spacing w:after="60" w:before="220"/>
      </w:pPr>
      <w:r>
        <w:rPr>
          <w:b/>
          <w:bCs/>
          <w:color w:val="4D4D4F"/>
          <w:sz w:val="23"/>
          <w:szCs w:val="23"/>
        </w:rPr>
        <w:t xml:space="preserve">M1  </w:t>
      </w:r>
      <w:r>
        <w:rPr>
          <w:b/>
          <w:bCs/>
          <w:color w:val="1F3864"/>
          <w:sz w:val="23"/>
          <w:szCs w:val="23"/>
        </w:rPr>
        <w:t xml:space="preserve">Implementation via Information Design in Binary-Action Supermodular Games</w:t>
      </w:r>
    </w:p>
    <w:p>
      <w:pPr>
        <w:keepNext/>
        <w:spacing w:after="60" w:line="240" w:lineRule="auto"/>
      </w:pPr>
      <w:r>
        <w:rPr>
          <w:b/>
          <w:bCs/>
          <w:color w:val="333B47"/>
          <w:sz w:val="15"/>
          <w:szCs w:val="15"/>
        </w:rPr>
        <w:t xml:space="preserve">Authors: </w:t>
      </w:r>
      <w:r>
        <w:rPr>
          <w:sz w:val="15"/>
          <w:szCs w:val="15"/>
        </w:rPr>
        <w:t xml:space="preserve">Stephen Morris, Daisuke Oyama, Satoru Takahashi</w:t>
      </w:r>
      <w:r>
        <w:rPr>
          <w:sz w:val="15"/>
          <w:szCs w:val="15"/>
        </w:rPr>
        <w:t xml:space="preserve">   </w:t>
      </w:r>
      <w:r>
        <w:rPr>
          <w:b/>
          <w:bCs/>
          <w:color w:val="333B47"/>
          <w:sz w:val="15"/>
          <w:szCs w:val="15"/>
        </w:rPr>
        <w:t xml:space="preserve">Published in: </w:t>
      </w:r>
      <w:r>
        <w:rPr>
          <w:sz w:val="15"/>
          <w:szCs w:val="15"/>
        </w:rPr>
        <w:t xml:space="preserve">Econometrica, 92(3), 775–813 (May 2024)</w:t>
      </w:r>
      <w:r>
        <w:rPr>
          <w:sz w:val="15"/>
          <w:szCs w:val="15"/>
        </w:rPr>
        <w:t xml:space="preserve">   </w:t>
      </w:r>
      <w:r>
        <w:rPr>
          <w:b/>
          <w:bCs/>
          <w:color w:val="333B47"/>
          <w:sz w:val="15"/>
          <w:szCs w:val="15"/>
        </w:rPr>
        <w:t xml:space="preserve">Link: </w:t>
      </w:r>
      <w:hyperlink w:history="1" r:id="rIdjylkpcjj_wrlqloqb5ebb">
        <w:r>
          <w:rPr>
            <w:color w:val="1D4ED8"/>
            <w:sz w:val="15"/>
            <w:szCs w:val="15"/>
            <w:u w:val="single"/>
          </w:rPr>
          <w:t xml:space="preserve">https://doi.org/10.3982/ECTA19149</w:t>
        </w:r>
      </w:hyperlink>
    </w:p>
    <w:p>
      <w:pPr>
        <w:keepNext/>
        <w:spacing w:after="80" w:line="240" w:lineRule="auto"/>
      </w:pPr>
      <w:r>
        <w:rPr>
          <w:b/>
          <w:bCs/>
          <w:color w:val="333B47"/>
          <w:sz w:val="15"/>
          <w:szCs w:val="15"/>
        </w:rPr>
        <w:t xml:space="preserve">Affiliation: </w:t>
      </w:r>
      <w:r>
        <w:rPr>
          <w:color w:val="3A4350"/>
          <w:sz w:val="15"/>
          <w:szCs w:val="15"/>
        </w:rPr>
        <w:t xml:space="preserve">Stephen Morris, MIT (search summary of the Econometric Society record; a version is posted on economics.mit.edu); Daisuke Oyama and Satoru Takahashi, University of Tokyo (Takahashi also listed at the National University of Singapore).</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4D4D4F"/>
          <w:sz w:val="17"/>
          <w:szCs w:val="17"/>
        </w:rPr>
        <w:t xml:space="preserve">Summary. </w:t>
      </w:r>
      <w:r>
        <w:rPr>
          <w:sz w:val="17"/>
          <w:szCs w:val="17"/>
        </w:rPr>
        <w:t xml:space="preserve">In binary-action supermodular games each player takes a low or a high action, and the gain from the high action grows as more others take it, so equilibria can be multiple. A designer chooses what players learn. Any outcome satisfying obedience (Bergemann and Morris, 2016) is induced by some equilibrium, but a cautious designer needs it in the smallest equilibrium. The paper proves that smallest-equilibrium implementation is characterised by sequential obedience: a random ordering of players such that each prefers the high action even if only those before her switch. Full implementation (all equilibria) needs sequential obedience in both directions. In convex potential games the optimal design perfectly coordinates actions.</w:t>
      </w:r>
    </w:p>
    <w:p>
      <w:pPr>
        <w:keepNext/>
        <w:spacing w:after="20" w:before="40"/>
      </w:pPr>
      <w:r>
        <w:rPr>
          <w:b/>
          <w:bCs/>
          <w:color w:val="4D4D4F"/>
          <w:sz w:val="17"/>
          <w:szCs w:val="17"/>
        </w:rPr>
        <w:t xml:space="preserve">Key equation.</w:t>
      </w:r>
      <w:r>
        <w:rPr>
          <w:i/>
          <w:iCs/>
          <w:color w:val="5B6573"/>
          <w:sz w:val="15"/>
          <w:szCs w:val="15"/>
        </w:rPr>
        <w:t xml:space="preserve">  Sequential obedience, the condition for an outcome to be induced by the smallest equilibrium (representative formulation)</w:t>
      </w:r>
    </w:p>
    <w:p>
      <w:pPr>
        <w:pStyle w:val="Equation"/>
      </w:pPr>
      <m:oMathPara>
        <m:oMathParaPr>
          <m:jc m:val="center"/>
        </m:oMathParaPr>
        <m:oMath>
          <m:nary>
            <m:naryPr>
              <m:chr m:val="∑"/>
              <m:limLoc m:val="undOvr"/>
              <m:subHide m:val="off"/>
              <m:supHide m:val="on"/>
            </m:naryPr>
            <m:sub>
              <m:r>
                <m:t>θ</m:t>
              </m:r>
              <m:r>
                <m:rPr>
                  <m:sty m:val="p"/>
                </m:rPr>
                <m:t>∈</m:t>
              </m:r>
              <m:r>
                <m:t>Θ</m:t>
              </m:r>
            </m:sub>
            <m:sup>
              <m:r>
                <m:t>​</m:t>
              </m:r>
            </m:sup>
            <m:e>
              <m:nary>
                <m:naryPr>
                  <m:chr m:val="∑"/>
                  <m:limLoc m:val="undOvr"/>
                  <m:subHide m:val="off"/>
                  <m:supHide m:val="on"/>
                </m:naryPr>
                <m:sub>
                  <m:r>
                    <m:t>γ</m:t>
                  </m:r>
                  <m:r>
                    <m:rPr>
                      <m:sty m:val="p"/>
                    </m:rPr>
                    <m:t>∈</m:t>
                  </m:r>
                  <m:r>
                    <m:t>Γ</m:t>
                  </m:r>
                </m:sub>
                <m:sup>
                  <m:r>
                    <m:t>​</m:t>
                  </m:r>
                </m:sup>
                <m:e>
                  <m:r>
                    <m:t>μ</m:t>
                  </m:r>
                </m:e>
              </m:nary>
            </m:e>
          </m:nary>
          <m:d>
            <m:dPr>
              <m:begChr m:val="("/>
              <m:sepChr m:val=""/>
              <m:endChr m:val=")"/>
              <m:grow/>
            </m:dPr>
            <m:e>
              <m:r>
                <m:t>γ</m:t>
              </m:r>
              <m:r>
                <m:rPr>
                  <m:sty m:val="p"/>
                </m:rPr>
                <m:t>,</m:t>
              </m:r>
              <m:r>
                <m:t>θ</m:t>
              </m:r>
            </m:e>
          </m:d>
          <m:r>
            <m:t> </m:t>
          </m:r>
          <m:r>
            <m:rPr>
              <m:sty m:val="b"/>
            </m:rPr>
            <m:t>1</m:t>
          </m:r>
          <m:d>
            <m:dPr>
              <m:begChr m:val="{"/>
              <m:sepChr m:val=""/>
              <m:endChr m:val="}"/>
              <m:grow/>
            </m:dPr>
            <m:e>
              <m:r>
                <m:t>i</m:t>
              </m:r>
              <m:r>
                <m:rPr>
                  <m:sty m:val="p"/>
                </m:rPr>
                <m:t>∈</m:t>
              </m:r>
              <m:r>
                <m:t>γ</m:t>
              </m:r>
            </m:e>
          </m:d>
          <m:r>
            <m:t> </m:t>
          </m:r>
          <m:sSub>
            <m:e>
              <m:r>
                <m:t>d</m:t>
              </m:r>
            </m:e>
            <m:sub>
              <m:r>
                <m:t>i</m:t>
              </m:r>
            </m:sub>
          </m:sSub>
          <m:d>
            <m:dPr>
              <m:begChr m:val="("/>
              <m:sepChr m:val=""/>
              <m:endChr m:val=")"/>
              <m:grow/>
            </m:dPr>
            <m:e>
              <m:sSubSup>
                <m:e>
                  <m:r>
                    <m:t>a</m:t>
                  </m:r>
                </m:e>
                <m:sub>
                  <m:r>
                    <m:rPr>
                      <m:sty m:val="p"/>
                    </m:rPr>
                    <m:t>−</m:t>
                  </m:r>
                  <m:r>
                    <m:t>i</m:t>
                  </m:r>
                </m:sub>
                <m:sup>
                  <m:r>
                    <m:t>γ</m:t>
                  </m:r>
                  <m:r>
                    <m:rPr>
                      <m:sty m:val="p"/>
                    </m:rPr>
                    <m:t>,</m:t>
                  </m:r>
                  <m:r>
                    <m:t>i</m:t>
                  </m:r>
                </m:sup>
              </m:sSubSup>
              <m:r>
                <m:rPr>
                  <m:sty m:val="p"/>
                </m:rPr>
                <m:t>,</m:t>
              </m:r>
              <m:r>
                <m:t>θ</m:t>
              </m:r>
            </m:e>
          </m:d>
          <m:r>
            <m:rPr>
              <m:sty m:val="p"/>
            </m:rPr>
            <m:t>&gt;</m:t>
          </m:r>
          <m:r>
            <m:t>0</m:t>
          </m:r>
          <m:r>
            <m:t> </m:t>
          </m:r>
          <m:r>
            <m:rPr>
              <m:nor/>
            </m:rPr>
            <m:t>for every player </m:t>
          </m:r>
          <m:r>
            <m:t>i</m:t>
          </m:r>
        </m:oMath>
      </m:oMathPara>
    </w:p>
    <w:p>
      <w:pPr>
        <w:spacing w:after="60"/>
        <w:jc w:val="both"/>
      </w:pPr>
      <m:oMath>
        <m:r>
          <m:t>γ</m:t>
        </m:r>
      </m:oMath>
      <w:r>
        <w:rPr>
          <w:color w:val="3A4350"/>
          <w:sz w:val="15"/>
          <w:szCs w:val="15"/>
        </w:rPr>
        <w:t xml:space="preserve"> is an ordered list of the players told to take the high action, </w:t>
      </w:r>
      <m:oMath>
        <m:r>
          <m:t>μ</m:t>
        </m:r>
      </m:oMath>
      <w:r>
        <w:rPr>
          <w:color w:val="3A4350"/>
          <w:sz w:val="15"/>
          <w:szCs w:val="15"/>
        </w:rPr>
        <w:t xml:space="preserve"> a joint law of lists and states that induces the target outcome, </w:t>
      </w:r>
      <m:oMath>
        <m:sSubSup>
          <m:e>
            <m:r>
              <m:t>a</m:t>
            </m:r>
          </m:e>
          <m:sub>
            <m:r>
              <m:rPr>
                <m:sty m:val="p"/>
              </m:rPr>
              <m:t>−</m:t>
            </m:r>
            <m:r>
              <m:t>i</m:t>
            </m:r>
          </m:sub>
          <m:sup>
            <m:r>
              <m:t>γ</m:t>
            </m:r>
            <m:r>
              <m:rPr>
                <m:sty m:val="p"/>
              </m:rPr>
              <m:t>,</m:t>
            </m:r>
            <m:r>
              <m:t>i</m:t>
            </m:r>
          </m:sup>
        </m:sSubSup>
      </m:oMath>
      <w:r>
        <w:rPr>
          <w:color w:val="3A4350"/>
          <w:sz w:val="15"/>
          <w:szCs w:val="15"/>
        </w:rPr>
        <w:t xml:space="preserve"> the profile in which only players listed before </w:t>
      </w:r>
      <m:oMath>
        <m:r>
          <m:t>i</m:t>
        </m:r>
      </m:oMath>
      <w:r>
        <w:rPr>
          <w:color w:val="3A4350"/>
          <w:sz w:val="15"/>
          <w:szCs w:val="15"/>
        </w:rPr>
        <w:t xml:space="preserve"> take the high action, and </w:t>
      </w:r>
      <m:oMath>
        <m:sSub>
          <m:e>
            <m:r>
              <m:t>d</m:t>
            </m:r>
          </m:e>
          <m:sub>
            <m:r>
              <m:t>i</m:t>
            </m:r>
          </m:sub>
        </m:sSub>
      </m:oMath>
      <w:r>
        <w:rPr>
          <w:color w:val="3A4350"/>
          <w:sz w:val="15"/>
          <w:szCs w:val="15"/>
        </w:rPr>
        <w:t xml:space="preserve"> the gain of player </w:t>
      </w:r>
      <m:oMath>
        <m:r>
          <m:t>i</m:t>
        </m:r>
      </m:oMath>
      <w:r>
        <w:rPr>
          <w:color w:val="3A4350"/>
          <w:sz w:val="15"/>
          <w:szCs w:val="15"/>
        </w:rPr>
        <w:t xml:space="preserve"> from the high action in state </w:t>
      </w:r>
      <m:oMath>
        <m:r>
          <m:t>θ</m:t>
        </m:r>
      </m:oMath>
      <w:r>
        <w:rPr>
          <w:color w:val="3A4350"/>
          <w:sz w:val="15"/>
          <w:szCs w:val="15"/>
        </w:rPr>
        <w:t xml:space="preserve">.</w:t>
      </w:r>
    </w:p>
    <w:p>
      <w:pPr>
        <w:spacing w:after="60"/>
        <w:jc w:val="both"/>
      </w:pPr>
      <w:r>
        <w:rPr>
          <w:b/>
          <w:bCs/>
          <w:color w:val="4D4D4F"/>
          <w:sz w:val="17"/>
          <w:szCs w:val="17"/>
        </w:rPr>
        <w:t xml:space="preserve">Link to the Fushë-Kuqe stakeholders. </w:t>
      </w:r>
      <w:r>
        <w:rPr>
          <w:sz w:val="17"/>
          <w:szCs w:val="17"/>
        </w:rPr>
        <w:t xml:space="preserve">Belongs to theme 4. Managed recharge and pumping limits pay off for each Fushë-Kuqe party only if enough others comply, a supermodular coordination problem. The paper tells the regional water agency how to disclose information (the chloride sample, the risks 0.59 versus 0.25) so that joint compliance is the unique outcome, ending deliberation with a decisive commitment.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settles which joint outcomes a designer can guarantee when players may coordinate on the worst equilibrium, turning the obedience characterisation of Bergemann and Morris (2016), co-authored by Morris, into exact smallest- and full-implementation results, with explicit optimal designs for potential games. Published in Econometrica.</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assumes a common prior and binary actions. Whether sequential obedience can be achieved when stakeholders hold different priors about the mixing-zone width, and what disclosure that requires, is open; for an aquifer it would make a guaranteed joint commitment computable.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exact characterisation of smallest and full implementation by sequential obedience, and optimal coordinating designs in potential games. Proposed extension: model adoption of the recharge-and-limit plan by the six parties as a binary supermodular game with gains computed from the 20 000 model draws; find the ordering (say utility, agency, municipality, hotels, irrigators, environmental groups) and the disclosure rule for the chloride sample that make adoption the smallest equilibrium.</w:t>
      </w:r>
    </w:p>
    <w:p>
      <w:pPr>
        <w:keepNext/>
        <w:pBdr>
          <w:top w:val="single" w:color="4D4D4F" w:sz="6" w:space="4"/>
        </w:pBdr>
        <w:spacing w:after="60" w:before="220"/>
      </w:pPr>
      <w:r>
        <w:rPr>
          <w:b/>
          <w:bCs/>
          <w:color w:val="4D4D4F"/>
          <w:sz w:val="23"/>
          <w:szCs w:val="23"/>
        </w:rPr>
        <w:t xml:space="preserve">M2  </w:t>
      </w:r>
      <w:r>
        <w:rPr>
          <w:b/>
          <w:bCs/>
          <w:color w:val="1F3864"/>
          <w:sz w:val="23"/>
          <w:szCs w:val="23"/>
        </w:rPr>
        <w:t xml:space="preserve">Bayesian Decision Making in Groups is Hard</w:t>
      </w:r>
    </w:p>
    <w:p>
      <w:pPr>
        <w:keepNext/>
        <w:spacing w:after="60" w:line="240" w:lineRule="auto"/>
      </w:pPr>
      <w:r>
        <w:rPr>
          <w:b/>
          <w:bCs/>
          <w:color w:val="333B47"/>
          <w:sz w:val="15"/>
          <w:szCs w:val="15"/>
        </w:rPr>
        <w:t xml:space="preserve">Authors: </w:t>
      </w:r>
      <w:r>
        <w:rPr>
          <w:sz w:val="15"/>
          <w:szCs w:val="15"/>
        </w:rPr>
        <w:t xml:space="preserve">Jan Hązła, Ali Jadbabaie, Elchanan Mossel, M. Amin Rahimian</w:t>
      </w:r>
      <w:r>
        <w:rPr>
          <w:sz w:val="15"/>
          <w:szCs w:val="15"/>
        </w:rPr>
        <w:t xml:space="preserve">   </w:t>
      </w:r>
      <w:r>
        <w:rPr>
          <w:b/>
          <w:bCs/>
          <w:color w:val="333B47"/>
          <w:sz w:val="15"/>
          <w:szCs w:val="15"/>
        </w:rPr>
        <w:t xml:space="preserve">Published in: </w:t>
      </w:r>
      <w:r>
        <w:rPr>
          <w:sz w:val="15"/>
          <w:szCs w:val="15"/>
        </w:rPr>
        <w:t xml:space="preserve">Operations Research, 69(2), 632–654 (2021); earlier arXiv title "Bayesian Group Decisions: Algorithms and Complexity" (arXiv 1705.04770)</w:t>
      </w:r>
      <w:r>
        <w:rPr>
          <w:sz w:val="15"/>
          <w:szCs w:val="15"/>
        </w:rPr>
        <w:t xml:space="preserve">   </w:t>
      </w:r>
      <w:r>
        <w:rPr>
          <w:b/>
          <w:bCs/>
          <w:color w:val="333B47"/>
          <w:sz w:val="15"/>
          <w:szCs w:val="15"/>
        </w:rPr>
        <w:t xml:space="preserve">Link: </w:t>
      </w:r>
      <w:hyperlink w:history="1" r:id="rIdtjoexglkfwvrh6vnat0nc">
        <w:r>
          <w:rPr>
            <w:color w:val="1D4ED8"/>
            <w:sz w:val="15"/>
            <w:szCs w:val="15"/>
            <w:u w:val="single"/>
          </w:rPr>
          <w:t xml:space="preserve">https://doi.org/10.1287/opre.2020.2000</w:t>
        </w:r>
      </w:hyperlink>
    </w:p>
    <w:p>
      <w:pPr>
        <w:keepNext/>
        <w:spacing w:after="80" w:line="240" w:lineRule="auto"/>
      </w:pPr>
      <w:r>
        <w:rPr>
          <w:b/>
          <w:bCs/>
          <w:color w:val="333B47"/>
          <w:sz w:val="15"/>
          <w:szCs w:val="15"/>
        </w:rPr>
        <w:t xml:space="preserve">Affiliation: </w:t>
      </w:r>
      <w:r>
        <w:rPr>
          <w:color w:val="3A4350"/>
          <w:sz w:val="15"/>
          <w:szCs w:val="15"/>
        </w:rPr>
        <w:t xml:space="preserve">MIT: the article is deposited in DSpace@MIT (handle 1721.1/133309) and the authors' PDF is hosted on Rahimian's web.mit.edu page; copies are also deposited at EPFL (Infoscience) and the University of Pittsburgh (D-Scholarship). Individual departments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4D4D4F"/>
          <w:sz w:val="17"/>
          <w:szCs w:val="17"/>
        </w:rPr>
        <w:t xml:space="preserve">Summary. </w:t>
      </w:r>
      <w:r>
        <w:rPr>
          <w:sz w:val="17"/>
          <w:szCs w:val="17"/>
        </w:rPr>
        <w:t xml:space="preserve">Agents on a network each receive a private signal about an unknown state and then repeatedly take myopic actions that maximise expected utility under fully rational posteriors, given everything they have seen of their neighbours' actions. The paper studies the computation these Bayesian agents must perform. It proves that computing their actions is NP-hard for two natural utilities: binary actions, and actions that reveal the posterior. It also shows that distinguishing posteriors concentrated on different states is NP-hard, so even approximating the Bayesian posterior is hard. Finally it gives an exact search algorithm, elimination of impossible signals, that can be modified to run in polynomial time on transitive networks.</w:t>
      </w:r>
    </w:p>
    <w:p>
      <w:pPr>
        <w:keepNext/>
        <w:spacing w:after="20" w:before="40"/>
      </w:pPr>
      <w:r>
        <w:rPr>
          <w:b/>
          <w:bCs/>
          <w:color w:val="4D4D4F"/>
          <w:sz w:val="17"/>
          <w:szCs w:val="17"/>
        </w:rPr>
        <w:t xml:space="preserve">Key equation.</w:t>
      </w:r>
      <w:r>
        <w:rPr>
          <w:i/>
          <w:iCs/>
          <w:color w:val="5B6573"/>
          <w:sz w:val="15"/>
          <w:szCs w:val="15"/>
        </w:rPr>
        <w:t xml:space="preserve">  Myopic Bayesian action of an agent at a given round (representative formulation)</w:t>
      </w:r>
    </w:p>
    <w:p>
      <w:pPr>
        <w:pStyle w:val="Equation"/>
      </w:pPr>
      <m:oMathPara>
        <m:oMathParaPr>
          <m:jc m:val="center"/>
        </m:oMathParaPr>
        <m:oMath>
          <m:sSub>
            <m:e>
              <m:r>
                <m:t>a</m:t>
              </m:r>
            </m:e>
            <m:sub>
              <m:r>
                <m:t>i</m:t>
              </m:r>
              <m:r>
                <m:rPr>
                  <m:sty m:val="p"/>
                </m:rPr>
                <m:t>,</m:t>
              </m:r>
              <m:r>
                <m:t>t</m:t>
              </m:r>
            </m:sub>
          </m:sSub>
          <m:r>
            <m:rPr>
              <m:sty m:val="p"/>
            </m:rPr>
            <m:t>=</m:t>
          </m:r>
          <m:r>
            <m:rPr>
              <m:sty m:val="p"/>
            </m:rPr>
            <m:t>arg</m:t>
          </m:r>
          <m:limLow>
            <m:e>
              <m:r>
                <m:rPr>
                  <m:sty m:val="p"/>
                </m:rPr>
                <m:t>max</m:t>
              </m:r>
            </m:e>
            <m:lim>
              <m:r>
                <m:t>a</m:t>
              </m:r>
              <m:r>
                <m:rPr>
                  <m:sty m:val="p"/>
                </m:rPr>
                <m:t>∈</m:t>
              </m:r>
              <m:r>
                <m:t>A</m:t>
              </m:r>
            </m:lim>
          </m:limLow>
          <m:r>
            <m:t> </m:t>
          </m:r>
          <m:r>
            <m:rPr>
              <m:scr m:val="double-struck"/>
              <m:sty m:val="p"/>
            </m:rPr>
            <m:t>E</m:t>
          </m:r>
          <m:d>
            <m:dPr>
              <m:begChr m:val="["/>
              <m:sepChr m:val=""/>
              <m:endChr m:val="]"/>
              <m:grow/>
            </m:dPr>
            <m:e>
              <m:r>
                <m:t>u</m:t>
              </m:r>
              <m:d>
                <m:dPr>
                  <m:begChr m:val="("/>
                  <m:sepChr m:val=""/>
                  <m:endChr m:val=")"/>
                  <m:grow/>
                </m:dPr>
                <m:e>
                  <m:r>
                    <m:t>a</m:t>
                  </m:r>
                  <m:r>
                    <m:rPr>
                      <m:sty m:val="p"/>
                    </m:rPr>
                    <m:t>,</m:t>
                  </m:r>
                  <m:r>
                    <m:t>θ</m:t>
                  </m:r>
                </m:e>
              </m:d>
              <m:r>
                <m:rPr>
                  <m:sty m:val="p"/>
                </m:rPr>
                <m:t>∣</m:t>
              </m:r>
              <m:sSub>
                <m:e>
                  <m:r>
                    <m:t>s</m:t>
                  </m:r>
                </m:e>
                <m:sub>
                  <m:r>
                    <m:t>i</m:t>
                  </m:r>
                </m:sub>
              </m:sSub>
              <m:r>
                <m:rPr>
                  <m:sty m:val="p"/>
                </m:rPr>
                <m:t>,</m:t>
              </m:r>
              <m:r>
                <m:t> </m:t>
              </m:r>
              <m:d>
                <m:dPr>
                  <m:begChr m:val="{"/>
                  <m:sepChr m:val=""/>
                  <m:endChr m:val="}"/>
                  <m:grow/>
                </m:dPr>
                <m:e>
                  <m:sSub>
                    <m:e>
                      <m:r>
                        <m:t>a</m:t>
                      </m:r>
                    </m:e>
                    <m:sub>
                      <m:r>
                        <m:t>j</m:t>
                      </m:r>
                      <m:r>
                        <m:rPr>
                          <m:sty m:val="p"/>
                        </m:rPr>
                        <m:t>,</m:t>
                      </m:r>
                      <m:r>
                        <m:t>τ</m:t>
                      </m:r>
                    </m:sub>
                  </m:sSub>
                  <m:r>
                    <m:rPr>
                      <m:sty m:val="p"/>
                    </m:rPr>
                    <m:t>:</m:t>
                  </m:r>
                  <m:r>
                    <m:t>j</m:t>
                  </m:r>
                  <m:r>
                    <m:rPr>
                      <m:sty m:val="p"/>
                    </m:rPr>
                    <m:t>∈</m:t>
                  </m:r>
                  <m:sSub>
                    <m:e>
                      <m:r>
                        <m:t>N</m:t>
                      </m:r>
                    </m:e>
                    <m:sub>
                      <m:r>
                        <m:t>i</m:t>
                      </m:r>
                    </m:sub>
                  </m:sSub>
                  <m:r>
                    <m:rPr>
                      <m:sty m:val="p"/>
                    </m:rPr>
                    <m:t>,</m:t>
                  </m:r>
                  <m:r>
                    <m:t> </m:t>
                  </m:r>
                  <m:r>
                    <m:t>τ</m:t>
                  </m:r>
                  <m:r>
                    <m:rPr>
                      <m:sty m:val="p"/>
                    </m:rPr>
                    <m:t>&lt;</m:t>
                  </m:r>
                  <m:r>
                    <m:t>t</m:t>
                  </m:r>
                </m:e>
              </m:d>
            </m:e>
          </m:d>
        </m:oMath>
      </m:oMathPara>
    </w:p>
    <w:p>
      <w:pPr>
        <w:spacing w:after="60"/>
        <w:jc w:val="both"/>
      </w:pPr>
      <m:oMath>
        <m:sSub>
          <m:e>
            <m:r>
              <m:t>s</m:t>
            </m:r>
          </m:e>
          <m:sub>
            <m:r>
              <m:t>i</m:t>
            </m:r>
          </m:sub>
        </m:sSub>
      </m:oMath>
      <w:r>
        <w:rPr>
          <w:color w:val="3A4350"/>
          <w:sz w:val="15"/>
          <w:szCs w:val="15"/>
        </w:rPr>
        <w:t xml:space="preserve"> is the private signal of agent </w:t>
      </w:r>
      <m:oMath>
        <m:r>
          <m:t>i</m:t>
        </m:r>
      </m:oMath>
      <w:r>
        <w:rPr>
          <w:color w:val="3A4350"/>
          <w:sz w:val="15"/>
          <w:szCs w:val="15"/>
        </w:rPr>
        <w:t xml:space="preserve">, </w:t>
      </w:r>
      <m:oMath>
        <m:sSub>
          <m:e>
            <m:r>
              <m:t>N</m:t>
            </m:r>
          </m:e>
          <m:sub>
            <m:r>
              <m:t>i</m:t>
            </m:r>
          </m:sub>
        </m:sSub>
      </m:oMath>
      <w:r>
        <w:rPr>
          <w:color w:val="3A4350"/>
          <w:sz w:val="15"/>
          <w:szCs w:val="15"/>
        </w:rPr>
        <w:t xml:space="preserve"> its neighbours, </w:t>
      </w:r>
      <m:oMath>
        <m:sSub>
          <m:e>
            <m:r>
              <m:t>a</m:t>
            </m:r>
          </m:e>
          <m:sub>
            <m:r>
              <m:t>j</m:t>
            </m:r>
            <m:r>
              <m:rPr>
                <m:sty m:val="p"/>
              </m:rPr>
              <m:t>,</m:t>
            </m:r>
            <m:r>
              <m:t>τ</m:t>
            </m:r>
          </m:sub>
        </m:sSub>
      </m:oMath>
      <w:r>
        <w:rPr>
          <w:color w:val="3A4350"/>
          <w:sz w:val="15"/>
          <w:szCs w:val="15"/>
        </w:rPr>
        <w:t xml:space="preserve"> their earlier actions and </w:t>
      </w:r>
      <m:oMath>
        <m:r>
          <m:t>u</m:t>
        </m:r>
        <m:d>
          <m:dPr>
            <m:begChr m:val="("/>
            <m:sepChr m:val=""/>
            <m:endChr m:val=")"/>
            <m:grow/>
          </m:dPr>
          <m:e>
            <m:r>
              <m:t>a</m:t>
            </m:r>
            <m:r>
              <m:rPr>
                <m:sty m:val="p"/>
              </m:rPr>
              <m:t>,</m:t>
            </m:r>
            <m:r>
              <m:t>θ</m:t>
            </m:r>
          </m:e>
        </m:d>
      </m:oMath>
      <w:r>
        <w:rPr>
          <w:color w:val="3A4350"/>
          <w:sz w:val="15"/>
          <w:szCs w:val="15"/>
        </w:rPr>
        <w:t xml:space="preserve"> the utility of action </w:t>
      </w:r>
      <m:oMath>
        <m:r>
          <m:t>a</m:t>
        </m:r>
      </m:oMath>
      <w:r>
        <w:rPr>
          <w:color w:val="3A4350"/>
          <w:sz w:val="15"/>
          <w:szCs w:val="15"/>
        </w:rPr>
        <w:t xml:space="preserve"> in state </w:t>
      </w:r>
      <m:oMath>
        <m:r>
          <m:t>θ</m:t>
        </m:r>
      </m:oMath>
      <w:r>
        <w:rPr>
          <w:color w:val="3A4350"/>
          <w:sz w:val="15"/>
          <w:szCs w:val="15"/>
        </w:rPr>
        <w:t xml:space="preserve">; the paper proves that computing this action, or even approximating the posterior behind it, is NP-hard.</w:t>
      </w:r>
    </w:p>
    <w:p>
      <w:pPr>
        <w:spacing w:after="60"/>
        <w:jc w:val="both"/>
      </w:pPr>
      <w:r>
        <w:rPr>
          <w:b/>
          <w:bCs/>
          <w:color w:val="4D4D4F"/>
          <w:sz w:val="17"/>
          <w:szCs w:val="17"/>
        </w:rPr>
        <w:t xml:space="preserve">Link to the Fushë-Kuqe stakeholders. </w:t>
      </w:r>
      <w:r>
        <w:rPr>
          <w:sz w:val="17"/>
          <w:szCs w:val="17"/>
        </w:rPr>
        <w:t xml:space="preserve">Belongs to theme 4. If the utility, irrigators, hotels and agency revise their positions on pumping and recharge by watching one another's stated choices, fully rational inference about what the others privately know is intractable in general. A decisive joint choice therefore needs an explicit shared procedure, such as pooling evidence through the common 20 000-draw model.</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the fully rational benchmark of Bayesian social learning cannot be computed by real participants in general networks, which gives a rigorous reason to study explicit, bounded-rational deliberation rules; published in Operations Research by authors at MIT, including Ali Jadbabaie and Elchanan Mossel.</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Hardness is proved for general networks and tractability only for transitive ones. Whether the six Fushë-Kuqe parties, who see different wells and records, form a tractable structure, and after how many rounds their stated choices stop changing, is open and testable.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NP-hardness proofs for Bayesian actions and posteriors in opinion exchange, and a polynomial algorithm on transitive networks. Proposed extension: treat the six stakeholders as a complete, hence transitive, network, each holding a private signal (a well log, an irrigation record, a salinity complaint); run elimination of impossible signals to find the round at which stated choices stop changing, and compare it with the round at which the chloride sample would settle the A1/P10 choice.</w:t>
      </w:r>
    </w:p>
    <w:p>
      <w:pPr>
        <w:keepNext/>
        <w:pBdr>
          <w:top w:val="single" w:color="4D4D4F" w:sz="6" w:space="4"/>
        </w:pBdr>
        <w:spacing w:after="60" w:before="220"/>
      </w:pPr>
      <w:r>
        <w:rPr>
          <w:b/>
          <w:bCs/>
          <w:color w:val="4D4D4F"/>
          <w:sz w:val="23"/>
          <w:szCs w:val="23"/>
        </w:rPr>
        <w:t xml:space="preserve">M3  </w:t>
      </w:r>
      <w:r>
        <w:rPr>
          <w:b/>
          <w:bCs/>
          <w:color w:val="1F3864"/>
          <w:sz w:val="23"/>
          <w:szCs w:val="23"/>
        </w:rPr>
        <w:t xml:space="preserve">From Data to Decisions: Distributionally Robust Optimization Is Optimal</w:t>
      </w:r>
    </w:p>
    <w:p>
      <w:pPr>
        <w:keepNext/>
        <w:spacing w:after="60" w:line="240" w:lineRule="auto"/>
      </w:pPr>
      <w:r>
        <w:rPr>
          <w:b/>
          <w:bCs/>
          <w:color w:val="333B47"/>
          <w:sz w:val="15"/>
          <w:szCs w:val="15"/>
        </w:rPr>
        <w:t xml:space="preserve">Authors: </w:t>
      </w:r>
      <w:r>
        <w:rPr>
          <w:sz w:val="15"/>
          <w:szCs w:val="15"/>
        </w:rPr>
        <w:t xml:space="preserve">Bart P. G. Van Parys, Peyman Mohajerin Esfahani, Daniel Kuhn</w:t>
      </w:r>
      <w:r>
        <w:rPr>
          <w:sz w:val="15"/>
          <w:szCs w:val="15"/>
        </w:rPr>
        <w:t xml:space="preserve">   </w:t>
      </w:r>
      <w:r>
        <w:rPr>
          <w:b/>
          <w:bCs/>
          <w:color w:val="333B47"/>
          <w:sz w:val="15"/>
          <w:szCs w:val="15"/>
        </w:rPr>
        <w:t xml:space="preserve">Published in: </w:t>
      </w:r>
      <w:r>
        <w:rPr>
          <w:sz w:val="15"/>
          <w:szCs w:val="15"/>
        </w:rPr>
        <w:t xml:space="preserve">Management Science, 67(6), 3387–3402 (2021); pages from the TU Delft repository record (an EPFL record gives different pages, not verified against the publisher)</w:t>
      </w:r>
      <w:r>
        <w:rPr>
          <w:sz w:val="15"/>
          <w:szCs w:val="15"/>
        </w:rPr>
        <w:t xml:space="preserve">   </w:t>
      </w:r>
      <w:r>
        <w:rPr>
          <w:b/>
          <w:bCs/>
          <w:color w:val="333B47"/>
          <w:sz w:val="15"/>
          <w:szCs w:val="15"/>
        </w:rPr>
        <w:t xml:space="preserve">Link: </w:t>
      </w:r>
      <w:hyperlink w:history="1" r:id="rIdb-epagstecaos8bgu9art">
        <w:r>
          <w:rPr>
            <w:color w:val="1D4ED8"/>
            <w:sz w:val="15"/>
            <w:szCs w:val="15"/>
            <w:u w:val="single"/>
          </w:rPr>
          <w:t xml:space="preserve">https://doi.org/10.1287/mnsc.2020.3678</w:t>
        </w:r>
      </w:hyperlink>
    </w:p>
    <w:p>
      <w:pPr>
        <w:keepNext/>
        <w:spacing w:after="80" w:line="240" w:lineRule="auto"/>
      </w:pPr>
      <w:r>
        <w:rPr>
          <w:b/>
          <w:bCs/>
          <w:color w:val="333B47"/>
          <w:sz w:val="15"/>
          <w:szCs w:val="15"/>
        </w:rPr>
        <w:t xml:space="preserve">Affiliation: </w:t>
      </w:r>
      <w:r>
        <w:rPr>
          <w:color w:val="3A4350"/>
          <w:sz w:val="15"/>
          <w:szCs w:val="15"/>
        </w:rPr>
        <w:t xml:space="preserve">Bart P. G. Van Parys, MIT Operations Research Center (search summary of arXiv 1704.04118; article deposited in DSpace@MIT, handle 1721.1/144252); Peyman Mohajerin Esfahani, TU Delft; Daniel Kuhn, EPFL.</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4D4D4F"/>
          <w:sz w:val="17"/>
          <w:szCs w:val="17"/>
        </w:rPr>
        <w:t xml:space="preserve">Summary. </w:t>
      </w:r>
      <w:r>
        <w:rPr>
          <w:sz w:val="17"/>
          <w:szCs w:val="17"/>
        </w:rPr>
        <w:t xml:space="preserve">A decision maker sees only </w:t>
      </w:r>
      <m:oMath>
        <m:r>
          <m:t>N</m:t>
        </m:r>
      </m:oMath>
      <w:r>
        <w:rPr>
          <w:sz w:val="17"/>
          <w:szCs w:val="17"/>
        </w:rPr>
        <w:t xml:space="preserve"> independent samples of an uncertain quantity and must both predict the expected cost of a decision and choose it (a predictor and a prescriptor). The paper poses a meta-optimisation problem: find the least conservative predictor–prescriptor pair whose out-of-sample disappointment, the probability that the true expected cost of the chosen decision exceeds its predicted cost, decays exponentially at a prescribed rate </w:t>
      </w:r>
      <m:oMath>
        <m:r>
          <m:t>r</m:t>
        </m:r>
      </m:oMath>
      <w:r>
        <w:rPr>
          <w:sz w:val="17"/>
          <w:szCs w:val="17"/>
        </w:rPr>
        <w:t xml:space="preserve">. Using Sanov's theorem, it proves that this problem has a unique solution: distributionally robust optimisation over all distributions within relative-entropy distance </w:t>
      </w:r>
      <m:oMath>
        <m:r>
          <m:t>r</m:t>
        </m:r>
      </m:oMath>
      <w:r>
        <w:rPr>
          <w:sz w:val="17"/>
          <w:szCs w:val="17"/>
        </w:rPr>
        <w:t xml:space="preserve"> of the empirical distribution. The ambiguity ball is not a confidence region for the true distribution.</w:t>
      </w:r>
    </w:p>
    <w:p>
      <w:pPr>
        <w:keepNext/>
        <w:spacing w:after="20" w:before="40"/>
      </w:pPr>
      <w:r>
        <w:rPr>
          <w:b/>
          <w:bCs/>
          <w:color w:val="4D4D4F"/>
          <w:sz w:val="17"/>
          <w:szCs w:val="17"/>
        </w:rPr>
        <w:t xml:space="preserve">Key equation.</w:t>
      </w:r>
      <w:r>
        <w:rPr>
          <w:i/>
          <w:iCs/>
          <w:color w:val="5B6573"/>
          <w:sz w:val="15"/>
          <w:szCs w:val="15"/>
        </w:rPr>
        <w:t xml:space="preserve">  Optimal data-driven predictor and prescriptor: worst-case expected cost over a relative-entropy ball (representative formulation)</w:t>
      </w:r>
    </w:p>
    <w:p>
      <w:pPr>
        <w:pStyle w:val="Equation"/>
      </w:pPr>
      <m:oMathPara>
        <m:oMathParaPr>
          <m:jc m:val="center"/>
        </m:oMathParaPr>
        <m:oMath>
          <m:sSub>
            <m:e>
              <m:acc>
                <m:accPr>
                  <m:chr m:val="̂"/>
                </m:accPr>
                <m:e>
                  <m:r>
                    <m:t>c</m:t>
                  </m:r>
                </m:e>
              </m:acc>
            </m:e>
            <m:sub>
              <m:r>
                <m:t>r</m:t>
              </m:r>
            </m:sub>
          </m:sSub>
          <m:d>
            <m:dPr>
              <m:begChr m:val="("/>
              <m:sepChr m:val=""/>
              <m:endChr m:val=")"/>
              <m:grow/>
            </m:dPr>
            <m:e>
              <m:r>
                <m:t>x</m:t>
              </m:r>
              <m:r>
                <m:rPr>
                  <m:sty m:val="p"/>
                </m:rPr>
                <m:t>,</m:t>
              </m:r>
              <m:sSub>
                <m:e>
                  <m:acc>
                    <m:accPr>
                      <m:chr m:val="̂"/>
                    </m:accPr>
                    <m:e>
                      <m:r>
                        <m:t>P</m:t>
                      </m:r>
                    </m:e>
                  </m:acc>
                </m:e>
                <m:sub>
                  <m:r>
                    <m:t>N</m:t>
                  </m:r>
                </m:sub>
              </m:sSub>
            </m:e>
          </m:d>
          <m:r>
            <m:rPr>
              <m:sty m:val="p"/>
            </m:rPr>
            <m:t>=</m:t>
          </m:r>
          <m:limLow>
            <m:e>
              <m:r>
                <m:rPr>
                  <m:sty m:val="p"/>
                </m:rPr>
                <m:t>max</m:t>
              </m:r>
            </m:e>
            <m:lim>
              <m:r>
                <m:t>P</m:t>
              </m:r>
            </m:lim>
          </m:limLow>
          <m:d>
            <m:dPr>
              <m:begChr m:val="{"/>
              <m:sepChr m:val=""/>
              <m:endChr m:val="}"/>
              <m:grow/>
            </m:dPr>
            <m:e>
              <m:sSub>
                <m:e>
                  <m:r>
                    <m:rPr>
                      <m:scr m:val="double-struck"/>
                      <m:sty m:val="p"/>
                    </m:rPr>
                    <m:t>E</m:t>
                  </m:r>
                </m:e>
                <m:sub>
                  <m:r>
                    <m:t>P</m:t>
                  </m:r>
                </m:sub>
              </m:sSub>
              <m:d>
                <m:dPr>
                  <m:begChr m:val="["/>
                  <m:sepChr m:val=""/>
                  <m:endChr m:val="]"/>
                  <m:grow/>
                </m:dPr>
                <m:e>
                  <m:r>
                    <m:rPr>
                      <m:sty m:val="p"/>
                    </m:rPr>
                    <m:t>ℓ</m:t>
                  </m:r>
                  <m:d>
                    <m:dPr>
                      <m:begChr m:val="("/>
                      <m:sepChr m:val=""/>
                      <m:endChr m:val=")"/>
                      <m:grow/>
                    </m:dPr>
                    <m:e>
                      <m:r>
                        <m:t>x</m:t>
                      </m:r>
                      <m:r>
                        <m:rPr>
                          <m:sty m:val="p"/>
                        </m:rPr>
                        <m:t>,</m:t>
                      </m:r>
                      <m:r>
                        <m:t>ξ</m:t>
                      </m:r>
                    </m:e>
                  </m:d>
                </m:e>
              </m:d>
              <m:r>
                <m:rPr>
                  <m:sty m:val="p"/>
                </m:rPr>
                <m:t>:</m:t>
              </m:r>
              <m:r>
                <m:t>I</m:t>
              </m:r>
              <m:d>
                <m:dPr>
                  <m:begChr m:val="("/>
                  <m:sepChr m:val=""/>
                  <m:endChr m:val=")"/>
                  <m:grow/>
                </m:dPr>
                <m:e>
                  <m:sSub>
                    <m:e>
                      <m:acc>
                        <m:accPr>
                          <m:chr m:val="̂"/>
                        </m:accPr>
                        <m:e>
                          <m:r>
                            <m:t>P</m:t>
                          </m:r>
                        </m:e>
                      </m:acc>
                    </m:e>
                    <m:sub>
                      <m:r>
                        <m:t>N</m:t>
                      </m:r>
                    </m:sub>
                  </m:sSub>
                  <m:r>
                    <m:rPr>
                      <m:sty m:val="p"/>
                    </m:rPr>
                    <m:t>,</m:t>
                  </m:r>
                  <m:r>
                    <m:t>P</m:t>
                  </m:r>
                </m:e>
              </m:d>
              <m:r>
                <m:rPr>
                  <m:sty m:val="p"/>
                </m:rPr>
                <m:t>≤</m:t>
              </m:r>
              <m:r>
                <m:t>r</m:t>
              </m:r>
            </m:e>
          </m:d>
          <m:r>
            <m:rPr>
              <m:sty m:val="p"/>
            </m:rPr>
            <m:t>,</m:t>
          </m:r>
          <m:r>
            <m:t>  </m:t>
          </m:r>
          <m:sSub>
            <m:e>
              <m:acc>
                <m:accPr>
                  <m:chr m:val="̂"/>
                </m:accPr>
                <m:e>
                  <m:r>
                    <m:t>x</m:t>
                  </m:r>
                </m:e>
              </m:acc>
            </m:e>
            <m:sub>
              <m:r>
                <m:t>r</m:t>
              </m:r>
            </m:sub>
          </m:sSub>
          <m:r>
            <m:rPr>
              <m:sty m:val="p"/>
            </m:rPr>
            <m:t>∈</m:t>
          </m:r>
          <m:r>
            <m:rPr>
              <m:sty m:val="p"/>
            </m:rPr>
            <m:t>arg</m:t>
          </m:r>
          <m:limLow>
            <m:e>
              <m:r>
                <m:rPr>
                  <m:sty m:val="p"/>
                </m:rPr>
                <m:t>min</m:t>
              </m:r>
            </m:e>
            <m:lim>
              <m:r>
                <m:t>x</m:t>
              </m:r>
              <m:r>
                <m:rPr>
                  <m:sty m:val="p"/>
                </m:rPr>
                <m:t>∈</m:t>
              </m:r>
              <m:r>
                <m:t>X</m:t>
              </m:r>
            </m:lim>
          </m:limLow>
          <m:sSub>
            <m:e>
              <m:acc>
                <m:accPr>
                  <m:chr m:val="̂"/>
                </m:accPr>
                <m:e>
                  <m:r>
                    <m:t>c</m:t>
                  </m:r>
                </m:e>
              </m:acc>
            </m:e>
            <m:sub>
              <m:r>
                <m:t>r</m:t>
              </m:r>
            </m:sub>
          </m:sSub>
          <m:d>
            <m:dPr>
              <m:begChr m:val="("/>
              <m:sepChr m:val=""/>
              <m:endChr m:val=")"/>
              <m:grow/>
            </m:dPr>
            <m:e>
              <m:r>
                <m:t>x</m:t>
              </m:r>
              <m:r>
                <m:rPr>
                  <m:sty m:val="p"/>
                </m:rPr>
                <m:t>,</m:t>
              </m:r>
              <m:sSub>
                <m:e>
                  <m:acc>
                    <m:accPr>
                      <m:chr m:val="̂"/>
                    </m:accPr>
                    <m:e>
                      <m:r>
                        <m:t>P</m:t>
                      </m:r>
                    </m:e>
                  </m:acc>
                </m:e>
                <m:sub>
                  <m:r>
                    <m:t>N</m:t>
                  </m:r>
                </m:sub>
              </m:sSub>
            </m:e>
          </m:d>
        </m:oMath>
      </m:oMathPara>
    </w:p>
    <w:p>
      <w:pPr>
        <w:spacing w:after="60"/>
        <w:jc w:val="both"/>
      </w:pPr>
      <m:oMath>
        <m:sSub>
          <m:e>
            <m:acc>
              <m:accPr>
                <m:chr m:val="̂"/>
              </m:accPr>
              <m:e>
                <m:r>
                  <m:t>P</m:t>
                </m:r>
              </m:e>
            </m:acc>
          </m:e>
          <m:sub>
            <m:r>
              <m:t>N</m:t>
            </m:r>
          </m:sub>
        </m:sSub>
      </m:oMath>
      <w:r>
        <w:rPr>
          <w:color w:val="3A4350"/>
          <w:sz w:val="15"/>
          <w:szCs w:val="15"/>
        </w:rPr>
        <w:t xml:space="preserve"> is the empirical distribution of </w:t>
      </w:r>
      <m:oMath>
        <m:r>
          <m:t>N</m:t>
        </m:r>
      </m:oMath>
      <w:r>
        <w:rPr>
          <w:color w:val="3A4350"/>
          <w:sz w:val="15"/>
          <w:szCs w:val="15"/>
        </w:rPr>
        <w:t xml:space="preserve"> samples of </w:t>
      </w:r>
      <m:oMath>
        <m:r>
          <m:t>ξ</m:t>
        </m:r>
      </m:oMath>
      <w:r>
        <w:rPr>
          <w:color w:val="3A4350"/>
          <w:sz w:val="15"/>
          <w:szCs w:val="15"/>
        </w:rPr>
        <w:t xml:space="preserve">, </w:t>
      </w:r>
      <m:oMath>
        <m:r>
          <m:t>I</m:t>
        </m:r>
        <m:d>
          <m:dPr>
            <m:begChr m:val="("/>
            <m:sepChr m:val=""/>
            <m:endChr m:val=")"/>
            <m:grow/>
          </m:dPr>
          <m:e>
            <m:r>
              <m:t>Q</m:t>
            </m:r>
            <m:r>
              <m:rPr>
                <m:sty m:val="p"/>
              </m:rPr>
              <m:t>,</m:t>
            </m:r>
            <m:r>
              <m:t>P</m:t>
            </m:r>
          </m:e>
        </m:d>
        <m:r>
          <m:rPr>
            <m:sty m:val="p"/>
          </m:rPr>
          <m:t>=</m:t>
        </m:r>
        <m:nary>
          <m:naryPr>
            <m:chr m:val="∑"/>
            <m:limLoc m:val="undOvr"/>
            <m:subHide m:val="off"/>
            <m:supHide m:val="on"/>
          </m:naryPr>
          <m:sub>
            <m:r>
              <m:t>k</m:t>
            </m:r>
          </m:sub>
          <m:sup>
            <m:r>
              <m:t>​</m:t>
            </m:r>
          </m:sup>
          <m:e>
            <m:sSub>
              <m:e>
                <m:r>
                  <m:t>Q</m:t>
                </m:r>
              </m:e>
              <m:sub>
                <m:r>
                  <m:t>k</m:t>
                </m:r>
              </m:sub>
            </m:sSub>
          </m:e>
        </m:nary>
        <m:r>
          <m:rPr>
            <m:sty m:val="p"/>
          </m:rPr>
          <m:t>log</m:t>
        </m:r>
        <m:d>
          <m:dPr>
            <m:begChr m:val="("/>
            <m:sepChr m:val=""/>
            <m:endChr m:val=")"/>
            <m:grow/>
          </m:dPr>
          <m:e>
            <m:sSub>
              <m:e>
                <m:r>
                  <m:t>Q</m:t>
                </m:r>
              </m:e>
              <m:sub>
                <m:r>
                  <m:t>k</m:t>
                </m:r>
              </m:sub>
            </m:sSub>
            <m:r>
              <m:rPr>
                <m:sty m:val="p"/>
              </m:rPr>
              <m:t>/</m:t>
            </m:r>
            <m:sSub>
              <m:e>
                <m:r>
                  <m:t>P</m:t>
                </m:r>
              </m:e>
              <m:sub>
                <m:r>
                  <m:t>k</m:t>
                </m:r>
              </m:sub>
            </m:sSub>
          </m:e>
        </m:d>
      </m:oMath>
      <w:r>
        <w:rPr>
          <w:color w:val="3A4350"/>
          <w:sz w:val="15"/>
          <w:szCs w:val="15"/>
        </w:rPr>
        <w:t xml:space="preserve"> the relative entropy for discrete outcomes, </w:t>
      </w:r>
      <m:oMath>
        <m:r>
          <m:rPr>
            <m:sty m:val="p"/>
          </m:rPr>
          <m:t>ℓ</m:t>
        </m:r>
        <m:d>
          <m:dPr>
            <m:begChr m:val="("/>
            <m:sepChr m:val=""/>
            <m:endChr m:val=")"/>
            <m:grow/>
          </m:dPr>
          <m:e>
            <m:r>
              <m:t>x</m:t>
            </m:r>
            <m:r>
              <m:rPr>
                <m:sty m:val="p"/>
              </m:rPr>
              <m:t>,</m:t>
            </m:r>
            <m:r>
              <m:t>ξ</m:t>
            </m:r>
          </m:e>
        </m:d>
      </m:oMath>
      <w:r>
        <w:rPr>
          <w:color w:val="3A4350"/>
          <w:sz w:val="15"/>
          <w:szCs w:val="15"/>
        </w:rPr>
        <w:t xml:space="preserve"> the cost of decision </w:t>
      </w:r>
      <m:oMath>
        <m:r>
          <m:t>x</m:t>
        </m:r>
      </m:oMath>
      <w:r>
        <w:rPr>
          <w:color w:val="3A4350"/>
          <w:sz w:val="15"/>
          <w:szCs w:val="15"/>
        </w:rPr>
        <w:t xml:space="preserve">, and </w:t>
      </w:r>
      <m:oMath>
        <m:r>
          <m:t>r</m:t>
        </m:r>
      </m:oMath>
      <w:r>
        <w:rPr>
          <w:color w:val="3A4350"/>
          <w:sz w:val="15"/>
          <w:szCs w:val="15"/>
        </w:rPr>
        <w:t xml:space="preserve"> the exponential rate at which the probability of disappointment must vanish, roughly as </w:t>
      </w:r>
      <m:oMath>
        <m:sSup>
          <m:e>
            <m:r>
              <m:t>e</m:t>
            </m:r>
          </m:e>
          <m:sup>
            <m:r>
              <m:rPr>
                <m:sty m:val="p"/>
              </m:rPr>
              <m:t>−</m:t>
            </m:r>
            <m:r>
              <m:t>r</m:t>
            </m:r>
            <m:r>
              <m:t>N</m:t>
            </m:r>
          </m:sup>
        </m:sSup>
      </m:oMath>
      <w:r>
        <w:rPr>
          <w:color w:val="3A4350"/>
          <w:sz w:val="15"/>
          <w:szCs w:val="15"/>
        </w:rPr>
        <w:t xml:space="preserve">.</w:t>
      </w:r>
    </w:p>
    <w:p>
      <w:pPr>
        <w:spacing w:after="60"/>
        <w:jc w:val="both"/>
      </w:pPr>
      <w:r>
        <w:rPr>
          <w:b/>
          <w:bCs/>
          <w:color w:val="4D4D4F"/>
          <w:sz w:val="17"/>
          <w:szCs w:val="17"/>
        </w:rPr>
        <w:t xml:space="preserve">Link to the Fushë-Kuqe stakeholders. </w:t>
      </w:r>
      <w:r>
        <w:rPr>
          <w:sz w:val="17"/>
          <w:szCs w:val="17"/>
        </w:rPr>
        <w:t xml:space="preserve">Belongs to theme 2. With few chloride samples, the utility's predicted risk for a pumping rate at A1 and P10 is over-optimistic unless robustified. The paper says exactly how: choose the rate minimising worst-case expected cost over distributions within relative-entropy distance </w:t>
      </w:r>
      <m:oMath>
        <m:r>
          <m:t>r</m:t>
        </m:r>
      </m:oMath>
      <w:r>
        <w:rPr>
          <w:sz w:val="17"/>
          <w:szCs w:val="17"/>
        </w:rPr>
        <w:t xml:space="preserve"> of the data, where </w:t>
      </w:r>
      <m:oMath>
        <m:r>
          <m:t>r</m:t>
        </m:r>
      </m:oMath>
      <w:r>
        <w:rPr>
          <w:sz w:val="17"/>
          <w:szCs w:val="17"/>
        </w:rPr>
        <w:t xml:space="preserve"> is how fast the parties want the chance of disappointment to vanish.</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when robust optimisation is not a cautious heuristic but the provably best way to turn data into a committed decision: among all procedures with a given exponential guarantee against disappointment, relative-entropy DRO is the unique least conservative one. Published in Management Science; first author at MIT's Operations Research Center.</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 is for one decision maker with independent, identically distributed data and a known cost. With several stakeholders who demand different rates </w:t>
      </w:r>
      <m:oMath>
        <m:r>
          <m:t>r</m:t>
        </m:r>
      </m:oMath>
      <w:r>
        <w:rPr>
          <w:sz w:val="17"/>
          <w:szCs w:val="17"/>
        </w:rPr>
        <w:t xml:space="preserve"> and weigh water, salinity and cost differently, which single pumping rate is jointly optimal remains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optimality and uniqueness of relative-entropy DRO among all data-driven predictor–prescriptor pairs, proved by large deviations. Proposed extension: give each stakeholder its own rate </w:t>
      </w:r>
      <m:oMath>
        <m:sSub>
          <m:e>
            <m:r>
              <m:t>r</m:t>
            </m:r>
          </m:e>
          <m:sub>
            <m:r>
              <m:t>k</m:t>
            </m:r>
          </m:sub>
        </m:sSub>
      </m:oMath>
      <w:r>
        <w:rPr>
          <w:sz w:val="17"/>
          <w:szCs w:val="17"/>
        </w:rPr>
        <w:t xml:space="preserve"> and cost </w:t>
      </w:r>
      <m:oMath>
        <m:sSub>
          <m:e>
            <m:r>
              <m:rPr>
                <m:sty m:val="p"/>
              </m:rPr>
              <m:t>ℓ</m:t>
            </m:r>
          </m:e>
          <m:sub>
            <m:r>
              <m:t>k</m:t>
            </m:r>
          </m:sub>
        </m:sSub>
      </m:oMath>
      <w:r>
        <w:rPr>
          <w:sz w:val="17"/>
          <w:szCs w:val="17"/>
        </w:rPr>
        <w:t xml:space="preserve"> for the A1/P10 pumping choice, compute the set of pumping rates that are optimal for some admissible </w:t>
      </w:r>
      <m:oMath>
        <m:d>
          <m:dPr>
            <m:begChr m:val="("/>
            <m:sepChr m:val=""/>
            <m:endChr m:val=")"/>
            <m:grow/>
          </m:dPr>
          <m:e>
            <m:sSub>
              <m:e>
                <m:r>
                  <m:t>r</m:t>
                </m:r>
              </m:e>
              <m:sub>
                <m:r>
                  <m:t>k</m:t>
                </m:r>
              </m:sub>
            </m:sSub>
            <m:r>
              <m:rPr>
                <m:sty m:val="p"/>
              </m:rPr>
              <m:t>,</m:t>
            </m:r>
            <m:sSub>
              <m:e>
                <m:r>
                  <m:rPr>
                    <m:sty m:val="p"/>
                  </m:rPr>
                  <m:t>ℓ</m:t>
                </m:r>
              </m:e>
              <m:sub>
                <m:r>
                  <m:t>k</m:t>
                </m:r>
              </m:sub>
            </m:sSub>
          </m:e>
        </m:d>
      </m:oMath>
      <w:r>
        <w:rPr>
          <w:sz w:val="17"/>
          <w:szCs w:val="17"/>
        </w:rPr>
        <w:t xml:space="preserve"> from the 20 000 model draws reweighted to the chloride record, and test whether one shallow sample shrinks that set to a single rate.</w:t>
      </w:r>
    </w:p>
    <w:p>
      <w:pPr>
        <w:keepNext/>
        <w:pBdr>
          <w:top w:val="single" w:color="4D4D4F" w:sz="6" w:space="4"/>
        </w:pBdr>
        <w:spacing w:after="60" w:before="220"/>
      </w:pPr>
      <w:r>
        <w:rPr>
          <w:b/>
          <w:bCs/>
          <w:color w:val="4D4D4F"/>
          <w:sz w:val="23"/>
          <w:szCs w:val="23"/>
        </w:rPr>
        <w:t xml:space="preserve">M4  </w:t>
      </w:r>
      <w:r>
        <w:rPr>
          <w:b/>
          <w:bCs/>
          <w:color w:val="1F3864"/>
          <w:sz w:val="23"/>
          <w:szCs w:val="23"/>
        </w:rPr>
        <w:t xml:space="preserve">A Data-Driven Approach to Multistage Stochastic Linear Optimization</w:t>
      </w:r>
    </w:p>
    <w:p>
      <w:pPr>
        <w:keepNext/>
        <w:spacing w:after="60" w:line="240" w:lineRule="auto"/>
      </w:pPr>
      <w:r>
        <w:rPr>
          <w:b/>
          <w:bCs/>
          <w:color w:val="333B47"/>
          <w:sz w:val="15"/>
          <w:szCs w:val="15"/>
        </w:rPr>
        <w:t xml:space="preserve">Authors: </w:t>
      </w:r>
      <w:r>
        <w:rPr>
          <w:sz w:val="15"/>
          <w:szCs w:val="15"/>
        </w:rPr>
        <w:t xml:space="preserve">Dimitris Bertsimas, Shimrit Shtern, Bradley Sturt</w:t>
      </w:r>
      <w:r>
        <w:rPr>
          <w:sz w:val="15"/>
          <w:szCs w:val="15"/>
        </w:rPr>
        <w:t xml:space="preserve">   </w:t>
      </w:r>
      <w:r>
        <w:rPr>
          <w:b/>
          <w:bCs/>
          <w:color w:val="333B47"/>
          <w:sz w:val="15"/>
          <w:szCs w:val="15"/>
        </w:rPr>
        <w:t xml:space="preserve">Published in: </w:t>
      </w:r>
      <w:r>
        <w:rPr>
          <w:sz w:val="15"/>
          <w:szCs w:val="15"/>
        </w:rPr>
        <w:t xml:space="preserve">Management Science, 69(1), 51–74 (January 2023)</w:t>
      </w:r>
      <w:r>
        <w:rPr>
          <w:sz w:val="15"/>
          <w:szCs w:val="15"/>
        </w:rPr>
        <w:t xml:space="preserve">   </w:t>
      </w:r>
      <w:r>
        <w:rPr>
          <w:b/>
          <w:bCs/>
          <w:color w:val="333B47"/>
          <w:sz w:val="15"/>
          <w:szCs w:val="15"/>
        </w:rPr>
        <w:t xml:space="preserve">Link: </w:t>
      </w:r>
      <w:hyperlink w:history="1" r:id="rIded0yyrcekl6zk_muo3fc9">
        <w:r>
          <w:rPr>
            <w:color w:val="1D4ED8"/>
            <w:sz w:val="15"/>
            <w:szCs w:val="15"/>
            <w:u w:val="single"/>
          </w:rPr>
          <w:t xml:space="preserve">https://doi.org/10.1287/mnsc.2022.4352</w:t>
        </w:r>
      </w:hyperlink>
    </w:p>
    <w:p>
      <w:pPr>
        <w:keepNext/>
        <w:spacing w:after="80" w:line="240" w:lineRule="auto"/>
      </w:pPr>
      <w:r>
        <w:rPr>
          <w:b/>
          <w:bCs/>
          <w:color w:val="333B47"/>
          <w:sz w:val="15"/>
          <w:szCs w:val="15"/>
        </w:rPr>
        <w:t xml:space="preserve">Affiliation: </w:t>
      </w:r>
      <w:r>
        <w:rPr>
          <w:color w:val="3A4350"/>
          <w:sz w:val="15"/>
          <w:szCs w:val="15"/>
        </w:rPr>
        <w:t xml:space="preserve">Dimitris Bertsimas, MIT: the article is deposited in DSpace@MIT (handles 1721.1/127292 and 1721.1/144106) and listed on the MIT Operations Research Center site; affiliations of Shtern and Sturt at publication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4D4D4F"/>
          <w:sz w:val="17"/>
          <w:szCs w:val="17"/>
        </w:rPr>
        <w:t xml:space="preserve">Summary. </w:t>
      </w:r>
      <w:r>
        <w:rPr>
          <w:sz w:val="17"/>
          <w:szCs w:val="17"/>
        </w:rPr>
        <w:t xml:space="preserve">Decisions are often staged: commit, observe, adapt. The paper treats multistage stochastic linear optimisation when the joint law of the uncertainty over time is unknown and only sample paths are available. It builds a robust problem from the data: around each observed path it places an uncertainty set of radius </w:t>
      </w:r>
      <m:oMath>
        <m:sSub>
          <m:e>
            <m:r>
              <m:t>ϵ</m:t>
            </m:r>
          </m:e>
          <m:sub>
            <m:r>
              <m:t>N</m:t>
            </m:r>
          </m:sub>
        </m:sSub>
      </m:oMath>
      <w:r>
        <w:rPr>
          <w:sz w:val="17"/>
          <w:szCs w:val="17"/>
        </w:rPr>
        <w:t xml:space="preserve">, and adaptive decisions must be feasible on every set while minimising the average worst-case cost. It proves asymptotic lower and upper bounds on the gap to the true stochastic optimum and identifies when the gap is zero, which the authors call the first sample-path method with such guarantees under arbitrary correlation across time.</w:t>
      </w:r>
    </w:p>
    <w:p>
      <w:pPr>
        <w:keepNext/>
        <w:spacing w:after="20" w:before="40"/>
      </w:pPr>
      <w:r>
        <w:rPr>
          <w:b/>
          <w:bCs/>
          <w:color w:val="4D4D4F"/>
          <w:sz w:val="17"/>
          <w:szCs w:val="17"/>
        </w:rPr>
        <w:t xml:space="preserve">Key equation.</w:t>
      </w:r>
      <w:r>
        <w:rPr>
          <w:i/>
          <w:iCs/>
          <w:color w:val="5B6573"/>
          <w:sz w:val="15"/>
          <w:szCs w:val="15"/>
        </w:rPr>
        <w:t xml:space="preserve">  Multistage sample robust optimisation built from N observed paths (representative formulation)</w:t>
      </w:r>
    </w:p>
    <w:p>
      <w:pPr>
        <w:pStyle w:val="Equation"/>
      </w:pPr>
      <m:oMathPara>
        <m:oMathParaPr>
          <m:jc m:val="center"/>
        </m:oMathParaPr>
        <m:oMath>
          <m:sSub>
            <m:e>
              <m:acc>
                <m:accPr>
                  <m:chr m:val="̂"/>
                </m:accPr>
                <m:e>
                  <m:r>
                    <m:t>J</m:t>
                  </m:r>
                </m:e>
              </m:acc>
            </m:e>
            <m:sub>
              <m:r>
                <m:t>N</m:t>
              </m:r>
            </m:sub>
          </m:sSub>
          <m:r>
            <m:rPr>
              <m:sty m:val="p"/>
            </m:rPr>
            <m:t>=</m:t>
          </m:r>
          <m:limLow>
            <m:e>
              <m:r>
                <m:rPr>
                  <m:sty m:val="p"/>
                </m:rPr>
                <m:t>min</m:t>
              </m:r>
            </m:e>
            <m:lim>
              <m:r>
                <m:t>x</m:t>
              </m:r>
              <m:r>
                <m:rPr>
                  <m:sty m:val="p"/>
                </m:rPr>
                <m:t>∈</m:t>
              </m:r>
              <m:r>
                <m:rPr>
                  <m:scr m:val="script"/>
                  <m:sty m:val="p"/>
                </m:rPr>
                <m:t>X</m:t>
              </m:r>
            </m:lim>
          </m:limLow>
          <m:r>
            <m:t> </m:t>
          </m:r>
          <m:f>
            <m:fPr>
              <m:type m:val="bar"/>
            </m:fPr>
            <m:num>
              <m:r>
                <m:t>1</m:t>
              </m:r>
            </m:num>
            <m:den>
              <m:r>
                <m:t>N</m:t>
              </m:r>
            </m:den>
          </m:f>
          <m:nary>
            <m:naryPr>
              <m:chr m:val="∑"/>
              <m:limLoc m:val="undOvr"/>
              <m:subHide m:val="off"/>
              <m:supHide m:val="off"/>
            </m:naryPr>
            <m:sub>
              <m:r>
                <m:t>j</m:t>
              </m:r>
              <m:r>
                <m:rPr>
                  <m:sty m:val="p"/>
                </m:rPr>
                <m:t>=</m:t>
              </m:r>
              <m:r>
                <m:t>1</m:t>
              </m:r>
            </m:sub>
            <m:sup>
              <m:r>
                <m:t>N</m:t>
              </m:r>
            </m:sup>
            <m:e>
              <m:limLow>
                <m:e>
                  <m:r>
                    <m:rPr>
                      <m:sty m:val="p"/>
                    </m:rPr>
                    <m:t>max</m:t>
                  </m:r>
                </m:e>
                <m:lim>
                  <m:r>
                    <m:t>ζ</m:t>
                  </m:r>
                  <m:r>
                    <m:rPr>
                      <m:sty m:val="p"/>
                    </m:rPr>
                    <m:t>∈</m:t>
                  </m:r>
                  <m:sSubSup>
                    <m:e>
                      <m:r>
                        <m:rPr>
                          <m:scr m:val="script"/>
                          <m:sty m:val="p"/>
                        </m:rPr>
                        <m:t>U</m:t>
                      </m:r>
                    </m:e>
                    <m:sub>
                      <m:r>
                        <m:t>N</m:t>
                      </m:r>
                    </m:sub>
                    <m:sup>
                      <m:r>
                        <m:t>j</m:t>
                      </m:r>
                    </m:sup>
                  </m:sSubSup>
                </m:lim>
              </m:limLow>
            </m:e>
          </m:nary>
          <m:r>
            <m:t> </m:t>
          </m:r>
          <m:nary>
            <m:naryPr>
              <m:chr m:val="∑"/>
              <m:limLoc m:val="undOvr"/>
              <m:subHide m:val="off"/>
              <m:supHide m:val="off"/>
            </m:naryPr>
            <m:sub>
              <m:r>
                <m:t>t</m:t>
              </m:r>
              <m:r>
                <m:rPr>
                  <m:sty m:val="p"/>
                </m:rPr>
                <m:t>=</m:t>
              </m:r>
              <m:r>
                <m:t>1</m:t>
              </m:r>
            </m:sub>
            <m:sup>
              <m:r>
                <m:t>T</m:t>
              </m:r>
            </m:sup>
            <m:e>
              <m:sSub>
                <m:e>
                  <m:r>
                    <m:t>c</m:t>
                  </m:r>
                </m:e>
                <m:sub>
                  <m:r>
                    <m:t>t</m:t>
                  </m:r>
                </m:sub>
              </m:sSub>
            </m:e>
          </m:nary>
          <m:d>
            <m:dPr>
              <m:begChr m:val="("/>
              <m:sepChr m:val=""/>
              <m:endChr m:val=")"/>
              <m:grow/>
            </m:dPr>
            <m:e>
              <m:r>
                <m:t>ζ</m:t>
              </m:r>
            </m:e>
          </m:d>
          <m:r>
            <m:rPr>
              <m:sty m:val="p"/>
            </m:rPr>
            <m:t>⋅</m:t>
          </m:r>
          <m:sSub>
            <m:e>
              <m:r>
                <m:t>x</m:t>
              </m:r>
            </m:e>
            <m:sub>
              <m:r>
                <m:t>t</m:t>
              </m:r>
            </m:sub>
          </m:sSub>
          <m:d>
            <m:dPr>
              <m:begChr m:val="("/>
              <m:sepChr m:val=""/>
              <m:endChr m:val=")"/>
              <m:grow/>
            </m:dPr>
            <m:e>
              <m:sSub>
                <m:e>
                  <m:r>
                    <m:t>ζ</m:t>
                  </m:r>
                </m:e>
                <m:sub>
                  <m:r>
                    <m:t>1</m:t>
                  </m:r>
                </m:sub>
              </m:sSub>
              <m:r>
                <m:rPr>
                  <m:sty m:val="p"/>
                </m:rPr>
                <m:t>,</m:t>
              </m:r>
              <m:r>
                <m:rPr>
                  <m:sty m:val="p"/>
                </m:rPr>
                <m:t>…</m:t>
              </m:r>
              <m:r>
                <m:rPr>
                  <m:sty m:val="p"/>
                </m:rPr>
                <m:t>,</m:t>
              </m:r>
              <m:sSub>
                <m:e>
                  <m:r>
                    <m:t>ζ</m:t>
                  </m:r>
                </m:e>
                <m:sub>
                  <m:r>
                    <m:t>t</m:t>
                  </m:r>
                  <m:r>
                    <m:rPr>
                      <m:sty m:val="p"/>
                    </m:rPr>
                    <m:t>−</m:t>
                  </m:r>
                  <m:r>
                    <m:t>1</m:t>
                  </m:r>
                </m:sub>
              </m:sSub>
            </m:e>
          </m:d>
          <m:r>
            <m:rPr>
              <m:sty m:val="p"/>
            </m:rPr>
            <m:t>,</m:t>
          </m:r>
          <m:r>
            <m:t>  </m:t>
          </m:r>
          <m:sSubSup>
            <m:e>
              <m:r>
                <m:rPr>
                  <m:scr m:val="script"/>
                  <m:sty m:val="p"/>
                </m:rPr>
                <m:t>U</m:t>
              </m:r>
            </m:e>
            <m:sub>
              <m:r>
                <m:t>N</m:t>
              </m:r>
            </m:sub>
            <m:sup>
              <m:r>
                <m:t>j</m:t>
              </m:r>
            </m:sup>
          </m:sSubSup>
          <m:r>
            <m:rPr>
              <m:sty m:val="p"/>
            </m:rPr>
            <m:t>=</m:t>
          </m:r>
          <m:d>
            <m:dPr>
              <m:begChr m:val="{"/>
              <m:sepChr m:val=""/>
              <m:endChr m:val="}"/>
              <m:grow/>
            </m:dPr>
            <m:e>
              <m:r>
                <m:t>ζ</m:t>
              </m:r>
              <m:r>
                <m:rPr>
                  <m:sty m:val="p"/>
                </m:rPr>
                <m:t>:</m:t>
              </m:r>
              <m:d>
                <m:dPr>
                  <m:begChr m:val="∥"/>
                  <m:sepChr m:val=""/>
                  <m:endChr m:val="∥"/>
                  <m:grow/>
                </m:dPr>
                <m:e>
                  <m:r>
                    <m:t>ζ</m:t>
                  </m:r>
                  <m:r>
                    <m:rPr>
                      <m:sty m:val="p"/>
                    </m:rPr>
                    <m:t>−</m:t>
                  </m:r>
                  <m:sSup>
                    <m:e>
                      <m:acc>
                        <m:accPr>
                          <m:chr m:val="̂"/>
                        </m:accPr>
                        <m:e>
                          <m:r>
                            <m:t>ζ</m:t>
                          </m:r>
                        </m:e>
                      </m:acc>
                    </m:e>
                    <m:sup>
                      <m:r>
                        <m:t>j</m:t>
                      </m:r>
                    </m:sup>
                  </m:sSup>
                </m:e>
              </m:d>
              <m:r>
                <m:rPr>
                  <m:sty m:val="p"/>
                </m:rPr>
                <m:t>≤</m:t>
              </m:r>
              <m:sSub>
                <m:e>
                  <m:r>
                    <m:t>ϵ</m:t>
                  </m:r>
                </m:e>
                <m:sub>
                  <m:r>
                    <m:t>N</m:t>
                  </m:r>
                </m:sub>
              </m:sSub>
            </m:e>
          </m:d>
        </m:oMath>
      </m:oMathPara>
    </w:p>
    <w:p>
      <w:pPr>
        <w:spacing w:after="60"/>
        <w:jc w:val="both"/>
      </w:pPr>
      <m:oMath>
        <m:sSup>
          <m:e>
            <m:acc>
              <m:accPr>
                <m:chr m:val="̂"/>
              </m:accPr>
              <m:e>
                <m:r>
                  <m:t>ζ</m:t>
                </m:r>
              </m:e>
            </m:acc>
          </m:e>
          <m:sup>
            <m:r>
              <m:t>j</m:t>
            </m:r>
          </m:sup>
        </m:sSup>
      </m:oMath>
      <w:r>
        <w:rPr>
          <w:color w:val="3A4350"/>
          <w:sz w:val="15"/>
          <w:szCs w:val="15"/>
        </w:rPr>
        <w:t xml:space="preserve"> is the </w:t>
      </w:r>
      <m:oMath>
        <m:r>
          <m:t>j</m:t>
        </m:r>
      </m:oMath>
      <w:r>
        <w:rPr>
          <w:color w:val="3A4350"/>
          <w:sz w:val="15"/>
          <w:szCs w:val="15"/>
        </w:rPr>
        <w:t xml:space="preserve">-th observed path of the uncertainty over </w:t>
      </w:r>
      <m:oMath>
        <m:r>
          <m:t>T</m:t>
        </m:r>
      </m:oMath>
      <w:r>
        <w:rPr>
          <w:color w:val="3A4350"/>
          <w:sz w:val="15"/>
          <w:szCs w:val="15"/>
        </w:rPr>
        <w:t xml:space="preserve"> stages, </w:t>
      </w:r>
      <m:oMath>
        <m:sSub>
          <m:e>
            <m:r>
              <m:t>ϵ</m:t>
            </m:r>
          </m:e>
          <m:sub>
            <m:r>
              <m:t>N</m:t>
            </m:r>
          </m:sub>
        </m:sSub>
      </m:oMath>
      <w:r>
        <w:rPr>
          <w:color w:val="3A4350"/>
          <w:sz w:val="15"/>
          <w:szCs w:val="15"/>
        </w:rPr>
        <w:t xml:space="preserve"> a radius that shrinks as </w:t>
      </w:r>
      <m:oMath>
        <m:r>
          <m:t>N</m:t>
        </m:r>
      </m:oMath>
      <w:r>
        <w:rPr>
          <w:color w:val="3A4350"/>
          <w:sz w:val="15"/>
          <w:szCs w:val="15"/>
        </w:rPr>
        <w:t xml:space="preserve"> grows, and </w:t>
      </w:r>
      <m:oMath>
        <m:sSub>
          <m:e>
            <m:r>
              <m:t>x</m:t>
            </m:r>
          </m:e>
          <m:sub>
            <m:r>
              <m:t>t</m:t>
            </m:r>
          </m:sub>
        </m:sSub>
      </m:oMath>
      <w:r>
        <w:rPr>
          <w:color w:val="3A4350"/>
          <w:sz w:val="15"/>
          <w:szCs w:val="15"/>
        </w:rPr>
        <w:t xml:space="preserve"> the stage-</w:t>
      </w:r>
      <m:oMath>
        <m:r>
          <m:t>t</m:t>
        </m:r>
      </m:oMath>
      <w:r>
        <w:rPr>
          <w:color w:val="3A4350"/>
          <w:sz w:val="15"/>
          <w:szCs w:val="15"/>
        </w:rPr>
        <w:t xml:space="preserve"> decision, which may use only what was observed before stage </w:t>
      </w:r>
      <m:oMath>
        <m:r>
          <m:t>t</m:t>
        </m:r>
      </m:oMath>
      <w:r>
        <w:rPr>
          <w:color w:val="3A4350"/>
          <w:sz w:val="15"/>
          <w:szCs w:val="15"/>
        </w:rPr>
        <w:t xml:space="preserve">; the constraints must hold for every </w:t>
      </w:r>
      <m:oMath>
        <m:r>
          <m:t>ζ</m:t>
        </m:r>
      </m:oMath>
      <w:r>
        <w:rPr>
          <w:color w:val="3A4350"/>
          <w:sz w:val="15"/>
          <w:szCs w:val="15"/>
        </w:rPr>
        <w:t xml:space="preserve"> in the union of the sets.</w:t>
      </w:r>
    </w:p>
    <w:p>
      <w:pPr>
        <w:spacing w:after="60"/>
        <w:jc w:val="both"/>
      </w:pPr>
      <w:r>
        <w:rPr>
          <w:b/>
          <w:bCs/>
          <w:color w:val="4D4D4F"/>
          <w:sz w:val="17"/>
          <w:szCs w:val="17"/>
        </w:rPr>
        <w:t xml:space="preserve">Link to the Fushë-Kuqe stakeholders. </w:t>
      </w:r>
      <w:r>
        <w:rPr>
          <w:sz w:val="17"/>
          <w:szCs w:val="17"/>
        </w:rPr>
        <w:t xml:space="preserve">Belongs to theme 2. The Fushë-Kuqe decision is staged, an adaptive policy: fix the A1 and P10 screens and pumping now, decide on the three recharge wells after some years of data. The method commits the first stage from a short record while, under its conditions, the staged plan approaches the best plan under the true climate as data accumulate.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in the authors' words, the first sample-path method for multistage linear decisions with asymptotic optimality guarantees under arbitrary time correlation, joining sample average approximation and robust optimisation for adaptive policies. Published in Management Science from Dimitris Bertsimas's work at MIT, with a companion two-stage paper in Operations Research (2022).</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guarantees are asymptotic in the number of paths and assume a stationary process, whereas a coastal aquifer has one short record under a drying climate and rising sea. Finite-sample guarantees under such non-stationarity, with several stakeholder costs, are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sample-path robust formulation of multistage linear problems with asymptotic optimality bounds under arbitrary time correlation. Proposed extension: use the 20 000 model draws as paths of recharge, sea level and mixing-zone width over three five-year stages; solve for here-and-now screen depths and pumping with recharge as later recourse, and test whether the first-stage decision stays fixed as </w:t>
      </w:r>
      <m:oMath>
        <m:sSub>
          <m:e>
            <m:r>
              <m:t>ϵ</m:t>
            </m:r>
          </m:e>
          <m:sub>
            <m:r>
              <m:t>N</m:t>
            </m:r>
          </m:sub>
        </m:sSub>
      </m:oMath>
      <w:r>
        <w:rPr>
          <w:sz w:val="17"/>
          <w:szCs w:val="17"/>
        </w:rPr>
        <w:t xml:space="preserve"> and the stakeholder cost weights vary.</w:t>
      </w:r>
    </w:p>
    <w:p>
      <w:pPr>
        <w:keepNext/>
        <w:pBdr>
          <w:top w:val="single" w:color="4D4D4F" w:sz="6" w:space="4"/>
        </w:pBdr>
        <w:spacing w:after="60" w:before="220"/>
      </w:pPr>
      <w:r>
        <w:rPr>
          <w:b/>
          <w:bCs/>
          <w:color w:val="4D4D4F"/>
          <w:sz w:val="23"/>
          <w:szCs w:val="23"/>
        </w:rPr>
        <w:t xml:space="preserve">M5  </w:t>
      </w:r>
      <w:r>
        <w:rPr>
          <w:b/>
          <w:bCs/>
          <w:color w:val="1F3864"/>
          <w:sz w:val="23"/>
          <w:szCs w:val="23"/>
        </w:rPr>
        <w:t xml:space="preserve">Phase Transitions in Bandits with Switching Constraints</w:t>
      </w:r>
    </w:p>
    <w:p>
      <w:pPr>
        <w:keepNext/>
        <w:spacing w:after="60" w:line="240" w:lineRule="auto"/>
      </w:pPr>
      <w:r>
        <w:rPr>
          <w:b/>
          <w:bCs/>
          <w:color w:val="333B47"/>
          <w:sz w:val="15"/>
          <w:szCs w:val="15"/>
        </w:rPr>
        <w:t xml:space="preserve">Authors: </w:t>
      </w:r>
      <w:r>
        <w:rPr>
          <w:sz w:val="15"/>
          <w:szCs w:val="15"/>
        </w:rPr>
        <w:t xml:space="preserve">David Simchi-Levi, Yunzong Xu</w:t>
      </w:r>
      <w:r>
        <w:rPr>
          <w:sz w:val="15"/>
          <w:szCs w:val="15"/>
        </w:rPr>
        <w:t xml:space="preserve">   </w:t>
      </w:r>
      <w:r>
        <w:rPr>
          <w:b/>
          <w:bCs/>
          <w:color w:val="333B47"/>
          <w:sz w:val="15"/>
          <w:szCs w:val="15"/>
        </w:rPr>
        <w:t xml:space="preserve">Published in: </w:t>
      </w:r>
      <w:r>
        <w:rPr>
          <w:sz w:val="15"/>
          <w:szCs w:val="15"/>
        </w:rPr>
        <w:t xml:space="preserve">Management Science, 69(12), 7182–7201 (2023); extends the NeurIPS 2019 paper "Phase Transitions and Cyclic Phenomena in Bandits with Switching Constraints"</w:t>
      </w:r>
      <w:r>
        <w:rPr>
          <w:sz w:val="15"/>
          <w:szCs w:val="15"/>
        </w:rPr>
        <w:t xml:space="preserve">   </w:t>
      </w:r>
      <w:r>
        <w:rPr>
          <w:b/>
          <w:bCs/>
          <w:color w:val="333B47"/>
          <w:sz w:val="15"/>
          <w:szCs w:val="15"/>
        </w:rPr>
        <w:t xml:space="preserve">Link: </w:t>
      </w:r>
      <w:hyperlink w:history="1" r:id="rIdjxmn0jdpeirqzk7c7gtk8">
        <w:r>
          <w:rPr>
            <w:color w:val="1D4ED8"/>
            <w:sz w:val="15"/>
            <w:szCs w:val="15"/>
            <w:u w:val="single"/>
          </w:rPr>
          <w:t xml:space="preserve">https://doi.org/10.1287/mnsc.2023.4755</w:t>
        </w:r>
      </w:hyperlink>
    </w:p>
    <w:p>
      <w:pPr>
        <w:keepNext/>
        <w:spacing w:after="80" w:line="240" w:lineRule="auto"/>
      </w:pPr>
      <w:r>
        <w:rPr>
          <w:b/>
          <w:bCs/>
          <w:color w:val="333B47"/>
          <w:sz w:val="15"/>
          <w:szCs w:val="15"/>
        </w:rPr>
        <w:t xml:space="preserve">Affiliation: </w:t>
      </w:r>
      <w:r>
        <w:rPr>
          <w:color w:val="3A4350"/>
          <w:sz w:val="15"/>
          <w:szCs w:val="15"/>
        </w:rPr>
        <w:t xml:space="preserve">David Simchi-Levi, MIT: the paper is listed in the publications of the MIT Data Science Lab (dsl.mit.edu, which dates it 2022); Yunzong Xu's affiliation at publication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4D4D4F"/>
          <w:sz w:val="17"/>
          <w:szCs w:val="17"/>
        </w:rPr>
        <w:t xml:space="preserve">Summary. </w:t>
      </w:r>
      <w:r>
        <w:rPr>
          <w:sz w:val="17"/>
          <w:szCs w:val="17"/>
        </w:rPr>
        <w:t xml:space="preserve">A decision maker repeatedly chooses among </w:t>
      </w:r>
      <m:oMath>
        <m:r>
          <m:t>K</m:t>
        </m:r>
      </m:oMath>
      <w:r>
        <w:rPr>
          <w:sz w:val="17"/>
          <w:szCs w:val="17"/>
        </w:rPr>
        <w:t xml:space="preserve"> actions with unknown mean rewards over </w:t>
      </w:r>
      <m:oMath>
        <m:r>
          <m:t>T</m:t>
        </m:r>
      </m:oMath>
      <w:r>
        <w:rPr>
          <w:sz w:val="17"/>
          <w:szCs w:val="17"/>
        </w:rPr>
        <w:t xml:space="preserve"> periods, but the total cost of switching between actions may not exceed a budget </w:t>
      </w:r>
      <m:oMath>
        <m:r>
          <m:t>S</m:t>
        </m:r>
      </m:oMath>
      <w:r>
        <w:rPr>
          <w:sz w:val="17"/>
          <w:szCs w:val="17"/>
        </w:rPr>
        <w:t xml:space="preserve">; with unit costs, </w:t>
      </w:r>
      <m:oMath>
        <m:r>
          <m:t>S</m:t>
        </m:r>
      </m:oMath>
      <w:r>
        <w:rPr>
          <w:sz w:val="17"/>
          <w:szCs w:val="17"/>
        </w:rPr>
        <w:t xml:space="preserve"> is the number of allowed changes of policy. The paper proves matching upper and lower bounds on the minimax regret and gives rate-optimal algorithms. The optimal regret grows at an unconventional rate in </w:t>
      </w:r>
      <m:oMath>
        <m:r>
          <m:t>T</m:t>
        </m:r>
      </m:oMath>
      <w:r>
        <w:rPr>
          <w:sz w:val="17"/>
          <w:szCs w:val="17"/>
        </w:rPr>
        <w:t xml:space="preserve"> and </w:t>
      </w:r>
      <m:oMath>
        <m:r>
          <m:t>K</m:t>
        </m:r>
      </m:oMath>
      <w:r>
        <w:rPr>
          <w:sz w:val="17"/>
          <w:szCs w:val="17"/>
        </w:rPr>
        <w:t xml:space="preserve">: for fixed </w:t>
      </w:r>
      <m:oMath>
        <m:r>
          <m:t>K</m:t>
        </m:r>
      </m:oMath>
      <w:r>
        <w:rPr>
          <w:sz w:val="17"/>
          <w:szCs w:val="17"/>
        </w:rPr>
        <w:t xml:space="preserve"> it stays constant across equal-length phases of the budget and drops abruptly between them; when </w:t>
      </w:r>
      <m:oMath>
        <m:r>
          <m:t>K</m:t>
        </m:r>
      </m:oMath>
      <w:r>
        <w:rPr>
          <w:sz w:val="17"/>
          <w:szCs w:val="17"/>
        </w:rPr>
        <w:t xml:space="preserve"> grows with </w:t>
      </w:r>
      <m:oMath>
        <m:r>
          <m:t>T</m:t>
        </m:r>
      </m:oMath>
      <w:r>
        <w:rPr>
          <w:sz w:val="17"/>
          <w:szCs w:val="17"/>
        </w:rPr>
        <w:t xml:space="preserve"> a generalised phase transition holds. For general switching costs the problem is linked to the shortest Hamiltonian path.</w:t>
      </w:r>
    </w:p>
    <w:p>
      <w:pPr>
        <w:keepNext/>
        <w:spacing w:after="20" w:before="40"/>
      </w:pPr>
      <w:r>
        <w:rPr>
          <w:b/>
          <w:bCs/>
          <w:color w:val="4D4D4F"/>
          <w:sz w:val="17"/>
          <w:szCs w:val="17"/>
        </w:rPr>
        <w:t xml:space="preserve">Key equation.</w:t>
      </w:r>
      <w:r>
        <w:rPr>
          <w:i/>
          <w:iCs/>
          <w:color w:val="5B6573"/>
          <w:sz w:val="15"/>
          <w:szCs w:val="15"/>
        </w:rPr>
        <w:t xml:space="preserve">  Minimax regret with unit switching costs and budget S (exponent as recalled from the paper; not verified in a search result)</w:t>
      </w:r>
    </w:p>
    <w:p>
      <w:pPr>
        <w:pStyle w:val="Equation"/>
      </w:pPr>
      <m:oMathPara>
        <m:oMathParaPr>
          <m:jc m:val="center"/>
        </m:oMathParaPr>
        <m:oMath>
          <m:sSup>
            <m:e>
              <m:r>
                <m:t>R</m:t>
              </m:r>
            </m:e>
            <m:sup>
              <m:r>
                <m:rPr>
                  <m:sty m:val="p"/>
                </m:rPr>
                <m:t>⋆</m:t>
              </m:r>
            </m:sup>
          </m:sSup>
          <m:d>
            <m:dPr>
              <m:begChr m:val="("/>
              <m:sepChr m:val=""/>
              <m:endChr m:val=")"/>
              <m:grow/>
            </m:dPr>
            <m:e>
              <m:r>
                <m:t>T</m:t>
              </m:r>
            </m:e>
          </m:d>
          <m:r>
            <m:rPr>
              <m:sty m:val="p"/>
            </m:rPr>
            <m:t>=</m:t>
          </m:r>
          <m:acc>
            <m:accPr>
              <m:chr m:val="̃"/>
            </m:accPr>
            <m:e>
              <m:r>
                <m:t>Θ</m:t>
              </m:r>
            </m:e>
          </m:acc>
          <m:d>
            <m:dPr>
              <m:begChr m:val="("/>
              <m:sepChr m:val=""/>
              <m:endChr m:val=")"/>
              <m:grow/>
            </m:dPr>
            <m:e>
              <m:sSup>
                <m:e>
                  <m:r>
                    <m:t>T</m:t>
                  </m:r>
                </m:e>
                <m:sup>
                  <m:r>
                    <m:t>1</m:t>
                  </m:r>
                  <m:r>
                    <m:rPr>
                      <m:sty m:val="p"/>
                    </m:rPr>
                    <m:t>/</m:t>
                  </m:r>
                  <m:d>
                    <m:dPr>
                      <m:begChr m:val="("/>
                      <m:sepChr m:val=""/>
                      <m:endChr m:val=")"/>
                      <m:grow/>
                    </m:dPr>
                    <m:e>
                      <m:r>
                        <m:t>2</m:t>
                      </m:r>
                      <m:r>
                        <m:rPr>
                          <m:sty m:val="p"/>
                        </m:rPr>
                        <m:t>−</m:t>
                      </m:r>
                      <m:sSup>
                        <m:e>
                          <m:r>
                            <m:t>2</m:t>
                          </m:r>
                        </m:e>
                        <m:sup>
                          <m:r>
                            <m:rPr>
                              <m:sty m:val="p"/>
                            </m:rPr>
                            <m:t>−</m:t>
                          </m:r>
                          <m:r>
                            <m:t>m</m:t>
                          </m:r>
                          <m:d>
                            <m:dPr>
                              <m:begChr m:val="("/>
                              <m:sepChr m:val=""/>
                              <m:endChr m:val=")"/>
                              <m:grow/>
                            </m:dPr>
                            <m:e>
                              <m:r>
                                <m:t>S</m:t>
                              </m:r>
                            </m:e>
                          </m:d>
                        </m:sup>
                      </m:sSup>
                    </m:e>
                  </m:d>
                </m:sup>
              </m:sSup>
            </m:e>
          </m:d>
          <m:r>
            <m:rPr>
              <m:sty m:val="p"/>
            </m:rPr>
            <m:t>,</m:t>
          </m:r>
          <m:r>
            <m:t>  </m:t>
          </m:r>
          <m:r>
            <m:t>m</m:t>
          </m:r>
          <m:d>
            <m:dPr>
              <m:begChr m:val="("/>
              <m:sepChr m:val=""/>
              <m:endChr m:val=")"/>
              <m:grow/>
            </m:dPr>
            <m:e>
              <m:r>
                <m:t>S</m:t>
              </m:r>
            </m:e>
          </m:d>
          <m:r>
            <m:rPr>
              <m:sty m:val="p"/>
            </m:rPr>
            <m:t>=</m:t>
          </m:r>
          <m:r>
            <m:rPr>
              <m:nor/>
            </m:rPr>
            <m:t>int</m:t>
          </m:r>
          <m:d>
            <m:dPr>
              <m:begChr m:val="("/>
              <m:sepChr m:val=""/>
              <m:endChr m:val=")"/>
              <m:grow/>
            </m:dPr>
            <m:e>
              <m:f>
                <m:fPr>
                  <m:type m:val="bar"/>
                </m:fPr>
                <m:num>
                  <m:r>
                    <m:t>S</m:t>
                  </m:r>
                  <m:r>
                    <m:rPr>
                      <m:sty m:val="p"/>
                    </m:rPr>
                    <m:t>−</m:t>
                  </m:r>
                  <m:r>
                    <m:t>1</m:t>
                  </m:r>
                </m:num>
                <m:den>
                  <m:r>
                    <m:t>K</m:t>
                  </m:r>
                  <m:r>
                    <m:rPr>
                      <m:sty m:val="p"/>
                    </m:rPr>
                    <m:t>−</m:t>
                  </m:r>
                  <m:r>
                    <m:t>1</m:t>
                  </m:r>
                </m:den>
              </m:f>
            </m:e>
          </m:d>
        </m:oMath>
      </m:oMathPara>
    </w:p>
    <w:p>
      <w:pPr>
        <w:spacing w:after="60"/>
        <w:jc w:val="both"/>
      </w:pPr>
      <m:oMath>
        <m:sSup>
          <m:e>
            <m:r>
              <m:t>R</m:t>
            </m:r>
          </m:e>
          <m:sup>
            <m:r>
              <m:rPr>
                <m:sty m:val="p"/>
              </m:rPr>
              <m:t>⋆</m:t>
            </m:r>
          </m:sup>
        </m:sSup>
        <m:d>
          <m:dPr>
            <m:begChr m:val="("/>
            <m:sepChr m:val=""/>
            <m:endChr m:val=")"/>
            <m:grow/>
          </m:dPr>
          <m:e>
            <m:r>
              <m:t>T</m:t>
            </m:r>
          </m:e>
        </m:d>
      </m:oMath>
      <w:r>
        <w:rPr>
          <w:color w:val="3A4350"/>
          <w:sz w:val="15"/>
          <w:szCs w:val="15"/>
        </w:rPr>
        <w:t xml:space="preserve"> is the best achievable worst-case regret over </w:t>
      </w:r>
      <m:oMath>
        <m:r>
          <m:t>T</m:t>
        </m:r>
      </m:oMath>
      <w:r>
        <w:rPr>
          <w:color w:val="3A4350"/>
          <w:sz w:val="15"/>
          <w:szCs w:val="15"/>
        </w:rPr>
        <w:t xml:space="preserve"> periods with </w:t>
      </w:r>
      <m:oMath>
        <m:r>
          <m:t>K</m:t>
        </m:r>
      </m:oMath>
      <w:r>
        <w:rPr>
          <w:color w:val="3A4350"/>
          <w:sz w:val="15"/>
          <w:szCs w:val="15"/>
        </w:rPr>
        <w:t xml:space="preserve"> actions and at most </w:t>
      </w:r>
      <m:oMath>
        <m:r>
          <m:t>S</m:t>
        </m:r>
      </m:oMath>
      <w:r>
        <w:rPr>
          <w:color w:val="3A4350"/>
          <w:sz w:val="15"/>
          <w:szCs w:val="15"/>
        </w:rPr>
        <w:t xml:space="preserve"> switches, and </w:t>
      </w:r>
      <m:oMath>
        <m:r>
          <m:t>m</m:t>
        </m:r>
        <m:d>
          <m:dPr>
            <m:begChr m:val="("/>
            <m:sepChr m:val=""/>
            <m:endChr m:val=")"/>
            <m:grow/>
          </m:dPr>
          <m:e>
            <m:r>
              <m:t>S</m:t>
            </m:r>
          </m:e>
        </m:d>
      </m:oMath>
      <w:r>
        <w:rPr>
          <w:color w:val="3A4350"/>
          <w:sz w:val="15"/>
          <w:szCs w:val="15"/>
        </w:rPr>
        <w:t xml:space="preserve">, the integer part of </w:t>
      </w:r>
      <m:oMath>
        <m:d>
          <m:dPr>
            <m:begChr m:val="("/>
            <m:sepChr m:val=""/>
            <m:endChr m:val=")"/>
            <m:grow/>
          </m:dPr>
          <m:e>
            <m:r>
              <m:t>S</m:t>
            </m:r>
            <m:r>
              <m:rPr>
                <m:sty m:val="p"/>
              </m:rPr>
              <m:t>−</m:t>
            </m:r>
            <m:r>
              <m:t>1</m:t>
            </m:r>
          </m:e>
        </m:d>
        <m:r>
          <m:rPr>
            <m:sty m:val="p"/>
          </m:rPr>
          <m:t>/</m:t>
        </m:r>
        <m:d>
          <m:dPr>
            <m:begChr m:val="("/>
            <m:sepChr m:val=""/>
            <m:endChr m:val=")"/>
            <m:grow/>
          </m:dPr>
          <m:e>
            <m:r>
              <m:t>K</m:t>
            </m:r>
            <m:r>
              <m:rPr>
                <m:sty m:val="p"/>
              </m:rPr>
              <m:t>−</m:t>
            </m:r>
            <m:r>
              <m:t>1</m:t>
            </m:r>
          </m:e>
        </m:d>
      </m:oMath>
      <w:r>
        <w:rPr>
          <w:color w:val="3A4350"/>
          <w:sz w:val="15"/>
          <w:szCs w:val="15"/>
        </w:rPr>
        <w:t xml:space="preserve">, counts the complete passes through the actions that the budget allows; a budget below </w:t>
      </w:r>
      <m:oMath>
        <m:r>
          <m:t>K</m:t>
        </m:r>
      </m:oMath>
      <w:r>
        <w:rPr>
          <w:color w:val="3A4350"/>
          <w:sz w:val="15"/>
          <w:szCs w:val="15"/>
        </w:rPr>
        <w:t xml:space="preserve"> gives linear regret and one pass gives the explore-then-commit rate </w:t>
      </w:r>
      <m:oMath>
        <m:sSup>
          <m:e>
            <m:r>
              <m:t>T</m:t>
            </m:r>
          </m:e>
          <m:sup>
            <m:r>
              <m:t>2</m:t>
            </m:r>
            <m:r>
              <m:rPr>
                <m:sty m:val="p"/>
              </m:rPr>
              <m:t>/</m:t>
            </m:r>
            <m:r>
              <m:t>3</m:t>
            </m:r>
          </m:sup>
        </m:sSup>
      </m:oMath>
      <w:r>
        <w:rPr>
          <w:color w:val="3A4350"/>
          <w:sz w:val="15"/>
          <w:szCs w:val="15"/>
        </w:rPr>
        <w:t xml:space="preserve">.</w:t>
      </w:r>
    </w:p>
    <w:p>
      <w:pPr>
        <w:spacing w:after="60"/>
        <w:jc w:val="both"/>
      </w:pPr>
      <w:r>
        <w:rPr>
          <w:b/>
          <w:bCs/>
          <w:color w:val="4D4D4F"/>
          <w:sz w:val="17"/>
          <w:szCs w:val="17"/>
        </w:rPr>
        <w:t xml:space="preserve">Link to the Fushë-Kuqe stakeholders. </w:t>
      </w:r>
      <w:r>
        <w:rPr>
          <w:sz w:val="17"/>
          <w:szCs w:val="17"/>
        </w:rPr>
        <w:t xml:space="preserve">Belongs to theme 3. Pumping rules at A1 and P10 cannot change every month: each change needs agreement among the utility, agency and municipality. The paper prices such commitment: attainable regret improves only at the boundaries of equal-length phases of the switching budget, so stakeholders can agree on the smallest number of review points that reaches the next phase.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a complete, matching characterisation of how much a limit on policy changes costs in sequential learning, reveals phase transitions in the switching budget and links general switching costs to graph traversal. Published in Management Science, extending a NeurIPS 2019 paper; co-authored by David Simchi-Levi (MIT).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assumes stationary rewards observed after each period and a single learner. For an aquifer with delayed chloride response, a non-stationary climate and several parties who must jointly approve each switch, the optimal switching budget is unknown.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matching minimax bounds for bandits with a switching budget, phase transitions in that budget, and a reduction of general switching costs to Hamiltonian-path problems. Proposed extension: treat three candidate pumping-and-recharge policies as arms whose rewards are simulated from the 20 000 model draws with delayed chloride response, and find the number of joint review meetings over 20 years beyond which further reviews no longer lower the expected regret.</w:t>
      </w:r>
    </w:p>
    <w:p>
      <w:pPr>
        <w:pStyle w:val="Heading1"/>
      </w:pPr>
      <w:r>
        <w:rPr>
          <w:color w:val="215CAF"/>
        </w:rPr>
        <w:t xml:space="preserve">7. ETH Zürich</w:t>
      </w:r>
    </w:p>
    <w:p>
      <w:pPr>
        <w:spacing w:after="120"/>
        <w:jc w:val="both"/>
      </w:pPr>
      <w:r>
        <w:t xml:space="preserve">Five ETH Zürich papers from four groups. Hans Gersbach, Akaki Mamageishvili and Oriol Tejada design committees that acquire information for the common good [E1] and study turnout when a first vote is published [E2]; Nicolas Emmenegger, Mojmír Mutný and Andreas Krause build confidence sets that stay valid whenever sampling stops [E3]; Jeremy Coulson, John Lygeros and Florian Dörfler give data-enabled predictive control with distributionally robust chance constraints [E4]; and Liviu Aolaritei, Nicolas Lanzetti, Hongruyu Chen and Florian Dörfler propagate optimal-transport ambiguity through dynamical systems [E5].</w:t>
      </w:r>
    </w:p>
    <w:p>
      <w:pPr>
        <w:keepNext/>
        <w:pBdr>
          <w:top w:val="single" w:color="215CAF" w:sz="6" w:space="4"/>
        </w:pBdr>
        <w:spacing w:after="60" w:before="220"/>
      </w:pPr>
      <w:r>
        <w:rPr>
          <w:b/>
          <w:bCs/>
          <w:color w:val="215CAF"/>
          <w:sz w:val="23"/>
          <w:szCs w:val="23"/>
        </w:rPr>
        <w:t xml:space="preserve">E1  </w:t>
      </w:r>
      <w:r>
        <w:rPr>
          <w:b/>
          <w:bCs/>
          <w:color w:val="1F3864"/>
          <w:sz w:val="23"/>
          <w:szCs w:val="23"/>
        </w:rPr>
        <w:t xml:space="preserve">Appointed learning for the common good: Optimal committee size and monetary transfers</w:t>
      </w:r>
    </w:p>
    <w:p>
      <w:pPr>
        <w:keepNext/>
        <w:spacing w:after="60" w:line="240" w:lineRule="auto"/>
      </w:pPr>
      <w:r>
        <w:rPr>
          <w:b/>
          <w:bCs/>
          <w:color w:val="333B47"/>
          <w:sz w:val="15"/>
          <w:szCs w:val="15"/>
        </w:rPr>
        <w:t xml:space="preserve">Authors: </w:t>
      </w:r>
      <w:r>
        <w:rPr>
          <w:sz w:val="15"/>
          <w:szCs w:val="15"/>
        </w:rPr>
        <w:t xml:space="preserve">Hans Gersbach, Akaki Mamageishvili, Oriol Tejada</w:t>
      </w:r>
      <w:r>
        <w:rPr>
          <w:sz w:val="15"/>
          <w:szCs w:val="15"/>
        </w:rPr>
        <w:t xml:space="preserve">   </w:t>
      </w:r>
      <w:r>
        <w:rPr>
          <w:b/>
          <w:bCs/>
          <w:color w:val="333B47"/>
          <w:sz w:val="15"/>
          <w:szCs w:val="15"/>
        </w:rPr>
        <w:t xml:space="preserve">Published in: </w:t>
      </w:r>
      <w:r>
        <w:rPr>
          <w:sz w:val="15"/>
          <w:szCs w:val="15"/>
        </w:rPr>
        <w:t xml:space="preserve">Games and Economic Behavior, 136, 153–176 (2022; online 27 June 2022; open access, CC BY)</w:t>
      </w:r>
      <w:r>
        <w:rPr>
          <w:sz w:val="15"/>
          <w:szCs w:val="15"/>
        </w:rPr>
        <w:t xml:space="preserve">   </w:t>
      </w:r>
      <w:r>
        <w:rPr>
          <w:b/>
          <w:bCs/>
          <w:color w:val="333B47"/>
          <w:sz w:val="15"/>
          <w:szCs w:val="15"/>
        </w:rPr>
        <w:t xml:space="preserve">Link: </w:t>
      </w:r>
      <w:hyperlink w:history="1" r:id="rIdnzg4-exsu78pxpxyruzjv">
        <w:r>
          <w:rPr>
            <w:color w:val="1D4ED8"/>
            <w:sz w:val="15"/>
            <w:szCs w:val="15"/>
            <w:u w:val="single"/>
          </w:rPr>
          <w:t xml:space="preserve">https://doi.org/10.1016/j.geb.2022.04.005</w:t>
        </w:r>
      </w:hyperlink>
    </w:p>
    <w:p>
      <w:pPr>
        <w:keepNext/>
        <w:spacing w:after="80" w:line="240" w:lineRule="auto"/>
      </w:pPr>
      <w:r>
        <w:rPr>
          <w:b/>
          <w:bCs/>
          <w:color w:val="333B47"/>
          <w:sz w:val="15"/>
          <w:szCs w:val="15"/>
        </w:rPr>
        <w:t xml:space="preserve">Affiliation: </w:t>
      </w:r>
      <w:r>
        <w:rPr>
          <w:color w:val="3A4350"/>
          <w:sz w:val="15"/>
          <w:szCs w:val="15"/>
        </w:rPr>
        <w:t xml:space="preserve">Gersbach: CER-ETH Center of Economic Research, ETH Zürich; the article record lists ETH Zurich and the University of Barcelona and the paper is deposited in the ETH Research Collection (handle 20.500.11850/585542) (search results: ETH Research Collection, UB repository, RePEc).</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215CAF"/>
          <w:sz w:val="17"/>
          <w:szCs w:val="17"/>
        </w:rPr>
        <w:t xml:space="preserve">Summary. </w:t>
      </w:r>
      <w:r>
        <w:rPr>
          <w:sz w:val="17"/>
          <w:szCs w:val="17"/>
        </w:rPr>
        <w:t xml:space="preserve">Identical individuals must choose between two alternatives without knowing which is right; information is costly, can be acquired at different levels, and complete contracts are not feasible. The paper asks whether delegating the vote to a committee that decides by majority rule, combined with monetary transfers to its members, can make the committee acquire high or socially optimal levels of information. A stable majority-rule committee must be small: small in absolute terms when full learning is possible, and small relative to the population when only partial learning is possible. A committee must never consist of a single member, which avoids the tyranny of one decision maker.</w:t>
      </w:r>
    </w:p>
    <w:p>
      <w:pPr>
        <w:keepNext/>
        <w:spacing w:after="20" w:before="40"/>
      </w:pPr>
      <w:r>
        <w:rPr>
          <w:b/>
          <w:bCs/>
          <w:color w:val="215CAF"/>
          <w:sz w:val="17"/>
          <w:szCs w:val="17"/>
        </w:rPr>
        <w:t xml:space="preserve">Key equation.</w:t>
      </w:r>
      <w:r>
        <w:rPr>
          <w:i/>
          <w:iCs/>
          <w:color w:val="5B6573"/>
          <w:sz w:val="15"/>
          <w:szCs w:val="15"/>
        </w:rPr>
        <w:t xml:space="preserve">  Probability that one member of an n-member majority committee is pivotal (representative formulation)</w:t>
      </w:r>
    </w:p>
    <w:p>
      <w:pPr>
        <w:pStyle w:val="Equation"/>
      </w:pPr>
      <m:oMathPara>
        <m:oMathParaPr>
          <m:jc m:val="center"/>
        </m:oMathParaPr>
        <m:oMath>
          <m:r>
            <m:rPr>
              <m:nor/>
            </m:rPr>
            <m:t>Pr</m:t>
          </m:r>
          <m:d>
            <m:dPr>
              <m:begChr m:val="("/>
              <m:sepChr m:val=""/>
              <m:endChr m:val=")"/>
              <m:grow/>
            </m:dPr>
            <m:e>
              <m:r>
                <m:rPr>
                  <m:nor/>
                </m:rPr>
                <m:t>pivotal</m:t>
              </m:r>
            </m:e>
          </m:d>
          <m:r>
            <m:rPr>
              <m:sty m:val="p"/>
            </m:rPr>
            <m:t>=</m:t>
          </m:r>
          <m:d>
            <m:dPr>
              <m:begChr m:val="("/>
              <m:sepChr m:val=""/>
              <m:endChr m:val=")"/>
              <m:grow/>
            </m:dPr>
            <m:e>
              <m:f>
                <m:fPr>
                  <m:type m:val="noBar"/>
                </m:fPr>
                <m:num>
                  <m:r>
                    <m:t>n</m:t>
                  </m:r>
                  <m:r>
                    <m:rPr>
                      <m:sty m:val="p"/>
                    </m:rPr>
                    <m:t>−</m:t>
                  </m:r>
                  <m:r>
                    <m:t>1</m:t>
                  </m:r>
                </m:num>
                <m:den>
                  <m:d>
                    <m:dPr>
                      <m:begChr m:val="("/>
                      <m:sepChr m:val=""/>
                      <m:endChr m:val=")"/>
                      <m:grow/>
                    </m:dPr>
                    <m:e>
                      <m:r>
                        <m:t>n</m:t>
                      </m:r>
                      <m:r>
                        <m:rPr>
                          <m:sty m:val="p"/>
                        </m:rPr>
                        <m:t>−</m:t>
                      </m:r>
                      <m:r>
                        <m:t>1</m:t>
                      </m:r>
                    </m:e>
                  </m:d>
                  <m:r>
                    <m:rPr>
                      <m:sty m:val="p"/>
                    </m:rPr>
                    <m:t>/</m:t>
                  </m:r>
                  <m:r>
                    <m:t>2</m:t>
                  </m:r>
                </m:den>
              </m:f>
            </m:e>
          </m:d>
          <m:sSup>
            <m:e>
              <m:d>
                <m:dPr>
                  <m:begChr m:val="("/>
                  <m:sepChr m:val=""/>
                  <m:endChr m:val=")"/>
                  <m:grow/>
                </m:dPr>
                <m:e>
                  <m:r>
                    <m:t>q</m:t>
                  </m:r>
                  <m:d>
                    <m:dPr>
                      <m:begChr m:val="("/>
                      <m:sepChr m:val=""/>
                      <m:endChr m:val=")"/>
                      <m:grow/>
                    </m:dPr>
                    <m:e>
                      <m:r>
                        <m:t>1</m:t>
                      </m:r>
                      <m:r>
                        <m:rPr>
                          <m:sty m:val="p"/>
                        </m:rPr>
                        <m:t>−</m:t>
                      </m:r>
                      <m:r>
                        <m:t>q</m:t>
                      </m:r>
                    </m:e>
                  </m:d>
                </m:e>
              </m:d>
            </m:e>
            <m:sup>
              <m:d>
                <m:dPr>
                  <m:begChr m:val="("/>
                  <m:sepChr m:val=""/>
                  <m:endChr m:val=")"/>
                  <m:grow/>
                </m:dPr>
                <m:e>
                  <m:r>
                    <m:t>n</m:t>
                  </m:r>
                  <m:r>
                    <m:rPr>
                      <m:sty m:val="p"/>
                    </m:rPr>
                    <m:t>−</m:t>
                  </m:r>
                  <m:r>
                    <m:t>1</m:t>
                  </m:r>
                </m:e>
              </m:d>
              <m:r>
                <m:rPr>
                  <m:sty m:val="p"/>
                </m:rPr>
                <m:t>/</m:t>
              </m:r>
              <m:r>
                <m:t>2</m:t>
              </m:r>
            </m:sup>
          </m:sSup>
        </m:oMath>
      </m:oMathPara>
    </w:p>
    <w:p>
      <w:pPr>
        <w:spacing w:after="60"/>
        <w:jc w:val="both"/>
      </w:pPr>
      <w:r>
        <w:rPr>
          <w:color w:val="3A4350"/>
          <w:sz w:val="15"/>
          <w:szCs w:val="15"/>
        </w:rPr>
        <w:t xml:space="preserve">For an odd committee of </w:t>
      </w:r>
      <m:oMath>
        <m:r>
          <m:t>n</m:t>
        </m:r>
      </m:oMath>
      <w:r>
        <w:rPr>
          <w:color w:val="3A4350"/>
          <w:sz w:val="15"/>
          <w:szCs w:val="15"/>
        </w:rPr>
        <w:t xml:space="preserve"> members whose independent signals are correct with probability </w:t>
      </w:r>
      <m:oMath>
        <m:r>
          <m:t>q</m:t>
        </m:r>
      </m:oMath>
      <w:r>
        <w:rPr>
          <w:color w:val="3A4350"/>
          <w:sz w:val="15"/>
          <w:szCs w:val="15"/>
        </w:rPr>
        <w:t xml:space="preserve">, this is the chance that the other </w:t>
      </w:r>
      <m:oMath>
        <m:r>
          <m:t>n</m:t>
        </m:r>
        <m:r>
          <m:rPr>
            <m:sty m:val="p"/>
          </m:rPr>
          <m:t>−</m:t>
        </m:r>
        <m:r>
          <m:t>1</m:t>
        </m:r>
      </m:oMath>
      <w:r>
        <w:rPr>
          <w:color w:val="3A4350"/>
          <w:sz w:val="15"/>
          <w:szCs w:val="15"/>
        </w:rPr>
        <w:t xml:space="preserve"> members split evenly; it falls quickly with </w:t>
      </w:r>
      <m:oMath>
        <m:r>
          <m:t>n</m:t>
        </m:r>
      </m:oMath>
      <w:r>
        <w:rPr>
          <w:color w:val="3A4350"/>
          <w:sz w:val="15"/>
          <w:szCs w:val="15"/>
        </w:rPr>
        <w:t xml:space="preserve"> and illustrates why a member's incentive to pay for information weakens in a large committee.</w:t>
      </w:r>
    </w:p>
    <w:p>
      <w:pPr>
        <w:spacing w:after="60"/>
        <w:jc w:val="both"/>
      </w:pPr>
      <w:r>
        <w:rPr>
          <w:b/>
          <w:bCs/>
          <w:color w:val="215CAF"/>
          <w:sz w:val="17"/>
          <w:szCs w:val="17"/>
        </w:rPr>
        <w:t xml:space="preserve">Link to the Fushë-Kuqe stakeholders. </w:t>
      </w:r>
      <w:r>
        <w:rPr>
          <w:sz w:val="17"/>
          <w:szCs w:val="17"/>
        </w:rPr>
        <w:t xml:space="preserve">Belongs to theme 4. It also touches theme 3 (paid learning before the vote). For Fushë-Kuqe, the six stakeholder groups need not all weigh the chloride evidence: a small paid panel of two or three can commission and read the shallow sample and vote on pumping and recharge, while delegating to one party, such as the utility alone, is excluded.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Gives theorems on how large a decision committee should be when its members must pay to learn and cannot be bound by complete contracts, and on what monetary transfers can achieve. Published open access in Games and Economic Behavior, a venue the review ranks highest; an earlier version is CEPR Discussion Paper 15311 (2020).</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model assumes identical individuals who agree on payoffs and differ only in what they learn. Whether a small paid committee still acquires the right information when members hold different priors on the mixing-zone width and weigh delivery, salinity and cost differently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committee size and transfers are treated as joint design variables that determine how much costly information a majority-rule body acquires, with sharp size bounds under full and partial learning. Proposed extension: give the committee heterogeneous priors drawn from the 20 000 weighted chloride draws and stakeholder-specific losses, and compute for panels of two to six the probability that the panel buys the shallow sample and the resulting exceedance risk at A1 and P10.</w:t>
      </w:r>
    </w:p>
    <w:p>
      <w:pPr>
        <w:keepNext/>
        <w:pBdr>
          <w:top w:val="single" w:color="215CAF" w:sz="6" w:space="4"/>
        </w:pBdr>
        <w:spacing w:after="60" w:before="220"/>
      </w:pPr>
      <w:r>
        <w:rPr>
          <w:b/>
          <w:bCs/>
          <w:color w:val="215CAF"/>
          <w:sz w:val="23"/>
          <w:szCs w:val="23"/>
        </w:rPr>
        <w:t xml:space="preserve">E2  </w:t>
      </w:r>
      <w:r>
        <w:rPr>
          <w:b/>
          <w:bCs/>
          <w:color w:val="1F3864"/>
          <w:sz w:val="23"/>
          <w:szCs w:val="23"/>
        </w:rPr>
        <w:t xml:space="preserve">The effect of handicaps on turnout for large electorates with an application to assessment voting</w:t>
      </w:r>
    </w:p>
    <w:p>
      <w:pPr>
        <w:keepNext/>
        <w:spacing w:after="60" w:line="240" w:lineRule="auto"/>
      </w:pPr>
      <w:r>
        <w:rPr>
          <w:b/>
          <w:bCs/>
          <w:color w:val="333B47"/>
          <w:sz w:val="15"/>
          <w:szCs w:val="15"/>
        </w:rPr>
        <w:t xml:space="preserve">Authors: </w:t>
      </w:r>
      <w:r>
        <w:rPr>
          <w:sz w:val="15"/>
          <w:szCs w:val="15"/>
        </w:rPr>
        <w:t xml:space="preserve">Hans Gersbach, Akaki Mamageishvili, Oriol Tejada</w:t>
      </w:r>
      <w:r>
        <w:rPr>
          <w:sz w:val="15"/>
          <w:szCs w:val="15"/>
        </w:rPr>
        <w:t xml:space="preserve">   </w:t>
      </w:r>
      <w:r>
        <w:rPr>
          <w:b/>
          <w:bCs/>
          <w:color w:val="333B47"/>
          <w:sz w:val="15"/>
          <w:szCs w:val="15"/>
        </w:rPr>
        <w:t xml:space="preserve">Published in: </w:t>
      </w:r>
      <w:r>
        <w:rPr>
          <w:sz w:val="15"/>
          <w:szCs w:val="15"/>
        </w:rPr>
        <w:t xml:space="preserve">Journal of Economic Theory, 195, article 105228 (2021)</w:t>
      </w:r>
      <w:r>
        <w:rPr>
          <w:sz w:val="15"/>
          <w:szCs w:val="15"/>
        </w:rPr>
        <w:t xml:space="preserve">   </w:t>
      </w:r>
      <w:r>
        <w:rPr>
          <w:b/>
          <w:bCs/>
          <w:color w:val="333B47"/>
          <w:sz w:val="15"/>
          <w:szCs w:val="15"/>
        </w:rPr>
        <w:t xml:space="preserve">Link: </w:t>
      </w:r>
      <w:hyperlink w:history="1" r:id="rIdqhrdovc2rqida27brd0mf">
        <w:r>
          <w:rPr>
            <w:color w:val="1D4ED8"/>
            <w:sz w:val="15"/>
            <w:szCs w:val="15"/>
            <w:u w:val="single"/>
          </w:rPr>
          <w:t xml:space="preserve">https://doi.org/10.1016/j.jet.2021.105228</w:t>
        </w:r>
      </w:hyperlink>
    </w:p>
    <w:p>
      <w:pPr>
        <w:keepNext/>
        <w:spacing w:after="80" w:line="240" w:lineRule="auto"/>
      </w:pPr>
      <w:r>
        <w:rPr>
          <w:b/>
          <w:bCs/>
          <w:color w:val="333B47"/>
          <w:sz w:val="15"/>
          <w:szCs w:val="15"/>
        </w:rPr>
        <w:t xml:space="preserve">Affiliation: </w:t>
      </w:r>
      <w:r>
        <w:rPr>
          <w:color w:val="3A4350"/>
          <w:sz w:val="15"/>
          <w:szCs w:val="15"/>
        </w:rPr>
        <w:t xml:space="preserve">CER-ETH Center of Economic Research, D-MTEC, ETH Zürich: the journal record lists ETH Zurich among the affiliations (search result: RePEc/IDEAS record of the JET article); earlier CER-ETH working paper 17/284 “Assessment Voting in Large Electorates”.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215CAF"/>
          <w:sz w:val="17"/>
          <w:szCs w:val="17"/>
        </w:rPr>
        <w:t xml:space="preserve">Summary. </w:t>
      </w:r>
      <w:r>
        <w:rPr>
          <w:sz w:val="17"/>
          <w:szCs w:val="17"/>
        </w:rPr>
        <w:t xml:space="preserve">In costly voting with private values, a handicap is a predetermined gap in vote tallies between two alternatives that strategic voters take as given when deciding whether to turn out. The paper characterises turnout incentives in large electorates with handicaps: incentives fall considerably across the board when the handicap is large, while small handicaps give mixed predictions. The results are applied to Assessment Voting, in which a randomly chosen first group votes, its result is published, and the rest then vote or abstain. With a suitably sized first group, a large electorate chooses the alternative the majority prefers with high probability at moderate or low average participation cost.</w:t>
      </w:r>
    </w:p>
    <w:p>
      <w:pPr>
        <w:keepNext/>
        <w:spacing w:after="20" w:before="40"/>
      </w:pPr>
      <w:r>
        <w:rPr>
          <w:b/>
          <w:bCs/>
          <w:color w:val="215CAF"/>
          <w:sz w:val="17"/>
          <w:szCs w:val="17"/>
        </w:rPr>
        <w:t xml:space="preserve">Key equation.</w:t>
      </w:r>
      <w:r>
        <w:rPr>
          <w:i/>
          <w:iCs/>
          <w:color w:val="5B6573"/>
          <w:sz w:val="15"/>
          <w:szCs w:val="15"/>
        </w:rPr>
        <w:t xml:space="preserve">  Turnout condition of a supporter of the handicapped alternative (representative formulation)</w:t>
      </w:r>
    </w:p>
    <w:p>
      <w:pPr>
        <w:pStyle w:val="Equation"/>
      </w:pPr>
      <m:oMathPara>
        <m:oMathParaPr>
          <m:jc m:val="center"/>
        </m:oMathParaPr>
        <m:oMath>
          <m:sSub>
            <m:e>
              <m:r>
                <m:t>c</m:t>
              </m:r>
            </m:e>
            <m:sub>
              <m:r>
                <m:t>i</m:t>
              </m:r>
            </m:sub>
          </m:sSub>
          <m:r>
            <m:rPr>
              <m:sty m:val="p"/>
            </m:rPr>
            <m:t>≤</m:t>
          </m:r>
          <m:f>
            <m:fPr>
              <m:type m:val="bar"/>
            </m:fPr>
            <m:num>
              <m:r>
                <m:t>1</m:t>
              </m:r>
            </m:num>
            <m:den>
              <m:r>
                <m:t>2</m:t>
              </m:r>
            </m:den>
          </m:f>
          <m:d>
            <m:dPr>
              <m:begChr m:val="["/>
              <m:sepChr m:val=""/>
              <m:endChr m:val="]"/>
              <m:grow/>
            </m:dPr>
            <m:e>
              <m:r>
                <m:rPr>
                  <m:nor/>
                </m:rPr>
                <m:t>Pr</m:t>
              </m:r>
              <m:d>
                <m:dPr>
                  <m:begChr m:val="("/>
                  <m:sepChr m:val=""/>
                  <m:endChr m:val=")"/>
                  <m:grow/>
                </m:dPr>
                <m:e>
                  <m:sSub>
                    <m:e>
                      <m:r>
                        <m:t>V</m:t>
                      </m:r>
                    </m:e>
                    <m:sub>
                      <m:r>
                        <m:t>A</m:t>
                      </m:r>
                    </m:sub>
                  </m:sSub>
                  <m:r>
                    <m:rPr>
                      <m:sty m:val="p"/>
                    </m:rPr>
                    <m:t>−</m:t>
                  </m:r>
                  <m:sSub>
                    <m:e>
                      <m:r>
                        <m:t>V</m:t>
                      </m:r>
                    </m:e>
                    <m:sub>
                      <m:r>
                        <m:t>B</m:t>
                      </m:r>
                    </m:sub>
                  </m:sSub>
                  <m:r>
                    <m:rPr>
                      <m:sty m:val="p"/>
                    </m:rPr>
                    <m:t>=</m:t>
                  </m:r>
                  <m:r>
                    <m:t>h</m:t>
                  </m:r>
                </m:e>
              </m:d>
              <m:r>
                <m:rPr>
                  <m:sty m:val="p"/>
                </m:rPr>
                <m:t>+</m:t>
              </m:r>
              <m:r>
                <m:rPr>
                  <m:nor/>
                </m:rPr>
                <m:t>Pr</m:t>
              </m:r>
              <m:d>
                <m:dPr>
                  <m:begChr m:val="("/>
                  <m:sepChr m:val=""/>
                  <m:endChr m:val=")"/>
                  <m:grow/>
                </m:dPr>
                <m:e>
                  <m:sSub>
                    <m:e>
                      <m:r>
                        <m:t>V</m:t>
                      </m:r>
                    </m:e>
                    <m:sub>
                      <m:r>
                        <m:t>A</m:t>
                      </m:r>
                    </m:sub>
                  </m:sSub>
                  <m:r>
                    <m:rPr>
                      <m:sty m:val="p"/>
                    </m:rPr>
                    <m:t>−</m:t>
                  </m:r>
                  <m:sSub>
                    <m:e>
                      <m:r>
                        <m:t>V</m:t>
                      </m:r>
                    </m:e>
                    <m:sub>
                      <m:r>
                        <m:t>B</m:t>
                      </m:r>
                    </m:sub>
                  </m:sSub>
                  <m:r>
                    <m:rPr>
                      <m:sty m:val="p"/>
                    </m:rPr>
                    <m:t>=</m:t>
                  </m:r>
                  <m:r>
                    <m:t>h</m:t>
                  </m:r>
                  <m:r>
                    <m:rPr>
                      <m:sty m:val="p"/>
                    </m:rPr>
                    <m:t>−</m:t>
                  </m:r>
                  <m:r>
                    <m:t>1</m:t>
                  </m:r>
                </m:e>
              </m:d>
            </m:e>
          </m:d>
        </m:oMath>
      </m:oMathPara>
    </w:p>
    <w:p>
      <w:pPr>
        <w:spacing w:after="60"/>
        <w:jc w:val="both"/>
      </w:pPr>
      <w:r>
        <w:rPr>
          <w:color w:val="3A4350"/>
          <w:sz w:val="15"/>
          <w:szCs w:val="15"/>
        </w:rPr>
        <w:t xml:space="preserve">Alternative </w:t>
      </w:r>
      <m:oMath>
        <m:r>
          <m:t>B</m:t>
        </m:r>
      </m:oMath>
      <w:r>
        <w:rPr>
          <w:color w:val="3A4350"/>
          <w:sz w:val="15"/>
          <w:szCs w:val="15"/>
        </w:rPr>
        <w:t xml:space="preserve"> starts </w:t>
      </w:r>
      <m:oMath>
        <m:r>
          <m:t>h</m:t>
        </m:r>
      </m:oMath>
      <w:r>
        <w:rPr>
          <w:color w:val="3A4350"/>
          <w:sz w:val="15"/>
          <w:szCs w:val="15"/>
        </w:rPr>
        <w:t xml:space="preserve"> votes ahead, </w:t>
      </w:r>
      <m:oMath>
        <m:sSub>
          <m:e>
            <m:r>
              <m:t>V</m:t>
            </m:r>
          </m:e>
          <m:sub>
            <m:r>
              <m:t>A</m:t>
            </m:r>
          </m:sub>
        </m:sSub>
      </m:oMath>
      <w:r>
        <w:rPr>
          <w:color w:val="3A4350"/>
          <w:sz w:val="15"/>
          <w:szCs w:val="15"/>
        </w:rPr>
        <w:t xml:space="preserve"> and </w:t>
      </w:r>
      <m:oMath>
        <m:sSub>
          <m:e>
            <m:r>
              <m:t>V</m:t>
            </m:r>
          </m:e>
          <m:sub>
            <m:r>
              <m:t>B</m:t>
            </m:r>
          </m:sub>
        </m:sSub>
      </m:oMath>
      <w:r>
        <w:rPr>
          <w:color w:val="3A4350"/>
          <w:sz w:val="15"/>
          <w:szCs w:val="15"/>
        </w:rPr>
        <w:t xml:space="preserve"> are the votes cast by the others, the value of winning is normalised to one and ties are broken by a fair coin; voter </w:t>
      </w:r>
      <m:oMath>
        <m:r>
          <m:t>i</m:t>
        </m:r>
      </m:oMath>
      <w:r>
        <w:rPr>
          <w:color w:val="3A4350"/>
          <w:sz w:val="15"/>
          <w:szCs w:val="15"/>
        </w:rPr>
        <w:t xml:space="preserve"> with cost </w:t>
      </w:r>
      <m:oMath>
        <m:sSub>
          <m:e>
            <m:r>
              <m:t>c</m:t>
            </m:r>
          </m:e>
          <m:sub>
            <m:r>
              <m:t>i</m:t>
            </m:r>
          </m:sub>
        </m:sSub>
      </m:oMath>
      <w:r>
        <w:rPr>
          <w:color w:val="3A4350"/>
          <w:sz w:val="15"/>
          <w:szCs w:val="15"/>
        </w:rPr>
        <w:t xml:space="preserve"> turns out only if her vote is likely enough to create or break a tie.</w:t>
      </w:r>
    </w:p>
    <w:p>
      <w:pPr>
        <w:spacing w:after="60"/>
        <w:jc w:val="both"/>
      </w:pPr>
      <w:r>
        <w:rPr>
          <w:b/>
          <w:bCs/>
          <w:color w:val="215CAF"/>
          <w:sz w:val="17"/>
          <w:szCs w:val="17"/>
        </w:rPr>
        <w:t xml:space="preserve">Link to the Fushë-Kuqe stakeholders. </w:t>
      </w:r>
      <w:r>
        <w:rPr>
          <w:sz w:val="17"/>
          <w:szCs w:val="17"/>
        </w:rPr>
        <w:t xml:space="preserve">Belongs to theme 4. Many water users around Fushë-Kuqe (irrigators, hotel owners, residents) may have to approve recharge-well funding or pumping limits. Assessment Voting gives a decisive two-stage rule: a random first group votes after seeing the chloride evidence, its result is published, and the rest then vote; the results warn that a lopsided first result suppresses later participation.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rigorous large-electorate analysis that turns results on turnout under a known tally gap into a design rule for a two-stage voting procedure that ends with a decisive majority choice. Published in the Journal of Economic Theory, a venue the review ranks highest; earlier version CEPR Discussion Paper 13921 (2019).</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Voters hold private values and face no common uncertainty about the state. How handicaps and a published first-group result shape turnout when voters disagree about one shared, uncertain chloride risk, so that the first result itself carries information,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large-electorate treatment of how a known tally gap changes pivot probabilities and turnout incentives, used to size the first group in Assessment Voting. Proposed extension: simulate a local vote on the three recharge wells in which voters' beliefs are spread around the exceedance probabilities 0.59 (no recharge) and 0.25 (three wells), and choose the first-group size that maximises the chance of the majority-preferred outcome at a fixed participation cost.</w:t>
      </w:r>
    </w:p>
    <w:p>
      <w:pPr>
        <w:keepNext/>
        <w:pBdr>
          <w:top w:val="single" w:color="215CAF" w:sz="6" w:space="4"/>
        </w:pBdr>
        <w:spacing w:after="60" w:before="220"/>
      </w:pPr>
      <w:r>
        <w:rPr>
          <w:b/>
          <w:bCs/>
          <w:color w:val="215CAF"/>
          <w:sz w:val="23"/>
          <w:szCs w:val="23"/>
        </w:rPr>
        <w:t xml:space="preserve">E3  </w:t>
      </w:r>
      <w:r>
        <w:rPr>
          <w:b/>
          <w:bCs/>
          <w:color w:val="1F3864"/>
          <w:sz w:val="23"/>
          <w:szCs w:val="23"/>
        </w:rPr>
        <w:t xml:space="preserve">Likelihood Ratio Confidence Sets for Sequential Decision Making</w:t>
      </w:r>
    </w:p>
    <w:p>
      <w:pPr>
        <w:keepNext/>
        <w:spacing w:after="60" w:line="240" w:lineRule="auto"/>
      </w:pPr>
      <w:r>
        <w:rPr>
          <w:b/>
          <w:bCs/>
          <w:color w:val="333B47"/>
          <w:sz w:val="15"/>
          <w:szCs w:val="15"/>
        </w:rPr>
        <w:t xml:space="preserve">Authors: </w:t>
      </w:r>
      <w:r>
        <w:rPr>
          <w:sz w:val="15"/>
          <w:szCs w:val="15"/>
        </w:rPr>
        <w:t xml:space="preserve">Nicolas Emmenegger, Mojmír Mutný, Andreas Krause</w:t>
      </w:r>
      <w:r>
        <w:rPr>
          <w:sz w:val="15"/>
          <w:szCs w:val="15"/>
        </w:rPr>
        <w:t xml:space="preserve">   </w:t>
      </w:r>
      <w:r>
        <w:rPr>
          <w:b/>
          <w:bCs/>
          <w:color w:val="333B47"/>
          <w:sz w:val="15"/>
          <w:szCs w:val="15"/>
        </w:rPr>
        <w:t xml:space="preserve">Published in: </w:t>
      </w:r>
      <w:r>
        <w:rPr>
          <w:sz w:val="15"/>
          <w:szCs w:val="15"/>
        </w:rPr>
        <w:t xml:space="preserve">Advances in Neural Information Processing Systems 36 (NeurIPS 2023), main track (pages not verified)</w:t>
      </w:r>
      <w:r>
        <w:rPr>
          <w:sz w:val="15"/>
          <w:szCs w:val="15"/>
        </w:rPr>
        <w:t xml:space="preserve">   </w:t>
      </w:r>
      <w:r>
        <w:rPr>
          <w:b/>
          <w:bCs/>
          <w:color w:val="333B47"/>
          <w:sz w:val="15"/>
          <w:szCs w:val="15"/>
        </w:rPr>
        <w:t xml:space="preserve">Link: </w:t>
      </w:r>
      <w:hyperlink w:history="1" r:id="rId1mvbbyvrw_c-1fgexbqsy">
        <w:r>
          <w:rPr>
            <w:color w:val="1D4ED8"/>
            <w:sz w:val="15"/>
            <w:szCs w:val="15"/>
            <w:u w:val="single"/>
          </w:rPr>
          <w:t xml:space="preserve">https://proceedings.neurips.cc/paper_files/paper/2023/hash/5491280797f3192b895bce84eb83df8d-Abstract.html</w:t>
        </w:r>
      </w:hyperlink>
    </w:p>
    <w:p>
      <w:pPr>
        <w:keepNext/>
        <w:spacing w:after="80" w:line="240" w:lineRule="auto"/>
      </w:pPr>
      <w:r>
        <w:rPr>
          <w:b/>
          <w:bCs/>
          <w:color w:val="333B47"/>
          <w:sz w:val="15"/>
          <w:szCs w:val="15"/>
        </w:rPr>
        <w:t xml:space="preserve">Affiliation: </w:t>
      </w:r>
      <w:r>
        <w:rPr>
          <w:color w:val="3A4350"/>
          <w:sz w:val="15"/>
          <w:szCs w:val="15"/>
        </w:rPr>
        <w:t xml:space="preserve">Learning and Adaptive Systems group, Department of Computer Science, ETH Zürich: all three authors at ETH Zürich (search results: NeurIPS proceedings page and arXiv 2311.04402).</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215CAF"/>
          <w:sz w:val="17"/>
          <w:szCs w:val="17"/>
        </w:rPr>
        <w:t xml:space="preserve">Summary. </w:t>
      </w:r>
      <w:r>
        <w:rPr>
          <w:sz w:val="17"/>
          <w:szCs w:val="17"/>
        </w:rPr>
        <w:t xml:space="preserve">Sequential decision algorithms need confidence sets that stay valid whenever the data-collection loop stops. The paper revisits likelihood-based inference and builds confidence sequences from likelihood ratios whose numerator uses a predictable sequence of estimators. By a martingale argument the sets keep the prescribed coverage uniformly over time for any well-specified likelihood, without problem-specific concentration bounds. The set size depends on the estimator sequence; the authors connect its choice to online convex optimisation (Follow-the-Regularised-Leader), propose a reweighting to reduce early bias, analyse set size non-asymptotically for generalised linear models, and test the method on generalised linear bandits, survival analysis and bandits with additive noise.</w:t>
      </w:r>
    </w:p>
    <w:p>
      <w:pPr>
        <w:keepNext/>
        <w:spacing w:after="20" w:before="40"/>
      </w:pPr>
      <w:r>
        <w:rPr>
          <w:b/>
          <w:bCs/>
          <w:color w:val="215CAF"/>
          <w:sz w:val="17"/>
          <w:szCs w:val="17"/>
        </w:rPr>
        <w:t xml:space="preserve">Key equation.</w:t>
      </w:r>
      <w:r>
        <w:rPr>
          <w:i/>
          <w:iCs/>
          <w:color w:val="5B6573"/>
          <w:sz w:val="15"/>
          <w:szCs w:val="15"/>
        </w:rPr>
        <w:t xml:space="preserve">  Anytime-valid likelihood-ratio confidence set (representative formulation)</w:t>
      </w:r>
    </w:p>
    <w:p>
      <w:pPr>
        <w:pStyle w:val="Equation"/>
      </w:pPr>
      <m:oMathPara>
        <m:oMathParaPr>
          <m:jc m:val="center"/>
        </m:oMathParaPr>
        <m:oMath>
          <m:sSub>
            <m:e>
              <m:r>
                <m:t>C</m:t>
              </m:r>
            </m:e>
            <m:sub>
              <m:r>
                <m:t>t</m:t>
              </m:r>
            </m:sub>
          </m:sSub>
          <m:r>
            <m:rPr>
              <m:sty m:val="p"/>
            </m:rPr>
            <m:t>=</m:t>
          </m:r>
          <m:d>
            <m:dPr>
              <m:begChr m:val="{"/>
              <m:sepChr m:val=""/>
              <m:endChr m:val="}"/>
              <m:grow/>
            </m:dPr>
            <m:e>
              <m:r>
                <m:t>θ</m:t>
              </m:r>
              <m:r>
                <m:rPr>
                  <m:sty m:val="p"/>
                </m:rPr>
                <m:t>:</m:t>
              </m:r>
              <m:nary>
                <m:naryPr>
                  <m:chr m:val="∏"/>
                  <m:limLoc m:val="undOvr"/>
                  <m:subHide m:val="off"/>
                  <m:supHide m:val="off"/>
                </m:naryPr>
                <m:sub>
                  <m:r>
                    <m:t>s</m:t>
                  </m:r>
                  <m:r>
                    <m:rPr>
                      <m:sty m:val="p"/>
                    </m:rPr>
                    <m:t>=</m:t>
                  </m:r>
                  <m:r>
                    <m:t>1</m:t>
                  </m:r>
                </m:sub>
                <m:sup>
                  <m:r>
                    <m:t>t</m:t>
                  </m:r>
                </m:sup>
                <m:e>
                  <m:f>
                    <m:fPr>
                      <m:type m:val="bar"/>
                    </m:fPr>
                    <m:num>
                      <m:sSub>
                        <m:e>
                          <m:r>
                            <m:t>p</m:t>
                          </m:r>
                        </m:e>
                        <m:sub>
                          <m:sSub>
                            <m:e>
                              <m:acc>
                                <m:accPr>
                                  <m:chr m:val="̂"/>
                                </m:accPr>
                                <m:e>
                                  <m:r>
                                    <m:t>θ</m:t>
                                  </m:r>
                                </m:e>
                              </m:acc>
                            </m:e>
                            <m:sub>
                              <m:r>
                                <m:t>s</m:t>
                              </m:r>
                              <m:r>
                                <m:rPr>
                                  <m:sty m:val="p"/>
                                </m:rPr>
                                <m:t>−</m:t>
                              </m:r>
                              <m:r>
                                <m:t>1</m:t>
                              </m:r>
                            </m:sub>
                          </m:sSub>
                        </m:sub>
                      </m:sSub>
                      <m:d>
                        <m:dPr>
                          <m:begChr m:val="("/>
                          <m:sepChr m:val=""/>
                          <m:endChr m:val=")"/>
                          <m:grow/>
                        </m:dPr>
                        <m:e>
                          <m:sSub>
                            <m:e>
                              <m:r>
                                <m:t>y</m:t>
                              </m:r>
                            </m:e>
                            <m:sub>
                              <m:r>
                                <m:t>s</m:t>
                              </m:r>
                            </m:sub>
                          </m:sSub>
                          <m:r>
                            <m:rPr>
                              <m:sty m:val="p"/>
                            </m:rPr>
                            <m:t>∣</m:t>
                          </m:r>
                          <m:sSub>
                            <m:e>
                              <m:r>
                                <m:t>x</m:t>
                              </m:r>
                            </m:e>
                            <m:sub>
                              <m:r>
                                <m:t>s</m:t>
                              </m:r>
                            </m:sub>
                          </m:sSub>
                        </m:e>
                      </m:d>
                    </m:num>
                    <m:den>
                      <m:sSub>
                        <m:e>
                          <m:r>
                            <m:t>p</m:t>
                          </m:r>
                        </m:e>
                        <m:sub>
                          <m:r>
                            <m:t>θ</m:t>
                          </m:r>
                        </m:sub>
                      </m:sSub>
                      <m:d>
                        <m:dPr>
                          <m:begChr m:val="("/>
                          <m:sepChr m:val=""/>
                          <m:endChr m:val=")"/>
                          <m:grow/>
                        </m:dPr>
                        <m:e>
                          <m:sSub>
                            <m:e>
                              <m:r>
                                <m:t>y</m:t>
                              </m:r>
                            </m:e>
                            <m:sub>
                              <m:r>
                                <m:t>s</m:t>
                              </m:r>
                            </m:sub>
                          </m:sSub>
                          <m:r>
                            <m:rPr>
                              <m:sty m:val="p"/>
                            </m:rPr>
                            <m:t>∣</m:t>
                          </m:r>
                          <m:sSub>
                            <m:e>
                              <m:r>
                                <m:t>x</m:t>
                              </m:r>
                            </m:e>
                            <m:sub>
                              <m:r>
                                <m:t>s</m:t>
                              </m:r>
                            </m:sub>
                          </m:sSub>
                        </m:e>
                      </m:d>
                    </m:den>
                  </m:f>
                </m:e>
              </m:nary>
              <m:r>
                <m:rPr>
                  <m:sty m:val="p"/>
                </m:rPr>
                <m:t>&lt;</m:t>
              </m:r>
              <m:f>
                <m:fPr>
                  <m:type m:val="bar"/>
                </m:fPr>
                <m:num>
                  <m:r>
                    <m:t>1</m:t>
                  </m:r>
                </m:num>
                <m:den>
                  <m:r>
                    <m:t>α</m:t>
                  </m:r>
                </m:den>
              </m:f>
            </m:e>
          </m:d>
          <m:r>
            <m:rPr>
              <m:sty m:val="p"/>
            </m:rPr>
            <m:t>,</m:t>
          </m:r>
          <m:r>
            <m:t> </m:t>
          </m:r>
          <m:r>
            <m:rPr>
              <m:nor/>
            </m:rPr>
            <m:t>Pr</m:t>
          </m:r>
          <m:d>
            <m:dPr>
              <m:begChr m:val="("/>
              <m:sepChr m:val=""/>
              <m:endChr m:val=")"/>
              <m:grow/>
            </m:dPr>
            <m:e>
              <m:r>
                <m:rPr>
                  <m:sty m:val="p"/>
                </m:rPr>
                <m:t>∃</m:t>
              </m:r>
              <m:r>
                <m:t>t</m:t>
              </m:r>
              <m:r>
                <m:rPr>
                  <m:sty m:val="p"/>
                </m:rPr>
                <m:t>:</m:t>
              </m:r>
              <m:sSup>
                <m:e>
                  <m:r>
                    <m:t>θ</m:t>
                  </m:r>
                </m:e>
                <m:sup>
                  <m:r>
                    <m:rPr>
                      <m:sty m:val="p"/>
                    </m:rPr>
                    <m:t>⋆</m:t>
                  </m:r>
                </m:sup>
              </m:sSup>
              <m:r>
                <m:rPr>
                  <m:sty m:val="p"/>
                </m:rPr>
                <m:t>∉</m:t>
              </m:r>
              <m:sSub>
                <m:e>
                  <m:r>
                    <m:t>C</m:t>
                  </m:r>
                </m:e>
                <m:sub>
                  <m:r>
                    <m:t>t</m:t>
                  </m:r>
                </m:sub>
              </m:sSub>
            </m:e>
          </m:d>
          <m:r>
            <m:rPr>
              <m:sty m:val="p"/>
            </m:rPr>
            <m:t>≤</m:t>
          </m:r>
          <m:r>
            <m:t>α</m:t>
          </m:r>
        </m:oMath>
      </m:oMathPara>
    </w:p>
    <w:p>
      <w:pPr>
        <w:spacing w:after="60"/>
        <w:jc w:val="both"/>
      </w:pPr>
      <w:r>
        <w:rPr>
          <w:color w:val="3A4350"/>
          <w:sz w:val="15"/>
          <w:szCs w:val="15"/>
        </w:rPr>
        <w:t xml:space="preserve">Here </w:t>
      </w:r>
      <m:oMath>
        <m:sSub>
          <m:e>
            <m:acc>
              <m:accPr>
                <m:chr m:val="̂"/>
              </m:accPr>
              <m:e>
                <m:r>
                  <m:t>θ</m:t>
                </m:r>
              </m:e>
            </m:acc>
          </m:e>
          <m:sub>
            <m:r>
              <m:t>s</m:t>
            </m:r>
            <m:r>
              <m:rPr>
                <m:sty m:val="p"/>
              </m:rPr>
              <m:t>−</m:t>
            </m:r>
            <m:r>
              <m:t>1</m:t>
            </m:r>
          </m:sub>
        </m:sSub>
      </m:oMath>
      <w:r>
        <w:rPr>
          <w:color w:val="3A4350"/>
          <w:sz w:val="15"/>
          <w:szCs w:val="15"/>
        </w:rPr>
        <w:t xml:space="preserve"> is any estimator computed from the data before step </w:t>
      </w:r>
      <m:oMath>
        <m:r>
          <m:t>s</m:t>
        </m:r>
      </m:oMath>
      <w:r>
        <w:rPr>
          <w:color w:val="3A4350"/>
          <w:sz w:val="15"/>
          <w:szCs w:val="15"/>
        </w:rPr>
        <w:t xml:space="preserve">, </w:t>
      </w:r>
      <m:oMath>
        <m:sSub>
          <m:e>
            <m:r>
              <m:t>p</m:t>
            </m:r>
          </m:e>
          <m:sub>
            <m:r>
              <m:t>θ</m:t>
            </m:r>
          </m:sub>
        </m:sSub>
      </m:oMath>
      <w:r>
        <w:rPr>
          <w:color w:val="3A4350"/>
          <w:sz w:val="15"/>
          <w:szCs w:val="15"/>
        </w:rPr>
        <w:t xml:space="preserve"> is the model likelihood and </w:t>
      </w:r>
      <m:oMath>
        <m:sSup>
          <m:e>
            <m:r>
              <m:t>θ</m:t>
            </m:r>
          </m:e>
          <m:sup>
            <m:r>
              <m:rPr>
                <m:sty m:val="p"/>
              </m:rPr>
              <m:t>⋆</m:t>
            </m:r>
          </m:sup>
        </m:sSup>
      </m:oMath>
      <w:r>
        <w:rPr>
          <w:color w:val="3A4350"/>
          <w:sz w:val="15"/>
          <w:szCs w:val="15"/>
        </w:rPr>
        <w:t xml:space="preserve"> the true parameter; Ville's inequality makes the coverage hold at every time, including data-dependent stopping times.</w:t>
      </w:r>
    </w:p>
    <w:p>
      <w:pPr>
        <w:spacing w:after="60"/>
        <w:jc w:val="both"/>
      </w:pPr>
      <w:r>
        <w:rPr>
          <w:b/>
          <w:bCs/>
          <w:color w:val="215CAF"/>
          <w:sz w:val="17"/>
          <w:szCs w:val="17"/>
        </w:rPr>
        <w:t xml:space="preserve">Link to the Fushë-Kuqe stakeholders. </w:t>
      </w:r>
      <w:r>
        <w:rPr>
          <w:sz w:val="17"/>
          <w:szCs w:val="17"/>
        </w:rPr>
        <w:t xml:space="preserve">Belongs to theme 3. Using the chloride model's likelihood, each chloride sample updates a confidence set on mixing-zone width that stays valid whenever stakeholders stop. They can agree in advance to stop sampling and commit as soon as every parameter in the set gives an exceedance risk below 10% for A1 and P10 at the proposed pumping, or none does.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Replaces a patchwork of problem-specific concentration bounds by one generic, anytime-valid construction whose size can be tuned through online learning, so certified stopping is available for any well-specified likelihood. Main-track NeurIPS 2023 paper from Andreas Krause's Learning and Adaptive Systems group at ETH Zürich.</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 needs a well-specified likelihood and ignores sampling cost. A stopping rule that trades sampling cost against the remaining spread of stakeholders' preferred actions, and stays valid when the Strack mixing-zone model is itself misspecified,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one martingale construction gives anytime-valid confidence sets for any well-specified likelihood, with set size governed by the choice of plug-in estimators and linked to online convex optimisation. Proposed extension: build </w:t>
      </w:r>
      <m:oMath>
        <m:sSub>
          <m:e>
            <m:r>
              <m:t>C</m:t>
            </m:r>
          </m:e>
          <m:sub>
            <m:r>
              <m:t>t</m:t>
            </m:r>
          </m:sub>
        </m:sSub>
      </m:oMath>
      <w:r>
        <w:rPr>
          <w:sz w:val="17"/>
          <w:szCs w:val="17"/>
        </w:rPr>
        <w:t xml:space="preserve"> for mixing-zone width and recharge from sequential chloride samples, declare the joint decision settled when every parameter in </w:t>
      </w:r>
      <m:oMath>
        <m:sSub>
          <m:e>
            <m:r>
              <m:t>C</m:t>
            </m:r>
          </m:e>
          <m:sub>
            <m:r>
              <m:t>t</m:t>
            </m:r>
          </m:sub>
        </m:sSub>
      </m:oMath>
      <w:r>
        <w:rPr>
          <w:sz w:val="17"/>
          <w:szCs w:val="17"/>
        </w:rPr>
        <w:t xml:space="preserve"> ranks the same pumping and recharge option first for every stakeholder, and estimate the expected number of samples this takes.</w:t>
      </w:r>
    </w:p>
    <w:p>
      <w:pPr>
        <w:keepNext/>
        <w:pBdr>
          <w:top w:val="single" w:color="215CAF" w:sz="6" w:space="4"/>
        </w:pBdr>
        <w:spacing w:after="60" w:before="220"/>
      </w:pPr>
      <w:r>
        <w:rPr>
          <w:b/>
          <w:bCs/>
          <w:color w:val="215CAF"/>
          <w:sz w:val="23"/>
          <w:szCs w:val="23"/>
        </w:rPr>
        <w:t xml:space="preserve">E4  </w:t>
      </w:r>
      <w:r>
        <w:rPr>
          <w:b/>
          <w:bCs/>
          <w:color w:val="1F3864"/>
          <w:sz w:val="23"/>
          <w:szCs w:val="23"/>
        </w:rPr>
        <w:t xml:space="preserve">Distributionally Robust Chance Constrained Data-Enabled Predictive Control</w:t>
      </w:r>
    </w:p>
    <w:p>
      <w:pPr>
        <w:keepNext/>
        <w:spacing w:after="60" w:line="240" w:lineRule="auto"/>
      </w:pPr>
      <w:r>
        <w:rPr>
          <w:b/>
          <w:bCs/>
          <w:color w:val="333B47"/>
          <w:sz w:val="15"/>
          <w:szCs w:val="15"/>
        </w:rPr>
        <w:t xml:space="preserve">Authors: </w:t>
      </w:r>
      <w:r>
        <w:rPr>
          <w:sz w:val="15"/>
          <w:szCs w:val="15"/>
        </w:rPr>
        <w:t xml:space="preserve">Jeremy Coulson, John Lygeros, Florian Dörfler</w:t>
      </w:r>
      <w:r>
        <w:rPr>
          <w:sz w:val="15"/>
          <w:szCs w:val="15"/>
        </w:rPr>
        <w:t xml:space="preserve">   </w:t>
      </w:r>
      <w:r>
        <w:rPr>
          <w:b/>
          <w:bCs/>
          <w:color w:val="333B47"/>
          <w:sz w:val="15"/>
          <w:szCs w:val="15"/>
        </w:rPr>
        <w:t xml:space="preserve">Published in: </w:t>
      </w:r>
      <w:r>
        <w:rPr>
          <w:sz w:val="15"/>
          <w:szCs w:val="15"/>
        </w:rPr>
        <w:t xml:space="preserve">IEEE Transactions on Automatic Control, 67(7), 3289–3304 (2022; online 2021)</w:t>
      </w:r>
      <w:r>
        <w:rPr>
          <w:sz w:val="15"/>
          <w:szCs w:val="15"/>
        </w:rPr>
        <w:t xml:space="preserve">   </w:t>
      </w:r>
      <w:r>
        <w:rPr>
          <w:b/>
          <w:bCs/>
          <w:color w:val="333B47"/>
          <w:sz w:val="15"/>
          <w:szCs w:val="15"/>
        </w:rPr>
        <w:t xml:space="preserve">Link: </w:t>
      </w:r>
      <w:hyperlink w:history="1" r:id="rIdhcxbi4nfh2f9pty4shhi6">
        <w:r>
          <w:rPr>
            <w:color w:val="1D4ED8"/>
            <w:sz w:val="15"/>
            <w:szCs w:val="15"/>
            <w:u w:val="single"/>
          </w:rPr>
          <w:t xml:space="preserve">https://doi.org/10.1109/TAC.2021.3097706</w:t>
        </w:r>
      </w:hyperlink>
    </w:p>
    <w:p>
      <w:pPr>
        <w:keepNext/>
        <w:spacing w:after="80" w:line="240" w:lineRule="auto"/>
      </w:pPr>
      <w:r>
        <w:rPr>
          <w:b/>
          <w:bCs/>
          <w:color w:val="333B47"/>
          <w:sz w:val="15"/>
          <w:szCs w:val="15"/>
        </w:rPr>
        <w:t xml:space="preserve">Affiliation: </w:t>
      </w:r>
      <w:r>
        <w:rPr>
          <w:color w:val="3A4350"/>
          <w:sz w:val="15"/>
          <w:szCs w:val="15"/>
        </w:rPr>
        <w:t xml:space="preserve">Automatic Control Laboratory, ETH Zürich: Coulson was a PhD student there (PhD 2022), Lygeros heads the laboratory and Dörfler is a professor there (search results: UW–Madison faculty profile, arXiv 2006.01702, CORDIS project 787845).</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215CAF"/>
          <w:sz w:val="17"/>
          <w:szCs w:val="17"/>
        </w:rPr>
        <w:t xml:space="preserve">Summary. </w:t>
      </w:r>
      <w:r>
        <w:rPr>
          <w:sz w:val="17"/>
          <w:szCs w:val="17"/>
        </w:rPr>
        <w:t xml:space="preserve">The paper studies finite-horizon constrained optimal control of an unknown stochastic linear time-invariant system using only noise-corrupted input/output data. It proposes a distributionally robust data-enabled predictive control (DeePC) algorithm: past input/output trajectories give a non-parametric predictor, and uncertainty is handled over a Wasserstein ball centred at the empirical distribution of the data, chosen because it needs no prior assumptions on the true noise distribution. Output chance constraints are imposed in distributionally robust form. The authors prove that, for certain objective functions, the computed inputs have out-of-sample performance guarantees and satisfy the constraints with high probability.</w:t>
      </w:r>
    </w:p>
    <w:p>
      <w:pPr>
        <w:keepNext/>
        <w:spacing w:after="20" w:before="40"/>
      </w:pPr>
      <w:r>
        <w:rPr>
          <w:b/>
          <w:bCs/>
          <w:color w:val="215CAF"/>
          <w:sz w:val="17"/>
          <w:szCs w:val="17"/>
        </w:rPr>
        <w:t xml:space="preserve">Key equation.</w:t>
      </w:r>
      <w:r>
        <w:rPr>
          <w:i/>
          <w:iCs/>
          <w:color w:val="5B6573"/>
          <w:sz w:val="15"/>
          <w:szCs w:val="15"/>
        </w:rPr>
        <w:t xml:space="preserve">  Distributionally robust chance-constrained predictive control problem (representative formulation)</w:t>
      </w:r>
    </w:p>
    <w:p>
      <w:pPr>
        <w:pStyle w:val="Equation"/>
      </w:pPr>
      <m:oMathPara>
        <m:oMathParaPr>
          <m:jc m:val="center"/>
        </m:oMathParaPr>
        <m:oMath>
          <m:limLow>
            <m:e>
              <m:r>
                <m:rPr>
                  <m:sty m:val="p"/>
                </m:rPr>
                <m:t>min</m:t>
              </m:r>
            </m:e>
            <m:lim>
              <m:r>
                <m:t>g</m:t>
              </m:r>
            </m:lim>
          </m:limLow>
          <m:limLow>
            <m:e>
              <m:r>
                <m:rPr>
                  <m:sty m:val="p"/>
                </m:rPr>
                <m:t>max</m:t>
              </m:r>
            </m:e>
            <m:lim>
              <m:r>
                <m:t>Q</m:t>
              </m:r>
              <m:r>
                <m:rPr>
                  <m:sty m:val="p"/>
                </m:rPr>
                <m:t>∈</m:t>
              </m:r>
              <m:sSub>
                <m:e>
                  <m:r>
                    <m:rPr>
                      <m:scr m:val="double-struck"/>
                      <m:sty m:val="p"/>
                    </m:rPr>
                    <m:t>B</m:t>
                  </m:r>
                </m:e>
                <m:sub>
                  <m:r>
                    <m:t>ϵ</m:t>
                  </m:r>
                </m:sub>
              </m:sSub>
              <m:d>
                <m:dPr>
                  <m:begChr m:val="("/>
                  <m:sepChr m:val=""/>
                  <m:endChr m:val=")"/>
                  <m:grow/>
                </m:dPr>
                <m:e>
                  <m:sSub>
                    <m:e>
                      <m:acc>
                        <m:accPr>
                          <m:chr m:val="̂"/>
                        </m:accPr>
                        <m:e>
                          <m:r>
                            <m:t>P</m:t>
                          </m:r>
                        </m:e>
                      </m:acc>
                    </m:e>
                    <m:sub>
                      <m:r>
                        <m:t>N</m:t>
                      </m:r>
                    </m:sub>
                  </m:sSub>
                </m:e>
              </m:d>
            </m:lim>
          </m:limLow>
          <m:sSub>
            <m:e>
              <m:r>
                <m:rPr>
                  <m:scr m:val="double-struck"/>
                  <m:sty m:val="p"/>
                </m:rPr>
                <m:t>E</m:t>
              </m:r>
            </m:e>
            <m:sub>
              <m:r>
                <m:t>Q</m:t>
              </m:r>
            </m:sub>
          </m:sSub>
          <m:d>
            <m:dPr>
              <m:begChr m:val="["/>
              <m:sepChr m:val=""/>
              <m:endChr m:val="]"/>
              <m:grow/>
            </m:dPr>
            <m:e>
              <m:r>
                <m:t>J</m:t>
              </m:r>
              <m:d>
                <m:dPr>
                  <m:begChr m:val="("/>
                  <m:sepChr m:val=""/>
                  <m:endChr m:val=")"/>
                  <m:grow/>
                </m:dPr>
                <m:e>
                  <m:r>
                    <m:t>g</m:t>
                  </m:r>
                  <m:r>
                    <m:rPr>
                      <m:sty m:val="p"/>
                    </m:rPr>
                    <m:t>,</m:t>
                  </m:r>
                  <m:r>
                    <m:t>ξ</m:t>
                  </m:r>
                </m:e>
              </m:d>
            </m:e>
          </m:d>
          <m:r>
            <m:t> </m:t>
          </m:r>
          <m:r>
            <m:rPr>
              <m:nor/>
            </m:rPr>
            <m:t>s.t.</m:t>
          </m:r>
          <m:r>
            <m:t> </m:t>
          </m:r>
          <m:limLow>
            <m:e>
              <m:r>
                <m:rPr>
                  <m:sty m:val="p"/>
                </m:rPr>
                <m:t>min</m:t>
              </m:r>
            </m:e>
            <m:lim>
              <m:r>
                <m:t>Q</m:t>
              </m:r>
              <m:r>
                <m:rPr>
                  <m:sty m:val="p"/>
                </m:rPr>
                <m:t>∈</m:t>
              </m:r>
              <m:sSub>
                <m:e>
                  <m:r>
                    <m:rPr>
                      <m:scr m:val="double-struck"/>
                      <m:sty m:val="p"/>
                    </m:rPr>
                    <m:t>B</m:t>
                  </m:r>
                </m:e>
                <m:sub>
                  <m:r>
                    <m:t>ϵ</m:t>
                  </m:r>
                </m:sub>
              </m:sSub>
              <m:d>
                <m:dPr>
                  <m:begChr m:val="("/>
                  <m:sepChr m:val=""/>
                  <m:endChr m:val=")"/>
                  <m:grow/>
                </m:dPr>
                <m:e>
                  <m:sSub>
                    <m:e>
                      <m:acc>
                        <m:accPr>
                          <m:chr m:val="̂"/>
                        </m:accPr>
                        <m:e>
                          <m:r>
                            <m:t>P</m:t>
                          </m:r>
                        </m:e>
                      </m:acc>
                    </m:e>
                    <m:sub>
                      <m:r>
                        <m:t>N</m:t>
                      </m:r>
                    </m:sub>
                  </m:sSub>
                </m:e>
              </m:d>
            </m:lim>
          </m:limLow>
          <m:r>
            <m:t>Q</m:t>
          </m:r>
          <m:d>
            <m:dPr>
              <m:begChr m:val="("/>
              <m:sepChr m:val=""/>
              <m:endChr m:val=")"/>
              <m:grow/>
            </m:dPr>
            <m:e>
              <m:r>
                <m:t>y</m:t>
              </m:r>
              <m:d>
                <m:dPr>
                  <m:begChr m:val="("/>
                  <m:sepChr m:val=""/>
                  <m:endChr m:val=")"/>
                  <m:grow/>
                </m:dPr>
                <m:e>
                  <m:r>
                    <m:t>g</m:t>
                  </m:r>
                  <m:r>
                    <m:rPr>
                      <m:sty m:val="p"/>
                    </m:rPr>
                    <m:t>,</m:t>
                  </m:r>
                  <m:r>
                    <m:t>ξ</m:t>
                  </m:r>
                </m:e>
              </m:d>
              <m:r>
                <m:rPr>
                  <m:sty m:val="p"/>
                </m:rPr>
                <m:t>∈</m:t>
              </m:r>
              <m:r>
                <m:rPr>
                  <m:scr m:val="script"/>
                  <m:sty m:val="p"/>
                </m:rPr>
                <m:t>Y</m:t>
              </m:r>
            </m:e>
          </m:d>
          <m:r>
            <m:rPr>
              <m:sty m:val="p"/>
            </m:rPr>
            <m:t>≥</m:t>
          </m:r>
          <m:r>
            <m:t>1</m:t>
          </m:r>
          <m:r>
            <m:rPr>
              <m:sty m:val="p"/>
            </m:rPr>
            <m:t>−</m:t>
          </m:r>
          <m:r>
            <m:t>α</m:t>
          </m:r>
        </m:oMath>
      </m:oMathPara>
    </w:p>
    <w:p>
      <w:pPr>
        <w:spacing w:after="60"/>
        <w:jc w:val="both"/>
      </w:pPr>
      <m:oMath>
        <m:r>
          <m:t>g</m:t>
        </m:r>
      </m:oMath>
      <w:r>
        <w:rPr>
          <w:color w:val="3A4350"/>
          <w:sz w:val="15"/>
          <w:szCs w:val="15"/>
        </w:rPr>
        <w:t xml:space="preserve"> selects a combination of recorded trajectories (and hence future inputs and outputs), </w:t>
      </w:r>
      <m:oMath>
        <m:r>
          <m:t>ξ</m:t>
        </m:r>
      </m:oMath>
      <w:r>
        <w:rPr>
          <w:color w:val="3A4350"/>
          <w:sz w:val="15"/>
          <w:szCs w:val="15"/>
        </w:rPr>
        <w:t xml:space="preserve"> is the measurement noise, </w:t>
      </w:r>
      <m:oMath>
        <m:sSub>
          <m:e>
            <m:acc>
              <m:accPr>
                <m:chr m:val="̂"/>
              </m:accPr>
              <m:e>
                <m:r>
                  <m:t>P</m:t>
                </m:r>
              </m:e>
            </m:acc>
          </m:e>
          <m:sub>
            <m:r>
              <m:t>N</m:t>
            </m:r>
          </m:sub>
        </m:sSub>
      </m:oMath>
      <w:r>
        <w:rPr>
          <w:color w:val="3A4350"/>
          <w:sz w:val="15"/>
          <w:szCs w:val="15"/>
        </w:rPr>
        <w:t xml:space="preserve"> the empirical distribution of </w:t>
      </w:r>
      <m:oMath>
        <m:r>
          <m:t>N</m:t>
        </m:r>
      </m:oMath>
      <w:r>
        <w:rPr>
          <w:color w:val="3A4350"/>
          <w:sz w:val="15"/>
          <w:szCs w:val="15"/>
        </w:rPr>
        <w:t xml:space="preserve"> data sets, </w:t>
      </w:r>
      <m:oMath>
        <m:sSub>
          <m:e>
            <m:r>
              <m:rPr>
                <m:scr m:val="double-struck"/>
                <m:sty m:val="p"/>
              </m:rPr>
              <m:t>B</m:t>
            </m:r>
          </m:e>
          <m:sub>
            <m:r>
              <m:t>ϵ</m:t>
            </m:r>
          </m:sub>
        </m:sSub>
      </m:oMath>
      <w:r>
        <w:rPr>
          <w:color w:val="3A4350"/>
          <w:sz w:val="15"/>
          <w:szCs w:val="15"/>
        </w:rPr>
        <w:t xml:space="preserve"> a Wasserstein ball of radius </w:t>
      </w:r>
      <m:oMath>
        <m:r>
          <m:t>ϵ</m:t>
        </m:r>
      </m:oMath>
      <w:r>
        <w:rPr>
          <w:color w:val="3A4350"/>
          <w:sz w:val="15"/>
          <w:szCs w:val="15"/>
        </w:rPr>
        <w:t xml:space="preserve">, </w:t>
      </w:r>
      <m:oMath>
        <m:r>
          <m:rPr>
            <m:scr m:val="script"/>
            <m:sty m:val="p"/>
          </m:rPr>
          <m:t>Y</m:t>
        </m:r>
      </m:oMath>
      <w:r>
        <w:rPr>
          <w:color w:val="3A4350"/>
          <w:sz w:val="15"/>
          <w:szCs w:val="15"/>
        </w:rPr>
        <w:t xml:space="preserve"> the safe output set and </w:t>
      </w:r>
      <m:oMath>
        <m:r>
          <m:t>α</m:t>
        </m:r>
      </m:oMath>
      <w:r>
        <w:rPr>
          <w:color w:val="3A4350"/>
          <w:sz w:val="15"/>
          <w:szCs w:val="15"/>
        </w:rPr>
        <w:t xml:space="preserve"> the allowed violation probability.</w:t>
      </w:r>
    </w:p>
    <w:p>
      <w:pPr>
        <w:spacing w:after="60"/>
        <w:jc w:val="both"/>
      </w:pPr>
      <w:r>
        <w:rPr>
          <w:b/>
          <w:bCs/>
          <w:color w:val="215CAF"/>
          <w:sz w:val="17"/>
          <w:szCs w:val="17"/>
        </w:rPr>
        <w:t xml:space="preserve">Link to the Fushë-Kuqe stakeholders. </w:t>
      </w:r>
      <w:r>
        <w:rPr>
          <w:sz w:val="17"/>
          <w:szCs w:val="17"/>
        </w:rPr>
        <w:t xml:space="preserve">Belongs to theme 2. Pumping at A1 and P10 can be set like a predictive controller fed directly by recorded pumping and chloride series: the plan is chosen against every chloride distribution within a Wasserstein distance of the observed record, so the 250 mg/L standard holds with a stated probability although the mixing-zone width is never modelled explicitly.</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Combines a non-parametric trajectory predictor with Wasserstein distributional robustness and proves that the committed inputs keep output chance constraints with high probability, with no system-identification step. Published in IEEE Transactions on Automatic Control; Coulson's ETH doctoral thesis received a 2022 ETH Medal (UW–Madison profile).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guarantees cover linear time-invariant systems and one decision maker with one ambiguity radius. Choosing the radius so that it covers the disagreeing stakeholders' beliefs, and handling the nonlinear chloride response drifting with sea-level rise, are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chance-constrained predictive control without a model, made robust over a Wasserstein ball around the data, with probabilistic guarantees on the committed inputs. Proposed extension: set the radius </w:t>
      </w:r>
      <m:oMath>
        <m:r>
          <m:t>ϵ</m:t>
        </m:r>
      </m:oMath>
      <w:r>
        <w:rPr>
          <w:sz w:val="17"/>
          <w:szCs w:val="17"/>
        </w:rPr>
        <w:t xml:space="preserve"> as the smallest ball that contains every stakeholder's chloride belief, then report the largest pumping at A1 and P10 that keeps exceedance below 10%, with and without the three recharge wells.</w:t>
      </w:r>
    </w:p>
    <w:p>
      <w:pPr>
        <w:keepNext/>
        <w:pBdr>
          <w:top w:val="single" w:color="215CAF" w:sz="6" w:space="4"/>
        </w:pBdr>
        <w:spacing w:after="60" w:before="220"/>
      </w:pPr>
      <w:r>
        <w:rPr>
          <w:b/>
          <w:bCs/>
          <w:color w:val="215CAF"/>
          <w:sz w:val="23"/>
          <w:szCs w:val="23"/>
        </w:rPr>
        <w:t xml:space="preserve">E5  </w:t>
      </w:r>
      <w:r>
        <w:rPr>
          <w:b/>
          <w:bCs/>
          <w:color w:val="1F3864"/>
          <w:sz w:val="23"/>
          <w:szCs w:val="23"/>
        </w:rPr>
        <w:t xml:space="preserve">Distributional Uncertainty Propagation via Optimal Transport</w:t>
      </w:r>
    </w:p>
    <w:p>
      <w:pPr>
        <w:keepNext/>
        <w:spacing w:after="60" w:line="240" w:lineRule="auto"/>
      </w:pPr>
      <w:r>
        <w:rPr>
          <w:b/>
          <w:bCs/>
          <w:color w:val="333B47"/>
          <w:sz w:val="15"/>
          <w:szCs w:val="15"/>
        </w:rPr>
        <w:t xml:space="preserve">Authors: </w:t>
      </w:r>
      <w:r>
        <w:rPr>
          <w:sz w:val="15"/>
          <w:szCs w:val="15"/>
        </w:rPr>
        <w:t xml:space="preserve">Liviu Aolaritei, Nicolas Lanzetti, Hongruyu Chen, Florian Dörfler</w:t>
      </w:r>
      <w:r>
        <w:rPr>
          <w:sz w:val="15"/>
          <w:szCs w:val="15"/>
        </w:rPr>
        <w:t xml:space="preserve">   </w:t>
      </w:r>
      <w:r>
        <w:rPr>
          <w:b/>
          <w:bCs/>
          <w:color w:val="333B47"/>
          <w:sz w:val="15"/>
          <w:szCs w:val="15"/>
        </w:rPr>
        <w:t xml:space="preserve">Published in: </w:t>
      </w:r>
      <w:r>
        <w:rPr>
          <w:sz w:val="15"/>
          <w:szCs w:val="15"/>
        </w:rPr>
        <w:t xml:space="preserve">IEEE Transactions on Automatic Control, pp. 6080–6095 (2025; volume and issue not verified)</w:t>
      </w:r>
      <w:r>
        <w:rPr>
          <w:sz w:val="15"/>
          <w:szCs w:val="15"/>
        </w:rPr>
        <w:t xml:space="preserve">   </w:t>
      </w:r>
      <w:r>
        <w:rPr>
          <w:b/>
          <w:bCs/>
          <w:color w:val="333B47"/>
          <w:sz w:val="15"/>
          <w:szCs w:val="15"/>
        </w:rPr>
        <w:t xml:space="preserve">Link: </w:t>
      </w:r>
      <w:hyperlink w:history="1" r:id="rId404a-radvhuqwcdph3rev">
        <w:r>
          <w:rPr>
            <w:color w:val="1D4ED8"/>
            <w:sz w:val="15"/>
            <w:szCs w:val="15"/>
            <w:u w:val="single"/>
          </w:rPr>
          <w:t xml:space="preserve">https://doi.org/10.1109/TAC.2025.3567559</w:t>
        </w:r>
      </w:hyperlink>
    </w:p>
    <w:p>
      <w:pPr>
        <w:keepNext/>
        <w:spacing w:after="80" w:line="240" w:lineRule="auto"/>
      </w:pPr>
      <w:r>
        <w:rPr>
          <w:b/>
          <w:bCs/>
          <w:color w:val="333B47"/>
          <w:sz w:val="15"/>
          <w:szCs w:val="15"/>
        </w:rPr>
        <w:t xml:space="preserve">Affiliation: </w:t>
      </w:r>
      <w:r>
        <w:rPr>
          <w:color w:val="3A4350"/>
          <w:sz w:val="15"/>
          <w:szCs w:val="15"/>
        </w:rPr>
        <w:t xml:space="preserve">Automatic Control Laboratory, Department of Information Technology and Electrical Engineering, ETH Zürich: all four authors, Aolaritei corresponding (search results: arXiv 2205.00343 author line; bibliographic record listing ETH Zurich).</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215CAF"/>
          <w:sz w:val="17"/>
          <w:szCs w:val="17"/>
        </w:rPr>
        <w:t xml:space="preserve">Summary. </w:t>
      </w:r>
      <w:r>
        <w:rPr>
          <w:sz w:val="17"/>
          <w:szCs w:val="17"/>
        </w:rPr>
        <w:t xml:space="preserve">The paper models uncertainty with optimal transport (OT) ambiguity sets, the distributions within a transport budget of a nominal one, which contain robust (norm-bounded) and stochastic (single-distribution) models as special cases and can also represent rare extreme events. The main theorems show how these sets propagate: through linear maps, and through nonlinear and noise-corrupted maps, the image of an OT ambiguity set is again an OT ambiguity set or is tightly bounded by one. This yields propagation through dynamical systems with several uncertainty sources (initial condition, additive and multiplicative noise), applied to trajectory planning, consensus algorithms and least-squares estimation.</w:t>
      </w:r>
    </w:p>
    <w:p>
      <w:pPr>
        <w:keepNext/>
        <w:spacing w:after="20" w:before="40"/>
      </w:pPr>
      <w:r>
        <w:rPr>
          <w:b/>
          <w:bCs/>
          <w:color w:val="215CAF"/>
          <w:sz w:val="17"/>
          <w:szCs w:val="17"/>
        </w:rPr>
        <w:t xml:space="preserve">Key equation.</w:t>
      </w:r>
      <w:r>
        <w:rPr>
          <w:i/>
          <w:iCs/>
          <w:color w:val="5B6573"/>
          <w:sz w:val="15"/>
          <w:szCs w:val="15"/>
        </w:rPr>
        <w:t xml:space="preserve">  Propagation of an optimal-transport ambiguity set through a Lipschitz map (representative formulation; the paper gives sharper results for linear maps)</w:t>
      </w:r>
    </w:p>
    <w:p>
      <w:pPr>
        <w:pStyle w:val="Equation"/>
      </w:pPr>
      <m:oMathPara>
        <m:oMathParaPr>
          <m:jc m:val="center"/>
        </m:oMathParaPr>
        <m:oMath>
          <m:sSub>
            <m:e>
              <m:r>
                <m:t>f</m:t>
              </m:r>
            </m:e>
            <m:sub>
              <m:r>
                <m:rPr>
                  <m:sty m:val="p"/>
                </m:rPr>
                <m:t>#</m:t>
              </m:r>
            </m:sub>
          </m:sSub>
          <m:sSub>
            <m:e>
              <m:r>
                <m:rPr>
                  <m:scr m:val="double-struck"/>
                  <m:sty m:val="p"/>
                </m:rPr>
                <m:t>B</m:t>
              </m:r>
            </m:e>
            <m:sub>
              <m:r>
                <m:t>ε</m:t>
              </m:r>
            </m:sub>
          </m:sSub>
          <m:d>
            <m:dPr>
              <m:begChr m:val="("/>
              <m:sepChr m:val=""/>
              <m:endChr m:val=")"/>
              <m:grow/>
            </m:dPr>
            <m:e>
              <m:acc>
                <m:accPr>
                  <m:chr m:val="̂"/>
                </m:accPr>
                <m:e>
                  <m:r>
                    <m:t>P</m:t>
                  </m:r>
                </m:e>
              </m:acc>
            </m:e>
          </m:d>
          <m:r>
            <m:rPr>
              <m:sty m:val="p"/>
            </m:rPr>
            <m:t>⊆</m:t>
          </m:r>
          <m:sSub>
            <m:e>
              <m:r>
                <m:rPr>
                  <m:scr m:val="double-struck"/>
                  <m:sty m:val="p"/>
                </m:rPr>
                <m:t>B</m:t>
              </m:r>
            </m:e>
            <m:sub>
              <m:r>
                <m:t>L</m:t>
              </m:r>
              <m:r>
                <m:t>ε</m:t>
              </m:r>
            </m:sub>
          </m:sSub>
          <m:d>
            <m:dPr>
              <m:begChr m:val="("/>
              <m:sepChr m:val=""/>
              <m:endChr m:val=")"/>
              <m:grow/>
            </m:dPr>
            <m:e>
              <m:sSub>
                <m:e>
                  <m:r>
                    <m:t>f</m:t>
                  </m:r>
                </m:e>
                <m:sub>
                  <m:r>
                    <m:rPr>
                      <m:sty m:val="p"/>
                    </m:rPr>
                    <m:t>#</m:t>
                  </m:r>
                </m:sub>
              </m:sSub>
              <m:acc>
                <m:accPr>
                  <m:chr m:val="̂"/>
                </m:accPr>
                <m:e>
                  <m:r>
                    <m:t>P</m:t>
                  </m:r>
                </m:e>
              </m:acc>
            </m:e>
          </m:d>
        </m:oMath>
      </m:oMathPara>
    </w:p>
    <w:p>
      <w:pPr>
        <w:spacing w:after="60"/>
        <w:jc w:val="both"/>
      </w:pPr>
      <m:oMath>
        <m:sSub>
          <m:e>
            <m:r>
              <m:rPr>
                <m:scr m:val="double-struck"/>
                <m:sty m:val="p"/>
              </m:rPr>
              <m:t>B</m:t>
            </m:r>
          </m:e>
          <m:sub>
            <m:r>
              <m:t>ε</m:t>
            </m:r>
          </m:sub>
        </m:sSub>
        <m:d>
          <m:dPr>
            <m:begChr m:val="("/>
            <m:sepChr m:val=""/>
            <m:endChr m:val=")"/>
            <m:grow/>
          </m:dPr>
          <m:e>
            <m:acc>
              <m:accPr>
                <m:chr m:val="̂"/>
              </m:accPr>
              <m:e>
                <m:r>
                  <m:t>P</m:t>
                </m:r>
              </m:e>
            </m:acc>
          </m:e>
        </m:d>
      </m:oMath>
      <w:r>
        <w:rPr>
          <w:color w:val="3A4350"/>
          <w:sz w:val="15"/>
          <w:szCs w:val="15"/>
        </w:rPr>
        <w:t xml:space="preserve"> is the set of distributions within Wasserstein distance </w:t>
      </w:r>
      <m:oMath>
        <m:r>
          <m:t>ε</m:t>
        </m:r>
      </m:oMath>
      <w:r>
        <w:rPr>
          <w:color w:val="3A4350"/>
          <w:sz w:val="15"/>
          <w:szCs w:val="15"/>
        </w:rPr>
        <w:t xml:space="preserve"> of the nominal </w:t>
      </w:r>
      <m:oMath>
        <m:acc>
          <m:accPr>
            <m:chr m:val="̂"/>
          </m:accPr>
          <m:e>
            <m:r>
              <m:t>P</m:t>
            </m:r>
          </m:e>
        </m:acc>
      </m:oMath>
      <w:r>
        <w:rPr>
          <w:color w:val="3A4350"/>
          <w:sz w:val="15"/>
          <w:szCs w:val="15"/>
        </w:rPr>
        <w:t xml:space="preserve">, </w:t>
      </w:r>
      <m:oMath>
        <m:sSub>
          <m:e>
            <m:r>
              <m:t>f</m:t>
            </m:r>
          </m:e>
          <m:sub>
            <m:r>
              <m:rPr>
                <m:sty m:val="p"/>
              </m:rPr>
              <m:t>#</m:t>
            </m:r>
          </m:sub>
        </m:sSub>
      </m:oMath>
      <w:r>
        <w:rPr>
          <w:color w:val="3A4350"/>
          <w:sz w:val="15"/>
          <w:szCs w:val="15"/>
        </w:rPr>
        <w:t xml:space="preserve"> pushes a distribution through the map </w:t>
      </w:r>
      <m:oMath>
        <m:r>
          <m:t>f</m:t>
        </m:r>
      </m:oMath>
      <w:r>
        <w:rPr>
          <w:color w:val="3A4350"/>
          <w:sz w:val="15"/>
          <w:szCs w:val="15"/>
        </w:rPr>
        <w:t xml:space="preserve"> and </w:t>
      </w:r>
      <m:oMath>
        <m:r>
          <m:t>L</m:t>
        </m:r>
      </m:oMath>
      <w:r>
        <w:rPr>
          <w:color w:val="3A4350"/>
          <w:sz w:val="15"/>
          <w:szCs w:val="15"/>
        </w:rPr>
        <w:t xml:space="preserve"> is the Lipschitz constant of </w:t>
      </w:r>
      <m:oMath>
        <m:r>
          <m:t>f</m:t>
        </m:r>
      </m:oMath>
      <w:r>
        <w:rPr>
          <w:color w:val="3A4350"/>
          <w:sz w:val="15"/>
          <w:szCs w:val="15"/>
        </w:rPr>
        <w:t xml:space="preserve">.</w:t>
      </w:r>
    </w:p>
    <w:p>
      <w:pPr>
        <w:spacing w:after="60"/>
        <w:jc w:val="both"/>
      </w:pPr>
      <w:r>
        <w:rPr>
          <w:b/>
          <w:bCs/>
          <w:color w:val="215CAF"/>
          <w:sz w:val="17"/>
          <w:szCs w:val="17"/>
        </w:rPr>
        <w:t xml:space="preserve">Link to the Fushë-Kuqe stakeholders. </w:t>
      </w:r>
      <w:r>
        <w:rPr>
          <w:sz w:val="17"/>
          <w:szCs w:val="17"/>
        </w:rPr>
        <w:t xml:space="preserve">Belongs to theme 2. Each stakeholder's belief about recharge and mixing-zone width can be written as an ambiguity set; propagating their union through the chloride model gives one certified set of chloride outcomes at A1 and P10, and a pumping and recharge plan is accepted only if it meets 250 mg/L with the required probability for every distribution in it.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Turns distributional robustness from a one-step device into a calculus: ambiguity in inputs is pushed exactly or tightly through models, so downstream decisions inherit a certified ambiguity set. Published in IEEE Transactions on Automatic Control (2025), with all authors at ETH Zürich's Automatic Control Laboratory.</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results assume known maps with linear or Lipschitz structure. Propagating ambiguity through a calibrated but uncertain groundwater model, and deciding when a chloride sample shrinks the propagated set enough to settle the stakeholders' disagreement, are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exact or tight closure of OT ambiguity sets under linear, nonlinear and noisy maps, giving one way to carry distributional uncertainty through dynamical systems. Proposed extension: fit a linearised Strack-potential response from recharge and sea level to well chloride, propagate the stakeholders' OT sets through it, and compare the certified pumping limit before and after one shallow chloride sample with the doubling found by the 20 000-draw model.</w:t>
      </w:r>
    </w:p>
    <w:p>
      <w:pPr>
        <w:pStyle w:val="Heading1"/>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800"/>
        <w:gridCol w:w="3800"/>
        <w:gridCol w:w="2038"/>
      </w:tblGrid>
      <w:tr>
        <w:trPr>
          <w:cantSplit/>
          <w:tblHeader/>
        </w:trPr>
        <w:tc>
          <w:tcPr>
            <w:tcW w:type="dxa" w:w="38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38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2038"/>
            <w:shd w:fill="1F3864" w:color="auto" w:val="clear"/>
            <w:tcMar>
              <w:top w:type="dxa" w:w="60"/>
              <w:left w:type="dxa" w:w="100"/>
              <w:bottom w:type="dxa" w:w="60"/>
              <w:right w:type="dxa" w:w="100"/>
            </w:tcMar>
            <w:vAlign w:val="top"/>
          </w:tcPr>
          <w:p>
            <w:r>
              <w:rPr>
                <w:b/>
                <w:bCs/>
                <w:color w:val="FFFFFF"/>
                <w:sz w:val="17"/>
                <w:szCs w:val="17"/>
              </w:rPr>
              <w:t xml:space="preserve">Reserves</w:t>
            </w:r>
          </w:p>
        </w:tc>
      </w:tr>
      <w:tr>
        <w:trPr>
          <w:cantSplit/>
        </w:trPr>
        <w:tc>
          <w:tcPr>
            <w:tcW w:type="dxa" w:w="3800"/>
            <w:tcMar>
              <w:top w:type="dxa" w:w="60"/>
              <w:left w:type="dxa" w:w="100"/>
              <w:bottom w:type="dxa" w:w="60"/>
              <w:right w:type="dxa" w:w="100"/>
            </w:tcMar>
            <w:vAlign w:val="top"/>
          </w:tcPr>
          <w:p>
            <w:r>
              <w:rPr>
                <w:sz w:val="17"/>
                <w:szCs w:val="17"/>
              </w:rPr>
              <w:t xml:space="preserve">1.1 Deciding under ambiguity and deep uncertainty</w:t>
            </w:r>
          </w:p>
        </w:tc>
        <w:tc>
          <w:tcPr>
            <w:tcW w:type="dxa" w:w="3800"/>
            <w:tcMar>
              <w:top w:type="dxa" w:w="60"/>
              <w:left w:type="dxa" w:w="100"/>
              <w:bottom w:type="dxa" w:w="60"/>
              <w:right w:type="dxa" w:w="100"/>
            </w:tcMar>
            <w:vAlign w:val="top"/>
          </w:tcPr>
          <w:p>
            <w:r>
              <w:rPr>
                <w:sz w:val="17"/>
                <w:szCs w:val="17"/>
              </w:rPr>
              <w:t xml:space="preserve">[O5], [C1], [C2]</w:t>
            </w:r>
          </w:p>
        </w:tc>
        <w:tc>
          <w:tcPr>
            <w:tcW w:type="dxa" w:w="2038"/>
            <w:tcMar>
              <w:top w:type="dxa" w:w="60"/>
              <w:left w:type="dxa" w:w="100"/>
              <w:bottom w:type="dxa" w:w="60"/>
              <w:right w:type="dxa" w:w="100"/>
            </w:tcMar>
            <w:vAlign w:val="top"/>
          </w:tcPr>
          <w:p>
            <w:r>
              <w:rPr>
                <w:sz w:val="17"/>
                <w:szCs w:val="17"/>
              </w:rPr>
              <w:t xml:space="preserve">[CR1], [CR2], [ER1]</w:t>
            </w:r>
          </w:p>
        </w:tc>
      </w:tr>
      <w:tr>
        <w:trPr>
          <w:cantSplit/>
        </w:trPr>
        <w:tc>
          <w:tcPr>
            <w:tcW w:type="dxa" w:w="3800"/>
            <w:shd w:fill="F7F9FC" w:color="auto" w:val="clear"/>
            <w:tcMar>
              <w:top w:type="dxa" w:w="60"/>
              <w:left w:type="dxa" w:w="100"/>
              <w:bottom w:type="dxa" w:w="60"/>
              <w:right w:type="dxa" w:w="100"/>
            </w:tcMar>
            <w:vAlign w:val="top"/>
          </w:tcPr>
          <w:p>
            <w:r>
              <w:rPr>
                <w:sz w:val="17"/>
                <w:szCs w:val="17"/>
              </w:rPr>
              <w:t xml:space="preserve">1.2 Committing robustly: chance constraints and guarantees</w:t>
            </w:r>
          </w:p>
        </w:tc>
        <w:tc>
          <w:tcPr>
            <w:tcW w:type="dxa" w:w="3800"/>
            <w:shd w:fill="F7F9FC" w:color="auto" w:val="clear"/>
            <w:tcMar>
              <w:top w:type="dxa" w:w="60"/>
              <w:left w:type="dxa" w:w="100"/>
              <w:bottom w:type="dxa" w:w="60"/>
              <w:right w:type="dxa" w:w="100"/>
            </w:tcMar>
            <w:vAlign w:val="top"/>
          </w:tcPr>
          <w:p>
            <w:r>
              <w:rPr>
                <w:sz w:val="17"/>
                <w:szCs w:val="17"/>
              </w:rPr>
              <w:t xml:space="preserve">[O1], [M3], [M4], [E4], [E5]</w:t>
            </w:r>
          </w:p>
        </w:tc>
        <w:tc>
          <w:tcPr>
            <w:tcW w:type="dxa" w:w="2038"/>
            <w:shd w:fill="F7F9FC" w:color="auto" w:val="clear"/>
            <w:tcMar>
              <w:top w:type="dxa" w:w="60"/>
              <w:left w:type="dxa" w:w="100"/>
              <w:bottom w:type="dxa" w:w="60"/>
              <w:right w:type="dxa" w:w="100"/>
            </w:tcMar>
            <w:vAlign w:val="top"/>
          </w:tcPr>
          <w:p>
            <w:r>
              <w:rPr>
                <w:sz w:val="17"/>
                <w:szCs w:val="17"/>
              </w:rPr>
              <w:t xml:space="preserve">—</w:t>
            </w:r>
          </w:p>
        </w:tc>
      </w:tr>
      <w:tr>
        <w:trPr>
          <w:cantSplit/>
        </w:trPr>
        <w:tc>
          <w:tcPr>
            <w:tcW w:type="dxa" w:w="3800"/>
            <w:tcMar>
              <w:top w:type="dxa" w:w="60"/>
              <w:left w:type="dxa" w:w="100"/>
              <w:bottom w:type="dxa" w:w="60"/>
              <w:right w:type="dxa" w:w="100"/>
            </w:tcMar>
            <w:vAlign w:val="top"/>
          </w:tcPr>
          <w:p>
            <w:r>
              <w:rPr>
                <w:sz w:val="17"/>
                <w:szCs w:val="17"/>
              </w:rPr>
              <w:t xml:space="preserve">1.3 When to stop and decide</w:t>
            </w:r>
          </w:p>
        </w:tc>
        <w:tc>
          <w:tcPr>
            <w:tcW w:type="dxa" w:w="3800"/>
            <w:tcMar>
              <w:top w:type="dxa" w:w="60"/>
              <w:left w:type="dxa" w:w="100"/>
              <w:bottom w:type="dxa" w:w="60"/>
              <w:right w:type="dxa" w:w="100"/>
            </w:tcMar>
            <w:vAlign w:val="top"/>
          </w:tcPr>
          <w:p>
            <w:r>
              <w:rPr>
                <w:sz w:val="17"/>
                <w:szCs w:val="17"/>
              </w:rPr>
              <w:t xml:space="preserve">[C5], [M5], [E3]</w:t>
            </w:r>
          </w:p>
        </w:tc>
        <w:tc>
          <w:tcPr>
            <w:tcW w:type="dxa" w:w="2038"/>
            <w:tcMar>
              <w:top w:type="dxa" w:w="60"/>
              <w:left w:type="dxa" w:w="100"/>
              <w:bottom w:type="dxa" w:w="60"/>
              <w:right w:type="dxa" w:w="100"/>
            </w:tcMar>
            <w:vAlign w:val="top"/>
          </w:tcPr>
          <w:p>
            <w:r>
              <w:rPr>
                <w:sz w:val="17"/>
                <w:szCs w:val="17"/>
              </w:rPr>
              <w:t xml:space="preserve">—</w:t>
            </w:r>
          </w:p>
        </w:tc>
      </w:tr>
      <w:tr>
        <w:trPr>
          <w:cantSplit/>
        </w:trPr>
        <w:tc>
          <w:tcPr>
            <w:tcW w:type="dxa" w:w="3800"/>
            <w:shd w:fill="F7F9FC" w:color="auto" w:val="clear"/>
            <w:tcMar>
              <w:top w:type="dxa" w:w="60"/>
              <w:left w:type="dxa" w:w="100"/>
              <w:bottom w:type="dxa" w:w="60"/>
              <w:right w:type="dxa" w:w="100"/>
            </w:tcMar>
            <w:vAlign w:val="top"/>
          </w:tcPr>
          <w:p>
            <w:r>
              <w:rPr>
                <w:sz w:val="17"/>
                <w:szCs w:val="17"/>
              </w:rPr>
              <w:t xml:space="preserve">1.4 Many stakeholders, one decision</w:t>
            </w:r>
          </w:p>
        </w:tc>
        <w:tc>
          <w:tcPr>
            <w:tcW w:type="dxa" w:w="3800"/>
            <w:shd w:fill="F7F9FC" w:color="auto" w:val="clear"/>
            <w:tcMar>
              <w:top w:type="dxa" w:w="60"/>
              <w:left w:type="dxa" w:w="100"/>
              <w:bottom w:type="dxa" w:w="60"/>
              <w:right w:type="dxa" w:w="100"/>
            </w:tcMar>
            <w:vAlign w:val="top"/>
          </w:tcPr>
          <w:p>
            <w:r>
              <w:rPr>
                <w:sz w:val="17"/>
                <w:szCs w:val="17"/>
              </w:rPr>
              <w:t xml:space="preserve">[O2], [O3], [O4], [C3], [C4], [M1], [M2], [E1], [E2]</w:t>
            </w:r>
          </w:p>
        </w:tc>
        <w:tc>
          <w:tcPr>
            <w:tcW w:type="dxa" w:w="2038"/>
            <w:shd w:fill="F7F9FC" w:color="auto" w:val="clear"/>
            <w:tcMar>
              <w:top w:type="dxa" w:w="60"/>
              <w:left w:type="dxa" w:w="100"/>
              <w:bottom w:type="dxa" w:w="60"/>
              <w:right w:type="dxa" w:w="100"/>
            </w:tcMar>
            <w:vAlign w:val="top"/>
          </w:tcPr>
          <w:p>
            <w:r>
              <w:rPr>
                <w:sz w:val="17"/>
                <w:szCs w:val="17"/>
              </w:rPr>
              <w:t xml:space="preserve">[OR1], [OR2], [MR1], [MR2], [ER2]</w:t>
            </w:r>
          </w:p>
        </w:tc>
      </w:tr>
    </w:tbl>
    <w:p>
      <w:pPr>
        <w:spacing w:after="160"/>
      </w:pPr>
    </w:p>
    <w:p>
      <w:pPr>
        <w:pStyle w:val="Heading3"/>
      </w:pPr>
      <w:r>
        <w:rPr>
          <w:color w:val="1F3864"/>
        </w:rPr>
        <w:t xml:space="preserve">8.2 Three sources of decisiveness</w:t>
      </w:r>
    </w:p>
    <w:p>
      <w:pPr>
        <w:spacing w:after="120"/>
        <w:jc w:val="both"/>
      </w:pPr>
      <w:r>
        <w:t xml:space="preserve">Read together, the papers show three ways in which a hard decision becomes a committed one. The first is a </w:t>
      </w:r>
      <w:r>
        <w:rPr>
          <w:i/>
          <w:iCs/>
        </w:rPr>
        <w:t xml:space="preserve">conservative criterion that is complete where it must be</w:t>
      </w:r>
      <w:r>
        <w:t xml:space="preserve">: a worst case over a set of beliefs ranks every pair of actions, at the price of caution, while the twofold multiprior relation shows how incomplete the ranking becomes when the evidence does not separate the actions [C1]; distributionally robust optimisation over a relative-entropy ball is the least conservative criterion that still guarantees the committed decision out of sample [M3], and chance-constrained designs carry probability guarantees on the decision actually taken [E4, O1, OR1]. The second is </w:t>
      </w:r>
      <w:r>
        <w:rPr>
          <w:i/>
          <w:iCs/>
        </w:rPr>
        <w:t xml:space="preserve">a rule agreed before the outcome</w:t>
      </w:r>
      <w:r>
        <w:t xml:space="preserve">: voting rules [C3], agendas [O2], deliberation protocols [O3], committees [E1, E2], pseudo-markets [C4] and information design [M1] map disagreeing parties to one action. The third is </w:t>
      </w:r>
      <w:r>
        <w:rPr>
          <w:i/>
          <w:iCs/>
        </w:rPr>
        <w:t xml:space="preserve">stopping with valid evidence</w:t>
      </w:r>
      <w:r>
        <w:t xml:space="preserve">: confidence sequences that survive any stopping rule [E3], a budget on switching that makes commitment explicit [M5] and irrevocable decisions that hedge an untrusted forecast [C5].</w:t>
      </w:r>
    </w:p>
    <w:p>
      <w:pPr>
        <w:pStyle w:val="Heading3"/>
      </w:pPr>
      <w:r>
        <w:rPr>
          <w:color w:val="1F3864"/>
        </w:rPr>
        <w:t xml:space="preserve">8.3 What stands in the way</w:t>
      </w:r>
    </w:p>
    <w:p>
      <w:pPr>
        <w:spacing w:after="120"/>
        <w:jc w:val="both"/>
      </w:pPr>
      <w:r>
        <w:t xml:space="preserve">The papers also show where decisiveness breaks. Exact Bayesian reasoning in a group is computationally hard [M2], naive averaging loses information [MR2], learning from others is biased by who reports [MR1], and receivers who neglect correlation can be led to any belief [OR2]. Maxmin preferences cannot be refuted by finite experiments [CR1], and caution over small stakes conflicts with first-order dominance once background risk is present [C2, CR2]. Most guarantees are for one decision maker with one distribution or one ambiguity set [M3, M4, E4, E5, O5]; the group papers mostly assume a common prior or fixed preferences [M1, C3, O2, O3, E1]. None of them gives, for parties who disagree about probabilities, a rule that is decisive, safe under every party's own belief and clear about which information ends the dispute.</w:t>
      </w:r>
    </w:p>
    <w:p>
      <w:pPr>
        <w:pStyle w:val="Heading3"/>
      </w:pPr>
      <w:r>
        <w:rPr>
          <w:color w:val="1F3864"/>
        </w:rPr>
        <w:t xml:space="preserve">8.4 What this means for the Fushë-Kuqe stakeholders</w:t>
      </w:r>
    </w:p>
    <w:p>
      <w:pPr>
        <w:spacing w:after="120"/>
        <w:jc w:val="both"/>
      </w:pPr>
      <w:r>
        <w:t xml:space="preserve">For the utility, irrigators, hotels, municipality, regional water agency and environmental groups the lesson is to agree on the rule before the data, to make the safety constraint hold under every party's own belief rather than under an average one, and to buy the information that resolves the event that matters, not only the parameter in dispute. Section 9 turns this into a procedure, proves why it is decisive and tests it on the calibrated chloride ensemble.</w:t>
      </w:r>
    </w:p>
    <w:p>
      <w:pPr>
        <w:pStyle w:val="Heading3"/>
      </w:pPr>
      <w:r>
        <w:rPr>
          <w:color w:val="1F3864"/>
        </w:rPr>
        <w:t xml:space="preserve">8.5 Map of opportunities</w:t>
      </w:r>
    </w:p>
    <w:p>
      <w:pPr>
        <w:spacing w:after="120"/>
        <w:jc w:val="both"/>
      </w:pPr>
      <w:r>
        <w:t xml:space="preserve">Each row joins the open problems of several cards into one research question that, to the extent of the searches of 26 October 2026, no published work has answered for a shared aquifer or another physical system. Row 1 is begun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00"/>
        <w:gridCol w:w="2500"/>
        <w:gridCol w:w="1800"/>
        <w:gridCol w:w="4838"/>
      </w:tblGrid>
      <w:tr>
        <w:trPr>
          <w:cantSplit/>
          <w:tblHeader/>
        </w:trPr>
        <w:tc>
          <w:tcPr>
            <w:tcW w:type="dxa" w:w="500"/>
            <w:shd w:fill="1F3864" w:color="auto" w:val="clear"/>
            <w:tcMar>
              <w:top w:type="dxa" w:w="60"/>
              <w:left w:type="dxa" w:w="100"/>
              <w:bottom w:type="dxa" w:w="60"/>
              <w:right w:type="dxa" w:w="100"/>
            </w:tcMar>
            <w:vAlign w:val="top"/>
          </w:tcPr>
          <w:p>
            <w:r>
              <w:rPr>
                <w:b/>
                <w:bCs/>
                <w:color w:val="FFFFFF"/>
                <w:sz w:val="16"/>
                <w:szCs w:val="16"/>
              </w:rPr>
              <w:t xml:space="preser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Opportunity</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Built on</w:t>
            </w:r>
          </w:p>
        </w:tc>
        <w:tc>
          <w:tcPr>
            <w:tcW w:type="dxa" w:w="4838"/>
            <w:shd w:fill="1F3864" w:color="auto" w:val="clear"/>
            <w:tcMar>
              <w:top w:type="dxa" w:w="60"/>
              <w:left w:type="dxa" w:w="100"/>
              <w:bottom w:type="dxa" w:w="60"/>
              <w:right w:type="dxa" w:w="100"/>
            </w:tcMar>
            <w:vAlign w:val="top"/>
          </w:tcPr>
          <w:p>
            <w:r>
              <w:rPr>
                <w:b/>
                <w:bCs/>
                <w:color w:val="FFFFFF"/>
                <w:sz w:val="16"/>
                <w:szCs w:val="16"/>
              </w:rPr>
              <w:t xml:space="preserve">What is open and what a first result would prove</w:t>
            </w:r>
          </w:p>
        </w:tc>
      </w:tr>
      <w:tr>
        <w:trPr>
          <w:cantSplit/>
        </w:trPr>
        <w:tc>
          <w:tcPr>
            <w:tcW w:type="dxa" w:w="500"/>
            <w:tcMar>
              <w:top w:type="dxa" w:w="60"/>
              <w:left w:type="dxa" w:w="100"/>
              <w:bottom w:type="dxa" w:w="60"/>
              <w:right w:type="dxa" w:w="100"/>
            </w:tcMar>
            <w:vAlign w:val="top"/>
          </w:tcPr>
          <w:p>
            <w:r>
              <w:rPr>
                <w:sz w:val="16"/>
                <w:szCs w:val="16"/>
              </w:rPr>
              <w:t xml:space="preserve">1</w:t>
            </w:r>
          </w:p>
        </w:tc>
        <w:tc>
          <w:tcPr>
            <w:tcW w:type="dxa" w:w="2500"/>
            <w:tcMar>
              <w:top w:type="dxa" w:w="60"/>
              <w:left w:type="dxa" w:w="100"/>
              <w:bottom w:type="dxa" w:w="60"/>
              <w:right w:type="dxa" w:w="100"/>
            </w:tcMar>
            <w:vAlign w:val="top"/>
          </w:tcPr>
          <w:p>
            <w:r>
              <w:rPr>
                <w:sz w:val="16"/>
                <w:szCs w:val="16"/>
              </w:rPr>
              <w:t xml:space="preserve">A unanimous certified rule over disputed beliefs</w:t>
            </w:r>
          </w:p>
        </w:tc>
        <w:tc>
          <w:tcPr>
            <w:tcW w:type="dxa" w:w="1800"/>
            <w:tcMar>
              <w:top w:type="dxa" w:w="60"/>
              <w:left w:type="dxa" w:w="100"/>
              <w:bottom w:type="dxa" w:w="60"/>
              <w:right w:type="dxa" w:w="100"/>
            </w:tcMar>
            <w:vAlign w:val="top"/>
          </w:tcPr>
          <w:p>
            <w:r>
              <w:rPr>
                <w:sz w:val="16"/>
                <w:szCs w:val="16"/>
              </w:rPr>
              <w:t xml:space="preserve">[M3], [E4], [O1], [C1], [B1]</w:t>
            </w:r>
          </w:p>
        </w:tc>
        <w:tc>
          <w:tcPr>
            <w:tcW w:type="dxa" w:w="4838"/>
            <w:tcMar>
              <w:top w:type="dxa" w:w="60"/>
              <w:left w:type="dxa" w:w="100"/>
              <w:bottom w:type="dxa" w:w="60"/>
              <w:right w:type="dxa" w:w="100"/>
            </w:tcMar>
            <w:vAlign w:val="top"/>
          </w:tcPr>
          <w:p>
            <w:r>
              <w:rPr>
                <w:sz w:val="16"/>
                <w:szCs w:val="16"/>
              </w:rPr>
              <w:t xml:space="preserve">One committed pumping and recharge choice that every stakeholder accepts by its own belief, and a bound on which data end the dispute. Begun in section 9.</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2</w:t>
            </w:r>
          </w:p>
        </w:tc>
        <w:tc>
          <w:tcPr>
            <w:tcW w:type="dxa" w:w="2500"/>
            <w:shd w:fill="F7F9FC" w:color="auto" w:val="clear"/>
            <w:tcMar>
              <w:top w:type="dxa" w:w="60"/>
              <w:left w:type="dxa" w:w="100"/>
              <w:bottom w:type="dxa" w:w="60"/>
              <w:right w:type="dxa" w:w="100"/>
            </w:tcMar>
            <w:vAlign w:val="top"/>
          </w:tcPr>
          <w:p>
            <w:r>
              <w:rPr>
                <w:sz w:val="16"/>
                <w:szCs w:val="16"/>
              </w:rPr>
              <w:t xml:space="preserve">Truthful statements of belief</w:t>
            </w:r>
          </w:p>
        </w:tc>
        <w:tc>
          <w:tcPr>
            <w:tcW w:type="dxa" w:w="1800"/>
            <w:shd w:fill="F7F9FC" w:color="auto" w:val="clear"/>
            <w:tcMar>
              <w:top w:type="dxa" w:w="60"/>
              <w:left w:type="dxa" w:w="100"/>
              <w:bottom w:type="dxa" w:w="60"/>
              <w:right w:type="dxa" w:w="100"/>
            </w:tcMar>
            <w:vAlign w:val="top"/>
          </w:tcPr>
          <w:p>
            <w:r>
              <w:rPr>
                <w:sz w:val="16"/>
                <w:szCs w:val="16"/>
              </w:rPr>
              <w:t xml:space="preserve">[M1], [O4], [OR2], [C3]</w:t>
            </w:r>
          </w:p>
        </w:tc>
        <w:tc>
          <w:tcPr>
            <w:tcW w:type="dxa" w:w="4838"/>
            <w:shd w:fill="F7F9FC" w:color="auto" w:val="clear"/>
            <w:tcMar>
              <w:top w:type="dxa" w:w="60"/>
              <w:left w:type="dxa" w:w="100"/>
              <w:bottom w:type="dxa" w:w="60"/>
              <w:right w:type="dxa" w:w="100"/>
            </w:tcMar>
            <w:vAlign w:val="top"/>
          </w:tcPr>
          <w:p>
            <w:r>
              <w:rPr>
                <w:sz w:val="16"/>
                <w:szCs w:val="16"/>
              </w:rPr>
              <w:t xml:space="preserve">A stakeholder who exaggerates its pessimism gains a veto; a mechanism (payments, scoring rules, information design) that makes stating one's true tilt optimal.</w:t>
            </w:r>
          </w:p>
        </w:tc>
      </w:tr>
      <w:tr>
        <w:trPr>
          <w:cantSplit/>
        </w:trPr>
        <w:tc>
          <w:tcPr>
            <w:tcW w:type="dxa" w:w="500"/>
            <w:tcMar>
              <w:top w:type="dxa" w:w="60"/>
              <w:left w:type="dxa" w:w="100"/>
              <w:bottom w:type="dxa" w:w="60"/>
              <w:right w:type="dxa" w:w="100"/>
            </w:tcMar>
            <w:vAlign w:val="top"/>
          </w:tcPr>
          <w:p>
            <w:r>
              <w:rPr>
                <w:sz w:val="16"/>
                <w:szCs w:val="16"/>
              </w:rPr>
              <w:t xml:space="preserve">3</w:t>
            </w:r>
          </w:p>
        </w:tc>
        <w:tc>
          <w:tcPr>
            <w:tcW w:type="dxa" w:w="2500"/>
            <w:tcMar>
              <w:top w:type="dxa" w:w="60"/>
              <w:left w:type="dxa" w:w="100"/>
              <w:bottom w:type="dxa" w:w="60"/>
              <w:right w:type="dxa" w:w="100"/>
            </w:tcMar>
            <w:vAlign w:val="top"/>
          </w:tcPr>
          <w:p>
            <w:r>
              <w:rPr>
                <w:sz w:val="16"/>
                <w:szCs w:val="16"/>
              </w:rPr>
              <w:t xml:space="preserve">Stopping the sampling when the dispute is settled</w:t>
            </w:r>
          </w:p>
        </w:tc>
        <w:tc>
          <w:tcPr>
            <w:tcW w:type="dxa" w:w="1800"/>
            <w:tcMar>
              <w:top w:type="dxa" w:w="60"/>
              <w:left w:type="dxa" w:w="100"/>
              <w:bottom w:type="dxa" w:w="60"/>
              <w:right w:type="dxa" w:w="100"/>
            </w:tcMar>
            <w:vAlign w:val="top"/>
          </w:tcPr>
          <w:p>
            <w:r>
              <w:rPr>
                <w:sz w:val="16"/>
                <w:szCs w:val="16"/>
              </w:rPr>
              <w:t xml:space="preserve">[E3], [M5], [C5]</w:t>
            </w:r>
          </w:p>
        </w:tc>
        <w:tc>
          <w:tcPr>
            <w:tcW w:type="dxa" w:w="4838"/>
            <w:tcMar>
              <w:top w:type="dxa" w:w="60"/>
              <w:left w:type="dxa" w:w="100"/>
              <w:bottom w:type="dxa" w:w="60"/>
              <w:right w:type="dxa" w:w="100"/>
            </w:tcMar>
            <w:vAlign w:val="top"/>
          </w:tcPr>
          <w:p>
            <w:r>
              <w:rPr>
                <w:sz w:val="16"/>
                <w:szCs w:val="16"/>
              </w:rPr>
              <w:t xml:space="preserve">Sequential chloride sampling with anytime-valid confidence sequences on each stakeholder's risk, stopped when the stakeholders agree on the decision, with a bound on the expected number of samples.</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4</w:t>
            </w:r>
          </w:p>
        </w:tc>
        <w:tc>
          <w:tcPr>
            <w:tcW w:type="dxa" w:w="2500"/>
            <w:shd w:fill="F7F9FC" w:color="auto" w:val="clear"/>
            <w:tcMar>
              <w:top w:type="dxa" w:w="60"/>
              <w:left w:type="dxa" w:w="100"/>
              <w:bottom w:type="dxa" w:w="60"/>
              <w:right w:type="dxa" w:w="100"/>
            </w:tcMar>
            <w:vAlign w:val="top"/>
          </w:tcPr>
          <w:p>
            <w:r>
              <w:rPr>
                <w:sz w:val="16"/>
                <w:szCs w:val="16"/>
              </w:rPr>
              <w:t xml:space="preserve">Propagating disputed beliefs through the groundwater model</w:t>
            </w:r>
          </w:p>
        </w:tc>
        <w:tc>
          <w:tcPr>
            <w:tcW w:type="dxa" w:w="1800"/>
            <w:shd w:fill="F7F9FC" w:color="auto" w:val="clear"/>
            <w:tcMar>
              <w:top w:type="dxa" w:w="60"/>
              <w:left w:type="dxa" w:w="100"/>
              <w:bottom w:type="dxa" w:w="60"/>
              <w:right w:type="dxa" w:w="100"/>
            </w:tcMar>
            <w:vAlign w:val="top"/>
          </w:tcPr>
          <w:p>
            <w:r>
              <w:rPr>
                <w:sz w:val="16"/>
                <w:szCs w:val="16"/>
              </w:rPr>
              <w:t xml:space="preserve">[E5], [O5], [M4]</w:t>
            </w:r>
          </w:p>
        </w:tc>
        <w:tc>
          <w:tcPr>
            <w:tcW w:type="dxa" w:w="4838"/>
            <w:shd w:fill="F7F9FC" w:color="auto" w:val="clear"/>
            <w:tcMar>
              <w:top w:type="dxa" w:w="60"/>
              <w:left w:type="dxa" w:w="100"/>
              <w:bottom w:type="dxa" w:w="60"/>
              <w:right w:type="dxa" w:w="100"/>
            </w:tcMar>
            <w:vAlign w:val="top"/>
          </w:tcPr>
          <w:p>
            <w:r>
              <w:rPr>
                <w:sz w:val="16"/>
                <w:szCs w:val="16"/>
              </w:rPr>
              <w:t xml:space="preserve">Optimal-transport ambiguity sets pushed through the Strack chloride model: the pumping cap as an explicit function of the radius of disagreement and the recharge.</w:t>
            </w:r>
          </w:p>
        </w:tc>
      </w:tr>
      <w:tr>
        <w:trPr>
          <w:cantSplit/>
        </w:trPr>
        <w:tc>
          <w:tcPr>
            <w:tcW w:type="dxa" w:w="500"/>
            <w:tcMar>
              <w:top w:type="dxa" w:w="60"/>
              <w:left w:type="dxa" w:w="100"/>
              <w:bottom w:type="dxa" w:w="60"/>
              <w:right w:type="dxa" w:w="100"/>
            </w:tcMar>
            <w:vAlign w:val="top"/>
          </w:tcPr>
          <w:p>
            <w:r>
              <w:rPr>
                <w:sz w:val="16"/>
                <w:szCs w:val="16"/>
              </w:rPr>
              <w:t xml:space="preserve">5</w:t>
            </w:r>
          </w:p>
        </w:tc>
        <w:tc>
          <w:tcPr>
            <w:tcW w:type="dxa" w:w="2500"/>
            <w:tcMar>
              <w:top w:type="dxa" w:w="60"/>
              <w:left w:type="dxa" w:w="100"/>
              <w:bottom w:type="dxa" w:w="60"/>
              <w:right w:type="dxa" w:w="100"/>
            </w:tcMar>
            <w:vAlign w:val="top"/>
          </w:tcPr>
          <w:p>
            <w:r>
              <w:rPr>
                <w:sz w:val="16"/>
                <w:szCs w:val="16"/>
              </w:rPr>
              <w:t xml:space="preserve">Committees and votes on a pumping cap</w:t>
            </w:r>
          </w:p>
        </w:tc>
        <w:tc>
          <w:tcPr>
            <w:tcW w:type="dxa" w:w="1800"/>
            <w:tcMar>
              <w:top w:type="dxa" w:w="60"/>
              <w:left w:type="dxa" w:w="100"/>
              <w:bottom w:type="dxa" w:w="60"/>
              <w:right w:type="dxa" w:w="100"/>
            </w:tcMar>
            <w:vAlign w:val="top"/>
          </w:tcPr>
          <w:p>
            <w:r>
              <w:rPr>
                <w:sz w:val="16"/>
                <w:szCs w:val="16"/>
              </w:rPr>
              <w:t xml:space="preserve">[E1], [E2], [C3], [O2], [O3]</w:t>
            </w:r>
          </w:p>
        </w:tc>
        <w:tc>
          <w:tcPr>
            <w:tcW w:type="dxa" w:w="4838"/>
            <w:tcMar>
              <w:top w:type="dxa" w:w="60"/>
              <w:left w:type="dxa" w:w="100"/>
              <w:bottom w:type="dxa" w:w="60"/>
              <w:right w:type="dxa" w:w="100"/>
            </w:tcMar>
            <w:vAlign w:val="top"/>
          </w:tcPr>
          <w:p>
            <w:r>
              <w:rPr>
                <w:sz w:val="16"/>
                <w:szCs w:val="16"/>
              </w:rPr>
              <w:t xml:space="preserve">Which equitable voting rule or deliberation protocol over pumping caps recovers the unanimous robust action; the size of a paid monitoring committee.</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6</w:t>
            </w:r>
          </w:p>
        </w:tc>
        <w:tc>
          <w:tcPr>
            <w:tcW w:type="dxa" w:w="2500"/>
            <w:shd w:fill="F7F9FC" w:color="auto" w:val="clear"/>
            <w:tcMar>
              <w:top w:type="dxa" w:w="60"/>
              <w:left w:type="dxa" w:w="100"/>
              <w:bottom w:type="dxa" w:w="60"/>
              <w:right w:type="dxa" w:w="100"/>
            </w:tcMar>
            <w:vAlign w:val="top"/>
          </w:tcPr>
          <w:p>
            <w:r>
              <w:rPr>
                <w:sz w:val="16"/>
                <w:szCs w:val="16"/>
              </w:rPr>
              <w:t xml:space="preserve">Fair shares of the safe yield</w:t>
            </w:r>
          </w:p>
        </w:tc>
        <w:tc>
          <w:tcPr>
            <w:tcW w:type="dxa" w:w="1800"/>
            <w:shd w:fill="F7F9FC" w:color="auto" w:val="clear"/>
            <w:tcMar>
              <w:top w:type="dxa" w:w="60"/>
              <w:left w:type="dxa" w:w="100"/>
              <w:bottom w:type="dxa" w:w="60"/>
              <w:right w:type="dxa" w:w="100"/>
            </w:tcMar>
            <w:vAlign w:val="top"/>
          </w:tcPr>
          <w:p>
            <w:r>
              <w:rPr>
                <w:sz w:val="16"/>
                <w:szCs w:val="16"/>
              </w:rPr>
              <w:t xml:space="preserve">[C4], [O1], [OR1]</w:t>
            </w:r>
          </w:p>
        </w:tc>
        <w:tc>
          <w:tcPr>
            <w:tcW w:type="dxa" w:w="4838"/>
            <w:shd w:fill="F7F9FC" w:color="auto" w:val="clear"/>
            <w:tcMar>
              <w:top w:type="dxa" w:w="60"/>
              <w:left w:type="dxa" w:w="100"/>
              <w:bottom w:type="dxa" w:w="60"/>
              <w:right w:type="dxa" w:w="100"/>
            </w:tcMar>
            <w:vAlign w:val="top"/>
          </w:tcPr>
          <w:p>
            <w:r>
              <w:rPr>
                <w:sz w:val="16"/>
                <w:szCs w:val="16"/>
              </w:rPr>
              <w:t xml:space="preserve">The agreed pumping shared among utility, irrigators and hotels by a pseudo-market constrained by the chance constraint on chloride; existence, efficiency and fairness.</w:t>
            </w:r>
          </w:p>
        </w:tc>
      </w:tr>
    </w:tbl>
    <w:p>
      <w:pPr>
        <w:pStyle w:val="Heading1"/>
        <w:pageBreakBefore/>
      </w:pPr>
      <w:r>
        <w:rPr>
          <w:color w:val="92400E"/>
        </w:rPr>
        <w:t xml:space="preserve">9. The proposed innovation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rPr>
          <w:b/>
          <w:bCs/>
        </w:rPr>
        <w:t xml:space="preserve">VENDIMI-GO</w:t>
      </w:r>
      <w:r>
        <w:t xml:space="preserve"> (</w:t>
      </w:r>
      <w:r>
        <w:rPr>
          <w:i/>
          <w:iCs/>
        </w:rPr>
        <w:t xml:space="preserve">vendimi</w:t>
      </w:r>
      <w:r>
        <w:t xml:space="preserve">: the decision) turns a dispute among the Fushë-Kuqe stakeholders into one committed choice of pumping and recharge, and says which information ends the dispute. (1) Each stakeholder's belief is a </w:t>
      </w:r>
      <w:r>
        <w:rPr>
          <w:b/>
          <w:bCs/>
        </w:rPr>
        <w:t xml:space="preserve">tilt of the calibrated chloride ensemble</w:t>
      </w:r>
      <w:r>
        <w:t xml:space="preserve"> along the two drivers in dispute, the mixing-zone width and the recharge: two numbers per stakeholder, closest to the calibration in relative entropy. (2) The group agrees in advance on a </w:t>
      </w:r>
      <w:r>
        <w:rPr>
          <w:b/>
          <w:bCs/>
        </w:rPr>
        <w:t xml:space="preserve">unanimous certified rule</w:t>
      </w:r>
      <w:r>
        <w:t xml:space="preserve">: an action is allowed only if every stakeholder's own posterior risk that a supply screen exceeds 250 mg/L is at most 10%; because failure is monotone in pumping and recharge, the allowed set is an interval with one best point, set by one pivotal stakeholder, and recharge can only end a deadlock (Proposition V2). (3) A </w:t>
      </w:r>
      <w:r>
        <w:rPr>
          <w:b/>
          <w:bCs/>
        </w:rPr>
        <w:t xml:space="preserve">disagreement bound</w:t>
      </w:r>
      <w:r>
        <w:t xml:space="preserve"> shows that data end a dispute when they resolve the event, not only the disputed parameter (V1). (4) </w:t>
      </w:r>
      <w:r>
        <w:rPr>
          <w:b/>
          <w:bCs/>
        </w:rPr>
        <w:t xml:space="preserve">Buying information is safe for everyone</w:t>
      </w:r>
      <w:r>
        <w:t xml:space="preserve"> under the rule (V3). On 2,000 simulated truths, with no data the rule chooses recharge of 15,000 m³/d and pumping of 9,648 m³/d; one chloride sample cuts the disagreement from 0.224 to 0.038, raises net water from 2,148 to 5,125 m³/d and keeps every stakeholder's own risk at or below 0.056, while the average-belief rule would expose the environmental groups to 0.146.</w:t>
      </w:r>
    </w:p>
    <w:p>
      <w:pPr>
        <w:pStyle w:val="Heading3"/>
      </w:pPr>
      <w:r>
        <w:rPr>
          <w:color w:val="1F3864"/>
        </w:rPr>
        <w:t xml:space="preserve">9.1 Five stakeholders, one aquifer, one decision</w:t>
      </w:r>
    </w:p>
    <w:p>
      <w:pPr>
        <w:spacing w:after="120"/>
        <w:jc w:val="both"/>
      </w:pPr>
      <w:r>
        <w:t xml:space="preserve">The test uses the calibrated chloride ensemble of PUSI-GO (the complete-system note of this series): a Strack potential with a dispersive mixing zone and the geolocated sea boundary, 20,000 weighted draws of the Fushë-Kuqe aquifer. Half of the draws are the stakeholders' common sample of aquifers; from the other half, 2,000 "truths" are drawn. Failure </w:t>
      </w:r>
      <m:oMath>
        <m:r>
          <m:t>F</m:t>
        </m:r>
      </m:oMath>
      <w:r>
        <w:t xml:space="preserve"> means chloride above 250 mg/L at the 20-m screen of supply well A1 or P10. An action is </w:t>
      </w:r>
      <m:oMath>
        <m:r>
          <m:t>a</m:t>
        </m:r>
        <m:r>
          <m:rPr>
            <m:sty m:val="p"/>
          </m:rPr>
          <m:t>=</m:t>
        </m:r>
        <m:d>
          <m:dPr>
            <m:begChr m:val="("/>
            <m:sepChr m:val=""/>
            <m:endChr m:val=")"/>
            <m:grow/>
          </m:dPr>
          <m:e>
            <m:r>
              <m:t>s</m:t>
            </m:r>
            <m:r>
              <m:rPr>
                <m:sty m:val="p"/>
              </m:rPr>
              <m:t>,</m:t>
            </m:r>
            <m:r>
              <m:t>q</m:t>
            </m:r>
          </m:e>
        </m:d>
      </m:oMath>
      <w:r>
        <w:t xml:space="preserve">: the pumping scale </w:t>
      </w:r>
      <m:oMath>
        <m:r>
          <m:t>s</m:t>
        </m:r>
      </m:oMath>
      <w:r>
        <w:t xml:space="preserve"> (</w:t>
      </w:r>
      <m:oMath>
        <m:r>
          <m:t>s</m:t>
        </m:r>
        <m:r>
          <m:rPr>
            <m:sty m:val="p"/>
          </m:rPr>
          <m:t>=</m:t>
        </m:r>
        <m:r>
          <m:t>1</m:t>
        </m:r>
      </m:oMath>
      <w:r>
        <w:t xml:space="preserve"> is the planned 12,060 m³/d, 366 at A1 and 11,694 at P10) and the recharge </w:t>
      </w:r>
      <m:oMath>
        <m:r>
          <m:t>q</m:t>
        </m:r>
      </m:oMath>
      <w:r>
        <w:t xml:space="preserve"> per site at the three PUSI-GO recharge sites (0, 2,500, 5,000 or 10,000 m³/d). Before acting the group may buy information: one shallow chloride sample at A30, between the supply wells and the sea; the three heads of the PRAG-GO design (A3, A10, A23); or both.</w:t>
      </w:r>
    </w:p>
    <w:p>
      <w:pPr>
        <w:spacing w:after="120"/>
        <w:jc w:val="both"/>
      </w:pPr>
      <w:r>
        <w:t xml:space="preserve">The deep uncertainty is a dispute about two drivers, </w:t>
      </w:r>
      <m:oMath>
        <m:r>
          <m:t>z</m:t>
        </m:r>
        <m:r>
          <m:rPr>
            <m:sty m:val="p"/>
          </m:rPr>
          <m:t>=</m:t>
        </m:r>
        <m:d>
          <m:dPr>
            <m:begChr m:val="("/>
            <m:sepChr m:val=""/>
            <m:endChr m:val=")"/>
            <m:grow/>
          </m:dPr>
          <m:e>
            <m:sSub>
              <m:e>
                <m:r>
                  <m:t>z</m:t>
                </m:r>
              </m:e>
              <m:sub>
                <m:r>
                  <m:t>w</m:t>
                </m:r>
              </m:sub>
            </m:sSub>
            <m:r>
              <m:rPr>
                <m:sty m:val="p"/>
              </m:rPr>
              <m:t>,</m:t>
            </m:r>
            <m:sSub>
              <m:e>
                <m:r>
                  <m:t>z</m:t>
                </m:r>
              </m:e>
              <m:sub>
                <m:r>
                  <m:t>R</m:t>
                </m:r>
              </m:sub>
            </m:sSub>
          </m:e>
        </m:d>
      </m:oMath>
      <w:r>
        <w:t xml:space="preserve">: the standardised logarithms of the mixing-zone width </w:t>
      </w:r>
      <m:oMath>
        <m:r>
          <m:t>w</m:t>
        </m:r>
      </m:oMath>
      <w:r>
        <w:t xml:space="preserve"> (a wider zone puts salt nearer the screen) and of the recharge </w:t>
      </w:r>
      <m:oMath>
        <m:r>
          <m:t>R</m:t>
        </m:r>
      </m:oMath>
      <w:r>
        <w:t xml:space="preserve">. Stakeholder </w:t>
      </w:r>
      <m:oMath>
        <m:r>
          <m:t>k</m:t>
        </m:r>
      </m:oMath>
      <w:r>
        <w:t xml:space="preserve"> holds an exponential tilt of the calibrated posterior </w:t>
      </w:r>
      <m:oMath>
        <m:r>
          <m:t>p</m:t>
        </m:r>
      </m:oMath>
      <w:r>
        <w:t xml:space="preserve">:</w:t>
      </w:r>
    </w:p>
    <w:p>
      <w:pPr>
        <w:pStyle w:val="Equation"/>
      </w:pPr>
      <m:oMathPara>
        <m:oMathParaPr>
          <m:jc m:val="center"/>
        </m:oMathParaPr>
        <m:oMath>
          <m:sSub>
            <m:e>
              <m:r>
                <m:t>p</m:t>
              </m:r>
            </m:e>
            <m:sub>
              <m:r>
                <m:t>k</m:t>
              </m:r>
            </m:sub>
          </m:sSub>
          <m:d>
            <m:dPr>
              <m:begChr m:val="("/>
              <m:sepChr m:val=""/>
              <m:endChr m:val=")"/>
              <m:grow/>
            </m:dPr>
            <m:e>
              <m:r>
                <m:t>θ</m:t>
              </m:r>
            </m:e>
          </m:d>
          <m:r>
            <m:rPr>
              <m:sty m:val="p"/>
            </m:rPr>
            <m:t>=</m:t>
          </m:r>
          <m:f>
            <m:fPr>
              <m:type m:val="bar"/>
            </m:fPr>
            <m:num>
              <m:r>
                <m:t>p</m:t>
              </m:r>
              <m:d>
                <m:dPr>
                  <m:begChr m:val="("/>
                  <m:sepChr m:val=""/>
                  <m:endChr m:val=")"/>
                  <m:grow/>
                </m:dPr>
                <m:e>
                  <m:r>
                    <m:t>θ</m:t>
                  </m:r>
                </m:e>
              </m:d>
              <m:r>
                <m:rPr>
                  <m:sty m:val="p"/>
                </m:rPr>
                <m:t>exp</m:t>
              </m:r>
              <m:d>
                <m:dPr>
                  <m:begChr m:val="("/>
                  <m:sepChr m:val=""/>
                  <m:endChr m:val=")"/>
                  <m:grow/>
                </m:dPr>
                <m:e>
                  <m:sSubSup>
                    <m:e>
                      <m:r>
                        <m:t>λ</m:t>
                      </m:r>
                    </m:e>
                    <m:sub>
                      <m:r>
                        <m:t>k</m:t>
                      </m:r>
                    </m:sub>
                    <m:sup>
                      <m:r>
                        <m:rPr>
                          <m:sty m:val="p"/>
                        </m:rPr>
                        <m:t>⊤</m:t>
                      </m:r>
                    </m:sup>
                  </m:sSubSup>
                  <m:r>
                    <m:t>z</m:t>
                  </m:r>
                  <m:d>
                    <m:dPr>
                      <m:begChr m:val="("/>
                      <m:sepChr m:val=""/>
                      <m:endChr m:val=")"/>
                      <m:grow/>
                    </m:dPr>
                    <m:e>
                      <m:r>
                        <m:t>θ</m:t>
                      </m:r>
                    </m:e>
                  </m:d>
                </m:e>
              </m:d>
            </m:num>
            <m:den>
              <m:r>
                <m:rPr>
                  <m:sty m:val="p"/>
                </m:rPr>
                <m:t>∫</m:t>
              </m:r>
              <m:r>
                <m:t>p</m:t>
              </m:r>
              <m:d>
                <m:dPr>
                  <m:begChr m:val="("/>
                  <m:sepChr m:val=""/>
                  <m:endChr m:val=")"/>
                  <m:grow/>
                </m:dPr>
                <m:e>
                  <m:r>
                    <m:t>ϑ</m:t>
                  </m:r>
                </m:e>
              </m:d>
              <m:r>
                <m:rPr>
                  <m:sty m:val="p"/>
                </m:rPr>
                <m:t>exp</m:t>
              </m:r>
              <m:d>
                <m:dPr>
                  <m:begChr m:val="("/>
                  <m:sepChr m:val=""/>
                  <m:endChr m:val=")"/>
                  <m:grow/>
                </m:dPr>
                <m:e>
                  <m:sSubSup>
                    <m:e>
                      <m:r>
                        <m:t>λ</m:t>
                      </m:r>
                    </m:e>
                    <m:sub>
                      <m:r>
                        <m:t>k</m:t>
                      </m:r>
                    </m:sub>
                    <m:sup>
                      <m:r>
                        <m:rPr>
                          <m:sty m:val="p"/>
                        </m:rPr>
                        <m:t>⊤</m:t>
                      </m:r>
                    </m:sup>
                  </m:sSubSup>
                  <m:r>
                    <m:t>z</m:t>
                  </m:r>
                  <m:d>
                    <m:dPr>
                      <m:begChr m:val="("/>
                      <m:sepChr m:val=""/>
                      <m:endChr m:val=")"/>
                      <m:grow/>
                    </m:dPr>
                    <m:e>
                      <m:r>
                        <m:t>ϑ</m:t>
                      </m:r>
                    </m:e>
                  </m:d>
                </m:e>
              </m:d>
              <m:r>
                <m:t>d</m:t>
              </m:r>
              <m:r>
                <m:t>ϑ</m:t>
              </m:r>
            </m:den>
          </m:f>
          <m:r>
            <m:rPr>
              <m:sty m:val="p"/>
            </m:rPr>
            <m:t>,</m:t>
          </m:r>
          <m:r>
            <m:t>  </m:t>
          </m:r>
          <m:r>
            <m:t>k</m:t>
          </m:r>
          <m:r>
            <m:rPr>
              <m:sty m:val="p"/>
            </m:rPr>
            <m:t>=</m:t>
          </m:r>
          <m:r>
            <m:t>1</m:t>
          </m:r>
          <m:r>
            <m:rPr>
              <m:sty m:val="p"/>
            </m:rPr>
            <m:t>,</m:t>
          </m:r>
          <m:r>
            <m:rPr>
              <m:sty m:val="p"/>
            </m:rPr>
            <m:t>…</m:t>
          </m:r>
          <m:r>
            <m:rPr>
              <m:sty m:val="p"/>
            </m:rPr>
            <m:t>,</m:t>
          </m:r>
          <m:r>
            <m:t>5</m:t>
          </m:r>
        </m:oMath>
      </m:oMathPara>
    </w:p>
    <w:p>
      <w:pPr>
        <w:spacing w:after="120"/>
        <w:jc w:val="both"/>
      </w:pPr>
      <w:r>
        <w:t xml:space="preserve">Among all beliefs that move the mean of </w:t>
      </w:r>
      <m:oMath>
        <m:r>
          <m:t>z</m:t>
        </m:r>
      </m:oMath>
      <w:r>
        <w:t xml:space="preserve"> to a given point, the tilt is the one closest to </w:t>
      </w:r>
      <m:oMath>
        <m:r>
          <m:t>p</m:t>
        </m:r>
      </m:oMath>
      <w:r>
        <w:t xml:space="preserve"> in relative entropy (Csiszár's I-projection [B8]), so each stakeholder departs from the calibration only in the drivers they dispute, and two numbers describe each belief. The five tilts are: the water utility, which trusts the calibration, </w:t>
      </w:r>
      <m:oMath>
        <m:r>
          <m:t>λ</m:t>
        </m:r>
        <m:r>
          <m:rPr>
            <m:sty m:val="p"/>
          </m:rPr>
          <m:t>=</m:t>
        </m:r>
        <m:d>
          <m:dPr>
            <m:begChr m:val="("/>
            <m:sepChr m:val=""/>
            <m:endChr m:val=")"/>
            <m:grow/>
          </m:dPr>
          <m:e>
            <m:r>
              <m:t>0</m:t>
            </m:r>
            <m:r>
              <m:rPr>
                <m:sty m:val="p"/>
              </m:rPr>
              <m:t>,</m:t>
            </m:r>
            <m:r>
              <m:t>0</m:t>
            </m:r>
          </m:e>
        </m:d>
      </m:oMath>
      <w:r>
        <w:t xml:space="preserve">; irrigators and hotels, optimists who expect a narrow mixing zone and ample recharge, </w:t>
      </w:r>
      <m:oMath>
        <m:d>
          <m:dPr>
            <m:begChr m:val="("/>
            <m:sepChr m:val=""/>
            <m:endChr m:val=")"/>
            <m:grow/>
          </m:dPr>
          <m:e>
            <m:r>
              <m:rPr>
                <m:sty m:val="p"/>
              </m:rPr>
              <m:t>−</m:t>
            </m:r>
            <m:r>
              <m:t>0.75</m:t>
            </m:r>
            <m:r>
              <m:rPr>
                <m:sty m:val="p"/>
              </m:rPr>
              <m:t>,</m:t>
            </m:r>
            <m:r>
              <m:t>0.75</m:t>
            </m:r>
          </m:e>
        </m:d>
      </m:oMath>
      <w:r>
        <w:t xml:space="preserve">; the municipality, cautious about public health, </w:t>
      </w:r>
      <m:oMath>
        <m:d>
          <m:dPr>
            <m:begChr m:val="("/>
            <m:sepChr m:val=""/>
            <m:endChr m:val=")"/>
            <m:grow/>
          </m:dPr>
          <m:e>
            <m:r>
              <m:t>0.5</m:t>
            </m:r>
            <m:r>
              <m:rPr>
                <m:sty m:val="p"/>
              </m:rPr>
              <m:t>,</m:t>
            </m:r>
            <m:r>
              <m:t>0</m:t>
            </m:r>
          </m:e>
        </m:d>
      </m:oMath>
      <w:r>
        <w:t xml:space="preserve">; the regional water agency, which expects a drying climate, </w:t>
      </w:r>
      <m:oMath>
        <m:d>
          <m:dPr>
            <m:begChr m:val="("/>
            <m:sepChr m:val=""/>
            <m:endChr m:val=")"/>
            <m:grow/>
          </m:dPr>
          <m:e>
            <m:r>
              <m:t>0</m:t>
            </m:r>
            <m:r>
              <m:rPr>
                <m:sty m:val="p"/>
              </m:rPr>
              <m:t>,</m:t>
            </m:r>
            <m:r>
              <m:rPr>
                <m:sty m:val="p"/>
              </m:rPr>
              <m:t>−</m:t>
            </m:r>
            <m:r>
              <m:t>0.75</m:t>
            </m:r>
          </m:e>
        </m:d>
      </m:oMath>
      <w:r>
        <w:t xml:space="preserve">; and environmental groups, pessimists on both drivers, </w:t>
      </w:r>
      <m:oMath>
        <m:d>
          <m:dPr>
            <m:begChr m:val="("/>
            <m:sepChr m:val=""/>
            <m:endChr m:val=")"/>
            <m:grow/>
          </m:dPr>
          <m:e>
            <m:r>
              <m:t>0.75</m:t>
            </m:r>
            <m:r>
              <m:rPr>
                <m:sty m:val="p"/>
              </m:rPr>
              <m:t>,</m:t>
            </m:r>
            <m:r>
              <m:rPr>
                <m:sty m:val="p"/>
              </m:rPr>
              <m:t>−</m:t>
            </m:r>
            <m:r>
              <m:t>0.75</m:t>
            </m:r>
          </m:e>
        </m:d>
      </m:oMath>
      <w:r>
        <w:t xml:space="preserve">. The set </w:t>
      </w:r>
      <m:oMath>
        <m:d>
          <m:dPr>
            <m:begChr m:val="{"/>
            <m:sepChr m:val=""/>
            <m:endChr m:val="}"/>
            <m:grow/>
          </m:dPr>
          <m:e>
            <m:sSub>
              <m:e>
                <m:r>
                  <m:t>p</m:t>
                </m:r>
              </m:e>
              <m:sub>
                <m:r>
                  <m:t>k</m:t>
                </m:r>
              </m:sub>
            </m:sSub>
          </m:e>
        </m:d>
      </m:oMath>
      <w:r>
        <w:t xml:space="preserve"> is a finite set of priors in the sense of maxmin expected utility [B1]. All five share the likelihood of the data: they agree on the physics and on the measurement errors (0.1 in log chloride, 0.2 m in head), so after data </w:t>
      </w:r>
      <m:oMath>
        <m:r>
          <m:t>y</m:t>
        </m:r>
      </m:oMath>
      <w:r>
        <w:t xml:space="preserve"> each updates by Bayes' rule, </w:t>
      </w:r>
      <m:oMath>
        <m:sSub>
          <m:e>
            <m:r>
              <m:t>p</m:t>
            </m:r>
          </m:e>
          <m:sub>
            <m:r>
              <m:t>k</m:t>
            </m:r>
          </m:sub>
        </m:sSub>
        <m:d>
          <m:dPr>
            <m:begChr m:val="("/>
            <m:sepChr m:val=""/>
            <m:endChr m:val=")"/>
            <m:grow/>
          </m:dPr>
          <m:e>
            <m:r>
              <m:t>θ</m:t>
            </m:r>
            <m:r>
              <m:rPr>
                <m:sty m:val="p"/>
              </m:rPr>
              <m:t>∣</m:t>
            </m:r>
            <m:r>
              <m:t>y</m:t>
            </m:r>
          </m:e>
        </m:d>
        <m:r>
          <m:rPr>
            <m:sty m:val="p"/>
          </m:rPr>
          <m:t>∝</m:t>
        </m:r>
        <m:sSub>
          <m:e>
            <m:r>
              <m:t>p</m:t>
            </m:r>
          </m:e>
          <m:sub>
            <m:r>
              <m:t>k</m:t>
            </m:r>
          </m:sub>
        </m:sSub>
        <m:d>
          <m:dPr>
            <m:begChr m:val="("/>
            <m:sepChr m:val=""/>
            <m:endChr m:val=")"/>
            <m:grow/>
          </m:dPr>
          <m:e>
            <m:r>
              <m:t>θ</m:t>
            </m:r>
          </m:e>
        </m:d>
        <m:r>
          <m:t> </m:t>
        </m:r>
        <m:r>
          <m:t>L</m:t>
        </m:r>
        <m:d>
          <m:dPr>
            <m:begChr m:val="("/>
            <m:sepChr m:val=""/>
            <m:endChr m:val=")"/>
            <m:grow/>
          </m:dPr>
          <m:e>
            <m:r>
              <m:t>y</m:t>
            </m:r>
            <m:r>
              <m:rPr>
                <m:sty m:val="p"/>
              </m:rPr>
              <m:t>∣</m:t>
            </m:r>
            <m:r>
              <m:t>θ</m:t>
            </m:r>
          </m:e>
        </m:d>
      </m:oMath>
      <w:r>
        <w:t xml:space="preserve">.</w:t>
      </w:r>
    </w:p>
    <w:p>
      <w:pPr>
        <w:spacing w:after="120"/>
        <w:jc w:val="both"/>
      </w:pPr>
      <w:r>
        <w:rPr>
          <w:b/>
          <w:bCs/>
        </w:rPr>
        <w:t xml:space="preserve">The group rule.</w:t>
      </w:r>
      <w:r>
        <w:t xml:space="preserve"> Before any data the stakeholders agree that an action is admissible only if </w:t>
      </w:r>
      <w:r>
        <w:rPr>
          <w:i/>
          <w:iCs/>
        </w:rPr>
        <w:t xml:space="preserve">every</w:t>
      </w:r>
      <w:r>
        <w:t xml:space="preserve"> stakeholder's own posterior probability of failure, plus a margin for the Monte Carlo error of the weighted ensemble, is at most </w:t>
      </w:r>
      <m:oMath>
        <m:r>
          <m:t>α</m:t>
        </m:r>
        <m:r>
          <m:rPr>
            <m:sty m:val="p"/>
          </m:rPr>
          <m:t>=</m:t>
        </m:r>
        <m:r>
          <m:t>0.10</m:t>
        </m:r>
      </m:oMath>
      <w:r>
        <w:t xml:space="preserve">. Among admissible actions the group takes the one with the most net water:</w:t>
      </w:r>
    </w:p>
    <w:p>
      <w:pPr>
        <w:pStyle w:val="Equation"/>
      </w:pPr>
      <m:oMathPara>
        <m:oMathParaPr>
          <m:jc m:val="center"/>
        </m:oMathParaPr>
        <m:oMath>
          <m:r>
            <m:rPr>
              <m:scr m:val="script"/>
              <m:sty m:val="p"/>
            </m:rPr>
            <m:t>A</m:t>
          </m:r>
          <m:d>
            <m:dPr>
              <m:begChr m:val="("/>
              <m:sepChr m:val=""/>
              <m:endChr m:val=")"/>
              <m:grow/>
            </m:dPr>
            <m:e>
              <m:r>
                <m:t>y</m:t>
              </m:r>
            </m:e>
          </m:d>
          <m:r>
            <m:rPr>
              <m:sty m:val="p"/>
            </m:rPr>
            <m:t>=</m:t>
          </m:r>
          <m:d>
            <m:dPr>
              <m:begChr m:val="{"/>
              <m:sepChr m:val=""/>
              <m:endChr m:val="}"/>
              <m:grow/>
            </m:dPr>
            <m:e>
              <m:r>
                <m:t>a</m:t>
              </m:r>
              <m:r>
                <m:rPr>
                  <m:sty m:val="p"/>
                </m:rPr>
                <m:t>:</m:t>
              </m:r>
              <m:r>
                <m:t> </m:t>
              </m:r>
              <m:sSub>
                <m:e>
                  <m:acc>
                    <m:accPr>
                      <m:chr m:val="̂"/>
                    </m:accPr>
                    <m:e>
                      <m:r>
                        <m:t>P</m:t>
                      </m:r>
                    </m:e>
                  </m:acc>
                </m:e>
                <m:sub>
                  <m:r>
                    <m:t>k</m:t>
                  </m:r>
                </m:sub>
              </m:sSub>
              <m:d>
                <m:dPr>
                  <m:begChr m:val="("/>
                  <m:sepChr m:val=""/>
                  <m:endChr m:val=")"/>
                  <m:grow/>
                </m:dPr>
                <m:e>
                  <m:r>
                    <m:t>F</m:t>
                  </m:r>
                  <m:r>
                    <m:rPr>
                      <m:sty m:val="p"/>
                    </m:rPr>
                    <m:t>∣</m:t>
                  </m:r>
                  <m:r>
                    <m:t>y</m:t>
                  </m:r>
                  <m:r>
                    <m:rPr>
                      <m:sty m:val="p"/>
                    </m:rPr>
                    <m:t>,</m:t>
                  </m:r>
                  <m:r>
                    <m:t>a</m:t>
                  </m:r>
                </m:e>
              </m:d>
              <m:r>
                <m:rPr>
                  <m:sty m:val="p"/>
                </m:rPr>
                <m:t>+</m:t>
              </m:r>
              <m:r>
                <m:t>1.645</m:t>
              </m:r>
              <m:r>
                <m:t> </m:t>
              </m:r>
              <m:sSub>
                <m:e>
                  <m:acc>
                    <m:accPr>
                      <m:chr m:val="̂"/>
                    </m:accPr>
                    <m:e>
                      <m:r>
                        <m:t>σ</m:t>
                      </m:r>
                    </m:e>
                  </m:acc>
                </m:e>
                <m:sub>
                  <m:r>
                    <m:t>k</m:t>
                  </m:r>
                </m:sub>
              </m:sSub>
              <m:d>
                <m:dPr>
                  <m:begChr m:val="("/>
                  <m:sepChr m:val=""/>
                  <m:endChr m:val=")"/>
                  <m:grow/>
                </m:dPr>
                <m:e>
                  <m:r>
                    <m:t>y</m:t>
                  </m:r>
                  <m:r>
                    <m:rPr>
                      <m:sty m:val="p"/>
                    </m:rPr>
                    <m:t>,</m:t>
                  </m:r>
                  <m:r>
                    <m:t>a</m:t>
                  </m:r>
                </m:e>
              </m:d>
              <m:r>
                <m:rPr>
                  <m:sty m:val="p"/>
                </m:rPr>
                <m:t>≤</m:t>
              </m:r>
              <m:r>
                <m:t>α</m:t>
              </m:r>
              <m:r>
                <m:t> </m:t>
              </m:r>
              <m:r>
                <m:rPr>
                  <m:nor/>
                </m:rPr>
                <m:t>for every</m:t>
              </m:r>
              <m:r>
                <m:t> </m:t>
              </m:r>
              <m:r>
                <m:t>k</m:t>
              </m:r>
            </m:e>
          </m:d>
          <m:r>
            <m:rPr>
              <m:sty m:val="p"/>
            </m:rPr>
            <m:t>,</m:t>
          </m:r>
          <m:r>
            <m:t>  </m:t>
          </m:r>
          <m:sSup>
            <m:e>
              <m:r>
                <m:t>a</m:t>
              </m:r>
            </m:e>
            <m:sup>
              <m:r>
                <m:rPr>
                  <m:sty m:val="p"/>
                </m:rPr>
                <m:t>⋆</m:t>
              </m:r>
            </m:sup>
          </m:sSup>
          <m:d>
            <m:dPr>
              <m:begChr m:val="("/>
              <m:sepChr m:val=""/>
              <m:endChr m:val=")"/>
              <m:grow/>
            </m:dPr>
            <m:e>
              <m:r>
                <m:t>y</m:t>
              </m:r>
            </m:e>
          </m:d>
          <m:r>
            <m:rPr>
              <m:sty m:val="p"/>
            </m:rPr>
            <m:t>=</m:t>
          </m:r>
          <m:r>
            <m:rPr>
              <m:sty m:val="p"/>
            </m:rPr>
            <m:t>arg</m:t>
          </m:r>
          <m:limLow>
            <m:e>
              <m:r>
                <m:rPr>
                  <m:sty m:val="p"/>
                </m:rPr>
                <m:t>max</m:t>
              </m:r>
            </m:e>
            <m:lim>
              <m:r>
                <m:t>a</m:t>
              </m:r>
              <m:r>
                <m:rPr>
                  <m:sty m:val="p"/>
                </m:rPr>
                <m:t>∈</m:t>
              </m:r>
              <m:r>
                <m:rPr>
                  <m:scr m:val="script"/>
                  <m:sty m:val="p"/>
                </m:rPr>
                <m:t>A</m:t>
              </m:r>
              <m:d>
                <m:dPr>
                  <m:begChr m:val="("/>
                  <m:sepChr m:val=""/>
                  <m:endChr m:val=")"/>
                  <m:grow/>
                </m:dPr>
                <m:e>
                  <m:r>
                    <m:t>y</m:t>
                  </m:r>
                </m:e>
              </m:d>
            </m:lim>
          </m:limLow>
          <m:d>
            <m:dPr>
              <m:begChr m:val="("/>
              <m:sepChr m:val=""/>
              <m:endChr m:val=")"/>
              <m:grow/>
            </m:dPr>
            <m:e>
              <m:sSub>
                <m:e>
                  <m:r>
                    <m:t>Q</m:t>
                  </m:r>
                </m:e>
                <m:sub>
                  <m:r>
                    <m:t>0</m:t>
                  </m:r>
                </m:sub>
              </m:sSub>
              <m:r>
                <m:t> </m:t>
              </m:r>
              <m:r>
                <m:t>s</m:t>
              </m:r>
              <m:r>
                <m:rPr>
                  <m:sty m:val="p"/>
                </m:rPr>
                <m:t>−</m:t>
              </m:r>
              <m:sSub>
                <m:e>
                  <m:r>
                    <m:t>c</m:t>
                  </m:r>
                </m:e>
                <m:sub>
                  <m:r>
                    <m:t>r</m:t>
                  </m:r>
                </m:sub>
              </m:sSub>
              <m:r>
                <m:rPr>
                  <m:sty m:val="p"/>
                </m:rPr>
                <m:t>⋅</m:t>
              </m:r>
              <m:r>
                <m:t>3</m:t>
              </m:r>
              <m:r>
                <m:t>q</m:t>
              </m:r>
            </m:e>
          </m:d>
        </m:oMath>
      </m:oMathPara>
    </w:p>
    <w:p>
      <w:pPr>
        <w:spacing w:after="120"/>
        <w:jc w:val="both"/>
      </w:pPr>
      <w:r>
        <w:t xml:space="preserve">with </w:t>
      </w:r>
      <m:oMath>
        <m:sSub>
          <m:e>
            <m:acc>
              <m:accPr>
                <m:chr m:val="̂"/>
              </m:accPr>
              <m:e>
                <m:r>
                  <m:t>P</m:t>
                </m:r>
              </m:e>
            </m:acc>
          </m:e>
          <m:sub>
            <m:r>
              <m:t>k</m:t>
            </m:r>
          </m:sub>
        </m:sSub>
      </m:oMath>
      <w:r>
        <w:t xml:space="preserve"> the self-normalised importance estimate of stakeholder </w:t>
      </w:r>
      <m:oMath>
        <m:r>
          <m:t>k</m:t>
        </m:r>
      </m:oMath>
      <w:r>
        <w:t xml:space="preserve">'s posterior risk, </w:t>
      </w:r>
      <m:oMath>
        <m:sSub>
          <m:e>
            <m:acc>
              <m:accPr>
                <m:chr m:val="̂"/>
              </m:accPr>
              <m:e>
                <m:r>
                  <m:t>σ</m:t>
                </m:r>
              </m:e>
            </m:acc>
          </m:e>
          <m:sub>
            <m:r>
              <m:t>k</m:t>
            </m:r>
          </m:sub>
        </m:sSub>
      </m:oMath>
      <w:r>
        <w:t xml:space="preserve"> its standard error, </w:t>
      </w:r>
      <m:oMath>
        <m:sSub>
          <m:e>
            <m:r>
              <m:t>Q</m:t>
            </m:r>
          </m:e>
          <m:sub>
            <m:r>
              <m:t>0</m:t>
            </m:r>
          </m:sub>
        </m:sSub>
        <m:r>
          <m:rPr>
            <m:sty m:val="p"/>
          </m:rPr>
          <m:t>=</m:t>
        </m:r>
        <m:r>
          <m:t>12</m:t>
        </m:r>
        <m:r>
          <m:rPr>
            <m:sty m:val="p"/>
          </m:rPr>
          <m:t>,</m:t>
        </m:r>
        <m:r>
          <m:t>060</m:t>
        </m:r>
      </m:oMath>
      <w:r>
        <w:t xml:space="preserve"> m³/d and </w:t>
      </w:r>
      <m:oMath>
        <m:sSub>
          <m:e>
            <m:r>
              <m:t>c</m:t>
            </m:r>
          </m:e>
          <m:sub>
            <m:r>
              <m:t>r</m:t>
            </m:r>
          </m:sub>
        </m:sSub>
        <m:r>
          <m:rPr>
            <m:sty m:val="p"/>
          </m:rPr>
          <m:t>=</m:t>
        </m:r>
        <m:r>
          <m:t>0.5</m:t>
        </m:r>
      </m:oMath>
      <w:r>
        <w:t xml:space="preserve"> (recharged water counts at half the value of delivered water). If </w:t>
      </w:r>
      <m:oMath>
        <m:r>
          <m:rPr>
            <m:scr m:val="script"/>
            <m:sty m:val="p"/>
          </m:rPr>
          <m:t>A</m:t>
        </m:r>
        <m:d>
          <m:dPr>
            <m:begChr m:val="("/>
            <m:sepChr m:val=""/>
            <m:endChr m:val=")"/>
            <m:grow/>
          </m:dPr>
          <m:e>
            <m:r>
              <m:t>y</m:t>
            </m:r>
          </m:e>
        </m:d>
      </m:oMath>
      <w:r>
        <w:t xml:space="preserve"> is empty (deadlock) the group stops pumping and recharges at the largest rate. The comparison is the </w:t>
      </w:r>
      <w:r>
        <w:rPr>
          <w:i/>
          <w:iCs/>
        </w:rPr>
        <w:t xml:space="preserve">average-belief rule</w:t>
      </w:r>
      <w:r>
        <w:t xml:space="preserve">, the linear opinion pool [B4, B5]: an action is admissible if the average of the five risks, with the average margin, is at most </w:t>
      </w:r>
      <m:oMath>
        <m:r>
          <m:t>α</m:t>
        </m:r>
      </m:oMath>
      <w:r>
        <w:t xml:space="preserve">. The average-belief rule allows more water by construction; the question is what it costs the stakeholders whose beliefs are above the average.</w:t>
      </w:r>
    </w:p>
    <w:p>
      <w:pPr>
        <w:pStyle w:val="Heading3"/>
      </w:pPr>
      <w:r>
        <w:rPr>
          <w:color w:val="1F3864"/>
        </w:rPr>
        <w:t xml:space="preserve">9.2 Proposition V1: which data end a dispute</w:t>
      </w:r>
    </w:p>
    <w:p>
      <w:pPr>
        <w:spacing w:after="120"/>
        <w:jc w:val="both"/>
      </w:pPr>
      <w:r>
        <w:rPr>
          <w:b/>
          <w:bCs/>
        </w:rPr>
        <w:t xml:space="preserve">Proposition V1.</w:t>
      </w:r>
      <w:r>
        <w:t xml:space="preserve"> Let </w:t>
      </w:r>
      <m:oMath>
        <m:sSub>
          <m:e>
            <m:r>
              <m:t>p</m:t>
            </m:r>
          </m:e>
          <m:sub>
            <m:r>
              <m:t>j</m:t>
            </m:r>
          </m:sub>
        </m:sSub>
        <m:d>
          <m:dPr>
            <m:begChr m:val="("/>
            <m:sepChr m:val=""/>
            <m:endChr m:val=")"/>
            <m:grow/>
          </m:dPr>
          <m:e>
            <m:r>
              <m:rPr>
                <m:sty m:val="p"/>
              </m:rPr>
              <m:t>⋅</m:t>
            </m:r>
            <m:r>
              <m:rPr>
                <m:sty m:val="p"/>
              </m:rPr>
              <m:t>∣</m:t>
            </m:r>
            <m:r>
              <m:t>y</m:t>
            </m:r>
          </m:e>
        </m:d>
      </m:oMath>
      <w:r>
        <w:t xml:space="preserve"> and </w:t>
      </w:r>
      <m:oMath>
        <m:sSub>
          <m:e>
            <m:r>
              <m:t>p</m:t>
            </m:r>
          </m:e>
          <m:sub>
            <m:r>
              <m:t>k</m:t>
            </m:r>
          </m:sub>
        </m:sSub>
        <m:d>
          <m:dPr>
            <m:begChr m:val="("/>
            <m:sepChr m:val=""/>
            <m:endChr m:val=")"/>
            <m:grow/>
          </m:dPr>
          <m:e>
            <m:r>
              <m:rPr>
                <m:sty m:val="p"/>
              </m:rPr>
              <m:t>⋅</m:t>
            </m:r>
            <m:r>
              <m:rPr>
                <m:sty m:val="p"/>
              </m:rPr>
              <m:t>∣</m:t>
            </m:r>
            <m:r>
              <m:t>y</m:t>
            </m:r>
          </m:e>
        </m:d>
      </m:oMath>
      <w:r>
        <w:t xml:space="preserve"> be the posteriors of two tilts with </w:t>
      </w:r>
      <m:oMath>
        <m:r>
          <m:t>Δ</m:t>
        </m:r>
        <m:r>
          <m:t>λ</m:t>
        </m:r>
        <m:r>
          <m:rPr>
            <m:sty m:val="p"/>
          </m:rPr>
          <m:t>=</m:t>
        </m:r>
        <m:sSub>
          <m:e>
            <m:r>
              <m:t>λ</m:t>
            </m:r>
          </m:e>
          <m:sub>
            <m:r>
              <m:t>k</m:t>
            </m:r>
          </m:sub>
        </m:sSub>
        <m:r>
          <m:rPr>
            <m:sty m:val="p"/>
          </m:rPr>
          <m:t>−</m:t>
        </m:r>
        <m:sSub>
          <m:e>
            <m:r>
              <m:t>λ</m:t>
            </m:r>
          </m:e>
          <m:sub>
            <m:r>
              <m:t>j</m:t>
            </m:r>
          </m:sub>
        </m:sSub>
      </m:oMath>
      <w:r>
        <w:t xml:space="preserve">, and </w:t>
      </w:r>
      <m:oMath>
        <m:sSub>
          <m:e>
            <m:r>
              <m:t>p</m:t>
            </m:r>
          </m:e>
          <m:sub>
            <m:r>
              <m:t>t</m:t>
            </m:r>
          </m:sub>
        </m:sSub>
        <m:d>
          <m:dPr>
            <m:begChr m:val="("/>
            <m:sepChr m:val=""/>
            <m:endChr m:val=")"/>
            <m:grow/>
          </m:dPr>
          <m:e>
            <m:r>
              <m:rPr>
                <m:sty m:val="p"/>
              </m:rPr>
              <m:t>⋅</m:t>
            </m:r>
            <m:r>
              <m:rPr>
                <m:sty m:val="p"/>
              </m:rPr>
              <m:t>∣</m:t>
            </m:r>
            <m:r>
              <m:t>y</m:t>
            </m:r>
          </m:e>
        </m:d>
      </m:oMath>
      <w:r>
        <w:t xml:space="preserve"> the posterior of the tilt </w:t>
      </w:r>
      <m:oMath>
        <m:sSub>
          <m:e>
            <m:r>
              <m:t>λ</m:t>
            </m:r>
          </m:e>
          <m:sub>
            <m:r>
              <m:t>j</m:t>
            </m:r>
          </m:sub>
        </m:sSub>
        <m:r>
          <m:rPr>
            <m:sty m:val="p"/>
          </m:rPr>
          <m:t>+</m:t>
        </m:r>
        <m:r>
          <m:t>t</m:t>
        </m:r>
        <m:r>
          <m:t> </m:t>
        </m:r>
        <m:r>
          <m:t>Δ</m:t>
        </m:r>
        <m:r>
          <m:t>λ</m:t>
        </m:r>
      </m:oMath>
      <w:r>
        <w:t xml:space="preserve">, </w:t>
      </w:r>
      <m:oMath>
        <m:r>
          <m:t>t</m:t>
        </m:r>
        <m:r>
          <m:rPr>
            <m:sty m:val="p"/>
          </m:rPr>
          <m:t>∈</m:t>
        </m:r>
        <m:d>
          <m:dPr>
            <m:begChr m:val="["/>
            <m:sepChr m:val=""/>
            <m:endChr m:val="]"/>
            <m:grow/>
          </m:dPr>
          <m:e>
            <m:r>
              <m:t>0</m:t>
            </m:r>
            <m:r>
              <m:rPr>
                <m:sty m:val="p"/>
              </m:rPr>
              <m:t>,</m:t>
            </m:r>
            <m:r>
              <m:t>1</m:t>
            </m:r>
          </m:e>
        </m:d>
      </m:oMath>
      <w:r>
        <w:t xml:space="preserve">. For every event </w:t>
      </w:r>
      <m:oMath>
        <m:r>
          <m:t>F</m:t>
        </m:r>
      </m:oMath>
      <w:r>
        <w:t xml:space="preserve">,</w:t>
      </w:r>
    </w:p>
    <w:p>
      <w:pPr>
        <w:pStyle w:val="Equation"/>
      </w:pPr>
      <m:oMathPara>
        <m:oMathParaPr>
          <m:jc m:val="center"/>
        </m:oMathParaPr>
        <m:oMath>
          <m:d>
            <m:dPr>
              <m:begChr m:val="|"/>
              <m:sepChr m:val=""/>
              <m:endChr m:val="|"/>
              <m:grow/>
            </m:dPr>
            <m:e>
              <m:sSub>
                <m:e>
                  <m:r>
                    <m:t>P</m:t>
                  </m:r>
                </m:e>
                <m:sub>
                  <m:r>
                    <m:t>k</m:t>
                  </m:r>
                </m:sub>
              </m:sSub>
              <m:d>
                <m:dPr>
                  <m:begChr m:val="("/>
                  <m:sepChr m:val=""/>
                  <m:endChr m:val=")"/>
                  <m:grow/>
                </m:dPr>
                <m:e>
                  <m:r>
                    <m:t>F</m:t>
                  </m:r>
                  <m:r>
                    <m:rPr>
                      <m:sty m:val="p"/>
                    </m:rPr>
                    <m:t>∣</m:t>
                  </m:r>
                  <m:r>
                    <m:t>y</m:t>
                  </m:r>
                </m:e>
              </m:d>
              <m:r>
                <m:rPr>
                  <m:sty m:val="p"/>
                </m:rPr>
                <m:t>−</m:t>
              </m:r>
              <m:sSub>
                <m:e>
                  <m:r>
                    <m:t>P</m:t>
                  </m:r>
                </m:e>
                <m:sub>
                  <m:r>
                    <m:t>j</m:t>
                  </m:r>
                </m:sub>
              </m:sSub>
              <m:d>
                <m:dPr>
                  <m:begChr m:val="("/>
                  <m:sepChr m:val=""/>
                  <m:endChr m:val=")"/>
                  <m:grow/>
                </m:dPr>
                <m:e>
                  <m:r>
                    <m:t>F</m:t>
                  </m:r>
                  <m:r>
                    <m:rPr>
                      <m:sty m:val="p"/>
                    </m:rPr>
                    <m:t>∣</m:t>
                  </m:r>
                  <m:r>
                    <m:t>y</m:t>
                  </m:r>
                </m:e>
              </m:d>
            </m:e>
          </m:d>
          <m:r>
            <m:rPr>
              <m:sty m:val="p"/>
            </m:rPr>
            <m:t>≤</m:t>
          </m:r>
          <m:limLow>
            <m:e>
              <m:r>
                <m:rPr>
                  <m:sty m:val="p"/>
                </m:rPr>
                <m:t>max</m:t>
              </m:r>
            </m:e>
            <m:lim>
              <m:r>
                <m:t>t</m:t>
              </m:r>
              <m:r>
                <m:rPr>
                  <m:sty m:val="p"/>
                </m:rPr>
                <m:t>∈</m:t>
              </m:r>
              <m:d>
                <m:dPr>
                  <m:begChr m:val="["/>
                  <m:sepChr m:val=""/>
                  <m:endChr m:val="]"/>
                  <m:grow/>
                </m:dPr>
                <m:e>
                  <m:r>
                    <m:t>0</m:t>
                  </m:r>
                  <m:r>
                    <m:rPr>
                      <m:sty m:val="p"/>
                    </m:rPr>
                    <m:t>,</m:t>
                  </m:r>
                  <m:r>
                    <m:t>1</m:t>
                  </m:r>
                </m:e>
              </m:d>
            </m:lim>
          </m:limLow>
          <m:sSub>
            <m:e>
              <m:r>
                <m:rPr>
                  <m:nor/>
                </m:rPr>
                <m:t>sd</m:t>
              </m:r>
            </m:e>
            <m:sub>
              <m:r>
                <m:t>t</m:t>
              </m:r>
            </m:sub>
          </m:sSub>
          <m:d>
            <m:dPr>
              <m:begChr m:val="("/>
              <m:sepChr m:val=""/>
              <m:endChr m:val=")"/>
              <m:grow/>
            </m:dPr>
            <m:e>
              <m:r>
                <m:t>Δ</m:t>
              </m:r>
              <m:sSup>
                <m:e>
                  <m:r>
                    <m:t>λ</m:t>
                  </m:r>
                </m:e>
                <m:sup>
                  <m:r>
                    <m:rPr>
                      <m:sty m:val="p"/>
                    </m:rPr>
                    <m:t>⊤</m:t>
                  </m:r>
                </m:sup>
              </m:sSup>
              <m:r>
                <m:t>z</m:t>
              </m:r>
              <m:r>
                <m:rPr>
                  <m:sty m:val="p"/>
                </m:rPr>
                <m:t>∣</m:t>
              </m:r>
              <m:r>
                <m:t>y</m:t>
              </m:r>
            </m:e>
          </m:d>
          <m:r>
            <m:rPr>
              <m:sty m:val="p"/>
            </m:rPr>
            <m:t>⋅</m:t>
          </m:r>
          <m:sSub>
            <m:e>
              <m:r>
                <m:rPr>
                  <m:nor/>
                </m:rPr>
                <m:t>sd</m:t>
              </m:r>
            </m:e>
            <m:sub>
              <m:r>
                <m:t>t</m:t>
              </m:r>
            </m:sub>
          </m:sSub>
          <m:d>
            <m:dPr>
              <m:begChr m:val="("/>
              <m:sepChr m:val=""/>
              <m:endChr m:val=")"/>
              <m:grow/>
            </m:dPr>
            <m:e>
              <m:sSub>
                <m:e>
                  <m:r>
                    <m:t>1</m:t>
                  </m:r>
                </m:e>
                <m:sub>
                  <m:r>
                    <m:t>F</m:t>
                  </m:r>
                </m:sub>
              </m:sSub>
              <m:r>
                <m:rPr>
                  <m:sty m:val="p"/>
                </m:rPr>
                <m:t>∣</m:t>
              </m:r>
              <m:r>
                <m:t>y</m:t>
              </m:r>
            </m:e>
          </m:d>
          <m:r>
            <m:rPr>
              <m:sty m:val="p"/>
            </m:rPr>
            <m:t>≤</m:t>
          </m:r>
          <m:f>
            <m:fPr>
              <m:type m:val="bar"/>
            </m:fPr>
            <m:num>
              <m:r>
                <m:t>1</m:t>
              </m:r>
            </m:num>
            <m:den>
              <m:r>
                <m:t>2</m:t>
              </m:r>
            </m:den>
          </m:f>
          <m:limLow>
            <m:e>
              <m:r>
                <m:rPr>
                  <m:sty m:val="p"/>
                </m:rPr>
                <m:t>max</m:t>
              </m:r>
            </m:e>
            <m:lim>
              <m:r>
                <m:t>t</m:t>
              </m:r>
              <m:r>
                <m:rPr>
                  <m:sty m:val="p"/>
                </m:rPr>
                <m:t>∈</m:t>
              </m:r>
              <m:d>
                <m:dPr>
                  <m:begChr m:val="["/>
                  <m:sepChr m:val=""/>
                  <m:endChr m:val="]"/>
                  <m:grow/>
                </m:dPr>
                <m:e>
                  <m:r>
                    <m:t>0</m:t>
                  </m:r>
                  <m:r>
                    <m:rPr>
                      <m:sty m:val="p"/>
                    </m:rPr>
                    <m:t>,</m:t>
                  </m:r>
                  <m:r>
                    <m:t>1</m:t>
                  </m:r>
                </m:e>
              </m:d>
            </m:lim>
          </m:limLow>
          <m:sSub>
            <m:e>
              <m:r>
                <m:rPr>
                  <m:nor/>
                </m:rPr>
                <m:t>sd</m:t>
              </m:r>
            </m:e>
            <m:sub>
              <m:r>
                <m:t>t</m:t>
              </m:r>
            </m:sub>
          </m:sSub>
          <m:d>
            <m:dPr>
              <m:begChr m:val="("/>
              <m:sepChr m:val=""/>
              <m:endChr m:val=")"/>
              <m:grow/>
            </m:dPr>
            <m:e>
              <m:r>
                <m:t>Δ</m:t>
              </m:r>
              <m:sSup>
                <m:e>
                  <m:r>
                    <m:t>λ</m:t>
                  </m:r>
                </m:e>
                <m:sup>
                  <m:r>
                    <m:rPr>
                      <m:sty m:val="p"/>
                    </m:rPr>
                    <m:t>⊤</m:t>
                  </m:r>
                </m:sup>
              </m:sSup>
              <m:r>
                <m:t>z</m:t>
              </m:r>
              <m:r>
                <m:rPr>
                  <m:sty m:val="p"/>
                </m:rPr>
                <m:t>∣</m:t>
              </m:r>
              <m:r>
                <m:t>y</m:t>
              </m:r>
            </m:e>
          </m:d>
        </m:oMath>
      </m:oMathPara>
    </w:p>
    <w:p>
      <w:pPr>
        <w:spacing w:after="120"/>
        <w:jc w:val="both"/>
      </w:pPr>
      <w:r>
        <w:rPr>
          <w:i/>
          <w:iCs/>
        </w:rPr>
        <w:t xml:space="preserve">Proof.</w:t>
      </w:r>
      <w:r>
        <w:t xml:space="preserve"> The tilts of a fixed posterior form an exponential family in </w:t>
      </w:r>
      <m:oMath>
        <m:r>
          <m:t>t</m:t>
        </m:r>
      </m:oMath>
      <w:r>
        <w:t xml:space="preserve">, so </w:t>
      </w:r>
      <m:oMath>
        <m:r>
          <m:t>g</m:t>
        </m:r>
        <m:d>
          <m:dPr>
            <m:begChr m:val="("/>
            <m:sepChr m:val=""/>
            <m:endChr m:val=")"/>
            <m:grow/>
          </m:dPr>
          <m:e>
            <m:r>
              <m:t>t</m:t>
            </m:r>
          </m:e>
        </m:d>
        <m:r>
          <m:rPr>
            <m:sty m:val="p"/>
          </m:rPr>
          <m:t>=</m:t>
        </m:r>
        <m:sSub>
          <m:e>
            <m:r>
              <m:t>P</m:t>
            </m:r>
          </m:e>
          <m:sub>
            <m:r>
              <m:t>t</m:t>
            </m:r>
          </m:sub>
        </m:sSub>
        <m:d>
          <m:dPr>
            <m:begChr m:val="("/>
            <m:sepChr m:val=""/>
            <m:endChr m:val=")"/>
            <m:grow/>
          </m:dPr>
          <m:e>
            <m:r>
              <m:t>F</m:t>
            </m:r>
            <m:r>
              <m:rPr>
                <m:sty m:val="p"/>
              </m:rPr>
              <m:t>∣</m:t>
            </m:r>
            <m:r>
              <m:t>y</m:t>
            </m:r>
          </m:e>
        </m:d>
      </m:oMath>
      <w:r>
        <w:t xml:space="preserve"> is differentiable with </w:t>
      </w:r>
      <m:oMath>
        <m:r>
          <m:t>g</m:t>
        </m:r>
        <m:r>
          <m:rPr>
            <m:sty m:val="p"/>
          </m:rPr>
          <m:t>′</m:t>
        </m:r>
        <m:d>
          <m:dPr>
            <m:begChr m:val="("/>
            <m:sepChr m:val=""/>
            <m:endChr m:val=")"/>
            <m:grow/>
          </m:dPr>
          <m:e>
            <m:r>
              <m:t>t</m:t>
            </m:r>
          </m:e>
        </m:d>
        <m:r>
          <m:rPr>
            <m:sty m:val="p"/>
          </m:rPr>
          <m:t>=</m:t>
        </m:r>
        <m:sSub>
          <m:e>
            <m:r>
              <m:rPr>
                <m:nor/>
              </m:rPr>
              <m:t>Cov</m:t>
            </m:r>
          </m:e>
          <m:sub>
            <m:r>
              <m:t>t</m:t>
            </m:r>
          </m:sub>
        </m:sSub>
        <m:d>
          <m:dPr>
            <m:begChr m:val="("/>
            <m:sepChr m:val=""/>
            <m:endChr m:val=")"/>
            <m:grow/>
          </m:dPr>
          <m:e>
            <m:sSub>
              <m:e>
                <m:r>
                  <m:t>1</m:t>
                </m:r>
              </m:e>
              <m:sub>
                <m:r>
                  <m:t>F</m:t>
                </m:r>
              </m:sub>
            </m:sSub>
            <m:r>
              <m:rPr>
                <m:sty m:val="p"/>
              </m:rPr>
              <m:t>,</m:t>
            </m:r>
            <m:r>
              <m:t>Δ</m:t>
            </m:r>
            <m:sSup>
              <m:e>
                <m:r>
                  <m:t>λ</m:t>
                </m:r>
              </m:e>
              <m:sup>
                <m:r>
                  <m:rPr>
                    <m:sty m:val="p"/>
                  </m:rPr>
                  <m:t>⊤</m:t>
                </m:r>
              </m:sup>
            </m:sSup>
            <m:r>
              <m:t>z</m:t>
            </m:r>
            <m:r>
              <m:rPr>
                <m:sty m:val="p"/>
              </m:rPr>
              <m:t>∣</m:t>
            </m:r>
            <m:r>
              <m:t>y</m:t>
            </m:r>
          </m:e>
        </m:d>
      </m:oMath>
      <w:r>
        <w:t xml:space="preserve">. Then </w:t>
      </w:r>
      <m:oMath>
        <m:d>
          <m:dPr>
            <m:begChr m:val="|"/>
            <m:sepChr m:val=""/>
            <m:endChr m:val="|"/>
            <m:grow/>
          </m:dPr>
          <m:e>
            <m:r>
              <m:t>g</m:t>
            </m:r>
            <m:d>
              <m:dPr>
                <m:begChr m:val="("/>
                <m:sepChr m:val=""/>
                <m:endChr m:val=")"/>
                <m:grow/>
              </m:dPr>
              <m:e>
                <m:r>
                  <m:t>1</m:t>
                </m:r>
              </m:e>
            </m:d>
            <m:r>
              <m:rPr>
                <m:sty m:val="p"/>
              </m:rPr>
              <m:t>−</m:t>
            </m:r>
            <m:r>
              <m:t>g</m:t>
            </m:r>
            <m:d>
              <m:dPr>
                <m:begChr m:val="("/>
                <m:sepChr m:val=""/>
                <m:endChr m:val=")"/>
                <m:grow/>
              </m:dPr>
              <m:e>
                <m:r>
                  <m:t>0</m:t>
                </m:r>
              </m:e>
            </m:d>
          </m:e>
        </m:d>
        <m:r>
          <m:rPr>
            <m:sty m:val="p"/>
          </m:rPr>
          <m:t>≤</m:t>
        </m:r>
        <m:sSub>
          <m:e>
            <m:r>
              <m:rPr>
                <m:sty m:val="p"/>
              </m:rPr>
              <m:t>max</m:t>
            </m:r>
          </m:e>
          <m:sub>
            <m:r>
              <m:t>t</m:t>
            </m:r>
          </m:sub>
        </m:sSub>
        <m:d>
          <m:dPr>
            <m:begChr m:val="|"/>
            <m:sepChr m:val=""/>
            <m:endChr m:val="|"/>
            <m:grow/>
          </m:dPr>
          <m:e>
            <m:r>
              <m:t>g</m:t>
            </m:r>
            <m:r>
              <m:rPr>
                <m:sty m:val="p"/>
              </m:rPr>
              <m:t>′</m:t>
            </m:r>
            <m:d>
              <m:dPr>
                <m:begChr m:val="("/>
                <m:sepChr m:val=""/>
                <m:endChr m:val=")"/>
                <m:grow/>
              </m:dPr>
              <m:e>
                <m:r>
                  <m:t>t</m:t>
                </m:r>
              </m:e>
            </m:d>
          </m:e>
        </m:d>
      </m:oMath>
      <w:r>
        <w:t xml:space="preserve">, the Cauchy–Schwarz inequality bounds the covariance by the product of standard deviations, and </w:t>
      </w:r>
      <m:oMath>
        <m:sSub>
          <m:e>
            <m:r>
              <m:rPr>
                <m:nor/>
              </m:rPr>
              <m:t>sd</m:t>
            </m:r>
          </m:e>
          <m:sub>
            <m:r>
              <m:t>t</m:t>
            </m:r>
          </m:sub>
        </m:sSub>
        <m:d>
          <m:dPr>
            <m:begChr m:val="("/>
            <m:sepChr m:val=""/>
            <m:endChr m:val=")"/>
            <m:grow/>
          </m:dPr>
          <m:e>
            <m:sSub>
              <m:e>
                <m:r>
                  <m:t>1</m:t>
                </m:r>
              </m:e>
              <m:sub>
                <m:r>
                  <m:t>F</m:t>
                </m:r>
              </m:sub>
            </m:sSub>
          </m:e>
        </m:d>
        <m:r>
          <m:rPr>
            <m:sty m:val="p"/>
          </m:rPr>
          <m:t>=</m:t>
        </m:r>
        <m:rad>
          <m:radPr>
            <m:degHide m:val="on"/>
          </m:radPr>
          <m:deg/>
          <m:e>
            <m:sSub>
              <m:e>
                <m:r>
                  <m:t>P</m:t>
                </m:r>
              </m:e>
              <m:sub>
                <m:r>
                  <m:t>t</m:t>
                </m:r>
              </m:sub>
            </m:sSub>
            <m:d>
              <m:dPr>
                <m:begChr m:val="("/>
                <m:sepChr m:val=""/>
                <m:endChr m:val=")"/>
                <m:grow/>
              </m:dPr>
              <m:e>
                <m:r>
                  <m:t>1</m:t>
                </m:r>
                <m:r>
                  <m:rPr>
                    <m:sty m:val="p"/>
                  </m:rPr>
                  <m:t>−</m:t>
                </m:r>
                <m:sSub>
                  <m:e>
                    <m:r>
                      <m:t>P</m:t>
                    </m:r>
                  </m:e>
                  <m:sub>
                    <m:r>
                      <m:t>t</m:t>
                    </m:r>
                  </m:sub>
                </m:sSub>
              </m:e>
            </m:d>
          </m:e>
        </m:rad>
        <m:r>
          <m:rPr>
            <m:sty m:val="p"/>
          </m:rPr>
          <m:t>≤</m:t>
        </m:r>
        <m:r>
          <m:t>1</m:t>
        </m:r>
        <m:r>
          <m:rPr>
            <m:sty m:val="p"/>
          </m:rPr>
          <m:t>/</m:t>
        </m:r>
        <m:r>
          <m:t>2</m:t>
        </m:r>
      </m:oMath>
      <w:r>
        <w:t xml:space="preserve">. </w:t>
      </w:r>
      <m:oMath>
        <m:r>
          <m:rPr>
            <m:sty m:val="p"/>
          </m:rPr>
          <m:t>▫</m:t>
        </m:r>
      </m:oMath>
    </w:p>
    <w:p>
      <w:pPr>
        <w:spacing w:after="120"/>
        <w:jc w:val="both"/>
      </w:pPr>
      <w:r>
        <w:t xml:space="preserve">The bound names two ways in which data end a dispute. They can narrow the disputed drivers (the first factor), which is how opinions merge as information grows without bound [B7]; or they can </w:t>
      </w:r>
      <w:r>
        <w:rPr>
          <w:i/>
          <w:iCs/>
        </w:rPr>
        <w:t xml:space="preserve">resolve the event itself</w:t>
      </w:r>
      <w:r>
        <w:t xml:space="preserve"> (the second factor): if the data make failure nearly certain or nearly impossible under every tilt, the stakeholders agree on the decision even if they still disagree about the mixing width. The second way needs far less data, and section 9.6 shows it is the one that works at Fushë-Kuqe.</w:t>
      </w:r>
    </w:p>
    <w:p>
      <w:pPr>
        <w:pStyle w:val="Heading3"/>
      </w:pPr>
      <w:r>
        <w:rPr>
          <w:color w:val="1F3864"/>
        </w:rPr>
        <w:t xml:space="preserve">9.3 Proposition V2: a decisive choice exists, and recharge removes deadlock</w:t>
      </w:r>
    </w:p>
    <w:p>
      <w:pPr>
        <w:spacing w:after="120"/>
        <w:jc w:val="both"/>
      </w:pPr>
      <w:r>
        <w:rPr>
          <w:b/>
          <w:bCs/>
        </w:rPr>
        <w:t xml:space="preserve">Proposition V2.</w:t>
      </w:r>
      <w:r>
        <w:t xml:space="preserve"> Suppose failure is monotone in the action: for every aquifer </w:t>
      </w:r>
      <m:oMath>
        <m:r>
          <m:t>θ</m:t>
        </m:r>
      </m:oMath>
      <w:r>
        <w:t xml:space="preserve">, </w:t>
      </w:r>
      <m:oMath>
        <m:sSub>
          <m:e>
            <m:r>
              <m:t>1</m:t>
            </m:r>
          </m:e>
          <m:sub>
            <m:r>
              <m:t>F</m:t>
            </m:r>
          </m:sub>
        </m:sSub>
        <m:d>
          <m:dPr>
            <m:begChr m:val="("/>
            <m:sepChr m:val=""/>
            <m:endChr m:val=")"/>
            <m:grow/>
          </m:dPr>
          <m:e>
            <m:r>
              <m:t>θ</m:t>
            </m:r>
            <m:r>
              <m:rPr>
                <m:sty m:val="p"/>
              </m:rPr>
              <m:t>,</m:t>
            </m:r>
            <m:r>
              <m:t>s</m:t>
            </m:r>
            <m:r>
              <m:rPr>
                <m:sty m:val="p"/>
              </m:rPr>
              <m:t>,</m:t>
            </m:r>
            <m:r>
              <m:t>q</m:t>
            </m:r>
          </m:e>
        </m:d>
      </m:oMath>
      <w:r>
        <w:t xml:space="preserve"> is non-decreasing in the pumping </w:t>
      </w:r>
      <m:oMath>
        <m:r>
          <m:t>s</m:t>
        </m:r>
      </m:oMath>
      <w:r>
        <w:t xml:space="preserve"> and non-increasing in the recharge </w:t>
      </w:r>
      <m:oMath>
        <m:r>
          <m:t>q</m:t>
        </m:r>
      </m:oMath>
      <w:r>
        <w:t xml:space="preserve">. Then for every stakeholder </w:t>
      </w:r>
      <m:oMath>
        <m:r>
          <m:t>k</m:t>
        </m:r>
      </m:oMath>
      <w:r>
        <w:t xml:space="preserve"> and data </w:t>
      </w:r>
      <m:oMath>
        <m:r>
          <m:t>y</m:t>
        </m:r>
      </m:oMath>
      <w:r>
        <w:t xml:space="preserve">: (i) </w:t>
      </w:r>
      <m:oMath>
        <m:sSub>
          <m:e>
            <m:r>
              <m:t>P</m:t>
            </m:r>
          </m:e>
          <m:sub>
            <m:r>
              <m:t>k</m:t>
            </m:r>
          </m:sub>
        </m:sSub>
        <m:d>
          <m:dPr>
            <m:begChr m:val="("/>
            <m:sepChr m:val=""/>
            <m:endChr m:val=")"/>
            <m:grow/>
          </m:dPr>
          <m:e>
            <m:r>
              <m:t>F</m:t>
            </m:r>
            <m:r>
              <m:rPr>
                <m:sty m:val="p"/>
              </m:rPr>
              <m:t>∣</m:t>
            </m:r>
            <m:r>
              <m:t>y</m:t>
            </m:r>
            <m:r>
              <m:rPr>
                <m:sty m:val="p"/>
              </m:rPr>
              <m:t>,</m:t>
            </m:r>
            <m:r>
              <m:t>s</m:t>
            </m:r>
            <m:r>
              <m:rPr>
                <m:sty m:val="p"/>
              </m:rPr>
              <m:t>,</m:t>
            </m:r>
            <m:r>
              <m:t>q</m:t>
            </m:r>
          </m:e>
        </m:d>
      </m:oMath>
      <w:r>
        <w:t xml:space="preserve"> is non-decreasing in </w:t>
      </w:r>
      <m:oMath>
        <m:r>
          <m:t>s</m:t>
        </m:r>
      </m:oMath>
      <w:r>
        <w:t xml:space="preserve"> and non-increasing in </w:t>
      </w:r>
      <m:oMath>
        <m:r>
          <m:t>q</m:t>
        </m:r>
      </m:oMath>
      <w:r>
        <w:t xml:space="preserve">, so the pumping that stakeholder </w:t>
      </w:r>
      <m:oMath>
        <m:r>
          <m:t>k</m:t>
        </m:r>
      </m:oMath>
      <w:r>
        <w:t xml:space="preserve"> accepts at recharge </w:t>
      </w:r>
      <m:oMath>
        <m:r>
          <m:t>q</m:t>
        </m:r>
      </m:oMath>
      <w:r>
        <w:t xml:space="preserve"> is an interval </w:t>
      </w:r>
      <m:oMath>
        <m:d>
          <m:dPr>
            <m:begChr m:val="["/>
            <m:sepChr m:val=""/>
            <m:endChr m:val="]"/>
            <m:grow/>
          </m:dPr>
          <m:e>
            <m:r>
              <m:t>0</m:t>
            </m:r>
            <m:r>
              <m:rPr>
                <m:sty m:val="p"/>
              </m:rPr>
              <m:t>,</m:t>
            </m:r>
            <m:sSubSup>
              <m:e>
                <m:r>
                  <m:t>s</m:t>
                </m:r>
              </m:e>
              <m:sub>
                <m:r>
                  <m:t>k</m:t>
                </m:r>
              </m:sub>
              <m:sup>
                <m:r>
                  <m:rPr>
                    <m:sty m:val="p"/>
                  </m:rPr>
                  <m:t>⋆</m:t>
                </m:r>
              </m:sup>
            </m:sSubSup>
            <m:d>
              <m:dPr>
                <m:begChr m:val="("/>
                <m:sepChr m:val=""/>
                <m:endChr m:val=")"/>
                <m:grow/>
              </m:dPr>
              <m:e>
                <m:r>
                  <m:t>q</m:t>
                </m:r>
              </m:e>
            </m:d>
          </m:e>
        </m:d>
      </m:oMath>
      <w:r>
        <w:t xml:space="preserve">, and </w:t>
      </w:r>
      <m:oMath>
        <m:sSubSup>
          <m:e>
            <m:r>
              <m:t>s</m:t>
            </m:r>
          </m:e>
          <m:sub>
            <m:r>
              <m:t>k</m:t>
            </m:r>
          </m:sub>
          <m:sup>
            <m:r>
              <m:rPr>
                <m:sty m:val="p"/>
              </m:rPr>
              <m:t>⋆</m:t>
            </m:r>
          </m:sup>
        </m:sSubSup>
        <m:d>
          <m:dPr>
            <m:begChr m:val="("/>
            <m:sepChr m:val=""/>
            <m:endChr m:val=")"/>
            <m:grow/>
          </m:dPr>
          <m:e>
            <m:r>
              <m:t>q</m:t>
            </m:r>
          </m:e>
        </m:d>
      </m:oMath>
      <w:r>
        <w:t xml:space="preserve"> is non-decreasing in </w:t>
      </w:r>
      <m:oMath>
        <m:r>
          <m:t>q</m:t>
        </m:r>
      </m:oMath>
      <w:r>
        <w:t xml:space="preserve">; (ii) the unanimous admissible set at recharge </w:t>
      </w:r>
      <m:oMath>
        <m:r>
          <m:t>q</m:t>
        </m:r>
      </m:oMath>
      <w:r>
        <w:t xml:space="preserve"> is the interval</w:t>
      </w:r>
    </w:p>
    <w:p>
      <w:pPr>
        <w:pStyle w:val="Equation"/>
      </w:pPr>
      <m:oMathPara>
        <m:oMathParaPr>
          <m:jc m:val="center"/>
        </m:oMathParaPr>
        <m:oMath>
          <m:sSub>
            <m:e>
              <m:r>
                <m:rPr>
                  <m:scr m:val="script"/>
                  <m:sty m:val="p"/>
                </m:rPr>
                <m:t>A</m:t>
              </m:r>
            </m:e>
            <m:sub>
              <m:r>
                <m:t>q</m:t>
              </m:r>
            </m:sub>
          </m:sSub>
          <m:d>
            <m:dPr>
              <m:begChr m:val="("/>
              <m:sepChr m:val=""/>
              <m:endChr m:val=")"/>
              <m:grow/>
            </m:dPr>
            <m:e>
              <m:r>
                <m:t>y</m:t>
              </m:r>
            </m:e>
          </m:d>
          <m:r>
            <m:rPr>
              <m:sty m:val="p"/>
            </m:rPr>
            <m:t>=</m:t>
          </m:r>
          <m:d>
            <m:dPr>
              <m:begChr m:val="["/>
              <m:sepChr m:val=""/>
              <m:endChr m:val="]"/>
              <m:grow/>
            </m:dPr>
            <m:e>
              <m:r>
                <m:t>0</m:t>
              </m:r>
              <m:r>
                <m:rPr>
                  <m:sty m:val="p"/>
                </m:rPr>
                <m:t>,</m:t>
              </m:r>
              <m:r>
                <m:t> </m:t>
              </m:r>
              <m:sSup>
                <m:e>
                  <m:r>
                    <m:t>s</m:t>
                  </m:r>
                </m:e>
                <m:sup>
                  <m:r>
                    <m:rPr>
                      <m:sty m:val="p"/>
                    </m:rPr>
                    <m:t>⋆</m:t>
                  </m:r>
                </m:sup>
              </m:sSup>
              <m:d>
                <m:dPr>
                  <m:begChr m:val="("/>
                  <m:sepChr m:val=""/>
                  <m:endChr m:val=")"/>
                  <m:grow/>
                </m:dPr>
                <m:e>
                  <m:r>
                    <m:t>q</m:t>
                  </m:r>
                </m:e>
              </m:d>
            </m:e>
          </m:d>
          <m:r>
            <m:rPr>
              <m:sty m:val="p"/>
            </m:rPr>
            <m:t>,</m:t>
          </m:r>
          <m:r>
            <m:t>  </m:t>
          </m:r>
          <m:sSup>
            <m:e>
              <m:r>
                <m:t>s</m:t>
              </m:r>
            </m:e>
            <m:sup>
              <m:r>
                <m:rPr>
                  <m:sty m:val="p"/>
                </m:rPr>
                <m:t>⋆</m:t>
              </m:r>
            </m:sup>
          </m:sSup>
          <m:d>
            <m:dPr>
              <m:begChr m:val="("/>
              <m:sepChr m:val=""/>
              <m:endChr m:val=")"/>
              <m:grow/>
            </m:dPr>
            <m:e>
              <m:r>
                <m:t>q</m:t>
              </m:r>
            </m:e>
          </m:d>
          <m:r>
            <m:rPr>
              <m:sty m:val="p"/>
            </m:rPr>
            <m:t>=</m:t>
          </m:r>
          <m:limLow>
            <m:e>
              <m:r>
                <m:rPr>
                  <m:sty m:val="p"/>
                </m:rPr>
                <m:t>min</m:t>
              </m:r>
            </m:e>
            <m:lim>
              <m:r>
                <m:t>k</m:t>
              </m:r>
            </m:lim>
          </m:limLow>
          <m:sSubSup>
            <m:e>
              <m:r>
                <m:t>s</m:t>
              </m:r>
            </m:e>
            <m:sub>
              <m:r>
                <m:t>k</m:t>
              </m:r>
            </m:sub>
            <m:sup>
              <m:r>
                <m:rPr>
                  <m:sty m:val="p"/>
                </m:rPr>
                <m:t>⋆</m:t>
              </m:r>
            </m:sup>
          </m:sSubSup>
          <m:d>
            <m:dPr>
              <m:begChr m:val="("/>
              <m:sepChr m:val=""/>
              <m:endChr m:val=")"/>
              <m:grow/>
            </m:dPr>
            <m:e>
              <m:r>
                <m:t>q</m:t>
              </m:r>
            </m:e>
          </m:d>
          <m:r>
            <m:rPr>
              <m:sty m:val="p"/>
            </m:rPr>
            <m:t>,</m:t>
          </m:r>
        </m:oMath>
      </m:oMathPara>
    </w:p>
    <w:p>
      <w:pPr>
        <w:spacing w:after="120"/>
        <w:jc w:val="both"/>
      </w:pPr>
      <w:r>
        <w:t xml:space="preserve">so the stakeholder with the smallest cap is pivotal, and </w:t>
      </w:r>
      <m:oMath>
        <m:sSup>
          <m:e>
            <m:r>
              <m:t>s</m:t>
            </m:r>
          </m:e>
          <m:sup>
            <m:r>
              <m:rPr>
                <m:sty m:val="p"/>
              </m:rPr>
              <m:t>⋆</m:t>
            </m:r>
          </m:sup>
        </m:sSup>
        <m:d>
          <m:dPr>
            <m:begChr m:val="("/>
            <m:sepChr m:val=""/>
            <m:endChr m:val=")"/>
            <m:grow/>
          </m:dPr>
          <m:e>
            <m:r>
              <m:t>q</m:t>
            </m:r>
          </m:e>
        </m:d>
      </m:oMath>
      <w:r>
        <w:t xml:space="preserve"> is the only admissible pumping at </w:t>
      </w:r>
      <m:oMath>
        <m:r>
          <m:t>q</m:t>
        </m:r>
      </m:oMath>
      <w:r>
        <w:t xml:space="preserve"> that no other admissible pumping improves for anyone who values water; (iii) the joint choice compares one candidate per recharge level, so it exists and is unique up to ties whenever some recharge level admits </w:t>
      </w:r>
      <m:oMath>
        <m:r>
          <m:t>s</m:t>
        </m:r>
        <m:r>
          <m:rPr>
            <m:sty m:val="p"/>
          </m:rPr>
          <m:t>=</m:t>
        </m:r>
        <m:r>
          <m:t>0</m:t>
        </m:r>
      </m:oMath>
      <w:r>
        <w:t xml:space="preserve">; (iv) deadlock at </w:t>
      </w:r>
      <m:oMath>
        <m:r>
          <m:t>q</m:t>
        </m:r>
      </m:oMath>
      <w:r>
        <w:t xml:space="preserve"> happens if and only if some stakeholder rejects zero pumping at </w:t>
      </w:r>
      <m:oMath>
        <m:r>
          <m:t>q</m:t>
        </m:r>
      </m:oMath>
      <w:r>
        <w:t xml:space="preserve">, and because every </w:t>
      </w:r>
      <m:oMath>
        <m:sSubSup>
          <m:e>
            <m:r>
              <m:t>s</m:t>
            </m:r>
          </m:e>
          <m:sub>
            <m:r>
              <m:t>k</m:t>
            </m:r>
          </m:sub>
          <m:sup>
            <m:r>
              <m:rPr>
                <m:sty m:val="p"/>
              </m:rPr>
              <m:t>⋆</m:t>
            </m:r>
          </m:sup>
        </m:sSubSup>
        <m:d>
          <m:dPr>
            <m:begChr m:val="("/>
            <m:sepChr m:val=""/>
            <m:endChr m:val=")"/>
            <m:grow/>
          </m:dPr>
          <m:e>
            <m:r>
              <m:t>q</m:t>
            </m:r>
          </m:e>
        </m:d>
      </m:oMath>
      <w:r>
        <w:t xml:space="preserve"> is non-decreasing in </w:t>
      </w:r>
      <m:oMath>
        <m:r>
          <m:t>q</m:t>
        </m:r>
      </m:oMath>
      <w:r>
        <w:t xml:space="preserve">, more recharge can end a deadlock but never create one.</w:t>
      </w:r>
    </w:p>
    <w:p>
      <w:pPr>
        <w:spacing w:after="120"/>
        <w:jc w:val="both"/>
      </w:pPr>
      <w:r>
        <w:rPr>
          <w:i/>
          <w:iCs/>
        </w:rPr>
        <w:t xml:space="preserve">Proof.</w:t>
      </w:r>
      <w:r>
        <w:t xml:space="preserve"> (i) An expectation of a monotone function is monotone under any probability, and a sub-level set of a non-decreasing function of </w:t>
      </w:r>
      <m:oMath>
        <m:r>
          <m:t>s</m:t>
        </m:r>
      </m:oMath>
      <w:r>
        <w:t xml:space="preserve"> that contains </w:t>
      </w:r>
      <m:oMath>
        <m:r>
          <m:t>0</m:t>
        </m:r>
      </m:oMath>
      <w:r>
        <w:t xml:space="preserve"> is an interval starting at </w:t>
      </w:r>
      <m:oMath>
        <m:r>
          <m:t>0</m:t>
        </m:r>
      </m:oMath>
      <w:r>
        <w:t xml:space="preserve">. (ii) The intersection of the intervals </w:t>
      </w:r>
      <m:oMath>
        <m:d>
          <m:dPr>
            <m:begChr m:val="["/>
            <m:sepChr m:val=""/>
            <m:endChr m:val="]"/>
            <m:grow/>
          </m:dPr>
          <m:e>
            <m:r>
              <m:t>0</m:t>
            </m:r>
            <m:r>
              <m:rPr>
                <m:sty m:val="p"/>
              </m:rPr>
              <m:t>,</m:t>
            </m:r>
            <m:sSubSup>
              <m:e>
                <m:r>
                  <m:t>s</m:t>
                </m:r>
              </m:e>
              <m:sub>
                <m:r>
                  <m:t>k</m:t>
                </m:r>
              </m:sub>
              <m:sup>
                <m:r>
                  <m:rPr>
                    <m:sty m:val="p"/>
                  </m:rPr>
                  <m:t>⋆</m:t>
                </m:r>
              </m:sup>
            </m:sSubSup>
          </m:e>
        </m:d>
      </m:oMath>
      <w:r>
        <w:t xml:space="preserve"> is </w:t>
      </w:r>
      <m:oMath>
        <m:d>
          <m:dPr>
            <m:begChr m:val="["/>
            <m:sepChr m:val=""/>
            <m:endChr m:val="]"/>
            <m:grow/>
          </m:dPr>
          <m:e>
            <m:r>
              <m:t>0</m:t>
            </m:r>
            <m:r>
              <m:rPr>
                <m:sty m:val="p"/>
              </m:rPr>
              <m:t>,</m:t>
            </m:r>
            <m:sSub>
              <m:e>
                <m:r>
                  <m:rPr>
                    <m:sty m:val="p"/>
                  </m:rPr>
                  <m:t>min</m:t>
                </m:r>
              </m:e>
              <m:sub>
                <m:r>
                  <m:t>k</m:t>
                </m:r>
              </m:sub>
            </m:sSub>
            <m:sSubSup>
              <m:e>
                <m:r>
                  <m:t>s</m:t>
                </m:r>
              </m:e>
              <m:sub>
                <m:r>
                  <m:t>k</m:t>
                </m:r>
              </m:sub>
              <m:sup>
                <m:r>
                  <m:rPr>
                    <m:sty m:val="p"/>
                  </m:rPr>
                  <m:t>⋆</m:t>
                </m:r>
              </m:sup>
            </m:sSubSup>
          </m:e>
        </m:d>
      </m:oMath>
      <w:r>
        <w:t xml:space="preserve">; every stakeholder prefers more water at the same recharge, and every admissible </w:t>
      </w:r>
      <m:oMath>
        <m:r>
          <m:t>s</m:t>
        </m:r>
      </m:oMath>
      <w:r>
        <w:t xml:space="preserve"> is at most </w:t>
      </w:r>
      <m:oMath>
        <m:sSup>
          <m:e>
            <m:r>
              <m:t>s</m:t>
            </m:r>
          </m:e>
          <m:sup>
            <m:r>
              <m:rPr>
                <m:sty m:val="p"/>
              </m:rPr>
              <m:t>⋆</m:t>
            </m:r>
          </m:sup>
        </m:sSup>
        <m:d>
          <m:dPr>
            <m:begChr m:val="("/>
            <m:sepChr m:val=""/>
            <m:endChr m:val=")"/>
            <m:grow/>
          </m:dPr>
          <m:e>
            <m:r>
              <m:t>q</m:t>
            </m:r>
          </m:e>
        </m:d>
      </m:oMath>
      <w:r>
        <w:t xml:space="preserve">. (iii) The candidates </w:t>
      </w:r>
      <m:oMath>
        <m:d>
          <m:dPr>
            <m:begChr m:val="("/>
            <m:sepChr m:val=""/>
            <m:endChr m:val=")"/>
            <m:grow/>
          </m:dPr>
          <m:e>
            <m:sSup>
              <m:e>
                <m:r>
                  <m:t>s</m:t>
                </m:r>
              </m:e>
              <m:sup>
                <m:r>
                  <m:rPr>
                    <m:sty m:val="p"/>
                  </m:rPr>
                  <m:t>⋆</m:t>
                </m:r>
              </m:sup>
            </m:sSup>
            <m:d>
              <m:dPr>
                <m:begChr m:val="("/>
                <m:sepChr m:val=""/>
                <m:endChr m:val=")"/>
                <m:grow/>
              </m:dPr>
              <m:e>
                <m:r>
                  <m:t>q</m:t>
                </m:r>
              </m:e>
            </m:d>
            <m:r>
              <m:rPr>
                <m:sty m:val="p"/>
              </m:rPr>
              <m:t>,</m:t>
            </m:r>
            <m:r>
              <m:t>q</m:t>
            </m:r>
          </m:e>
        </m:d>
      </m:oMath>
      <w:r>
        <w:t xml:space="preserve"> are finite in number. (iv) follows from (i) and (ii). </w:t>
      </w:r>
      <m:oMath>
        <m:r>
          <m:rPr>
            <m:sty m:val="p"/>
          </m:rPr>
          <m:t>▫</m:t>
        </m:r>
      </m:oMath>
      <w:r>
        <w:t xml:space="preserve"> With the certified margin the estimated risk need not be exactly monotone, because the standard error varies with </w:t>
      </w:r>
      <m:oMath>
        <m:r>
          <m:t>s</m:t>
        </m:r>
      </m:oMath>
      <w:r>
        <w:t xml:space="preserve">; the rule therefore takes the largest </w:t>
      </w:r>
      <m:oMath>
        <m:r>
          <m:t>s</m:t>
        </m:r>
      </m:oMath>
      <w:r>
        <w:t xml:space="preserve"> such that every smaller </w:t>
      </w:r>
      <m:oMath>
        <m:r>
          <m:t>s</m:t>
        </m:r>
      </m:oMath>
      <w:r>
        <w:t xml:space="preserve"> is also admissible, which keeps the interval structure. Unanimity with a common risk limit is a chance constraint imposed under every belief in the set, a distributionally robust chance constraint over a finite ambiguity set [B12]; the proposition is what makes it decisive: deliberation reduces to one cap per recharge level, set by one pivotal stakeholder, and one comparison of net water.</w:t>
      </w:r>
    </w:p>
    <w:p>
      <w:pPr>
        <w:pStyle w:val="Heading3"/>
      </w:pPr>
      <w:r>
        <w:rPr>
          <w:color w:val="1F3864"/>
        </w:rPr>
        <w:t xml:space="preserve">9.4 Proposition V3: buying information is safe for every stakeholder</w:t>
      </w:r>
    </w:p>
    <w:p>
      <w:pPr>
        <w:spacing w:after="120"/>
        <w:jc w:val="both"/>
      </w:pPr>
      <w:r>
        <w:rPr>
          <w:b/>
          <w:bCs/>
        </w:rPr>
        <w:t xml:space="preserve">Proposition V3.</w:t>
      </w:r>
      <w:r>
        <w:t xml:space="preserve"> Let every stakeholder update with the common likelihood, let the risks be exact, and let the rule never deadlock for the information design </w:t>
      </w:r>
      <m:oMath>
        <m:r>
          <m:t>d</m:t>
        </m:r>
      </m:oMath>
      <w:r>
        <w:t xml:space="preserve"> (including no information). Then for every stakeholder </w:t>
      </w:r>
      <m:oMath>
        <m:r>
          <m:t>k</m:t>
        </m:r>
      </m:oMath>
      <w:r>
        <w:t xml:space="preserve">, by its own belief,</w:t>
      </w:r>
    </w:p>
    <w:p>
      <w:pPr>
        <w:pStyle w:val="Equation"/>
      </w:pPr>
      <m:oMathPara>
        <m:oMathParaPr>
          <m:jc m:val="center"/>
        </m:oMathParaPr>
        <m:oMath>
          <m:sSub>
            <m:e>
              <m:r>
                <m:t>P</m:t>
              </m:r>
            </m:e>
            <m:sub>
              <m:r>
                <m:t>k</m:t>
              </m:r>
            </m:sub>
          </m:sSub>
          <m:d>
            <m:dPr>
              <m:begChr m:val="("/>
              <m:sepChr m:val=""/>
              <m:endChr m:val=")"/>
              <m:grow/>
            </m:dPr>
            <m:e>
              <m:r>
                <m:t>F</m:t>
              </m:r>
              <m:d>
                <m:dPr>
                  <m:begChr m:val="("/>
                  <m:sepChr m:val=""/>
                  <m:endChr m:val=")"/>
                  <m:grow/>
                </m:dPr>
                <m:e>
                  <m:sSup>
                    <m:e>
                      <m:r>
                        <m:t>a</m:t>
                      </m:r>
                    </m:e>
                    <m:sup>
                      <m:r>
                        <m:rPr>
                          <m:sty m:val="p"/>
                        </m:rPr>
                        <m:t>⋆</m:t>
                      </m:r>
                    </m:sup>
                  </m:sSup>
                  <m:d>
                    <m:dPr>
                      <m:begChr m:val="("/>
                      <m:sepChr m:val=""/>
                      <m:endChr m:val=")"/>
                      <m:grow/>
                    </m:dPr>
                    <m:e>
                      <m:r>
                        <m:t>Y</m:t>
                      </m:r>
                    </m:e>
                  </m:d>
                </m:e>
              </m:d>
            </m:e>
          </m:d>
          <m:r>
            <m:rPr>
              <m:sty m:val="p"/>
            </m:rPr>
            <m:t>=</m:t>
          </m:r>
          <m:sSub>
            <m:e>
              <m:r>
                <m:t>E</m:t>
              </m:r>
            </m:e>
            <m:sub>
              <m:r>
                <m:t>k</m:t>
              </m:r>
            </m:sub>
          </m:sSub>
          <m:d>
            <m:dPr>
              <m:begChr m:val="["/>
              <m:sepChr m:val=""/>
              <m:endChr m:val="]"/>
              <m:grow/>
            </m:dPr>
            <m:e>
              <m:sSub>
                <m:e>
                  <m:r>
                    <m:t>P</m:t>
                  </m:r>
                </m:e>
                <m:sub>
                  <m:r>
                    <m:t>k</m:t>
                  </m:r>
                </m:sub>
              </m:sSub>
              <m:d>
                <m:dPr>
                  <m:begChr m:val="("/>
                  <m:sepChr m:val=""/>
                  <m:endChr m:val=")"/>
                  <m:grow/>
                </m:dPr>
                <m:e>
                  <m:r>
                    <m:t>F</m:t>
                  </m:r>
                  <m:r>
                    <m:rPr>
                      <m:sty m:val="p"/>
                    </m:rPr>
                    <m:t>∣</m:t>
                  </m:r>
                  <m:r>
                    <m:t>Y</m:t>
                  </m:r>
                  <m:r>
                    <m:rPr>
                      <m:sty m:val="p"/>
                    </m:rPr>
                    <m:t>,</m:t>
                  </m:r>
                  <m:sSup>
                    <m:e>
                      <m:r>
                        <m:t>a</m:t>
                      </m:r>
                    </m:e>
                    <m:sup>
                      <m:r>
                        <m:rPr>
                          <m:sty m:val="p"/>
                        </m:rPr>
                        <m:t>⋆</m:t>
                      </m:r>
                    </m:sup>
                  </m:sSup>
                  <m:d>
                    <m:dPr>
                      <m:begChr m:val="("/>
                      <m:sepChr m:val=""/>
                      <m:endChr m:val=")"/>
                      <m:grow/>
                    </m:dPr>
                    <m:e>
                      <m:r>
                        <m:t>Y</m:t>
                      </m:r>
                    </m:e>
                  </m:d>
                </m:e>
              </m:d>
            </m:e>
          </m:d>
          <m:r>
            <m:rPr>
              <m:sty m:val="p"/>
            </m:rPr>
            <m:t>≤</m:t>
          </m:r>
          <m:r>
            <m:t>α</m:t>
          </m:r>
        </m:oMath>
      </m:oMathPara>
    </w:p>
    <w:p>
      <w:pPr>
        <w:spacing w:after="120"/>
        <w:jc w:val="both"/>
      </w:pPr>
      <w:r>
        <w:t xml:space="preserve">where </w:t>
      </w:r>
      <m:oMath>
        <m:sSub>
          <m:e>
            <m:r>
              <m:t>E</m:t>
            </m:r>
          </m:e>
          <m:sub>
            <m:r>
              <m:t>k</m:t>
            </m:r>
          </m:sub>
        </m:sSub>
      </m:oMath>
      <w:r>
        <w:t xml:space="preserve"> is the expectation under stakeholder </w:t>
      </w:r>
      <m:oMath>
        <m:r>
          <m:t>k</m:t>
        </m:r>
      </m:oMath>
      <w:r>
        <w:t xml:space="preserve">'s prior predictive distribution of the data </w:t>
      </w:r>
      <m:oMath>
        <m:r>
          <m:t>Y</m:t>
        </m:r>
      </m:oMath>
      <w:r>
        <w:t xml:space="preserve">. </w:t>
      </w:r>
      <w:r>
        <w:rPr>
          <w:i/>
          <w:iCs/>
        </w:rPr>
        <w:t xml:space="preserve">Proof.</w:t>
      </w:r>
      <w:r>
        <w:t xml:space="preserve"> The tower property gives the equality, and every term in the expectation is at most </w:t>
      </w:r>
      <m:oMath>
        <m:r>
          <m:t>α</m:t>
        </m:r>
      </m:oMath>
      <w:r>
        <w:t xml:space="preserve"> because </w:t>
      </w:r>
      <m:oMath>
        <m:sSup>
          <m:e>
            <m:r>
              <m:t>a</m:t>
            </m:r>
          </m:e>
          <m:sup>
            <m:r>
              <m:rPr>
                <m:sty m:val="p"/>
              </m:rPr>
              <m:t>⋆</m:t>
            </m:r>
          </m:sup>
        </m:sSup>
        <m:d>
          <m:dPr>
            <m:begChr m:val="("/>
            <m:sepChr m:val=""/>
            <m:endChr m:val=")"/>
            <m:grow/>
          </m:dPr>
          <m:e>
            <m:r>
              <m:t>y</m:t>
            </m:r>
          </m:e>
        </m:d>
      </m:oMath>
      <w:r>
        <w:t xml:space="preserve"> is admissible for every </w:t>
      </w:r>
      <m:oMath>
        <m:r>
          <m:t>y</m:t>
        </m:r>
      </m:oMath>
      <w:r>
        <w:t xml:space="preserve">. </w:t>
      </w:r>
      <m:oMath>
        <m:r>
          <m:rPr>
            <m:sty m:val="p"/>
          </m:rPr>
          <m:t>▫</m:t>
        </m:r>
      </m:oMath>
    </w:p>
    <w:p>
      <w:pPr>
        <w:spacing w:after="120"/>
        <w:jc w:val="both"/>
      </w:pPr>
      <w:r>
        <w:t xml:space="preserve">So no stakeholder, judged by its own belief, takes more than the agreed risk by letting the group buy information first, whatever the data turn out to be; the choice of design can then be argued on water and on safety alone [B13], and a stakeholder agrees to a design that raises its own expected net water or lowers its own risk. The average-belief rule has no such guarantee: its constraint holds for the average belief, so a stakeholder more pessimistic than the average expects a risk above </w:t>
      </w:r>
      <m:oMath>
        <m:r>
          <m:t>α</m:t>
        </m:r>
      </m:oMath>
      <w:r>
        <w:t xml:space="preserve">, which is why it would veto. Two things weaken V3 in practice, and section 9.6 measures both: a deadlock whose fallback is not safe for everyone, and the Monte Carlo error of the estimated risks, which the certified margin controls only approximately.</w:t>
      </w:r>
    </w:p>
    <w:p>
      <w:pPr>
        <w:pStyle w:val="Heading3"/>
      </w:pPr>
      <w:r>
        <w:rPr>
          <w:color w:val="1F3864"/>
        </w:rPr>
        <w:t xml:space="preserve">9.5 The test: 2,000 truths, four information designs</w:t>
      </w:r>
    </w:p>
    <w:p>
      <w:pPr>
        <w:spacing w:after="120"/>
        <w:jc w:val="both"/>
      </w:pPr>
      <w:r>
        <w:t xml:space="preserve">For each of 2,000 truths drawn from the outer half of the ensemble, the data of each design are simulated at the current pumping, every stakeholder updates its belief on the inner half (10,000 weighted aquifers), and the rule of section 9.1 chooses </w:t>
      </w:r>
      <m:oMath>
        <m:d>
          <m:dPr>
            <m:begChr m:val="("/>
            <m:sepChr m:val=""/>
            <m:endChr m:val=")"/>
            <m:grow/>
          </m:dPr>
          <m:e>
            <m:r>
              <m:t>s</m:t>
            </m:r>
            <m:r>
              <m:rPr>
                <m:sty m:val="p"/>
              </m:rPr>
              <m:t>,</m:t>
            </m:r>
            <m:r>
              <m:t>q</m:t>
            </m:r>
          </m:e>
        </m:d>
      </m:oMath>
      <w:r>
        <w:t xml:space="preserve"> on a grid of 61 pumping scales (</w:t>
      </w:r>
      <m:oMath>
        <m:r>
          <m:t>s</m:t>
        </m:r>
        <m:r>
          <m:rPr>
            <m:sty m:val="p"/>
          </m:rPr>
          <m:t>=</m:t>
        </m:r>
        <m:r>
          <m:t>0</m:t>
        </m:r>
      </m:oMath>
      <w:r>
        <w:t xml:space="preserve"> to 3) and the four recharge levels. The realised outcome is whether the chosen action fails </w:t>
      </w:r>
      <w:r>
        <w:rPr>
          <w:i/>
          <w:iCs/>
        </w:rPr>
        <w:t xml:space="preserve">in the truth</w:t>
      </w:r>
      <w:r>
        <w:t xml:space="preserve">. It is reported under each stakeholder's own belief by weighting the truths with that stakeholder's tilt (at least 835 effective truths for every stakeholder), so each stakeholder can check Proposition V3 by its own lights. The disagreement is the largest difference between two stakeholders' posterior risks at </w:t>
      </w:r>
      <m:oMath>
        <m:r>
          <m:t>s</m:t>
        </m:r>
        <m:r>
          <m:rPr>
            <m:sty m:val="p"/>
          </m:rPr>
          <m:t>=</m:t>
        </m:r>
        <m:r>
          <m:t>0.5</m:t>
        </m:r>
      </m:oMath>
      <w:r>
        <w:t xml:space="preserve"> without recharge, and its bound is that of Proposition V1, evaluated along the segment between the two most distant tilts (11 points). Tables 9.1–9.4 and Figure V1 give the results.</w:t>
      </w:r>
    </w:p>
    <w:p>
      <w:pPr>
        <w:keepNext/>
        <w:spacing w:after="60" w:before="120"/>
        <w:jc w:val="center"/>
      </w:pPr>
      <w:r>
        <w:drawing>
          <wp:inline distT="0" distB="0" distL="0" distR="0">
            <wp:extent cx="5943600" cy="4219575"/>
            <wp:effectExtent t="0" r="0" b="0" l="0"/>
            <wp:docPr id="1" name="Four panels: prior risk curves of the five stakeholders, disagreement and its bound for four information designs, net water of the unanimous and average-belief rules, and realised failure by each stakeholder's belief" descr="Four panels: prior risk curves of the five stakeholders, disagreement and its bound for four information designs, net water of the unanimous and average-belief rules, and realised failure by each stakeholder's belief" title="Four panels: prior risk curves of the five stakeholders, disagreement and its bound for four information designs, net water of the unanimous and average-belief rules, and realised failure by each stakeholder's bel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219575"/>
                    </a:xfrm>
                    <a:prstGeom prst="rect">
                      <a:avLst/>
                    </a:prstGeom>
                  </pic:spPr>
                </pic:pic>
              </a:graphicData>
            </a:graphic>
          </wp:inline>
        </w:drawing>
      </w:r>
    </w:p>
    <w:p>
      <w:pPr>
        <w:spacing w:after="200"/>
        <w:jc w:val="both"/>
      </w:pPr>
      <w:r>
        <w:rPr>
          <w:b/>
          <w:bCs/>
          <w:color w:val="3A4350"/>
          <w:sz w:val="18"/>
          <w:szCs w:val="18"/>
        </w:rPr>
        <w:t xml:space="preserve">Figure V1.</w:t>
      </w:r>
      <w:r>
        <w:rPr>
          <w:color w:val="3A4350"/>
          <w:sz w:val="18"/>
          <w:szCs w:val="18"/>
        </w:rPr>
        <w:t xml:space="preserve"> (a) Each stakeholder's prior probability that a supply screen exceeds 250 mg/L against the pumping scale, without recharge (solid) and with 3 × 5,000 m³/d (dashed). (b) The largest disagreement between stakeholders at </w:t>
      </w:r>
      <m:oMath>
        <m:r>
          <m:t>s</m:t>
        </m:r>
        <m:r>
          <m:rPr>
            <m:sty m:val="p"/>
          </m:rPr>
          <m:t>=</m:t>
        </m:r>
        <m:r>
          <m:t>0.5</m:t>
        </m:r>
      </m:oMath>
      <w:r>
        <w:rPr>
          <w:color w:val="3A4350"/>
          <w:sz w:val="18"/>
          <w:szCs w:val="18"/>
        </w:rPr>
        <w:t xml:space="preserve"> (bars) and the bound of Proposition V1 (black lines), for four information designs. (c) Net water (pumped minus half the recharged water) of the decisive unanimous choice and of the average-belief rule, with the mean number of stakeholders who would veto the latter. (d) Realised failure frequency judged by each stakeholder's own belief, for the unanimous rule without data and with the chloride sample, and for the average-belief rule (crosses).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800"/>
        <w:gridCol w:w="1300"/>
        <w:gridCol w:w="1700"/>
        <w:gridCol w:w="1250"/>
        <w:gridCol w:w="1350"/>
        <w:gridCol w:w="2238"/>
      </w:tblGrid>
      <w:tr>
        <w:trPr>
          <w:cantSplit/>
          <w:tblHeader/>
        </w:trPr>
        <w:tc>
          <w:tcPr>
            <w:tcW w:type="dxa" w:w="1800"/>
            <w:shd w:fill="1F3864" w:color="auto" w:val="clear"/>
            <w:tcMar>
              <w:top w:type="dxa" w:w="60"/>
              <w:left w:type="dxa" w:w="100"/>
              <w:bottom w:type="dxa" w:w="60"/>
              <w:right w:type="dxa" w:w="100"/>
            </w:tcMar>
            <w:vAlign w:val="top"/>
          </w:tcPr>
          <w:p>
            <w:r>
              <w:rPr>
                <w:b/>
                <w:bCs/>
                <w:color w:val="FFFFFF"/>
                <w:sz w:val="14"/>
                <w:szCs w:val="14"/>
              </w:rPr>
              <w:t xml:space="preserve">Stakeholder</w:t>
            </w:r>
          </w:p>
        </w:tc>
        <w:tc>
          <w:tcPr>
            <w:tcW w:type="dxa" w:w="1300"/>
            <w:shd w:fill="1F3864" w:color="auto" w:val="clear"/>
            <w:tcMar>
              <w:top w:type="dxa" w:w="60"/>
              <w:left w:type="dxa" w:w="100"/>
              <w:bottom w:type="dxa" w:w="60"/>
              <w:right w:type="dxa" w:w="100"/>
            </w:tcMar>
            <w:vAlign w:val="top"/>
          </w:tcPr>
          <w:p>
            <w:r>
              <w:rPr>
                <w:b/>
                <w:bCs/>
                <w:color w:val="FFFFFF"/>
                <w:sz w:val="14"/>
                <w:szCs w:val="14"/>
              </w:rPr>
              <w:t xml:space="preserve">Tilt λ (width, recharge)</w:t>
            </w:r>
          </w:p>
        </w:tc>
        <w:tc>
          <w:tcPr>
            <w:tcW w:type="dxa" w:w="1700"/>
            <w:shd w:fill="1F3864" w:color="auto" w:val="clear"/>
            <w:tcMar>
              <w:top w:type="dxa" w:w="60"/>
              <w:left w:type="dxa" w:w="100"/>
              <w:bottom w:type="dxa" w:w="60"/>
              <w:right w:type="dxa" w:w="100"/>
            </w:tcMar>
            <w:vAlign w:val="top"/>
          </w:tcPr>
          <w:p>
            <w:r>
              <w:rPr>
                <w:b/>
                <w:bCs/>
                <w:color w:val="FFFFFF"/>
                <w:sz w:val="14"/>
                <w:szCs w:val="14"/>
              </w:rPr>
              <w:t xml:space="preserve">Mean of z under the belief (width, recharge)</w:t>
            </w:r>
          </w:p>
        </w:tc>
        <w:tc>
          <w:tcPr>
            <w:tcW w:type="dxa" w:w="1250"/>
            <w:shd w:fill="1F3864" w:color="auto" w:val="clear"/>
            <w:tcMar>
              <w:top w:type="dxa" w:w="60"/>
              <w:left w:type="dxa" w:w="100"/>
              <w:bottom w:type="dxa" w:w="60"/>
              <w:right w:type="dxa" w:w="100"/>
            </w:tcMar>
            <w:vAlign w:val="top"/>
          </w:tcPr>
          <w:p>
            <w:r>
              <w:rPr>
                <w:b/>
                <w:bCs/>
                <w:color w:val="FFFFFF"/>
                <w:sz w:val="14"/>
                <w:szCs w:val="14"/>
              </w:rPr>
              <w:t xml:space="preserve">Prior risk at s = 1, no recharge</w:t>
            </w:r>
          </w:p>
        </w:tc>
        <w:tc>
          <w:tcPr>
            <w:tcW w:type="dxa" w:w="1350"/>
            <w:shd w:fill="1F3864" w:color="auto" w:val="clear"/>
            <w:tcMar>
              <w:top w:type="dxa" w:w="60"/>
              <w:left w:type="dxa" w:w="100"/>
              <w:bottom w:type="dxa" w:w="60"/>
              <w:right w:type="dxa" w:w="100"/>
            </w:tcMar>
            <w:vAlign w:val="top"/>
          </w:tcPr>
          <w:p>
            <w:r>
              <w:rPr>
                <w:b/>
                <w:bCs/>
                <w:color w:val="FFFFFF"/>
                <w:sz w:val="14"/>
                <w:szCs w:val="14"/>
              </w:rPr>
              <w:t xml:space="preserve">Prior risk at s = 1, 3 × 5,000 m³/d</w:t>
            </w:r>
          </w:p>
        </w:tc>
        <w:tc>
          <w:tcPr>
            <w:tcW w:type="dxa" w:w="2238"/>
            <w:shd w:fill="1F3864" w:color="auto" w:val="clear"/>
            <w:tcMar>
              <w:top w:type="dxa" w:w="60"/>
              <w:left w:type="dxa" w:w="100"/>
              <w:bottom w:type="dxa" w:w="60"/>
              <w:right w:type="dxa" w:w="100"/>
            </w:tcMar>
            <w:vAlign w:val="top"/>
          </w:tcPr>
          <w:p>
            <w:r>
              <w:rPr>
                <w:b/>
                <w:bCs/>
                <w:color w:val="FFFFFF"/>
                <w:sz w:val="14"/>
                <w:szCs w:val="14"/>
              </w:rPr>
              <w:t xml:space="preserve">Own largest s at 10% risk: no recharge / 3 × 5,000 / 3 × 10,000</w:t>
            </w:r>
          </w:p>
        </w:tc>
      </w:tr>
      <w:tr>
        <w:trPr>
          <w:cantSplit/>
        </w:trPr>
        <w:tc>
          <w:tcPr>
            <w:tcW w:type="dxa" w:w="1800"/>
            <w:tcMar>
              <w:top w:type="dxa" w:w="60"/>
              <w:left w:type="dxa" w:w="100"/>
              <w:bottom w:type="dxa" w:w="60"/>
              <w:right w:type="dxa" w:w="100"/>
            </w:tcMar>
            <w:vAlign w:val="top"/>
          </w:tcPr>
          <w:p>
            <w:r>
              <w:rPr>
                <w:sz w:val="14"/>
                <w:szCs w:val="14"/>
              </w:rPr>
              <w:t xml:space="preserve">Water utility</w:t>
            </w:r>
          </w:p>
        </w:tc>
        <w:tc>
          <w:tcPr>
            <w:tcW w:type="dxa" w:w="1300"/>
            <w:tcMar>
              <w:top w:type="dxa" w:w="60"/>
              <w:left w:type="dxa" w:w="100"/>
              <w:bottom w:type="dxa" w:w="60"/>
              <w:right w:type="dxa" w:w="100"/>
            </w:tcMar>
            <w:vAlign w:val="top"/>
          </w:tcPr>
          <w:p>
            <w:r>
              <w:rPr>
                <w:sz w:val="14"/>
                <w:szCs w:val="14"/>
              </w:rPr>
              <w:t xml:space="preserve">(0.00, 0.00)</w:t>
            </w:r>
          </w:p>
        </w:tc>
        <w:tc>
          <w:tcPr>
            <w:tcW w:type="dxa" w:w="1700"/>
            <w:tcMar>
              <w:top w:type="dxa" w:w="60"/>
              <w:left w:type="dxa" w:w="100"/>
              <w:bottom w:type="dxa" w:w="60"/>
              <w:right w:type="dxa" w:w="100"/>
            </w:tcMar>
            <w:vAlign w:val="top"/>
          </w:tcPr>
          <w:p>
            <w:r>
              <w:rPr>
                <w:sz w:val="14"/>
                <w:szCs w:val="14"/>
              </w:rPr>
              <w:t xml:space="preserve">(+0.01, −0.02)</w:t>
            </w:r>
          </w:p>
        </w:tc>
        <w:tc>
          <w:tcPr>
            <w:tcW w:type="dxa" w:w="1250"/>
            <w:tcMar>
              <w:top w:type="dxa" w:w="60"/>
              <w:left w:type="dxa" w:w="100"/>
              <w:bottom w:type="dxa" w:w="60"/>
              <w:right w:type="dxa" w:w="100"/>
            </w:tcMar>
            <w:vAlign w:val="top"/>
          </w:tcPr>
          <w:p>
            <w:r>
              <w:rPr>
                <w:sz w:val="14"/>
                <w:szCs w:val="14"/>
              </w:rPr>
              <w:t xml:space="preserve">0.37</w:t>
            </w:r>
          </w:p>
        </w:tc>
        <w:tc>
          <w:tcPr>
            <w:tcW w:type="dxa" w:w="1350"/>
            <w:tcMar>
              <w:top w:type="dxa" w:w="60"/>
              <w:left w:type="dxa" w:w="100"/>
              <w:bottom w:type="dxa" w:w="60"/>
              <w:right w:type="dxa" w:w="100"/>
            </w:tcMar>
            <w:vAlign w:val="top"/>
          </w:tcPr>
          <w:p>
            <w:r>
              <w:rPr>
                <w:sz w:val="14"/>
                <w:szCs w:val="14"/>
              </w:rPr>
              <w:t xml:space="preserve">0.07</w:t>
            </w:r>
          </w:p>
        </w:tc>
        <w:tc>
          <w:tcPr>
            <w:tcW w:type="dxa" w:w="2238"/>
            <w:tcMar>
              <w:top w:type="dxa" w:w="60"/>
              <w:left w:type="dxa" w:w="100"/>
              <w:bottom w:type="dxa" w:w="60"/>
              <w:right w:type="dxa" w:w="100"/>
            </w:tcMar>
            <w:vAlign w:val="top"/>
          </w:tcPr>
          <w:p>
            <w:r>
              <w:rPr>
                <w:sz w:val="14"/>
                <w:szCs w:val="14"/>
              </w:rPr>
              <w:t xml:space="preserve">0.35 / 1.05 / 1.55</w:t>
            </w:r>
          </w:p>
        </w:tc>
      </w:tr>
      <w:tr>
        <w:trPr>
          <w:cantSplit/>
        </w:trPr>
        <w:tc>
          <w:tcPr>
            <w:tcW w:type="dxa" w:w="1800"/>
            <w:shd w:fill="F7F9FC" w:color="auto" w:val="clear"/>
            <w:tcMar>
              <w:top w:type="dxa" w:w="60"/>
              <w:left w:type="dxa" w:w="100"/>
              <w:bottom w:type="dxa" w:w="60"/>
              <w:right w:type="dxa" w:w="100"/>
            </w:tcMar>
            <w:vAlign w:val="top"/>
          </w:tcPr>
          <w:p>
            <w:r>
              <w:rPr>
                <w:sz w:val="14"/>
                <w:szCs w:val="14"/>
              </w:rPr>
              <w:t xml:space="preserve">Irrigators and hotels</w:t>
            </w:r>
          </w:p>
        </w:tc>
        <w:tc>
          <w:tcPr>
            <w:tcW w:type="dxa" w:w="1300"/>
            <w:shd w:fill="F7F9FC" w:color="auto" w:val="clear"/>
            <w:tcMar>
              <w:top w:type="dxa" w:w="60"/>
              <w:left w:type="dxa" w:w="100"/>
              <w:bottom w:type="dxa" w:w="60"/>
              <w:right w:type="dxa" w:w="100"/>
            </w:tcMar>
            <w:vAlign w:val="top"/>
          </w:tcPr>
          <w:p>
            <w:r>
              <w:rPr>
                <w:sz w:val="14"/>
                <w:szCs w:val="14"/>
              </w:rPr>
              <w:t xml:space="preserve">(−0.75, 0.75)</w:t>
            </w:r>
          </w:p>
        </w:tc>
        <w:tc>
          <w:tcPr>
            <w:tcW w:type="dxa" w:w="1700"/>
            <w:shd w:fill="F7F9FC" w:color="auto" w:val="clear"/>
            <w:tcMar>
              <w:top w:type="dxa" w:w="60"/>
              <w:left w:type="dxa" w:w="100"/>
              <w:bottom w:type="dxa" w:w="60"/>
              <w:right w:type="dxa" w:w="100"/>
            </w:tcMar>
            <w:vAlign w:val="top"/>
          </w:tcPr>
          <w:p>
            <w:r>
              <w:rPr>
                <w:sz w:val="14"/>
                <w:szCs w:val="14"/>
              </w:rPr>
              <w:t xml:space="preserve">(−0.65, +0.36)</w:t>
            </w:r>
          </w:p>
        </w:tc>
        <w:tc>
          <w:tcPr>
            <w:tcW w:type="dxa" w:w="1250"/>
            <w:shd w:fill="F7F9FC" w:color="auto" w:val="clear"/>
            <w:tcMar>
              <w:top w:type="dxa" w:w="60"/>
              <w:left w:type="dxa" w:w="100"/>
              <w:bottom w:type="dxa" w:w="60"/>
              <w:right w:type="dxa" w:w="100"/>
            </w:tcMar>
            <w:vAlign w:val="top"/>
          </w:tcPr>
          <w:p>
            <w:r>
              <w:rPr>
                <w:sz w:val="14"/>
                <w:szCs w:val="14"/>
              </w:rPr>
              <w:t xml:space="preserve">0.15</w:t>
            </w:r>
          </w:p>
        </w:tc>
        <w:tc>
          <w:tcPr>
            <w:tcW w:type="dxa" w:w="1350"/>
            <w:shd w:fill="F7F9FC" w:color="auto" w:val="clear"/>
            <w:tcMar>
              <w:top w:type="dxa" w:w="60"/>
              <w:left w:type="dxa" w:w="100"/>
              <w:bottom w:type="dxa" w:w="60"/>
              <w:right w:type="dxa" w:w="100"/>
            </w:tcMar>
            <w:vAlign w:val="top"/>
          </w:tcPr>
          <w:p>
            <w:r>
              <w:rPr>
                <w:sz w:val="14"/>
                <w:szCs w:val="14"/>
              </w:rPr>
              <w:t xml:space="preserve">0.02</w:t>
            </w:r>
          </w:p>
        </w:tc>
        <w:tc>
          <w:tcPr>
            <w:tcW w:type="dxa" w:w="2238"/>
            <w:shd w:fill="F7F9FC" w:color="auto" w:val="clear"/>
            <w:tcMar>
              <w:top w:type="dxa" w:w="60"/>
              <w:left w:type="dxa" w:w="100"/>
              <w:bottom w:type="dxa" w:w="60"/>
              <w:right w:type="dxa" w:w="100"/>
            </w:tcMar>
            <w:vAlign w:val="top"/>
          </w:tcPr>
          <w:p>
            <w:r>
              <w:rPr>
                <w:sz w:val="14"/>
                <w:szCs w:val="14"/>
              </w:rPr>
              <w:t xml:space="preserve">0.85 / 1.35 / 1.80</w:t>
            </w:r>
          </w:p>
        </w:tc>
      </w:tr>
      <w:tr>
        <w:trPr>
          <w:cantSplit/>
        </w:trPr>
        <w:tc>
          <w:tcPr>
            <w:tcW w:type="dxa" w:w="1800"/>
            <w:tcMar>
              <w:top w:type="dxa" w:w="60"/>
              <w:left w:type="dxa" w:w="100"/>
              <w:bottom w:type="dxa" w:w="60"/>
              <w:right w:type="dxa" w:w="100"/>
            </w:tcMar>
            <w:vAlign w:val="top"/>
          </w:tcPr>
          <w:p>
            <w:r>
              <w:rPr>
                <w:sz w:val="14"/>
                <w:szCs w:val="14"/>
              </w:rPr>
              <w:t xml:space="preserve">Municipality</w:t>
            </w:r>
          </w:p>
        </w:tc>
        <w:tc>
          <w:tcPr>
            <w:tcW w:type="dxa" w:w="1300"/>
            <w:tcMar>
              <w:top w:type="dxa" w:w="60"/>
              <w:left w:type="dxa" w:w="100"/>
              <w:bottom w:type="dxa" w:w="60"/>
              <w:right w:type="dxa" w:w="100"/>
            </w:tcMar>
            <w:vAlign w:val="top"/>
          </w:tcPr>
          <w:p>
            <w:r>
              <w:rPr>
                <w:sz w:val="14"/>
                <w:szCs w:val="14"/>
              </w:rPr>
              <w:t xml:space="preserve">(0.50, 0.00)</w:t>
            </w:r>
          </w:p>
        </w:tc>
        <w:tc>
          <w:tcPr>
            <w:tcW w:type="dxa" w:w="1700"/>
            <w:tcMar>
              <w:top w:type="dxa" w:w="60"/>
              <w:left w:type="dxa" w:w="100"/>
              <w:bottom w:type="dxa" w:w="60"/>
              <w:right w:type="dxa" w:w="100"/>
            </w:tcMar>
            <w:vAlign w:val="top"/>
          </w:tcPr>
          <w:p>
            <w:r>
              <w:rPr>
                <w:sz w:val="14"/>
                <w:szCs w:val="14"/>
              </w:rPr>
              <w:t xml:space="preserve">(+0.41, +0.17)</w:t>
            </w:r>
          </w:p>
        </w:tc>
        <w:tc>
          <w:tcPr>
            <w:tcW w:type="dxa" w:w="1250"/>
            <w:tcMar>
              <w:top w:type="dxa" w:w="60"/>
              <w:left w:type="dxa" w:w="100"/>
              <w:bottom w:type="dxa" w:w="60"/>
              <w:right w:type="dxa" w:w="100"/>
            </w:tcMar>
            <w:vAlign w:val="top"/>
          </w:tcPr>
          <w:p>
            <w:r>
              <w:rPr>
                <w:sz w:val="14"/>
                <w:szCs w:val="14"/>
              </w:rPr>
              <w:t xml:space="preserve">0.43</w:t>
            </w:r>
          </w:p>
        </w:tc>
        <w:tc>
          <w:tcPr>
            <w:tcW w:type="dxa" w:w="1350"/>
            <w:tcMar>
              <w:top w:type="dxa" w:w="60"/>
              <w:left w:type="dxa" w:w="100"/>
              <w:bottom w:type="dxa" w:w="60"/>
              <w:right w:type="dxa" w:w="100"/>
            </w:tcMar>
            <w:vAlign w:val="top"/>
          </w:tcPr>
          <w:p>
            <w:r>
              <w:rPr>
                <w:sz w:val="14"/>
                <w:szCs w:val="14"/>
              </w:rPr>
              <w:t xml:space="preserve">0.11</w:t>
            </w:r>
          </w:p>
        </w:tc>
        <w:tc>
          <w:tcPr>
            <w:tcW w:type="dxa" w:w="2238"/>
            <w:tcMar>
              <w:top w:type="dxa" w:w="60"/>
              <w:left w:type="dxa" w:w="100"/>
              <w:bottom w:type="dxa" w:w="60"/>
              <w:right w:type="dxa" w:w="100"/>
            </w:tcMar>
            <w:vAlign w:val="top"/>
          </w:tcPr>
          <w:p>
            <w:r>
              <w:rPr>
                <w:sz w:val="14"/>
                <w:szCs w:val="14"/>
              </w:rPr>
              <w:t xml:space="preserve">0.00 / 0.95 / 1.50</w:t>
            </w:r>
          </w:p>
        </w:tc>
      </w:tr>
      <w:tr>
        <w:trPr>
          <w:cantSplit/>
        </w:trPr>
        <w:tc>
          <w:tcPr>
            <w:tcW w:type="dxa" w:w="1800"/>
            <w:shd w:fill="F7F9FC" w:color="auto" w:val="clear"/>
            <w:tcMar>
              <w:top w:type="dxa" w:w="60"/>
              <w:left w:type="dxa" w:w="100"/>
              <w:bottom w:type="dxa" w:w="60"/>
              <w:right w:type="dxa" w:w="100"/>
            </w:tcMar>
            <w:vAlign w:val="top"/>
          </w:tcPr>
          <w:p>
            <w:r>
              <w:rPr>
                <w:sz w:val="14"/>
                <w:szCs w:val="14"/>
              </w:rPr>
              <w:t xml:space="preserve">Regional water agency</w:t>
            </w:r>
          </w:p>
        </w:tc>
        <w:tc>
          <w:tcPr>
            <w:tcW w:type="dxa" w:w="1300"/>
            <w:shd w:fill="F7F9FC" w:color="auto" w:val="clear"/>
            <w:tcMar>
              <w:top w:type="dxa" w:w="60"/>
              <w:left w:type="dxa" w:w="100"/>
              <w:bottom w:type="dxa" w:w="60"/>
              <w:right w:type="dxa" w:w="100"/>
            </w:tcMar>
            <w:vAlign w:val="top"/>
          </w:tcPr>
          <w:p>
            <w:r>
              <w:rPr>
                <w:sz w:val="14"/>
                <w:szCs w:val="14"/>
              </w:rPr>
              <w:t xml:space="preserve">(0.00, −0.75)</w:t>
            </w:r>
          </w:p>
        </w:tc>
        <w:tc>
          <w:tcPr>
            <w:tcW w:type="dxa" w:w="1700"/>
            <w:shd w:fill="F7F9FC" w:color="auto" w:val="clear"/>
            <w:tcMar>
              <w:top w:type="dxa" w:w="60"/>
              <w:left w:type="dxa" w:w="100"/>
              <w:bottom w:type="dxa" w:w="60"/>
              <w:right w:type="dxa" w:w="100"/>
            </w:tcMar>
            <w:vAlign w:val="top"/>
          </w:tcPr>
          <w:p>
            <w:r>
              <w:rPr>
                <w:sz w:val="14"/>
                <w:szCs w:val="14"/>
              </w:rPr>
              <w:t xml:space="preserve">(−0.28, −0.77)</w:t>
            </w:r>
          </w:p>
        </w:tc>
        <w:tc>
          <w:tcPr>
            <w:tcW w:type="dxa" w:w="1250"/>
            <w:shd w:fill="F7F9FC" w:color="auto" w:val="clear"/>
            <w:tcMar>
              <w:top w:type="dxa" w:w="60"/>
              <w:left w:type="dxa" w:w="100"/>
              <w:bottom w:type="dxa" w:w="60"/>
              <w:right w:type="dxa" w:w="100"/>
            </w:tcMar>
            <w:vAlign w:val="top"/>
          </w:tcPr>
          <w:p>
            <w:r>
              <w:rPr>
                <w:sz w:val="14"/>
                <w:szCs w:val="14"/>
              </w:rPr>
              <w:t xml:space="preserve">0.57</w:t>
            </w:r>
          </w:p>
        </w:tc>
        <w:tc>
          <w:tcPr>
            <w:tcW w:type="dxa" w:w="1350"/>
            <w:shd w:fill="F7F9FC" w:color="auto" w:val="clear"/>
            <w:tcMar>
              <w:top w:type="dxa" w:w="60"/>
              <w:left w:type="dxa" w:w="100"/>
              <w:bottom w:type="dxa" w:w="60"/>
              <w:right w:type="dxa" w:w="100"/>
            </w:tcMar>
            <w:vAlign w:val="top"/>
          </w:tcPr>
          <w:p>
            <w:r>
              <w:rPr>
                <w:sz w:val="14"/>
                <w:szCs w:val="14"/>
              </w:rPr>
              <w:t xml:space="preserve">0.12</w:t>
            </w:r>
          </w:p>
        </w:tc>
        <w:tc>
          <w:tcPr>
            <w:tcW w:type="dxa" w:w="2238"/>
            <w:shd w:fill="F7F9FC" w:color="auto" w:val="clear"/>
            <w:tcMar>
              <w:top w:type="dxa" w:w="60"/>
              <w:left w:type="dxa" w:w="100"/>
              <w:bottom w:type="dxa" w:w="60"/>
              <w:right w:type="dxa" w:w="100"/>
            </w:tcMar>
            <w:vAlign w:val="top"/>
          </w:tcPr>
          <w:p>
            <w:r>
              <w:rPr>
                <w:sz w:val="14"/>
                <w:szCs w:val="14"/>
              </w:rPr>
              <w:t xml:space="preserve">0.30 / 0.95 / 1.40</w:t>
            </w:r>
          </w:p>
        </w:tc>
      </w:tr>
      <w:tr>
        <w:trPr>
          <w:cantSplit/>
        </w:trPr>
        <w:tc>
          <w:tcPr>
            <w:tcW w:type="dxa" w:w="1800"/>
            <w:tcMar>
              <w:top w:type="dxa" w:w="60"/>
              <w:left w:type="dxa" w:w="100"/>
              <w:bottom w:type="dxa" w:w="60"/>
              <w:right w:type="dxa" w:w="100"/>
            </w:tcMar>
            <w:vAlign w:val="top"/>
          </w:tcPr>
          <w:p>
            <w:r>
              <w:rPr>
                <w:sz w:val="14"/>
                <w:szCs w:val="14"/>
              </w:rPr>
              <w:t xml:space="preserve">Environmental groups</w:t>
            </w:r>
          </w:p>
        </w:tc>
        <w:tc>
          <w:tcPr>
            <w:tcW w:type="dxa" w:w="1300"/>
            <w:tcMar>
              <w:top w:type="dxa" w:w="60"/>
              <w:left w:type="dxa" w:w="100"/>
              <w:bottom w:type="dxa" w:w="60"/>
              <w:right w:type="dxa" w:w="100"/>
            </w:tcMar>
            <w:vAlign w:val="top"/>
          </w:tcPr>
          <w:p>
            <w:r>
              <w:rPr>
                <w:sz w:val="14"/>
                <w:szCs w:val="14"/>
              </w:rPr>
              <w:t xml:space="preserve">(0.75, −0.75)</w:t>
            </w:r>
          </w:p>
        </w:tc>
        <w:tc>
          <w:tcPr>
            <w:tcW w:type="dxa" w:w="1700"/>
            <w:tcMar>
              <w:top w:type="dxa" w:w="60"/>
              <w:left w:type="dxa" w:w="100"/>
              <w:bottom w:type="dxa" w:w="60"/>
              <w:right w:type="dxa" w:w="100"/>
            </w:tcMar>
            <w:vAlign w:val="top"/>
          </w:tcPr>
          <w:p>
            <w:r>
              <w:rPr>
                <w:sz w:val="14"/>
                <w:szCs w:val="14"/>
              </w:rPr>
              <w:t xml:space="preserve">(+0.32, −0.51)</w:t>
            </w:r>
          </w:p>
        </w:tc>
        <w:tc>
          <w:tcPr>
            <w:tcW w:type="dxa" w:w="1250"/>
            <w:tcMar>
              <w:top w:type="dxa" w:w="60"/>
              <w:left w:type="dxa" w:w="100"/>
              <w:bottom w:type="dxa" w:w="60"/>
              <w:right w:type="dxa" w:w="100"/>
            </w:tcMar>
            <w:vAlign w:val="top"/>
          </w:tcPr>
          <w:p>
            <w:r>
              <w:rPr>
                <w:sz w:val="14"/>
                <w:szCs w:val="14"/>
              </w:rPr>
              <w:t xml:space="preserve">0.63</w:t>
            </w:r>
          </w:p>
        </w:tc>
        <w:tc>
          <w:tcPr>
            <w:tcW w:type="dxa" w:w="1350"/>
            <w:tcMar>
              <w:top w:type="dxa" w:w="60"/>
              <w:left w:type="dxa" w:w="100"/>
              <w:bottom w:type="dxa" w:w="60"/>
              <w:right w:type="dxa" w:w="100"/>
            </w:tcMar>
            <w:vAlign w:val="top"/>
          </w:tcPr>
          <w:p>
            <w:r>
              <w:rPr>
                <w:sz w:val="14"/>
                <w:szCs w:val="14"/>
              </w:rPr>
              <w:t xml:space="preserve">0.17</w:t>
            </w:r>
          </w:p>
        </w:tc>
        <w:tc>
          <w:tcPr>
            <w:tcW w:type="dxa" w:w="2238"/>
            <w:tcMar>
              <w:top w:type="dxa" w:w="60"/>
              <w:left w:type="dxa" w:w="100"/>
              <w:bottom w:type="dxa" w:w="60"/>
              <w:right w:type="dxa" w:w="100"/>
            </w:tcMar>
            <w:vAlign w:val="top"/>
          </w:tcPr>
          <w:p>
            <w:r>
              <w:rPr>
                <w:sz w:val="14"/>
                <w:szCs w:val="14"/>
              </w:rPr>
              <w:t xml:space="preserve">none / 0.85 / 1.35</w:t>
            </w:r>
          </w:p>
        </w:tc>
      </w:tr>
    </w:tbl>
    <w:p>
      <w:pPr>
        <w:spacing w:after="160"/>
      </w:pPr>
    </w:p>
    <w:p>
      <w:pPr>
        <w:spacing w:after="120"/>
      </w:pPr>
      <w:r>
        <w:rPr>
          <w:i/>
          <w:iCs/>
          <w:color w:val="5B6573"/>
          <w:sz w:val="18"/>
          <w:szCs w:val="18"/>
        </w:rPr>
        <w:t xml:space="preserve">Table 9.1. The five beliefs before any data. The mean of </w:t>
      </w:r>
      <m:oMath>
        <m:r>
          <m:t>z</m:t>
        </m:r>
      </m:oMath>
      <w:r>
        <w:rPr>
          <w:i/>
          <w:iCs/>
          <w:color w:val="5B6573"/>
          <w:sz w:val="18"/>
          <w:szCs w:val="18"/>
        </w:rPr>
        <w:t xml:space="preserve"> is in standard deviations of the calibrated posterior. The largest </w:t>
      </w:r>
      <m:oMath>
        <m:r>
          <m:t>s</m:t>
        </m:r>
      </m:oMath>
      <w:r>
        <w:rPr>
          <w:i/>
          <w:iCs/>
          <w:color w:val="5B6573"/>
          <w:sz w:val="18"/>
          <w:szCs w:val="18"/>
        </w:rPr>
        <w:t xml:space="preserve"> is the stakeholder's own cap without the Monte Carlo margin; "none" means that even zero pumping exceeds the stakeholder's 10% limit.</w:t>
      </w:r>
    </w:p>
    <w:p>
      <w:pPr>
        <w:pStyle w:val="Heading3"/>
      </w:pPr>
      <w:r>
        <w:rPr>
          <w:color w:val="1F3864"/>
        </w:rPr>
        <w:t xml:space="preserve">9.6 What the test shows</w:t>
      </w:r>
    </w:p>
    <w:p>
      <w:pPr>
        <w:pStyle w:val="ListParagraph"/>
        <w:numPr>
          <w:ilvl w:val="0"/>
          <w:numId w:val="2"/>
        </w:numPr>
        <w:spacing w:after="60"/>
        <w:jc w:val="both"/>
      </w:pPr>
      <w:r>
        <w:rPr>
          <w:b/>
          <w:bCs/>
        </w:rPr>
        <w:t xml:space="preserve">Without data the pessimists are pivotal, and recharge ends the deadlock.</w:t>
      </w:r>
      <w:r>
        <w:t xml:space="preserve"> At the planned pumping the stakeholders' prior risks range from 0.15 (irrigators and hotels) to 0.63 (environmental groups) (Table 9.1, Figure V1a). The environmental groups reject even zero pumping without recharge (their risk at </w:t>
      </w:r>
      <m:oMath>
        <m:r>
          <m:t>s</m:t>
        </m:r>
        <m:r>
          <m:rPr>
            <m:sty m:val="p"/>
          </m:rPr>
          <m:t>=</m:t>
        </m:r>
        <m:r>
          <m:t>0</m:t>
        </m:r>
      </m:oMath>
      <w:r>
        <w:t xml:space="preserve"> is 0.11), so without recharge the unanimous rule is in deadlock in every truth. Recharge ends it, as Proposition V2 (iv) says it can: the environmental groups set the cap at every recharge level, and the decisive choice is the same in every truth, recharge of 3 × 5,000 m³/d with pumping of 9,648 m³/d (</w:t>
      </w:r>
      <m:oMath>
        <m:r>
          <m:t>s</m:t>
        </m:r>
        <m:r>
          <m:rPr>
            <m:sty m:val="p"/>
          </m:rPr>
          <m:t>=</m:t>
        </m:r>
        <m:r>
          <m:t>0.8</m:t>
        </m:r>
      </m:oMath>
      <w:r>
        <w:t xml:space="preserve">), for net water of 2,148 m³/d.</w:t>
      </w:r>
    </w:p>
    <w:p>
      <w:pPr>
        <w:pStyle w:val="ListParagraph"/>
        <w:numPr>
          <w:ilvl w:val="0"/>
          <w:numId w:val="2"/>
        </w:numPr>
        <w:spacing w:after="60"/>
        <w:jc w:val="both"/>
      </w:pPr>
      <w:r>
        <w:rPr>
          <w:b/>
          <w:bCs/>
        </w:rPr>
        <w:t xml:space="preserve">Information that resolves the event ends the dispute; information about the drivers alone does not.</w:t>
      </w:r>
      <w:r>
        <w:t xml:space="preserve"> The three heads narrow the disputed mixing width about as much as one chloride sample does (posterior standard deviation of </w:t>
      </w:r>
      <m:oMath>
        <m:sSub>
          <m:e>
            <m:r>
              <m:t>z</m:t>
            </m:r>
          </m:e>
          <m:sub>
            <m:r>
              <m:t>w</m:t>
            </m:r>
          </m:sub>
        </m:sSub>
      </m:oMath>
      <w:r>
        <w:t xml:space="preserve"> 0.99 without data, 0.68 with the heads, 0.70 with the chloride sample, Table 9.2). Yet the largest disagreement falls only from 0.224 to 0.208 with the heads and to 0.038 with the chloride sample. The sharp bound of Proposition V1 tracks this (0.659, 0.592 and 0.134) through its second factor: chloride at A30 tells every stakeholder whether the supply screens will salt, whatever the width, while heads do not. The bound was never violated, in any of the 2,000 truths, for any design.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1900"/>
        <w:gridCol w:w="1700"/>
        <w:gridCol w:w="1100"/>
        <w:gridCol w:w="1100"/>
        <w:gridCol w:w="16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4"/>
                <w:szCs w:val="14"/>
              </w:rPr>
              <w:t xml:space="preserve">Information</w:t>
            </w:r>
          </w:p>
        </w:tc>
        <w:tc>
          <w:tcPr>
            <w:tcW w:type="dxa" w:w="1900"/>
            <w:shd w:fill="1F3864" w:color="auto" w:val="clear"/>
            <w:tcMar>
              <w:top w:type="dxa" w:w="60"/>
              <w:left w:type="dxa" w:w="100"/>
              <w:bottom w:type="dxa" w:w="60"/>
              <w:right w:type="dxa" w:w="100"/>
            </w:tcMar>
            <w:vAlign w:val="top"/>
          </w:tcPr>
          <w:p>
            <w:r>
              <w:rPr>
                <w:b/>
                <w:bCs/>
                <w:color w:val="FFFFFF"/>
                <w:sz w:val="14"/>
                <w:szCs w:val="14"/>
              </w:rPr>
              <w:t xml:space="preserve">Largest disagreement at s = 0.5: mean / 90th percentile</w:t>
            </w:r>
          </w:p>
        </w:tc>
        <w:tc>
          <w:tcPr>
            <w:tcW w:type="dxa" w:w="1700"/>
            <w:shd w:fill="1F3864" w:color="auto" w:val="clear"/>
            <w:tcMar>
              <w:top w:type="dxa" w:w="60"/>
              <w:left w:type="dxa" w:w="100"/>
              <w:bottom w:type="dxa" w:w="60"/>
              <w:right w:type="dxa" w:w="100"/>
            </w:tcMar>
            <w:vAlign w:val="top"/>
          </w:tcPr>
          <w:p>
            <w:r>
              <w:rPr>
                <w:b/>
                <w:bCs/>
                <w:color w:val="FFFFFF"/>
                <w:sz w:val="14"/>
                <w:szCs w:val="14"/>
              </w:rPr>
              <w:t xml:space="preserve">Bound of V1: sharp / half-sd form (mean)</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Truths violating the bound</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Posterior sd of the log width (standardised)</w:t>
            </w:r>
          </w:p>
        </w:tc>
        <w:tc>
          <w:tcPr>
            <w:tcW w:type="dxa" w:w="1638"/>
            <w:shd w:fill="1F3864" w:color="auto" w:val="clear"/>
            <w:tcMar>
              <w:top w:type="dxa" w:w="60"/>
              <w:left w:type="dxa" w:w="100"/>
              <w:bottom w:type="dxa" w:w="60"/>
              <w:right w:type="dxa" w:w="100"/>
            </w:tcMar>
            <w:vAlign w:val="top"/>
          </w:tcPr>
          <w:p>
            <w:r>
              <w:rPr>
                <w:b/>
                <w:bCs/>
                <w:color w:val="FFFFFF"/>
                <w:sz w:val="14"/>
                <w:szCs w:val="14"/>
              </w:rPr>
              <w:t xml:space="preserve">Median smallest inner sample size</w:t>
            </w:r>
          </w:p>
        </w:tc>
      </w:tr>
      <w:tr>
        <w:trPr>
          <w:cantSplit/>
        </w:trPr>
        <w:tc>
          <w:tcPr>
            <w:tcW w:type="dxa" w:w="2200"/>
            <w:tcMar>
              <w:top w:type="dxa" w:w="60"/>
              <w:left w:type="dxa" w:w="100"/>
              <w:bottom w:type="dxa" w:w="60"/>
              <w:right w:type="dxa" w:w="100"/>
            </w:tcMar>
            <w:vAlign w:val="top"/>
          </w:tcPr>
          <w:p>
            <w:r>
              <w:rPr>
                <w:sz w:val="14"/>
                <w:szCs w:val="14"/>
              </w:rPr>
              <w:t xml:space="preserve">No information</w:t>
            </w:r>
          </w:p>
        </w:tc>
        <w:tc>
          <w:tcPr>
            <w:tcW w:type="dxa" w:w="1900"/>
            <w:tcMar>
              <w:top w:type="dxa" w:w="60"/>
              <w:left w:type="dxa" w:w="100"/>
              <w:bottom w:type="dxa" w:w="60"/>
              <w:right w:type="dxa" w:w="100"/>
            </w:tcMar>
            <w:vAlign w:val="top"/>
          </w:tcPr>
          <w:p>
            <w:r>
              <w:rPr>
                <w:sz w:val="14"/>
                <w:szCs w:val="14"/>
              </w:rPr>
              <w:t xml:space="preserve">0.224 / 0.224</w:t>
            </w:r>
          </w:p>
        </w:tc>
        <w:tc>
          <w:tcPr>
            <w:tcW w:type="dxa" w:w="1700"/>
            <w:tcMar>
              <w:top w:type="dxa" w:w="60"/>
              <w:left w:type="dxa" w:w="100"/>
              <w:bottom w:type="dxa" w:w="60"/>
              <w:right w:type="dxa" w:w="100"/>
            </w:tcMar>
            <w:vAlign w:val="top"/>
          </w:tcPr>
          <w:p>
            <w:r>
              <w:rPr>
                <w:sz w:val="14"/>
                <w:szCs w:val="14"/>
              </w:rPr>
              <w:t xml:space="preserve">0.659 / 0.967</w:t>
            </w:r>
          </w:p>
        </w:tc>
        <w:tc>
          <w:tcPr>
            <w:tcW w:type="dxa" w:w="1100"/>
            <w:tcMar>
              <w:top w:type="dxa" w:w="60"/>
              <w:left w:type="dxa" w:w="100"/>
              <w:bottom w:type="dxa" w:w="60"/>
              <w:right w:type="dxa" w:w="100"/>
            </w:tcMar>
            <w:vAlign w:val="top"/>
          </w:tcPr>
          <w:p>
            <w:r>
              <w:rPr>
                <w:sz w:val="14"/>
                <w:szCs w:val="14"/>
              </w:rPr>
              <w:t xml:space="preserve">0%</w:t>
            </w:r>
          </w:p>
        </w:tc>
        <w:tc>
          <w:tcPr>
            <w:tcW w:type="dxa" w:w="1100"/>
            <w:tcMar>
              <w:top w:type="dxa" w:w="60"/>
              <w:left w:type="dxa" w:w="100"/>
              <w:bottom w:type="dxa" w:w="60"/>
              <w:right w:type="dxa" w:w="100"/>
            </w:tcMar>
            <w:vAlign w:val="top"/>
          </w:tcPr>
          <w:p>
            <w:r>
              <w:rPr>
                <w:sz w:val="14"/>
                <w:szCs w:val="14"/>
              </w:rPr>
              <w:t xml:space="preserve">0.99</w:t>
            </w:r>
          </w:p>
        </w:tc>
        <w:tc>
          <w:tcPr>
            <w:tcW w:type="dxa" w:w="1638"/>
            <w:tcMar>
              <w:top w:type="dxa" w:w="60"/>
              <w:left w:type="dxa" w:w="100"/>
              <w:bottom w:type="dxa" w:w="60"/>
              <w:right w:type="dxa" w:w="100"/>
            </w:tcMar>
            <w:vAlign w:val="top"/>
          </w:tcPr>
          <w:p>
            <w:r>
              <w:rPr>
                <w:sz w:val="14"/>
                <w:szCs w:val="14"/>
              </w:rPr>
              <w:t xml:space="preserve">868</w:t>
            </w:r>
          </w:p>
        </w:tc>
      </w:tr>
      <w:tr>
        <w:trPr>
          <w:cantSplit/>
        </w:trPr>
        <w:tc>
          <w:tcPr>
            <w:tcW w:type="dxa" w:w="2200"/>
            <w:shd w:fill="F7F9FC" w:color="auto" w:val="clear"/>
            <w:tcMar>
              <w:top w:type="dxa" w:w="60"/>
              <w:left w:type="dxa" w:w="100"/>
              <w:bottom w:type="dxa" w:w="60"/>
              <w:right w:type="dxa" w:w="100"/>
            </w:tcMar>
            <w:vAlign w:val="top"/>
          </w:tcPr>
          <w:p>
            <w:r>
              <w:rPr>
                <w:sz w:val="14"/>
                <w:szCs w:val="14"/>
              </w:rPr>
              <w:t xml:space="preserve">Three heads (A3, A10, A23)</w:t>
            </w:r>
          </w:p>
        </w:tc>
        <w:tc>
          <w:tcPr>
            <w:tcW w:type="dxa" w:w="1900"/>
            <w:shd w:fill="F7F9FC" w:color="auto" w:val="clear"/>
            <w:tcMar>
              <w:top w:type="dxa" w:w="60"/>
              <w:left w:type="dxa" w:w="100"/>
              <w:bottom w:type="dxa" w:w="60"/>
              <w:right w:type="dxa" w:w="100"/>
            </w:tcMar>
            <w:vAlign w:val="top"/>
          </w:tcPr>
          <w:p>
            <w:r>
              <w:rPr>
                <w:sz w:val="14"/>
                <w:szCs w:val="14"/>
              </w:rPr>
              <w:t xml:space="preserve">0.208 / 0.318</w:t>
            </w:r>
          </w:p>
        </w:tc>
        <w:tc>
          <w:tcPr>
            <w:tcW w:type="dxa" w:w="1700"/>
            <w:shd w:fill="F7F9FC" w:color="auto" w:val="clear"/>
            <w:tcMar>
              <w:top w:type="dxa" w:w="60"/>
              <w:left w:type="dxa" w:w="100"/>
              <w:bottom w:type="dxa" w:w="60"/>
              <w:right w:type="dxa" w:w="100"/>
            </w:tcMar>
            <w:vAlign w:val="top"/>
          </w:tcPr>
          <w:p>
            <w:r>
              <w:rPr>
                <w:sz w:val="14"/>
                <w:szCs w:val="14"/>
              </w:rPr>
              <w:t xml:space="preserve">0.592 / 0.859</w:t>
            </w:r>
          </w:p>
        </w:tc>
        <w:tc>
          <w:tcPr>
            <w:tcW w:type="dxa" w:w="1100"/>
            <w:shd w:fill="F7F9FC" w:color="auto" w:val="clear"/>
            <w:tcMar>
              <w:top w:type="dxa" w:w="60"/>
              <w:left w:type="dxa" w:w="100"/>
              <w:bottom w:type="dxa" w:w="60"/>
              <w:right w:type="dxa" w:w="100"/>
            </w:tcMar>
            <w:vAlign w:val="top"/>
          </w:tcPr>
          <w:p>
            <w:r>
              <w:rPr>
                <w:sz w:val="14"/>
                <w:szCs w:val="14"/>
              </w:rPr>
              <w:t xml:space="preserve">0%</w:t>
            </w:r>
          </w:p>
        </w:tc>
        <w:tc>
          <w:tcPr>
            <w:tcW w:type="dxa" w:w="1100"/>
            <w:shd w:fill="F7F9FC" w:color="auto" w:val="clear"/>
            <w:tcMar>
              <w:top w:type="dxa" w:w="60"/>
              <w:left w:type="dxa" w:w="100"/>
              <w:bottom w:type="dxa" w:w="60"/>
              <w:right w:type="dxa" w:w="100"/>
            </w:tcMar>
            <w:vAlign w:val="top"/>
          </w:tcPr>
          <w:p>
            <w:r>
              <w:rPr>
                <w:sz w:val="14"/>
                <w:szCs w:val="14"/>
              </w:rPr>
              <w:t xml:space="preserve">0.68</w:t>
            </w:r>
          </w:p>
        </w:tc>
        <w:tc>
          <w:tcPr>
            <w:tcW w:type="dxa" w:w="1638"/>
            <w:shd w:fill="F7F9FC" w:color="auto" w:val="clear"/>
            <w:tcMar>
              <w:top w:type="dxa" w:w="60"/>
              <w:left w:type="dxa" w:w="100"/>
              <w:bottom w:type="dxa" w:w="60"/>
              <w:right w:type="dxa" w:w="100"/>
            </w:tcMar>
            <w:vAlign w:val="top"/>
          </w:tcPr>
          <w:p>
            <w:r>
              <w:rPr>
                <w:sz w:val="14"/>
                <w:szCs w:val="14"/>
              </w:rPr>
              <w:t xml:space="preserve">46</w:t>
            </w:r>
          </w:p>
        </w:tc>
      </w:tr>
      <w:tr>
        <w:trPr>
          <w:cantSplit/>
        </w:trPr>
        <w:tc>
          <w:tcPr>
            <w:tcW w:type="dxa" w:w="2200"/>
            <w:tcMar>
              <w:top w:type="dxa" w:w="60"/>
              <w:left w:type="dxa" w:w="100"/>
              <w:bottom w:type="dxa" w:w="60"/>
              <w:right w:type="dxa" w:w="100"/>
            </w:tcMar>
            <w:vAlign w:val="top"/>
          </w:tcPr>
          <w:p>
            <w:r>
              <w:rPr>
                <w:sz w:val="14"/>
                <w:szCs w:val="14"/>
              </w:rPr>
              <w:t xml:space="preserve">One chloride sample (A30)</w:t>
            </w:r>
          </w:p>
        </w:tc>
        <w:tc>
          <w:tcPr>
            <w:tcW w:type="dxa" w:w="1900"/>
            <w:tcMar>
              <w:top w:type="dxa" w:w="60"/>
              <w:left w:type="dxa" w:w="100"/>
              <w:bottom w:type="dxa" w:w="60"/>
              <w:right w:type="dxa" w:w="100"/>
            </w:tcMar>
            <w:vAlign w:val="top"/>
          </w:tcPr>
          <w:p>
            <w:r>
              <w:rPr>
                <w:sz w:val="14"/>
                <w:szCs w:val="14"/>
              </w:rPr>
              <w:t xml:space="preserve">0.038 / 0.186</w:t>
            </w:r>
          </w:p>
        </w:tc>
        <w:tc>
          <w:tcPr>
            <w:tcW w:type="dxa" w:w="1700"/>
            <w:tcMar>
              <w:top w:type="dxa" w:w="60"/>
              <w:left w:type="dxa" w:w="100"/>
              <w:bottom w:type="dxa" w:w="60"/>
              <w:right w:type="dxa" w:w="100"/>
            </w:tcMar>
            <w:vAlign w:val="top"/>
          </w:tcPr>
          <w:p>
            <w:r>
              <w:rPr>
                <w:sz w:val="14"/>
                <w:szCs w:val="14"/>
              </w:rPr>
              <w:t xml:space="preserve">0.134 / 0.510</w:t>
            </w:r>
          </w:p>
        </w:tc>
        <w:tc>
          <w:tcPr>
            <w:tcW w:type="dxa" w:w="1100"/>
            <w:tcMar>
              <w:top w:type="dxa" w:w="60"/>
              <w:left w:type="dxa" w:w="100"/>
              <w:bottom w:type="dxa" w:w="60"/>
              <w:right w:type="dxa" w:w="100"/>
            </w:tcMar>
            <w:vAlign w:val="top"/>
          </w:tcPr>
          <w:p>
            <w:r>
              <w:rPr>
                <w:sz w:val="14"/>
                <w:szCs w:val="14"/>
              </w:rPr>
              <w:t xml:space="preserve">0%</w:t>
            </w:r>
          </w:p>
        </w:tc>
        <w:tc>
          <w:tcPr>
            <w:tcW w:type="dxa" w:w="1100"/>
            <w:tcMar>
              <w:top w:type="dxa" w:w="60"/>
              <w:left w:type="dxa" w:w="100"/>
              <w:bottom w:type="dxa" w:w="60"/>
              <w:right w:type="dxa" w:w="100"/>
            </w:tcMar>
            <w:vAlign w:val="top"/>
          </w:tcPr>
          <w:p>
            <w:r>
              <w:rPr>
                <w:sz w:val="14"/>
                <w:szCs w:val="14"/>
              </w:rPr>
              <w:t xml:space="preserve">0.70</w:t>
            </w:r>
          </w:p>
        </w:tc>
        <w:tc>
          <w:tcPr>
            <w:tcW w:type="dxa" w:w="1638"/>
            <w:tcMar>
              <w:top w:type="dxa" w:w="60"/>
              <w:left w:type="dxa" w:w="100"/>
              <w:bottom w:type="dxa" w:w="60"/>
              <w:right w:type="dxa" w:w="100"/>
            </w:tcMar>
            <w:vAlign w:val="top"/>
          </w:tcPr>
          <w:p>
            <w:r>
              <w:rPr>
                <w:sz w:val="14"/>
                <w:szCs w:val="14"/>
              </w:rPr>
              <w:t xml:space="preserve">215</w:t>
            </w:r>
          </w:p>
        </w:tc>
      </w:tr>
      <w:tr>
        <w:trPr>
          <w:cantSplit/>
        </w:trPr>
        <w:tc>
          <w:tcPr>
            <w:tcW w:type="dxa" w:w="2200"/>
            <w:shd w:fill="F7F9FC" w:color="auto" w:val="clear"/>
            <w:tcMar>
              <w:top w:type="dxa" w:w="60"/>
              <w:left w:type="dxa" w:w="100"/>
              <w:bottom w:type="dxa" w:w="60"/>
              <w:right w:type="dxa" w:w="100"/>
            </w:tcMar>
            <w:vAlign w:val="top"/>
          </w:tcPr>
          <w:p>
            <w:r>
              <w:rPr>
                <w:sz w:val="14"/>
                <w:szCs w:val="14"/>
              </w:rPr>
              <w:t xml:space="preserve">Chloride sample and three heads</w:t>
            </w:r>
          </w:p>
        </w:tc>
        <w:tc>
          <w:tcPr>
            <w:tcW w:type="dxa" w:w="1900"/>
            <w:shd w:fill="F7F9FC" w:color="auto" w:val="clear"/>
            <w:tcMar>
              <w:top w:type="dxa" w:w="60"/>
              <w:left w:type="dxa" w:w="100"/>
              <w:bottom w:type="dxa" w:w="60"/>
              <w:right w:type="dxa" w:w="100"/>
            </w:tcMar>
            <w:vAlign w:val="top"/>
          </w:tcPr>
          <w:p>
            <w:r>
              <w:rPr>
                <w:sz w:val="14"/>
                <w:szCs w:val="14"/>
              </w:rPr>
              <w:t xml:space="preserve">0.016 / 0.056</w:t>
            </w:r>
          </w:p>
        </w:tc>
        <w:tc>
          <w:tcPr>
            <w:tcW w:type="dxa" w:w="1700"/>
            <w:shd w:fill="F7F9FC" w:color="auto" w:val="clear"/>
            <w:tcMar>
              <w:top w:type="dxa" w:w="60"/>
              <w:left w:type="dxa" w:w="100"/>
              <w:bottom w:type="dxa" w:w="60"/>
              <w:right w:type="dxa" w:w="100"/>
            </w:tcMar>
            <w:vAlign w:val="top"/>
          </w:tcPr>
          <w:p>
            <w:r>
              <w:rPr>
                <w:sz w:val="14"/>
                <w:szCs w:val="14"/>
              </w:rPr>
              <w:t xml:space="preserve">0.062 / 0.452</w:t>
            </w:r>
          </w:p>
        </w:tc>
        <w:tc>
          <w:tcPr>
            <w:tcW w:type="dxa" w:w="1100"/>
            <w:shd w:fill="F7F9FC" w:color="auto" w:val="clear"/>
            <w:tcMar>
              <w:top w:type="dxa" w:w="60"/>
              <w:left w:type="dxa" w:w="100"/>
              <w:bottom w:type="dxa" w:w="60"/>
              <w:right w:type="dxa" w:w="100"/>
            </w:tcMar>
            <w:vAlign w:val="top"/>
          </w:tcPr>
          <w:p>
            <w:r>
              <w:rPr>
                <w:sz w:val="14"/>
                <w:szCs w:val="14"/>
              </w:rPr>
              <w:t xml:space="preserve">0%</w:t>
            </w:r>
          </w:p>
        </w:tc>
        <w:tc>
          <w:tcPr>
            <w:tcW w:type="dxa" w:w="1100"/>
            <w:shd w:fill="F7F9FC" w:color="auto" w:val="clear"/>
            <w:tcMar>
              <w:top w:type="dxa" w:w="60"/>
              <w:left w:type="dxa" w:w="100"/>
              <w:bottom w:type="dxa" w:w="60"/>
              <w:right w:type="dxa" w:w="100"/>
            </w:tcMar>
            <w:vAlign w:val="top"/>
          </w:tcPr>
          <w:p>
            <w:r>
              <w:rPr>
                <w:sz w:val="14"/>
                <w:szCs w:val="14"/>
              </w:rPr>
              <w:t xml:space="preserve">0.30</w:t>
            </w:r>
          </w:p>
        </w:tc>
        <w:tc>
          <w:tcPr>
            <w:tcW w:type="dxa" w:w="1638"/>
            <w:shd w:fill="F7F9FC" w:color="auto" w:val="clear"/>
            <w:tcMar>
              <w:top w:type="dxa" w:w="60"/>
              <w:left w:type="dxa" w:w="100"/>
              <w:bottom w:type="dxa" w:w="60"/>
              <w:right w:type="dxa" w:w="100"/>
            </w:tcMar>
            <w:vAlign w:val="top"/>
          </w:tcPr>
          <w:p>
            <w:r>
              <w:rPr>
                <w:sz w:val="14"/>
                <w:szCs w:val="14"/>
              </w:rPr>
              <w:t xml:space="preserve">14</w:t>
            </w:r>
          </w:p>
        </w:tc>
      </w:tr>
    </w:tbl>
    <w:p>
      <w:pPr>
        <w:spacing w:after="160"/>
      </w:pPr>
    </w:p>
    <w:p>
      <w:pPr>
        <w:spacing w:after="120"/>
      </w:pPr>
      <w:r>
        <w:rPr>
          <w:i/>
          <w:iCs/>
          <w:color w:val="5B6573"/>
          <w:sz w:val="18"/>
          <w:szCs w:val="18"/>
        </w:rPr>
        <w:t xml:space="preserve">Table 9.2. Disagreement between the stakeholders and the bound of Proposition V1, over 2,000 truths. The sd of </w:t>
      </w:r>
      <m:oMath>
        <m:sSub>
          <m:e>
            <m:r>
              <m:t>z</m:t>
            </m:r>
          </m:e>
          <m:sub>
            <m:r>
              <m:t>w</m:t>
            </m:r>
          </m:sub>
        </m:sSub>
      </m:oMath>
      <w:r>
        <w:rPr>
          <w:i/>
          <w:iCs/>
          <w:color w:val="5B6573"/>
          <w:sz w:val="18"/>
          <w:szCs w:val="18"/>
        </w:rPr>
        <w:t xml:space="preserve"> is under the calibrated belief. The inner sample size is the effective number of weighted aquifers behind the least-supported stakeholder's posterior.</w:t>
      </w:r>
    </w:p>
    <w:p>
      <w:pPr>
        <w:pStyle w:val="ListParagraph"/>
        <w:numPr>
          <w:ilvl w:val="0"/>
          <w:numId w:val="2"/>
        </w:numPr>
        <w:spacing w:after="60"/>
        <w:jc w:val="both"/>
      </w:pPr>
      <w:r>
        <w:rPr>
          <w:b/>
          <w:bCs/>
        </w:rPr>
        <w:t xml:space="preserve">Decisive and adaptive: one sample more than doubles the net water.</w:t>
      </w:r>
      <w:r>
        <w:t xml:space="preserve"> With the chloride sample the rule still returns one action per truth, but the action now follows the data: no recharge in 78% of truths and the largest recharge in 16%, including the deadlocks below (Table 9.3). Average recharge falls from 15,000 to 5,393 m³/d and net water rises from 2,148 to 5,125 m³/d. In 4.4% of truths the sample shows salt so close that some stakeholder rejects any pumping even with the largest recharge; the group then stops pumping, the outcome the rule fixes in advance.</w:t>
      </w:r>
    </w:p>
    <w:tbl>
      <w:tblPr>
        <w:tblW w:type="dxa" w:w="103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900"/>
        <w:gridCol w:w="950"/>
        <w:gridCol w:w="950"/>
        <w:gridCol w:w="850"/>
        <w:gridCol w:w="1600"/>
        <w:gridCol w:w="1050"/>
        <w:gridCol w:w="900"/>
        <w:gridCol w:w="1238"/>
      </w:tblGrid>
      <w:tr>
        <w:trPr>
          <w:cantSplit/>
          <w:tblHeader/>
        </w:trPr>
        <w:tc>
          <w:tcPr>
            <w:tcW w:type="dxa" w:w="1900"/>
            <w:shd w:fill="1F3864" w:color="auto" w:val="clear"/>
            <w:tcMar>
              <w:top w:type="dxa" w:w="60"/>
              <w:left w:type="dxa" w:w="100"/>
              <w:bottom w:type="dxa" w:w="60"/>
              <w:right w:type="dxa" w:w="100"/>
            </w:tcMar>
            <w:vAlign w:val="top"/>
          </w:tcPr>
          <w:p>
            <w:r>
              <w:rPr>
                <w:b/>
                <w:bCs/>
                <w:color w:val="FFFFFF"/>
                <w:sz w:val="14"/>
                <w:szCs w:val="14"/>
              </w:rPr>
              <w:t xml:space="preserve">Information</w:t>
            </w:r>
          </w:p>
        </w:tc>
        <w:tc>
          <w:tcPr>
            <w:tcW w:type="dxa" w:w="900"/>
            <w:shd w:fill="1F3864" w:color="auto" w:val="clear"/>
            <w:tcMar>
              <w:top w:type="dxa" w:w="60"/>
              <w:left w:type="dxa" w:w="100"/>
              <w:bottom w:type="dxa" w:w="60"/>
              <w:right w:type="dxa" w:w="100"/>
            </w:tcMar>
            <w:vAlign w:val="top"/>
          </w:tcPr>
          <w:p>
            <w:r>
              <w:rPr>
                <w:b/>
                <w:bCs/>
                <w:color w:val="FFFFFF"/>
                <w:sz w:val="14"/>
                <w:szCs w:val="14"/>
              </w:rPr>
              <w:t xml:space="preserve">Recharge (m³/d)</w:t>
            </w:r>
          </w:p>
        </w:tc>
        <w:tc>
          <w:tcPr>
            <w:tcW w:type="dxa" w:w="950"/>
            <w:shd w:fill="1F3864" w:color="auto" w:val="clear"/>
            <w:tcMar>
              <w:top w:type="dxa" w:w="60"/>
              <w:left w:type="dxa" w:w="100"/>
              <w:bottom w:type="dxa" w:w="60"/>
              <w:right w:type="dxa" w:w="100"/>
            </w:tcMar>
            <w:vAlign w:val="top"/>
          </w:tcPr>
          <w:p>
            <w:r>
              <w:rPr>
                <w:b/>
                <w:bCs/>
                <w:color w:val="FFFFFF"/>
                <w:sz w:val="14"/>
                <w:szCs w:val="14"/>
              </w:rPr>
              <w:t xml:space="preserve">Pumping (m³/d)</w:t>
            </w:r>
          </w:p>
        </w:tc>
        <w:tc>
          <w:tcPr>
            <w:tcW w:type="dxa" w:w="950"/>
            <w:shd w:fill="1F3864" w:color="auto" w:val="clear"/>
            <w:tcMar>
              <w:top w:type="dxa" w:w="60"/>
              <w:left w:type="dxa" w:w="100"/>
              <w:bottom w:type="dxa" w:w="60"/>
              <w:right w:type="dxa" w:w="100"/>
            </w:tcMar>
            <w:vAlign w:val="top"/>
          </w:tcPr>
          <w:p>
            <w:r>
              <w:rPr>
                <w:b/>
                <w:bCs/>
                <w:color w:val="FFFFFF"/>
                <w:sz w:val="14"/>
                <w:szCs w:val="14"/>
              </w:rPr>
              <w:t xml:space="preserve">Net water (m³/d)</w:t>
            </w:r>
          </w:p>
        </w:tc>
        <w:tc>
          <w:tcPr>
            <w:tcW w:type="dxa" w:w="850"/>
            <w:shd w:fill="1F3864" w:color="auto" w:val="clear"/>
            <w:tcMar>
              <w:top w:type="dxa" w:w="60"/>
              <w:left w:type="dxa" w:w="100"/>
              <w:bottom w:type="dxa" w:w="60"/>
              <w:right w:type="dxa" w:w="100"/>
            </w:tcMar>
            <w:vAlign w:val="top"/>
          </w:tcPr>
          <w:p>
            <w:r>
              <w:rPr>
                <w:b/>
                <w:bCs/>
                <w:color w:val="FFFFFF"/>
                <w:sz w:val="14"/>
                <w:szCs w:val="14"/>
              </w:rPr>
              <w:t xml:space="preserve">Deadlock</w:t>
            </w:r>
          </w:p>
        </w:tc>
        <w:tc>
          <w:tcPr>
            <w:tcW w:type="dxa" w:w="1600"/>
            <w:shd w:fill="1F3864" w:color="auto" w:val="clear"/>
            <w:tcMar>
              <w:top w:type="dxa" w:w="60"/>
              <w:left w:type="dxa" w:w="100"/>
              <w:bottom w:type="dxa" w:w="60"/>
              <w:right w:type="dxa" w:w="100"/>
            </w:tcMar>
            <w:vAlign w:val="top"/>
          </w:tcPr>
          <w:p>
            <w:r>
              <w:rPr>
                <w:b/>
                <w:bCs/>
                <w:color w:val="FFFFFF"/>
                <w:sz w:val="14"/>
                <w:szCs w:val="14"/>
              </w:rPr>
              <w:t xml:space="preserve">Recharge per site 0 / 2,500 / 5,000 / 10,000</w:t>
            </w:r>
          </w:p>
        </w:tc>
        <w:tc>
          <w:tcPr>
            <w:tcW w:type="dxa" w:w="1050"/>
            <w:shd w:fill="1F3864" w:color="auto" w:val="clear"/>
            <w:tcMar>
              <w:top w:type="dxa" w:w="60"/>
              <w:left w:type="dxa" w:w="100"/>
              <w:bottom w:type="dxa" w:w="60"/>
              <w:right w:type="dxa" w:w="100"/>
            </w:tcMar>
            <w:vAlign w:val="top"/>
          </w:tcPr>
          <w:p>
            <w:r>
              <w:rPr>
                <w:b/>
                <w:bCs/>
                <w:color w:val="FFFFFF"/>
                <w:sz w:val="14"/>
                <w:szCs w:val="14"/>
              </w:rPr>
              <w:t xml:space="preserve">Average-belief rule: net water</w:t>
            </w:r>
          </w:p>
        </w:tc>
        <w:tc>
          <w:tcPr>
            <w:tcW w:type="dxa" w:w="900"/>
            <w:shd w:fill="1F3864" w:color="auto" w:val="clear"/>
            <w:tcMar>
              <w:top w:type="dxa" w:w="60"/>
              <w:left w:type="dxa" w:w="100"/>
              <w:bottom w:type="dxa" w:w="60"/>
              <w:right w:type="dxa" w:w="100"/>
            </w:tcMar>
            <w:vAlign w:val="top"/>
          </w:tcPr>
          <w:p>
            <w:r>
              <w:rPr>
                <w:b/>
                <w:bCs/>
                <w:color w:val="FFFFFF"/>
                <w:sz w:val="14"/>
                <w:szCs w:val="14"/>
              </w:rPr>
              <w:t xml:space="preserve">Average-belief rule: vetoes</w:t>
            </w:r>
          </w:p>
        </w:tc>
        <w:tc>
          <w:tcPr>
            <w:tcW w:type="dxa" w:w="1238"/>
            <w:shd w:fill="1F3864" w:color="auto" w:val="clear"/>
            <w:tcMar>
              <w:top w:type="dxa" w:w="60"/>
              <w:left w:type="dxa" w:w="100"/>
              <w:bottom w:type="dxa" w:w="60"/>
              <w:right w:type="dxa" w:w="100"/>
            </w:tcMar>
            <w:vAlign w:val="top"/>
          </w:tcPr>
          <w:p>
            <w:r>
              <w:rPr>
                <w:b/>
                <w:bCs/>
                <w:color w:val="FFFFFF"/>
                <w:sz w:val="14"/>
                <w:szCs w:val="14"/>
              </w:rPr>
              <w:t xml:space="preserve">Price of unanimity (m³/d)</w:t>
            </w:r>
          </w:p>
        </w:tc>
      </w:tr>
      <w:tr>
        <w:trPr>
          <w:cantSplit/>
        </w:trPr>
        <w:tc>
          <w:tcPr>
            <w:tcW w:type="dxa" w:w="1900"/>
            <w:tcMar>
              <w:top w:type="dxa" w:w="60"/>
              <w:left w:type="dxa" w:w="100"/>
              <w:bottom w:type="dxa" w:w="60"/>
              <w:right w:type="dxa" w:w="100"/>
            </w:tcMar>
            <w:vAlign w:val="top"/>
          </w:tcPr>
          <w:p>
            <w:r>
              <w:rPr>
                <w:sz w:val="14"/>
                <w:szCs w:val="14"/>
              </w:rPr>
              <w:t xml:space="preserve">No information</w:t>
            </w:r>
          </w:p>
        </w:tc>
        <w:tc>
          <w:tcPr>
            <w:tcW w:type="dxa" w:w="900"/>
            <w:tcMar>
              <w:top w:type="dxa" w:w="60"/>
              <w:left w:type="dxa" w:w="100"/>
              <w:bottom w:type="dxa" w:w="60"/>
              <w:right w:type="dxa" w:w="100"/>
            </w:tcMar>
            <w:vAlign w:val="top"/>
          </w:tcPr>
          <w:p>
            <w:r>
              <w:rPr>
                <w:sz w:val="14"/>
                <w:szCs w:val="14"/>
              </w:rPr>
              <w:t xml:space="preserve">15,000</w:t>
            </w:r>
          </w:p>
        </w:tc>
        <w:tc>
          <w:tcPr>
            <w:tcW w:type="dxa" w:w="950"/>
            <w:tcMar>
              <w:top w:type="dxa" w:w="60"/>
              <w:left w:type="dxa" w:w="100"/>
              <w:bottom w:type="dxa" w:w="60"/>
              <w:right w:type="dxa" w:w="100"/>
            </w:tcMar>
            <w:vAlign w:val="top"/>
          </w:tcPr>
          <w:p>
            <w:r>
              <w:rPr>
                <w:sz w:val="14"/>
                <w:szCs w:val="14"/>
              </w:rPr>
              <w:t xml:space="preserve">9,648</w:t>
            </w:r>
          </w:p>
        </w:tc>
        <w:tc>
          <w:tcPr>
            <w:tcW w:type="dxa" w:w="950"/>
            <w:tcMar>
              <w:top w:type="dxa" w:w="60"/>
              <w:left w:type="dxa" w:w="100"/>
              <w:bottom w:type="dxa" w:w="60"/>
              <w:right w:type="dxa" w:w="100"/>
            </w:tcMar>
            <w:vAlign w:val="top"/>
          </w:tcPr>
          <w:p>
            <w:r>
              <w:rPr>
                <w:sz w:val="14"/>
                <w:szCs w:val="14"/>
              </w:rPr>
              <w:t xml:space="preserve">2,148</w:t>
            </w:r>
          </w:p>
        </w:tc>
        <w:tc>
          <w:tcPr>
            <w:tcW w:type="dxa" w:w="850"/>
            <w:tcMar>
              <w:top w:type="dxa" w:w="60"/>
              <w:left w:type="dxa" w:w="100"/>
              <w:bottom w:type="dxa" w:w="60"/>
              <w:right w:type="dxa" w:w="100"/>
            </w:tcMar>
            <w:vAlign w:val="top"/>
          </w:tcPr>
          <w:p>
            <w:r>
              <w:rPr>
                <w:sz w:val="14"/>
                <w:szCs w:val="14"/>
              </w:rPr>
              <w:t xml:space="preserve">0.0%</w:t>
            </w:r>
          </w:p>
        </w:tc>
        <w:tc>
          <w:tcPr>
            <w:tcW w:type="dxa" w:w="1600"/>
            <w:tcMar>
              <w:top w:type="dxa" w:w="60"/>
              <w:left w:type="dxa" w:w="100"/>
              <w:bottom w:type="dxa" w:w="60"/>
              <w:right w:type="dxa" w:w="100"/>
            </w:tcMar>
            <w:vAlign w:val="top"/>
          </w:tcPr>
          <w:p>
            <w:r>
              <w:rPr>
                <w:sz w:val="14"/>
                <w:szCs w:val="14"/>
              </w:rPr>
              <w:t xml:space="preserve">0% / 0% / 100% / 0%</w:t>
            </w:r>
          </w:p>
        </w:tc>
        <w:tc>
          <w:tcPr>
            <w:tcW w:type="dxa" w:w="1050"/>
            <w:tcMar>
              <w:top w:type="dxa" w:w="60"/>
              <w:left w:type="dxa" w:w="100"/>
              <w:bottom w:type="dxa" w:w="60"/>
              <w:right w:type="dxa" w:w="100"/>
            </w:tcMar>
            <w:vAlign w:val="top"/>
          </w:tcPr>
          <w:p>
            <w:r>
              <w:rPr>
                <w:sz w:val="14"/>
                <w:szCs w:val="14"/>
              </w:rPr>
              <w:t xml:space="preserve">3,957</w:t>
            </w:r>
          </w:p>
        </w:tc>
        <w:tc>
          <w:tcPr>
            <w:tcW w:type="dxa" w:w="900"/>
            <w:tcMar>
              <w:top w:type="dxa" w:w="60"/>
              <w:left w:type="dxa" w:w="100"/>
              <w:bottom w:type="dxa" w:w="60"/>
              <w:right w:type="dxa" w:w="100"/>
            </w:tcMar>
            <w:vAlign w:val="top"/>
          </w:tcPr>
          <w:p>
            <w:r>
              <w:rPr>
                <w:sz w:val="14"/>
                <w:szCs w:val="14"/>
              </w:rPr>
              <w:t xml:space="preserve">3.00</w:t>
            </w:r>
          </w:p>
        </w:tc>
        <w:tc>
          <w:tcPr>
            <w:tcW w:type="dxa" w:w="1238"/>
            <w:tcMar>
              <w:top w:type="dxa" w:w="60"/>
              <w:left w:type="dxa" w:w="100"/>
              <w:bottom w:type="dxa" w:w="60"/>
              <w:right w:type="dxa" w:w="100"/>
            </w:tcMar>
            <w:vAlign w:val="top"/>
          </w:tcPr>
          <w:p>
            <w:r>
              <w:rPr>
                <w:sz w:val="14"/>
                <w:szCs w:val="14"/>
              </w:rPr>
              <w:t xml:space="preserve">1,809</w:t>
            </w:r>
          </w:p>
        </w:tc>
      </w:tr>
      <w:tr>
        <w:trPr>
          <w:cantSplit/>
        </w:trPr>
        <w:tc>
          <w:tcPr>
            <w:tcW w:type="dxa" w:w="1900"/>
            <w:shd w:fill="F7F9FC" w:color="auto" w:val="clear"/>
            <w:tcMar>
              <w:top w:type="dxa" w:w="60"/>
              <w:left w:type="dxa" w:w="100"/>
              <w:bottom w:type="dxa" w:w="60"/>
              <w:right w:type="dxa" w:w="100"/>
            </w:tcMar>
            <w:vAlign w:val="top"/>
          </w:tcPr>
          <w:p>
            <w:r>
              <w:rPr>
                <w:sz w:val="14"/>
                <w:szCs w:val="14"/>
              </w:rPr>
              <w:t xml:space="preserve">Three heads (A3, A10, A23)</w:t>
            </w:r>
          </w:p>
        </w:tc>
        <w:tc>
          <w:tcPr>
            <w:tcW w:type="dxa" w:w="900"/>
            <w:shd w:fill="F7F9FC" w:color="auto" w:val="clear"/>
            <w:tcMar>
              <w:top w:type="dxa" w:w="60"/>
              <w:left w:type="dxa" w:w="100"/>
              <w:bottom w:type="dxa" w:w="60"/>
              <w:right w:type="dxa" w:w="100"/>
            </w:tcMar>
            <w:vAlign w:val="top"/>
          </w:tcPr>
          <w:p>
            <w:r>
              <w:rPr>
                <w:sz w:val="14"/>
                <w:szCs w:val="14"/>
              </w:rPr>
              <w:t xml:space="preserve">18,720</w:t>
            </w:r>
          </w:p>
        </w:tc>
        <w:tc>
          <w:tcPr>
            <w:tcW w:type="dxa" w:w="950"/>
            <w:shd w:fill="F7F9FC" w:color="auto" w:val="clear"/>
            <w:tcMar>
              <w:top w:type="dxa" w:w="60"/>
              <w:left w:type="dxa" w:w="100"/>
              <w:bottom w:type="dxa" w:w="60"/>
              <w:right w:type="dxa" w:w="100"/>
            </w:tcMar>
            <w:vAlign w:val="top"/>
          </w:tcPr>
          <w:p>
            <w:r>
              <w:rPr>
                <w:sz w:val="14"/>
                <w:szCs w:val="14"/>
              </w:rPr>
              <w:t xml:space="preserve">11,069</w:t>
            </w:r>
          </w:p>
        </w:tc>
        <w:tc>
          <w:tcPr>
            <w:tcW w:type="dxa" w:w="950"/>
            <w:shd w:fill="F7F9FC" w:color="auto" w:val="clear"/>
            <w:tcMar>
              <w:top w:type="dxa" w:w="60"/>
              <w:left w:type="dxa" w:w="100"/>
              <w:bottom w:type="dxa" w:w="60"/>
              <w:right w:type="dxa" w:w="100"/>
            </w:tcMar>
            <w:vAlign w:val="top"/>
          </w:tcPr>
          <w:p>
            <w:r>
              <w:rPr>
                <w:sz w:val="14"/>
                <w:szCs w:val="14"/>
              </w:rPr>
              <w:t xml:space="preserve">1,709</w:t>
            </w:r>
          </w:p>
        </w:tc>
        <w:tc>
          <w:tcPr>
            <w:tcW w:type="dxa" w:w="850"/>
            <w:shd w:fill="F7F9FC" w:color="auto" w:val="clear"/>
            <w:tcMar>
              <w:top w:type="dxa" w:w="60"/>
              <w:left w:type="dxa" w:w="100"/>
              <w:bottom w:type="dxa" w:w="60"/>
              <w:right w:type="dxa" w:w="100"/>
            </w:tcMar>
            <w:vAlign w:val="top"/>
          </w:tcPr>
          <w:p>
            <w:r>
              <w:rPr>
                <w:sz w:val="14"/>
                <w:szCs w:val="14"/>
              </w:rPr>
              <w:t xml:space="preserve">0.7%</w:t>
            </w:r>
          </w:p>
        </w:tc>
        <w:tc>
          <w:tcPr>
            <w:tcW w:type="dxa" w:w="1600"/>
            <w:shd w:fill="F7F9FC" w:color="auto" w:val="clear"/>
            <w:tcMar>
              <w:top w:type="dxa" w:w="60"/>
              <w:left w:type="dxa" w:w="100"/>
              <w:bottom w:type="dxa" w:w="60"/>
              <w:right w:type="dxa" w:w="100"/>
            </w:tcMar>
            <w:vAlign w:val="top"/>
          </w:tcPr>
          <w:p>
            <w:r>
              <w:rPr>
                <w:sz w:val="14"/>
                <w:szCs w:val="14"/>
              </w:rPr>
              <w:t xml:space="preserve">1% / 16% / 49% / 34%</w:t>
            </w:r>
          </w:p>
        </w:tc>
        <w:tc>
          <w:tcPr>
            <w:tcW w:type="dxa" w:w="1050"/>
            <w:shd w:fill="F7F9FC" w:color="auto" w:val="clear"/>
            <w:tcMar>
              <w:top w:type="dxa" w:w="60"/>
              <w:left w:type="dxa" w:w="100"/>
              <w:bottom w:type="dxa" w:w="60"/>
              <w:right w:type="dxa" w:w="100"/>
            </w:tcMar>
            <w:vAlign w:val="top"/>
          </w:tcPr>
          <w:p>
            <w:r>
              <w:rPr>
                <w:sz w:val="14"/>
                <w:szCs w:val="14"/>
              </w:rPr>
              <w:t xml:space="preserve">3,831</w:t>
            </w:r>
          </w:p>
        </w:tc>
        <w:tc>
          <w:tcPr>
            <w:tcW w:type="dxa" w:w="900"/>
            <w:shd w:fill="F7F9FC" w:color="auto" w:val="clear"/>
            <w:tcMar>
              <w:top w:type="dxa" w:w="60"/>
              <w:left w:type="dxa" w:w="100"/>
              <w:bottom w:type="dxa" w:w="60"/>
              <w:right w:type="dxa" w:w="100"/>
            </w:tcMar>
            <w:vAlign w:val="top"/>
          </w:tcPr>
          <w:p>
            <w:r>
              <w:rPr>
                <w:sz w:val="14"/>
                <w:szCs w:val="14"/>
              </w:rPr>
              <w:t xml:space="preserve">1.61</w:t>
            </w:r>
          </w:p>
        </w:tc>
        <w:tc>
          <w:tcPr>
            <w:tcW w:type="dxa" w:w="1238"/>
            <w:shd w:fill="F7F9FC" w:color="auto" w:val="clear"/>
            <w:tcMar>
              <w:top w:type="dxa" w:w="60"/>
              <w:left w:type="dxa" w:w="100"/>
              <w:bottom w:type="dxa" w:w="60"/>
              <w:right w:type="dxa" w:w="100"/>
            </w:tcMar>
            <w:vAlign w:val="top"/>
          </w:tcPr>
          <w:p>
            <w:r>
              <w:rPr>
                <w:sz w:val="14"/>
                <w:szCs w:val="14"/>
              </w:rPr>
              <w:t xml:space="preserve">2,122</w:t>
            </w:r>
          </w:p>
        </w:tc>
      </w:tr>
      <w:tr>
        <w:trPr>
          <w:cantSplit/>
        </w:trPr>
        <w:tc>
          <w:tcPr>
            <w:tcW w:type="dxa" w:w="1900"/>
            <w:tcMar>
              <w:top w:type="dxa" w:w="60"/>
              <w:left w:type="dxa" w:w="100"/>
              <w:bottom w:type="dxa" w:w="60"/>
              <w:right w:type="dxa" w:w="100"/>
            </w:tcMar>
            <w:vAlign w:val="top"/>
          </w:tcPr>
          <w:p>
            <w:r>
              <w:rPr>
                <w:sz w:val="14"/>
                <w:szCs w:val="14"/>
              </w:rPr>
              <w:t xml:space="preserve">One chloride sample (A30)</w:t>
            </w:r>
          </w:p>
        </w:tc>
        <w:tc>
          <w:tcPr>
            <w:tcW w:type="dxa" w:w="900"/>
            <w:tcMar>
              <w:top w:type="dxa" w:w="60"/>
              <w:left w:type="dxa" w:w="100"/>
              <w:bottom w:type="dxa" w:w="60"/>
              <w:right w:type="dxa" w:w="100"/>
            </w:tcMar>
            <w:vAlign w:val="top"/>
          </w:tcPr>
          <w:p>
            <w:r>
              <w:rPr>
                <w:sz w:val="14"/>
                <w:szCs w:val="14"/>
              </w:rPr>
              <w:t xml:space="preserve">5,393</w:t>
            </w:r>
          </w:p>
        </w:tc>
        <w:tc>
          <w:tcPr>
            <w:tcW w:type="dxa" w:w="950"/>
            <w:tcMar>
              <w:top w:type="dxa" w:w="60"/>
              <w:left w:type="dxa" w:w="100"/>
              <w:bottom w:type="dxa" w:w="60"/>
              <w:right w:type="dxa" w:w="100"/>
            </w:tcMar>
            <w:vAlign w:val="top"/>
          </w:tcPr>
          <w:p>
            <w:r>
              <w:rPr>
                <w:sz w:val="14"/>
                <w:szCs w:val="14"/>
              </w:rPr>
              <w:t xml:space="preserve">7,821</w:t>
            </w:r>
          </w:p>
        </w:tc>
        <w:tc>
          <w:tcPr>
            <w:tcW w:type="dxa" w:w="950"/>
            <w:tcMar>
              <w:top w:type="dxa" w:w="60"/>
              <w:left w:type="dxa" w:w="100"/>
              <w:bottom w:type="dxa" w:w="60"/>
              <w:right w:type="dxa" w:w="100"/>
            </w:tcMar>
            <w:vAlign w:val="top"/>
          </w:tcPr>
          <w:p>
            <w:r>
              <w:rPr>
                <w:sz w:val="14"/>
                <w:szCs w:val="14"/>
              </w:rPr>
              <w:t xml:space="preserve">5,125</w:t>
            </w:r>
          </w:p>
        </w:tc>
        <w:tc>
          <w:tcPr>
            <w:tcW w:type="dxa" w:w="850"/>
            <w:tcMar>
              <w:top w:type="dxa" w:w="60"/>
              <w:left w:type="dxa" w:w="100"/>
              <w:bottom w:type="dxa" w:w="60"/>
              <w:right w:type="dxa" w:w="100"/>
            </w:tcMar>
            <w:vAlign w:val="top"/>
          </w:tcPr>
          <w:p>
            <w:r>
              <w:rPr>
                <w:sz w:val="14"/>
                <w:szCs w:val="14"/>
              </w:rPr>
              <w:t xml:space="preserve">4.4%</w:t>
            </w:r>
          </w:p>
        </w:tc>
        <w:tc>
          <w:tcPr>
            <w:tcW w:type="dxa" w:w="1600"/>
            <w:tcMar>
              <w:top w:type="dxa" w:w="60"/>
              <w:left w:type="dxa" w:w="100"/>
              <w:bottom w:type="dxa" w:w="60"/>
              <w:right w:type="dxa" w:w="100"/>
            </w:tcMar>
            <w:vAlign w:val="top"/>
          </w:tcPr>
          <w:p>
            <w:r>
              <w:rPr>
                <w:sz w:val="14"/>
                <w:szCs w:val="14"/>
              </w:rPr>
              <w:t xml:space="preserve">78% / 4% / 2% / 16%</w:t>
            </w:r>
          </w:p>
        </w:tc>
        <w:tc>
          <w:tcPr>
            <w:tcW w:type="dxa" w:w="1050"/>
            <w:tcMar>
              <w:top w:type="dxa" w:w="60"/>
              <w:left w:type="dxa" w:w="100"/>
              <w:bottom w:type="dxa" w:w="60"/>
              <w:right w:type="dxa" w:w="100"/>
            </w:tcMar>
            <w:vAlign w:val="top"/>
          </w:tcPr>
          <w:p>
            <w:r>
              <w:rPr>
                <w:sz w:val="14"/>
                <w:szCs w:val="14"/>
              </w:rPr>
              <w:t xml:space="preserve">7,024</w:t>
            </w:r>
          </w:p>
        </w:tc>
        <w:tc>
          <w:tcPr>
            <w:tcW w:type="dxa" w:w="900"/>
            <w:tcMar>
              <w:top w:type="dxa" w:w="60"/>
              <w:left w:type="dxa" w:w="100"/>
              <w:bottom w:type="dxa" w:w="60"/>
              <w:right w:type="dxa" w:w="100"/>
            </w:tcMar>
            <w:vAlign w:val="top"/>
          </w:tcPr>
          <w:p>
            <w:r>
              <w:rPr>
                <w:sz w:val="14"/>
                <w:szCs w:val="14"/>
              </w:rPr>
              <w:t xml:space="preserve">1.75</w:t>
            </w:r>
          </w:p>
        </w:tc>
        <w:tc>
          <w:tcPr>
            <w:tcW w:type="dxa" w:w="1238"/>
            <w:tcMar>
              <w:top w:type="dxa" w:w="60"/>
              <w:left w:type="dxa" w:w="100"/>
              <w:bottom w:type="dxa" w:w="60"/>
              <w:right w:type="dxa" w:w="100"/>
            </w:tcMar>
            <w:vAlign w:val="top"/>
          </w:tcPr>
          <w:p>
            <w:r>
              <w:rPr>
                <w:sz w:val="14"/>
                <w:szCs w:val="14"/>
              </w:rPr>
              <w:t xml:space="preserve">1,899</w:t>
            </w:r>
          </w:p>
        </w:tc>
      </w:tr>
      <w:tr>
        <w:trPr>
          <w:cantSplit/>
        </w:trPr>
        <w:tc>
          <w:tcPr>
            <w:tcW w:type="dxa" w:w="1900"/>
            <w:shd w:fill="F7F9FC" w:color="auto" w:val="clear"/>
            <w:tcMar>
              <w:top w:type="dxa" w:w="60"/>
              <w:left w:type="dxa" w:w="100"/>
              <w:bottom w:type="dxa" w:w="60"/>
              <w:right w:type="dxa" w:w="100"/>
            </w:tcMar>
            <w:vAlign w:val="top"/>
          </w:tcPr>
          <w:p>
            <w:r>
              <w:rPr>
                <w:sz w:val="14"/>
                <w:szCs w:val="14"/>
              </w:rPr>
              <w:t xml:space="preserve">Chloride sample and three heads</w:t>
            </w:r>
          </w:p>
        </w:tc>
        <w:tc>
          <w:tcPr>
            <w:tcW w:type="dxa" w:w="900"/>
            <w:shd w:fill="F7F9FC" w:color="auto" w:val="clear"/>
            <w:tcMar>
              <w:top w:type="dxa" w:w="60"/>
              <w:left w:type="dxa" w:w="100"/>
              <w:bottom w:type="dxa" w:w="60"/>
              <w:right w:type="dxa" w:w="100"/>
            </w:tcMar>
            <w:vAlign w:val="top"/>
          </w:tcPr>
          <w:p>
            <w:r>
              <w:rPr>
                <w:sz w:val="14"/>
                <w:szCs w:val="14"/>
              </w:rPr>
              <w:t xml:space="preserve">4,489</w:t>
            </w:r>
          </w:p>
        </w:tc>
        <w:tc>
          <w:tcPr>
            <w:tcW w:type="dxa" w:w="950"/>
            <w:shd w:fill="F7F9FC" w:color="auto" w:val="clear"/>
            <w:tcMar>
              <w:top w:type="dxa" w:w="60"/>
              <w:left w:type="dxa" w:w="100"/>
              <w:bottom w:type="dxa" w:w="60"/>
              <w:right w:type="dxa" w:w="100"/>
            </w:tcMar>
            <w:vAlign w:val="top"/>
          </w:tcPr>
          <w:p>
            <w:r>
              <w:rPr>
                <w:sz w:val="14"/>
                <w:szCs w:val="14"/>
              </w:rPr>
              <w:t xml:space="preserve">9,917</w:t>
            </w:r>
          </w:p>
        </w:tc>
        <w:tc>
          <w:tcPr>
            <w:tcW w:type="dxa" w:w="950"/>
            <w:shd w:fill="F7F9FC" w:color="auto" w:val="clear"/>
            <w:tcMar>
              <w:top w:type="dxa" w:w="60"/>
              <w:left w:type="dxa" w:w="100"/>
              <w:bottom w:type="dxa" w:w="60"/>
              <w:right w:type="dxa" w:w="100"/>
            </w:tcMar>
            <w:vAlign w:val="top"/>
          </w:tcPr>
          <w:p>
            <w:r>
              <w:rPr>
                <w:sz w:val="14"/>
                <w:szCs w:val="14"/>
              </w:rPr>
              <w:t xml:space="preserve">7,673</w:t>
            </w:r>
          </w:p>
        </w:tc>
        <w:tc>
          <w:tcPr>
            <w:tcW w:type="dxa" w:w="850"/>
            <w:shd w:fill="F7F9FC" w:color="auto" w:val="clear"/>
            <w:tcMar>
              <w:top w:type="dxa" w:w="60"/>
              <w:left w:type="dxa" w:w="100"/>
              <w:bottom w:type="dxa" w:w="60"/>
              <w:right w:type="dxa" w:w="100"/>
            </w:tcMar>
            <w:vAlign w:val="top"/>
          </w:tcPr>
          <w:p>
            <w:r>
              <w:rPr>
                <w:sz w:val="14"/>
                <w:szCs w:val="14"/>
              </w:rPr>
              <w:t xml:space="preserve">2.1%</w:t>
            </w:r>
          </w:p>
        </w:tc>
        <w:tc>
          <w:tcPr>
            <w:tcW w:type="dxa" w:w="1600"/>
            <w:shd w:fill="F7F9FC" w:color="auto" w:val="clear"/>
            <w:tcMar>
              <w:top w:type="dxa" w:w="60"/>
              <w:left w:type="dxa" w:w="100"/>
              <w:bottom w:type="dxa" w:w="60"/>
              <w:right w:type="dxa" w:w="100"/>
            </w:tcMar>
            <w:vAlign w:val="top"/>
          </w:tcPr>
          <w:p>
            <w:r>
              <w:rPr>
                <w:sz w:val="14"/>
                <w:szCs w:val="14"/>
              </w:rPr>
              <w:t xml:space="preserve">79% / 5% / 5% / 11%</w:t>
            </w:r>
          </w:p>
        </w:tc>
        <w:tc>
          <w:tcPr>
            <w:tcW w:type="dxa" w:w="1050"/>
            <w:shd w:fill="F7F9FC" w:color="auto" w:val="clear"/>
            <w:tcMar>
              <w:top w:type="dxa" w:w="60"/>
              <w:left w:type="dxa" w:w="100"/>
              <w:bottom w:type="dxa" w:w="60"/>
              <w:right w:type="dxa" w:w="100"/>
            </w:tcMar>
            <w:vAlign w:val="top"/>
          </w:tcPr>
          <w:p>
            <w:r>
              <w:rPr>
                <w:sz w:val="14"/>
                <w:szCs w:val="14"/>
              </w:rPr>
              <w:t xml:space="preserve">8,431</w:t>
            </w:r>
          </w:p>
        </w:tc>
        <w:tc>
          <w:tcPr>
            <w:tcW w:type="dxa" w:w="900"/>
            <w:shd w:fill="F7F9FC" w:color="auto" w:val="clear"/>
            <w:tcMar>
              <w:top w:type="dxa" w:w="60"/>
              <w:left w:type="dxa" w:w="100"/>
              <w:bottom w:type="dxa" w:w="60"/>
              <w:right w:type="dxa" w:w="100"/>
            </w:tcMar>
            <w:vAlign w:val="top"/>
          </w:tcPr>
          <w:p>
            <w:r>
              <w:rPr>
                <w:sz w:val="14"/>
                <w:szCs w:val="14"/>
              </w:rPr>
              <w:t xml:space="preserve">0.92</w:t>
            </w:r>
          </w:p>
        </w:tc>
        <w:tc>
          <w:tcPr>
            <w:tcW w:type="dxa" w:w="1238"/>
            <w:shd w:fill="F7F9FC" w:color="auto" w:val="clear"/>
            <w:tcMar>
              <w:top w:type="dxa" w:w="60"/>
              <w:left w:type="dxa" w:w="100"/>
              <w:bottom w:type="dxa" w:w="60"/>
              <w:right w:type="dxa" w:w="100"/>
            </w:tcMar>
            <w:vAlign w:val="top"/>
          </w:tcPr>
          <w:p>
            <w:r>
              <w:rPr>
                <w:sz w:val="14"/>
                <w:szCs w:val="14"/>
              </w:rPr>
              <w:t xml:space="preserve">758</w:t>
            </w:r>
          </w:p>
        </w:tc>
      </w:tr>
    </w:tbl>
    <w:p>
      <w:pPr>
        <w:spacing w:after="160"/>
      </w:pPr>
    </w:p>
    <w:p>
      <w:pPr>
        <w:spacing w:after="120"/>
      </w:pPr>
      <w:r>
        <w:rPr>
          <w:i/>
          <w:iCs/>
          <w:color w:val="5B6573"/>
          <w:sz w:val="18"/>
          <w:szCs w:val="18"/>
        </w:rPr>
        <w:t xml:space="preserve">Table 9.3. The decisive joint choice of the unanimous certified rule, mean over 2,000 truths, and the average-belief rule for comparison. Net water = pumped water minus half the recharged water. Vetoes: number of stakeholders whose own certified risk exceeds 10% at the average-belief action. Price of unanimity: net water of the average-belief rule minus that of the unanimous rule.</w:t>
      </w:r>
    </w:p>
    <w:p>
      <w:pPr>
        <w:pStyle w:val="ListParagraph"/>
        <w:numPr>
          <w:ilvl w:val="0"/>
          <w:numId w:val="2"/>
        </w:numPr>
        <w:spacing w:after="60"/>
        <w:jc w:val="both"/>
      </w:pPr>
      <w:r>
        <w:rPr>
          <w:b/>
          <w:bCs/>
        </w:rPr>
        <w:t xml:space="preserve">Unanimity keeps every stakeholder safe by their own belief; averaging does not.</w:t>
      </w:r>
      <w:r>
        <w:t xml:space="preserve"> Judged by each stakeholder's own belief, the realised failure frequency of the unanimous rule is at most 0.094 without data and 0.056 with the chloride sample, below the agreed 10% for all five (Table 9.4, Figure V1d), as Proposition V3 promises. The average-belief rule allows more water (3,957 and 7,024 m³/d net) but would be vetoed by 3.00 and 1.75 stakeholders on average, and rightly by their own lights: without data it exposes the environmental groups to a realised risk of 0.146; with the chloride sample it exposes the regional water agency to 0.117. The price of unanimity, the water given up so that nobody vetoes, is 1,809 m³/d without data and 1,899 m³/d with the sample.</w:t>
      </w:r>
    </w:p>
    <w:p>
      <w:pPr>
        <w:pStyle w:val="ListParagraph"/>
        <w:numPr>
          <w:ilvl w:val="0"/>
          <w:numId w:val="2"/>
        </w:numPr>
        <w:spacing w:after="60"/>
        <w:jc w:val="both"/>
      </w:pPr>
      <w:r>
        <w:rPr>
          <w:b/>
          <w:bCs/>
        </w:rPr>
        <w:t xml:space="preserve">Everyone agrees to buy the chloride sample; nobody gains water from the heads.</w:t>
      </w:r>
      <w:r>
        <w:t xml:space="preserve"> By each stakeholder's own expectation, the chloride sample changes net water by +2,977, +5,351, +1,554, +1,854, −729 m³/d (utility, irrigators and hotels, municipality, water agency, environmental groups). The environmental groups lose water in expectation, but their own risk falls from 0.094 to 0.026, so all five gain, in water or in safety, and by V3 nobody's risk can rise above the limit. The heads lower everyone's net water (−439, −312, −836, −50, −455 m³/d). The posteriors after the heads rest on fewer effective aquifers (median 46 for the least-supported stakeholder against 215 with the chloride sample), the certified margin widens, and the group must recharge more (18,720 m³/d). With the heads the environmental groups' realised risk is 0.107 ± 0.013, within one standard error of the limit: the margin controls the Monte Carlo error only approximately, as section 9.4 warned.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1200"/>
        <w:gridCol w:w="1100"/>
        <w:gridCol w:w="1100"/>
        <w:gridCol w:w="1100"/>
        <w:gridCol w:w="1350"/>
        <w:gridCol w:w="1100"/>
        <w:gridCol w:w="988"/>
      </w:tblGrid>
      <w:tr>
        <w:trPr>
          <w:cantSplit/>
          <w:tblHeader/>
        </w:trPr>
        <w:tc>
          <w:tcPr>
            <w:tcW w:type="dxa" w:w="1700"/>
            <w:shd w:fill="1F3864" w:color="auto" w:val="clear"/>
            <w:tcMar>
              <w:top w:type="dxa" w:w="60"/>
              <w:left w:type="dxa" w:w="100"/>
              <w:bottom w:type="dxa" w:w="60"/>
              <w:right w:type="dxa" w:w="100"/>
            </w:tcMar>
            <w:vAlign w:val="top"/>
          </w:tcPr>
          <w:p>
            <w:r>
              <w:rPr>
                <w:b/>
                <w:bCs/>
                <w:color w:val="FFFFFF"/>
                <w:sz w:val="14"/>
                <w:szCs w:val="14"/>
              </w:rPr>
              <w:t xml:space="preserve">Stakeholder</w:t>
            </w:r>
          </w:p>
        </w:tc>
        <w:tc>
          <w:tcPr>
            <w:tcW w:type="dxa" w:w="1200"/>
            <w:shd w:fill="1F3864" w:color="auto" w:val="clear"/>
            <w:tcMar>
              <w:top w:type="dxa" w:w="60"/>
              <w:left w:type="dxa" w:w="100"/>
              <w:bottom w:type="dxa" w:w="60"/>
              <w:right w:type="dxa" w:w="100"/>
            </w:tcMar>
            <w:vAlign w:val="top"/>
          </w:tcPr>
          <w:p>
            <w:r>
              <w:rPr>
                <w:b/>
                <w:bCs/>
                <w:color w:val="FFFFFF"/>
                <w:sz w:val="14"/>
                <w:szCs w:val="14"/>
              </w:rPr>
              <w:t xml:space="preserve">Realised risk, unanimous: no data</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Three heads</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Chloride sample</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Chloride and heads</w:t>
            </w:r>
          </w:p>
        </w:tc>
        <w:tc>
          <w:tcPr>
            <w:tcW w:type="dxa" w:w="1350"/>
            <w:shd w:fill="1F3864" w:color="auto" w:val="clear"/>
            <w:tcMar>
              <w:top w:type="dxa" w:w="60"/>
              <w:left w:type="dxa" w:w="100"/>
              <w:bottom w:type="dxa" w:w="60"/>
              <w:right w:type="dxa" w:w="100"/>
            </w:tcMar>
            <w:vAlign w:val="top"/>
          </w:tcPr>
          <w:p>
            <w:r>
              <w:rPr>
                <w:b/>
                <w:bCs/>
                <w:color w:val="FFFFFF"/>
                <w:sz w:val="14"/>
                <w:szCs w:val="14"/>
              </w:rPr>
              <w:t xml:space="preserve">Average-belief rule: no data / chloride</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Value of the chloride sample (m³/d)</w:t>
            </w:r>
          </w:p>
        </w:tc>
        <w:tc>
          <w:tcPr>
            <w:tcW w:type="dxa" w:w="988"/>
            <w:shd w:fill="1F3864" w:color="auto" w:val="clear"/>
            <w:tcMar>
              <w:top w:type="dxa" w:w="60"/>
              <w:left w:type="dxa" w:w="100"/>
              <w:bottom w:type="dxa" w:w="60"/>
              <w:right w:type="dxa" w:w="100"/>
            </w:tcMar>
            <w:vAlign w:val="top"/>
          </w:tcPr>
          <w:p>
            <w:r>
              <w:rPr>
                <w:b/>
                <w:bCs/>
                <w:color w:val="FFFFFF"/>
                <w:sz w:val="14"/>
                <w:szCs w:val="14"/>
              </w:rPr>
              <w:t xml:space="preserve">Value of the heads (m³/d)</w:t>
            </w:r>
          </w:p>
        </w:tc>
      </w:tr>
      <w:tr>
        <w:trPr>
          <w:cantSplit/>
        </w:trPr>
        <w:tc>
          <w:tcPr>
            <w:tcW w:type="dxa" w:w="1700"/>
            <w:tcMar>
              <w:top w:type="dxa" w:w="60"/>
              <w:left w:type="dxa" w:w="100"/>
              <w:bottom w:type="dxa" w:w="60"/>
              <w:right w:type="dxa" w:w="100"/>
            </w:tcMar>
            <w:vAlign w:val="top"/>
          </w:tcPr>
          <w:p>
            <w:r>
              <w:rPr>
                <w:sz w:val="14"/>
                <w:szCs w:val="14"/>
              </w:rPr>
              <w:t xml:space="preserve">Water utility</w:t>
            </w:r>
          </w:p>
        </w:tc>
        <w:tc>
          <w:tcPr>
            <w:tcW w:type="dxa" w:w="1200"/>
            <w:tcMar>
              <w:top w:type="dxa" w:w="60"/>
              <w:left w:type="dxa" w:w="100"/>
              <w:bottom w:type="dxa" w:w="60"/>
              <w:right w:type="dxa" w:w="100"/>
            </w:tcMar>
            <w:vAlign w:val="top"/>
          </w:tcPr>
          <w:p>
            <w:r>
              <w:rPr>
                <w:sz w:val="14"/>
                <w:szCs w:val="14"/>
              </w:rPr>
              <w:t xml:space="preserve">0.045 ± 0.005</w:t>
            </w:r>
          </w:p>
        </w:tc>
        <w:tc>
          <w:tcPr>
            <w:tcW w:type="dxa" w:w="1100"/>
            <w:tcMar>
              <w:top w:type="dxa" w:w="60"/>
              <w:left w:type="dxa" w:w="100"/>
              <w:bottom w:type="dxa" w:w="60"/>
              <w:right w:type="dxa" w:w="100"/>
            </w:tcMar>
            <w:vAlign w:val="top"/>
          </w:tcPr>
          <w:p>
            <w:r>
              <w:rPr>
                <w:sz w:val="14"/>
                <w:szCs w:val="14"/>
              </w:rPr>
              <w:t xml:space="preserve">0.046 ± 0.005</w:t>
            </w:r>
          </w:p>
        </w:tc>
        <w:tc>
          <w:tcPr>
            <w:tcW w:type="dxa" w:w="1100"/>
            <w:tcMar>
              <w:top w:type="dxa" w:w="60"/>
              <w:left w:type="dxa" w:w="100"/>
              <w:bottom w:type="dxa" w:w="60"/>
              <w:right w:type="dxa" w:w="100"/>
            </w:tcMar>
            <w:vAlign w:val="top"/>
          </w:tcPr>
          <w:p>
            <w:r>
              <w:rPr>
                <w:sz w:val="14"/>
                <w:szCs w:val="14"/>
              </w:rPr>
              <w:t xml:space="preserve">0.024 ± 0.003</w:t>
            </w:r>
          </w:p>
        </w:tc>
        <w:tc>
          <w:tcPr>
            <w:tcW w:type="dxa" w:w="1100"/>
            <w:tcMar>
              <w:top w:type="dxa" w:w="60"/>
              <w:left w:type="dxa" w:w="100"/>
              <w:bottom w:type="dxa" w:w="60"/>
              <w:right w:type="dxa" w:w="100"/>
            </w:tcMar>
            <w:vAlign w:val="top"/>
          </w:tcPr>
          <w:p>
            <w:r>
              <w:rPr>
                <w:sz w:val="14"/>
                <w:szCs w:val="14"/>
              </w:rPr>
              <w:t xml:space="preserve">0.049 ± 0.005</w:t>
            </w:r>
          </w:p>
        </w:tc>
        <w:tc>
          <w:tcPr>
            <w:tcW w:type="dxa" w:w="1350"/>
            <w:tcMar>
              <w:top w:type="dxa" w:w="60"/>
              <w:left w:type="dxa" w:w="100"/>
              <w:bottom w:type="dxa" w:w="60"/>
              <w:right w:type="dxa" w:w="100"/>
            </w:tcMar>
            <w:vAlign w:val="top"/>
          </w:tcPr>
          <w:p>
            <w:r>
              <w:rPr>
                <w:sz w:val="14"/>
                <w:szCs w:val="14"/>
              </w:rPr>
              <w:t xml:space="preserve">0.065 / 0.048</w:t>
            </w:r>
          </w:p>
        </w:tc>
        <w:tc>
          <w:tcPr>
            <w:tcW w:type="dxa" w:w="1100"/>
            <w:tcMar>
              <w:top w:type="dxa" w:w="60"/>
              <w:left w:type="dxa" w:w="100"/>
              <w:bottom w:type="dxa" w:w="60"/>
              <w:right w:type="dxa" w:w="100"/>
            </w:tcMar>
            <w:vAlign w:val="top"/>
          </w:tcPr>
          <w:p>
            <w:r>
              <w:rPr>
                <w:sz w:val="14"/>
                <w:szCs w:val="14"/>
              </w:rPr>
              <w:t xml:space="preserve">+2,977</w:t>
            </w:r>
          </w:p>
        </w:tc>
        <w:tc>
          <w:tcPr>
            <w:tcW w:type="dxa" w:w="988"/>
            <w:tcMar>
              <w:top w:type="dxa" w:w="60"/>
              <w:left w:type="dxa" w:w="100"/>
              <w:bottom w:type="dxa" w:w="60"/>
              <w:right w:type="dxa" w:w="100"/>
            </w:tcMar>
            <w:vAlign w:val="top"/>
          </w:tcPr>
          <w:p>
            <w:r>
              <w:rPr>
                <w:sz w:val="14"/>
                <w:szCs w:val="14"/>
              </w:rPr>
              <w:t xml:space="preserve">−439</w:t>
            </w:r>
          </w:p>
        </w:tc>
      </w:tr>
      <w:tr>
        <w:trPr>
          <w:cantSplit/>
        </w:trPr>
        <w:tc>
          <w:tcPr>
            <w:tcW w:type="dxa" w:w="1700"/>
            <w:shd w:fill="F7F9FC" w:color="auto" w:val="clear"/>
            <w:tcMar>
              <w:top w:type="dxa" w:w="60"/>
              <w:left w:type="dxa" w:w="100"/>
              <w:bottom w:type="dxa" w:w="60"/>
              <w:right w:type="dxa" w:w="100"/>
            </w:tcMar>
            <w:vAlign w:val="top"/>
          </w:tcPr>
          <w:p>
            <w:r>
              <w:rPr>
                <w:sz w:val="14"/>
                <w:szCs w:val="14"/>
              </w:rPr>
              <w:t xml:space="preserve">Irrigators and hotels</w:t>
            </w:r>
          </w:p>
        </w:tc>
        <w:tc>
          <w:tcPr>
            <w:tcW w:type="dxa" w:w="1200"/>
            <w:shd w:fill="F7F9FC" w:color="auto" w:val="clear"/>
            <w:tcMar>
              <w:top w:type="dxa" w:w="60"/>
              <w:left w:type="dxa" w:w="100"/>
              <w:bottom w:type="dxa" w:w="60"/>
              <w:right w:type="dxa" w:w="100"/>
            </w:tcMar>
            <w:vAlign w:val="top"/>
          </w:tcPr>
          <w:p>
            <w:r>
              <w:rPr>
                <w:sz w:val="14"/>
                <w:szCs w:val="14"/>
              </w:rPr>
              <w:t xml:space="preserve">0.021 ± 0.003</w:t>
            </w:r>
          </w:p>
        </w:tc>
        <w:tc>
          <w:tcPr>
            <w:tcW w:type="dxa" w:w="1100"/>
            <w:shd w:fill="F7F9FC" w:color="auto" w:val="clear"/>
            <w:tcMar>
              <w:top w:type="dxa" w:w="60"/>
              <w:left w:type="dxa" w:w="100"/>
              <w:bottom w:type="dxa" w:w="60"/>
              <w:right w:type="dxa" w:w="100"/>
            </w:tcMar>
            <w:vAlign w:val="top"/>
          </w:tcPr>
          <w:p>
            <w:r>
              <w:rPr>
                <w:sz w:val="14"/>
                <w:szCs w:val="14"/>
              </w:rPr>
              <w:t xml:space="preserve">0.020 ± 0.003</w:t>
            </w:r>
          </w:p>
        </w:tc>
        <w:tc>
          <w:tcPr>
            <w:tcW w:type="dxa" w:w="1100"/>
            <w:shd w:fill="F7F9FC" w:color="auto" w:val="clear"/>
            <w:tcMar>
              <w:top w:type="dxa" w:w="60"/>
              <w:left w:type="dxa" w:w="100"/>
              <w:bottom w:type="dxa" w:w="60"/>
              <w:right w:type="dxa" w:w="100"/>
            </w:tcMar>
            <w:vAlign w:val="top"/>
          </w:tcPr>
          <w:p>
            <w:r>
              <w:rPr>
                <w:sz w:val="14"/>
                <w:szCs w:val="14"/>
              </w:rPr>
              <w:t xml:space="preserve">0.016 ± 0.003</w:t>
            </w:r>
          </w:p>
        </w:tc>
        <w:tc>
          <w:tcPr>
            <w:tcW w:type="dxa" w:w="1100"/>
            <w:shd w:fill="F7F9FC" w:color="auto" w:val="clear"/>
            <w:tcMar>
              <w:top w:type="dxa" w:w="60"/>
              <w:left w:type="dxa" w:w="100"/>
              <w:bottom w:type="dxa" w:w="60"/>
              <w:right w:type="dxa" w:w="100"/>
            </w:tcMar>
            <w:vAlign w:val="top"/>
          </w:tcPr>
          <w:p>
            <w:r>
              <w:rPr>
                <w:sz w:val="14"/>
                <w:szCs w:val="14"/>
              </w:rPr>
              <w:t xml:space="preserve">0.022 ± 0.003</w:t>
            </w:r>
          </w:p>
        </w:tc>
        <w:tc>
          <w:tcPr>
            <w:tcW w:type="dxa" w:w="1350"/>
            <w:shd w:fill="F7F9FC" w:color="auto" w:val="clear"/>
            <w:tcMar>
              <w:top w:type="dxa" w:w="60"/>
              <w:left w:type="dxa" w:w="100"/>
              <w:bottom w:type="dxa" w:w="60"/>
              <w:right w:type="dxa" w:w="100"/>
            </w:tcMar>
            <w:vAlign w:val="top"/>
          </w:tcPr>
          <w:p>
            <w:r>
              <w:rPr>
                <w:sz w:val="14"/>
                <w:szCs w:val="14"/>
              </w:rPr>
              <w:t xml:space="preserve">0.027 / 0.029</w:t>
            </w:r>
          </w:p>
        </w:tc>
        <w:tc>
          <w:tcPr>
            <w:tcW w:type="dxa" w:w="1100"/>
            <w:shd w:fill="F7F9FC" w:color="auto" w:val="clear"/>
            <w:tcMar>
              <w:top w:type="dxa" w:w="60"/>
              <w:left w:type="dxa" w:w="100"/>
              <w:bottom w:type="dxa" w:w="60"/>
              <w:right w:type="dxa" w:w="100"/>
            </w:tcMar>
            <w:vAlign w:val="top"/>
          </w:tcPr>
          <w:p>
            <w:r>
              <w:rPr>
                <w:sz w:val="14"/>
                <w:szCs w:val="14"/>
              </w:rPr>
              <w:t xml:space="preserve">+5,351</w:t>
            </w:r>
          </w:p>
        </w:tc>
        <w:tc>
          <w:tcPr>
            <w:tcW w:type="dxa" w:w="988"/>
            <w:shd w:fill="F7F9FC" w:color="auto" w:val="clear"/>
            <w:tcMar>
              <w:top w:type="dxa" w:w="60"/>
              <w:left w:type="dxa" w:w="100"/>
              <w:bottom w:type="dxa" w:w="60"/>
              <w:right w:type="dxa" w:w="100"/>
            </w:tcMar>
            <w:vAlign w:val="top"/>
          </w:tcPr>
          <w:p>
            <w:r>
              <w:rPr>
                <w:sz w:val="14"/>
                <w:szCs w:val="14"/>
              </w:rPr>
              <w:t xml:space="preserve">−312</w:t>
            </w:r>
          </w:p>
        </w:tc>
      </w:tr>
      <w:tr>
        <w:trPr>
          <w:cantSplit/>
        </w:trPr>
        <w:tc>
          <w:tcPr>
            <w:tcW w:type="dxa" w:w="1700"/>
            <w:tcMar>
              <w:top w:type="dxa" w:w="60"/>
              <w:left w:type="dxa" w:w="100"/>
              <w:bottom w:type="dxa" w:w="60"/>
              <w:right w:type="dxa" w:w="100"/>
            </w:tcMar>
            <w:vAlign w:val="top"/>
          </w:tcPr>
          <w:p>
            <w:r>
              <w:rPr>
                <w:sz w:val="14"/>
                <w:szCs w:val="14"/>
              </w:rPr>
              <w:t xml:space="preserve">Municipality</w:t>
            </w:r>
          </w:p>
        </w:tc>
        <w:tc>
          <w:tcPr>
            <w:tcW w:type="dxa" w:w="1200"/>
            <w:tcMar>
              <w:top w:type="dxa" w:w="60"/>
              <w:left w:type="dxa" w:w="100"/>
              <w:bottom w:type="dxa" w:w="60"/>
              <w:right w:type="dxa" w:w="100"/>
            </w:tcMar>
            <w:vAlign w:val="top"/>
          </w:tcPr>
          <w:p>
            <w:r>
              <w:rPr>
                <w:sz w:val="14"/>
                <w:szCs w:val="14"/>
              </w:rPr>
              <w:t xml:space="preserve">0.079 ± 0.008</w:t>
            </w:r>
          </w:p>
        </w:tc>
        <w:tc>
          <w:tcPr>
            <w:tcW w:type="dxa" w:w="1100"/>
            <w:tcMar>
              <w:top w:type="dxa" w:w="60"/>
              <w:left w:type="dxa" w:w="100"/>
              <w:bottom w:type="dxa" w:w="60"/>
              <w:right w:type="dxa" w:w="100"/>
            </w:tcMar>
            <w:vAlign w:val="top"/>
          </w:tcPr>
          <w:p>
            <w:r>
              <w:rPr>
                <w:sz w:val="14"/>
                <w:szCs w:val="14"/>
              </w:rPr>
              <w:t xml:space="preserve">0.075 ± 0.008</w:t>
            </w:r>
          </w:p>
        </w:tc>
        <w:tc>
          <w:tcPr>
            <w:tcW w:type="dxa" w:w="1100"/>
            <w:tcMar>
              <w:top w:type="dxa" w:w="60"/>
              <w:left w:type="dxa" w:w="100"/>
              <w:bottom w:type="dxa" w:w="60"/>
              <w:right w:type="dxa" w:w="100"/>
            </w:tcMar>
            <w:vAlign w:val="top"/>
          </w:tcPr>
          <w:p>
            <w:r>
              <w:rPr>
                <w:sz w:val="14"/>
                <w:szCs w:val="14"/>
              </w:rPr>
              <w:t xml:space="preserve">0.026 ± 0.005</w:t>
            </w:r>
          </w:p>
        </w:tc>
        <w:tc>
          <w:tcPr>
            <w:tcW w:type="dxa" w:w="1100"/>
            <w:tcMar>
              <w:top w:type="dxa" w:w="60"/>
              <w:left w:type="dxa" w:w="100"/>
              <w:bottom w:type="dxa" w:w="60"/>
              <w:right w:type="dxa" w:w="100"/>
            </w:tcMar>
            <w:vAlign w:val="top"/>
          </w:tcPr>
          <w:p>
            <w:r>
              <w:rPr>
                <w:sz w:val="14"/>
                <w:szCs w:val="14"/>
              </w:rPr>
              <w:t xml:space="preserve">0.062 ± 0.007</w:t>
            </w:r>
          </w:p>
        </w:tc>
        <w:tc>
          <w:tcPr>
            <w:tcW w:type="dxa" w:w="1350"/>
            <w:tcMar>
              <w:top w:type="dxa" w:w="60"/>
              <w:left w:type="dxa" w:w="100"/>
              <w:bottom w:type="dxa" w:w="60"/>
              <w:right w:type="dxa" w:w="100"/>
            </w:tcMar>
            <w:vAlign w:val="top"/>
          </w:tcPr>
          <w:p>
            <w:r>
              <w:rPr>
                <w:sz w:val="14"/>
                <w:szCs w:val="14"/>
              </w:rPr>
              <w:t xml:space="preserve">0.102 / 0.046</w:t>
            </w:r>
          </w:p>
        </w:tc>
        <w:tc>
          <w:tcPr>
            <w:tcW w:type="dxa" w:w="1100"/>
            <w:tcMar>
              <w:top w:type="dxa" w:w="60"/>
              <w:left w:type="dxa" w:w="100"/>
              <w:bottom w:type="dxa" w:w="60"/>
              <w:right w:type="dxa" w:w="100"/>
            </w:tcMar>
            <w:vAlign w:val="top"/>
          </w:tcPr>
          <w:p>
            <w:r>
              <w:rPr>
                <w:sz w:val="14"/>
                <w:szCs w:val="14"/>
              </w:rPr>
              <w:t xml:space="preserve">+1,554</w:t>
            </w:r>
          </w:p>
        </w:tc>
        <w:tc>
          <w:tcPr>
            <w:tcW w:type="dxa" w:w="988"/>
            <w:tcMar>
              <w:top w:type="dxa" w:w="60"/>
              <w:left w:type="dxa" w:w="100"/>
              <w:bottom w:type="dxa" w:w="60"/>
              <w:right w:type="dxa" w:w="100"/>
            </w:tcMar>
            <w:vAlign w:val="top"/>
          </w:tcPr>
          <w:p>
            <w:r>
              <w:rPr>
                <w:sz w:val="14"/>
                <w:szCs w:val="14"/>
              </w:rPr>
              <w:t xml:space="preserve">−836</w:t>
            </w:r>
          </w:p>
        </w:tc>
      </w:tr>
      <w:tr>
        <w:trPr>
          <w:cantSplit/>
        </w:trPr>
        <w:tc>
          <w:tcPr>
            <w:tcW w:type="dxa" w:w="1700"/>
            <w:shd w:fill="F7F9FC" w:color="auto" w:val="clear"/>
            <w:tcMar>
              <w:top w:type="dxa" w:w="60"/>
              <w:left w:type="dxa" w:w="100"/>
              <w:bottom w:type="dxa" w:w="60"/>
              <w:right w:type="dxa" w:w="100"/>
            </w:tcMar>
            <w:vAlign w:val="top"/>
          </w:tcPr>
          <w:p>
            <w:r>
              <w:rPr>
                <w:sz w:val="14"/>
                <w:szCs w:val="14"/>
              </w:rPr>
              <w:t xml:space="preserve">Regional water agency</w:t>
            </w:r>
          </w:p>
        </w:tc>
        <w:tc>
          <w:tcPr>
            <w:tcW w:type="dxa" w:w="1200"/>
            <w:shd w:fill="F7F9FC" w:color="auto" w:val="clear"/>
            <w:tcMar>
              <w:top w:type="dxa" w:w="60"/>
              <w:left w:type="dxa" w:w="100"/>
              <w:bottom w:type="dxa" w:w="60"/>
              <w:right w:type="dxa" w:w="100"/>
            </w:tcMar>
            <w:vAlign w:val="top"/>
          </w:tcPr>
          <w:p>
            <w:r>
              <w:rPr>
                <w:sz w:val="14"/>
                <w:szCs w:val="14"/>
              </w:rPr>
              <w:t xml:space="preserve">0.044 ± 0.007</w:t>
            </w:r>
          </w:p>
        </w:tc>
        <w:tc>
          <w:tcPr>
            <w:tcW w:type="dxa" w:w="1100"/>
            <w:shd w:fill="F7F9FC" w:color="auto" w:val="clear"/>
            <w:tcMar>
              <w:top w:type="dxa" w:w="60"/>
              <w:left w:type="dxa" w:w="100"/>
              <w:bottom w:type="dxa" w:w="60"/>
              <w:right w:type="dxa" w:w="100"/>
            </w:tcMar>
            <w:vAlign w:val="top"/>
          </w:tcPr>
          <w:p>
            <w:r>
              <w:rPr>
                <w:sz w:val="14"/>
                <w:szCs w:val="14"/>
              </w:rPr>
              <w:t xml:space="preserve">0.057 ± 0.008</w:t>
            </w:r>
          </w:p>
        </w:tc>
        <w:tc>
          <w:tcPr>
            <w:tcW w:type="dxa" w:w="1100"/>
            <w:shd w:fill="F7F9FC" w:color="auto" w:val="clear"/>
            <w:tcMar>
              <w:top w:type="dxa" w:w="60"/>
              <w:left w:type="dxa" w:w="100"/>
              <w:bottom w:type="dxa" w:w="60"/>
              <w:right w:type="dxa" w:w="100"/>
            </w:tcMar>
            <w:vAlign w:val="top"/>
          </w:tcPr>
          <w:p>
            <w:r>
              <w:rPr>
                <w:sz w:val="14"/>
                <w:szCs w:val="14"/>
              </w:rPr>
              <w:t xml:space="preserve">0.056 ± 0.011</w:t>
            </w:r>
          </w:p>
        </w:tc>
        <w:tc>
          <w:tcPr>
            <w:tcW w:type="dxa" w:w="1100"/>
            <w:shd w:fill="F7F9FC" w:color="auto" w:val="clear"/>
            <w:tcMar>
              <w:top w:type="dxa" w:w="60"/>
              <w:left w:type="dxa" w:w="100"/>
              <w:bottom w:type="dxa" w:w="60"/>
              <w:right w:type="dxa" w:w="100"/>
            </w:tcMar>
            <w:vAlign w:val="top"/>
          </w:tcPr>
          <w:p>
            <w:r>
              <w:rPr>
                <w:sz w:val="14"/>
                <w:szCs w:val="14"/>
              </w:rPr>
              <w:t xml:space="preserve">0.074 ± 0.010</w:t>
            </w:r>
          </w:p>
        </w:tc>
        <w:tc>
          <w:tcPr>
            <w:tcW w:type="dxa" w:w="1350"/>
            <w:shd w:fill="F7F9FC" w:color="auto" w:val="clear"/>
            <w:tcMar>
              <w:top w:type="dxa" w:w="60"/>
              <w:left w:type="dxa" w:w="100"/>
              <w:bottom w:type="dxa" w:w="60"/>
              <w:right w:type="dxa" w:w="100"/>
            </w:tcMar>
            <w:vAlign w:val="top"/>
          </w:tcPr>
          <w:p>
            <w:r>
              <w:rPr>
                <w:sz w:val="14"/>
                <w:szCs w:val="14"/>
              </w:rPr>
              <w:t xml:space="preserve">0.088 / 0.117</w:t>
            </w:r>
          </w:p>
        </w:tc>
        <w:tc>
          <w:tcPr>
            <w:tcW w:type="dxa" w:w="1100"/>
            <w:shd w:fill="F7F9FC" w:color="auto" w:val="clear"/>
            <w:tcMar>
              <w:top w:type="dxa" w:w="60"/>
              <w:left w:type="dxa" w:w="100"/>
              <w:bottom w:type="dxa" w:w="60"/>
              <w:right w:type="dxa" w:w="100"/>
            </w:tcMar>
            <w:vAlign w:val="top"/>
          </w:tcPr>
          <w:p>
            <w:r>
              <w:rPr>
                <w:sz w:val="14"/>
                <w:szCs w:val="14"/>
              </w:rPr>
              <w:t xml:space="preserve">+1,854</w:t>
            </w:r>
          </w:p>
        </w:tc>
        <w:tc>
          <w:tcPr>
            <w:tcW w:type="dxa" w:w="988"/>
            <w:shd w:fill="F7F9FC" w:color="auto" w:val="clear"/>
            <w:tcMar>
              <w:top w:type="dxa" w:w="60"/>
              <w:left w:type="dxa" w:w="100"/>
              <w:bottom w:type="dxa" w:w="60"/>
              <w:right w:type="dxa" w:w="100"/>
            </w:tcMar>
            <w:vAlign w:val="top"/>
          </w:tcPr>
          <w:p>
            <w:r>
              <w:rPr>
                <w:sz w:val="14"/>
                <w:szCs w:val="14"/>
              </w:rPr>
              <w:t xml:space="preserve">−50</w:t>
            </w:r>
          </w:p>
        </w:tc>
      </w:tr>
      <w:tr>
        <w:trPr>
          <w:cantSplit/>
        </w:trPr>
        <w:tc>
          <w:tcPr>
            <w:tcW w:type="dxa" w:w="1700"/>
            <w:tcMar>
              <w:top w:type="dxa" w:w="60"/>
              <w:left w:type="dxa" w:w="100"/>
              <w:bottom w:type="dxa" w:w="60"/>
              <w:right w:type="dxa" w:w="100"/>
            </w:tcMar>
            <w:vAlign w:val="top"/>
          </w:tcPr>
          <w:p>
            <w:r>
              <w:rPr>
                <w:sz w:val="14"/>
                <w:szCs w:val="14"/>
              </w:rPr>
              <w:t xml:space="preserve">Environmental groups</w:t>
            </w:r>
          </w:p>
        </w:tc>
        <w:tc>
          <w:tcPr>
            <w:tcW w:type="dxa" w:w="1200"/>
            <w:tcMar>
              <w:top w:type="dxa" w:w="60"/>
              <w:left w:type="dxa" w:w="100"/>
              <w:bottom w:type="dxa" w:w="60"/>
              <w:right w:type="dxa" w:w="100"/>
            </w:tcMar>
            <w:vAlign w:val="top"/>
          </w:tcPr>
          <w:p>
            <w:r>
              <w:rPr>
                <w:sz w:val="14"/>
                <w:szCs w:val="14"/>
              </w:rPr>
              <w:t xml:space="preserve">0.094 ± 0.012</w:t>
            </w:r>
          </w:p>
        </w:tc>
        <w:tc>
          <w:tcPr>
            <w:tcW w:type="dxa" w:w="1100"/>
            <w:tcMar>
              <w:top w:type="dxa" w:w="60"/>
              <w:left w:type="dxa" w:w="100"/>
              <w:bottom w:type="dxa" w:w="60"/>
              <w:right w:type="dxa" w:w="100"/>
            </w:tcMar>
            <w:vAlign w:val="top"/>
          </w:tcPr>
          <w:p>
            <w:r>
              <w:rPr>
                <w:sz w:val="14"/>
                <w:szCs w:val="14"/>
              </w:rPr>
              <w:t xml:space="preserve">0.107 ± 0.013</w:t>
            </w:r>
          </w:p>
        </w:tc>
        <w:tc>
          <w:tcPr>
            <w:tcW w:type="dxa" w:w="1100"/>
            <w:tcMar>
              <w:top w:type="dxa" w:w="60"/>
              <w:left w:type="dxa" w:w="100"/>
              <w:bottom w:type="dxa" w:w="60"/>
              <w:right w:type="dxa" w:w="100"/>
            </w:tcMar>
            <w:vAlign w:val="top"/>
          </w:tcPr>
          <w:p>
            <w:r>
              <w:rPr>
                <w:sz w:val="14"/>
                <w:szCs w:val="14"/>
              </w:rPr>
              <w:t xml:space="preserve">0.026 ± 0.004</w:t>
            </w:r>
          </w:p>
        </w:tc>
        <w:tc>
          <w:tcPr>
            <w:tcW w:type="dxa" w:w="1100"/>
            <w:tcMar>
              <w:top w:type="dxa" w:w="60"/>
              <w:left w:type="dxa" w:w="100"/>
              <w:bottom w:type="dxa" w:w="60"/>
              <w:right w:type="dxa" w:w="100"/>
            </w:tcMar>
            <w:vAlign w:val="top"/>
          </w:tcPr>
          <w:p>
            <w:r>
              <w:rPr>
                <w:sz w:val="14"/>
                <w:szCs w:val="14"/>
              </w:rPr>
              <w:t xml:space="preserve">0.075 ± 0.008</w:t>
            </w:r>
          </w:p>
        </w:tc>
        <w:tc>
          <w:tcPr>
            <w:tcW w:type="dxa" w:w="1350"/>
            <w:tcMar>
              <w:top w:type="dxa" w:w="60"/>
              <w:left w:type="dxa" w:w="100"/>
              <w:bottom w:type="dxa" w:w="60"/>
              <w:right w:type="dxa" w:w="100"/>
            </w:tcMar>
            <w:vAlign w:val="top"/>
          </w:tcPr>
          <w:p>
            <w:r>
              <w:rPr>
                <w:sz w:val="14"/>
                <w:szCs w:val="14"/>
              </w:rPr>
              <w:t xml:space="preserve">0.146 / 0.059</w:t>
            </w:r>
          </w:p>
        </w:tc>
        <w:tc>
          <w:tcPr>
            <w:tcW w:type="dxa" w:w="1100"/>
            <w:tcMar>
              <w:top w:type="dxa" w:w="60"/>
              <w:left w:type="dxa" w:w="100"/>
              <w:bottom w:type="dxa" w:w="60"/>
              <w:right w:type="dxa" w:w="100"/>
            </w:tcMar>
            <w:vAlign w:val="top"/>
          </w:tcPr>
          <w:p>
            <w:r>
              <w:rPr>
                <w:sz w:val="14"/>
                <w:szCs w:val="14"/>
              </w:rPr>
              <w:t xml:space="preserve">−729</w:t>
            </w:r>
          </w:p>
        </w:tc>
        <w:tc>
          <w:tcPr>
            <w:tcW w:type="dxa" w:w="988"/>
            <w:tcMar>
              <w:top w:type="dxa" w:w="60"/>
              <w:left w:type="dxa" w:w="100"/>
              <w:bottom w:type="dxa" w:w="60"/>
              <w:right w:type="dxa" w:w="100"/>
            </w:tcMar>
            <w:vAlign w:val="top"/>
          </w:tcPr>
          <w:p>
            <w:r>
              <w:rPr>
                <w:sz w:val="14"/>
                <w:szCs w:val="14"/>
              </w:rPr>
              <w:t xml:space="preserve">−455</w:t>
            </w:r>
          </w:p>
        </w:tc>
      </w:tr>
    </w:tbl>
    <w:p>
      <w:pPr>
        <w:spacing w:after="160"/>
      </w:pPr>
    </w:p>
    <w:p>
      <w:pPr>
        <w:spacing w:after="120"/>
      </w:pPr>
      <w:r>
        <w:rPr>
          <w:i/>
          <w:iCs/>
          <w:color w:val="5B6573"/>
          <w:sz w:val="18"/>
          <w:szCs w:val="18"/>
        </w:rPr>
        <w:t xml:space="preserve">Table 9.4. Realised failure frequency of the chosen action in the 2,000 truths, judged by each stakeholder's own belief (truths weighted by the stakeholder's tilt), with its Monte Carlo standard error, and the value of information in net water by each stakeholder's own expectation (the same action without data is the reference).</w:t>
      </w:r>
    </w:p>
    <w:p>
      <w:pPr>
        <w:pStyle w:val="ListParagraph"/>
        <w:numPr>
          <w:ilvl w:val="0"/>
          <w:numId w:val="2"/>
        </w:numPr>
        <w:spacing w:after="60"/>
        <w:jc w:val="both"/>
      </w:pPr>
      <w:r>
        <w:rPr>
          <w:b/>
          <w:bCs/>
        </w:rPr>
        <w:t xml:space="preserve">Both data sets together: more water, less trust.</w:t>
      </w:r>
      <w:r>
        <w:t xml:space="preserve"> The chloride sample with the three heads gives the most net water (7,673 m³/d) and the smallest price of unanimity (758 m³/d), but the least-supported posterior rests on a median of only 14 effective aquifers. This result needs a larger ensemble before anyone acts on it.</w:t>
      </w:r>
    </w:p>
    <w:p>
      <w:pPr>
        <w:pStyle w:val="Heading3"/>
      </w:pPr>
      <w:r>
        <w:rPr>
          <w:color w:val="1F3864"/>
        </w:rPr>
        <w:t xml:space="preserve">9.7 What it means for Fushë-Kuqe, and the limits</w:t>
      </w:r>
    </w:p>
    <w:p>
      <w:pPr>
        <w:spacing w:after="120"/>
        <w:jc w:val="both"/>
      </w:pPr>
      <w:r>
        <w:t xml:space="preserve">For the Fushë-Kuqe stakeholders and the COST Action the procedure is short. Write each stakeholder's belief as a tilt on the two disputed drivers, the mixing-zone width and the recharge (two numbers each, Table 9.1). Agree on the rule before any data: no action that any stakeholder, by its own belief, judges to have more than a 10% risk of salting the supply. Buy the one shallow chloride sample at A30, which every stakeholder has reason to accept. Then let the rule decide: the pivotal stakeholder sets the cap at each recharge level, and the group takes the recharge and pumping with the most net water. Deliberation stops because the rule is agreed in advance and its output is unique (V2), the sample ends most of the disagreement because it resolves the event (V1), and nobody takes more than the agreed risk by waiting for it (V3).</w:t>
      </w:r>
    </w:p>
    <w:p>
      <w:pPr>
        <w:spacing w:after="120"/>
        <w:jc w:val="both"/>
      </w:pPr>
      <w:r>
        <w:t xml:space="preserve">The limits: the beliefs are tilts of one calibrated ensemble along two drivers, so a stakeholder who disputes the model itself (sea-level rise, a drying climate beyond the calibrated recharge range, a different geology) is not represented; the model is steady and areal; each stakeholder's utility is reduced to water, a common price of recharge (0.5) and a common 10% limit; the stakeholders are assumed to state their beliefs truthfully, while a stakeholder who exaggerates its pessimism gains a veto, a problem of mechanism design that the theme-4 papers of Part II address; the trade-off between water and recharge is fixed rather than bargained [B14]; and the risk estimates rest on a finite weighted ensemble, which is reliable for the chloride sample but not for the heads, alone or with the sample.</w:t>
      </w:r>
    </w:p>
    <w:p>
      <w:pPr>
        <w:pStyle w:val="Heading1"/>
      </w:pPr>
      <w:r>
        <w:rPr>
          <w:color w:val="1F3864"/>
        </w:rPr>
        <w:t xml:space="preserve">10. References</w:t>
      </w:r>
    </w:p>
    <w:p>
      <w:pPr>
        <w:pStyle w:val="Heading3"/>
      </w:pPr>
      <w:r>
        <w:rPr>
          <w:color w:val="1F3864"/>
        </w:rPr>
        <w:t xml:space="preserve">References of Part I and section 9 (classical literature)</w:t>
      </w:r>
    </w:p>
    <w:p>
      <w:pPr>
        <w:tabs>
          <w:tab w:val="left" w:pos="567"/>
        </w:tabs>
        <w:spacing w:after="50"/>
        <w:ind w:left="567" w:hanging="567"/>
        <w:jc w:val="left"/>
      </w:pPr>
      <w:r>
        <w:rPr>
          <w:b/>
          <w:bCs/>
          <w:color w:val="1F3864"/>
          <w:sz w:val="17"/>
          <w:szCs w:val="17"/>
        </w:rPr>
        <w:t xml:space="preserve">[B1]	</w:t>
      </w:r>
      <w:r>
        <w:rPr>
          <w:sz w:val="17"/>
          <w:szCs w:val="17"/>
        </w:rPr>
        <w:t xml:space="preserve">Gilboa, I. &amp; Schmeidler, D. (1989). Maxmin expected utility with non-unique prior. </w:t>
      </w:r>
      <w:r>
        <w:rPr>
          <w:i/>
          <w:iCs/>
          <w:sz w:val="17"/>
          <w:szCs w:val="17"/>
        </w:rPr>
        <w:t xml:space="preserve">Journal of Mathematical Economics</w:t>
      </w:r>
      <w:r>
        <w:rPr>
          <w:sz w:val="17"/>
          <w:szCs w:val="17"/>
        </w:rPr>
        <w:t xml:space="preserve">, 18(2), 141–153.</w:t>
      </w:r>
      <w:r>
        <w:rPr>
          <w:sz w:val="17"/>
          <w:szCs w:val="17"/>
        </w:rPr>
        <w:t xml:space="preserve"> </w:t>
      </w:r>
      <w:hyperlink w:history="1" r:id="rIdfwhcg1pasctjcyet7od6j">
        <w:r>
          <w:rPr>
            <w:color w:val="1D4ED8"/>
            <w:sz w:val="17"/>
            <w:szCs w:val="17"/>
            <w:u w:val="single"/>
          </w:rPr>
          <w:t xml:space="preserve">https://doi.org/10.1016/0304-4068(89)90018-9</w:t>
        </w:r>
      </w:hyperlink>
    </w:p>
    <w:p>
      <w:pPr>
        <w:tabs>
          <w:tab w:val="left" w:pos="567"/>
        </w:tabs>
        <w:spacing w:after="50"/>
        <w:ind w:left="567" w:hanging="567"/>
        <w:jc w:val="left"/>
      </w:pPr>
      <w:r>
        <w:rPr>
          <w:b/>
          <w:bCs/>
          <w:color w:val="1F3864"/>
          <w:sz w:val="17"/>
          <w:szCs w:val="17"/>
        </w:rPr>
        <w:t xml:space="preserve">[B2]	</w:t>
      </w:r>
      <w:r>
        <w:rPr>
          <w:sz w:val="17"/>
          <w:szCs w:val="17"/>
        </w:rPr>
        <w:t xml:space="preserve">Hansen, L. P. &amp; Sargent, T. J. (2001). Robust control and model uncertainty. </w:t>
      </w:r>
      <w:r>
        <w:rPr>
          <w:i/>
          <w:iCs/>
          <w:sz w:val="17"/>
          <w:szCs w:val="17"/>
        </w:rPr>
        <w:t xml:space="preserve">American Economic Review</w:t>
      </w:r>
      <w:r>
        <w:rPr>
          <w:sz w:val="17"/>
          <w:szCs w:val="17"/>
        </w:rPr>
        <w:t xml:space="preserve">, 91(2), 60–66 (DOI not verified).</w:t>
      </w:r>
    </w:p>
    <w:p>
      <w:pPr>
        <w:tabs>
          <w:tab w:val="left" w:pos="567"/>
        </w:tabs>
        <w:spacing w:after="50"/>
        <w:ind w:left="567" w:hanging="567"/>
        <w:jc w:val="left"/>
      </w:pPr>
      <w:r>
        <w:rPr>
          <w:b/>
          <w:bCs/>
          <w:color w:val="1F3864"/>
          <w:sz w:val="17"/>
          <w:szCs w:val="17"/>
        </w:rPr>
        <w:t xml:space="preserve">[B3]	</w:t>
      </w:r>
      <w:r>
        <w:rPr>
          <w:sz w:val="17"/>
          <w:szCs w:val="17"/>
        </w:rPr>
        <w:t xml:space="preserve">Lempert, R. J., Groves, D. G., Popper, S. W. &amp; Bankes, S. C. (2006). A general, analytic method for generating robust strategies and narrative scenarios. </w:t>
      </w:r>
      <w:r>
        <w:rPr>
          <w:i/>
          <w:iCs/>
          <w:sz w:val="17"/>
          <w:szCs w:val="17"/>
        </w:rPr>
        <w:t xml:space="preserve">Management Science</w:t>
      </w:r>
      <w:r>
        <w:rPr>
          <w:sz w:val="17"/>
          <w:szCs w:val="17"/>
        </w:rPr>
        <w:t xml:space="preserve">, 52(4), 514–528.</w:t>
      </w:r>
      <w:r>
        <w:rPr>
          <w:sz w:val="17"/>
          <w:szCs w:val="17"/>
        </w:rPr>
        <w:t xml:space="preserve"> </w:t>
      </w:r>
      <w:hyperlink w:history="1" r:id="rIdyxvdrxipdrb2uur_kjxzv">
        <w:r>
          <w:rPr>
            <w:color w:val="1D4ED8"/>
            <w:sz w:val="17"/>
            <w:szCs w:val="17"/>
            <w:u w:val="single"/>
          </w:rPr>
          <w:t xml:space="preserve">https://doi.org/10.1287/mnsc.1050.0472</w:t>
        </w:r>
      </w:hyperlink>
    </w:p>
    <w:p>
      <w:pPr>
        <w:tabs>
          <w:tab w:val="left" w:pos="567"/>
        </w:tabs>
        <w:spacing w:after="50"/>
        <w:ind w:left="567" w:hanging="567"/>
        <w:jc w:val="left"/>
      </w:pPr>
      <w:r>
        <w:rPr>
          <w:b/>
          <w:bCs/>
          <w:color w:val="1F3864"/>
          <w:sz w:val="17"/>
          <w:szCs w:val="17"/>
        </w:rPr>
        <w:t xml:space="preserve">[B4]	</w:t>
      </w:r>
      <w:r>
        <w:rPr>
          <w:sz w:val="17"/>
          <w:szCs w:val="17"/>
        </w:rPr>
        <w:t xml:space="preserve">Stone, M. (1961). The opinion pool. </w:t>
      </w:r>
      <w:r>
        <w:rPr>
          <w:i/>
          <w:iCs/>
          <w:sz w:val="17"/>
          <w:szCs w:val="17"/>
        </w:rPr>
        <w:t xml:space="preserve">Annals of Mathematical Statistics</w:t>
      </w:r>
      <w:r>
        <w:rPr>
          <w:sz w:val="17"/>
          <w:szCs w:val="17"/>
        </w:rPr>
        <w:t xml:space="preserve">, 32(4), 1339–1342.</w:t>
      </w:r>
      <w:r>
        <w:rPr>
          <w:sz w:val="17"/>
          <w:szCs w:val="17"/>
        </w:rPr>
        <w:t xml:space="preserve"> </w:t>
      </w:r>
      <w:hyperlink w:history="1" r:id="rIdomeubxgqkzvsaoy6ffhq4">
        <w:r>
          <w:rPr>
            <w:color w:val="1D4ED8"/>
            <w:sz w:val="17"/>
            <w:szCs w:val="17"/>
            <w:u w:val="single"/>
          </w:rPr>
          <w:t xml:space="preserve">https://doi.org/10.1214/aoms/1177704873</w:t>
        </w:r>
      </w:hyperlink>
    </w:p>
    <w:p>
      <w:pPr>
        <w:tabs>
          <w:tab w:val="left" w:pos="567"/>
        </w:tabs>
        <w:spacing w:after="50"/>
        <w:ind w:left="567" w:hanging="567"/>
        <w:jc w:val="left"/>
      </w:pPr>
      <w:r>
        <w:rPr>
          <w:b/>
          <w:bCs/>
          <w:color w:val="1F3864"/>
          <w:sz w:val="17"/>
          <w:szCs w:val="17"/>
        </w:rPr>
        <w:t xml:space="preserve">[B5]	</w:t>
      </w:r>
      <w:r>
        <w:rPr>
          <w:sz w:val="17"/>
          <w:szCs w:val="17"/>
        </w:rPr>
        <w:t xml:space="preserve">Genest, C. &amp; Zidek, J. V. (1986). Combining probability distributions: a critique and an annotated bibliography. </w:t>
      </w:r>
      <w:r>
        <w:rPr>
          <w:i/>
          <w:iCs/>
          <w:sz w:val="17"/>
          <w:szCs w:val="17"/>
        </w:rPr>
        <w:t xml:space="preserve">Statistical Science</w:t>
      </w:r>
      <w:r>
        <w:rPr>
          <w:sz w:val="17"/>
          <w:szCs w:val="17"/>
        </w:rPr>
        <w:t xml:space="preserve">, 1(1), 114–135.</w:t>
      </w:r>
      <w:r>
        <w:rPr>
          <w:sz w:val="17"/>
          <w:szCs w:val="17"/>
        </w:rPr>
        <w:t xml:space="preserve"> </w:t>
      </w:r>
      <w:hyperlink w:history="1" r:id="rIdnnl0o1548uxrs4mnnwire">
        <w:r>
          <w:rPr>
            <w:color w:val="1D4ED8"/>
            <w:sz w:val="17"/>
            <w:szCs w:val="17"/>
            <w:u w:val="single"/>
          </w:rPr>
          <w:t xml:space="preserve">https://doi.org/10.1214/ss/1177013825</w:t>
        </w:r>
      </w:hyperlink>
    </w:p>
    <w:p>
      <w:pPr>
        <w:tabs>
          <w:tab w:val="left" w:pos="567"/>
        </w:tabs>
        <w:spacing w:after="50"/>
        <w:ind w:left="567" w:hanging="567"/>
        <w:jc w:val="left"/>
      </w:pPr>
      <w:r>
        <w:rPr>
          <w:b/>
          <w:bCs/>
          <w:color w:val="1F3864"/>
          <w:sz w:val="17"/>
          <w:szCs w:val="17"/>
        </w:rPr>
        <w:t xml:space="preserve">[B6]	</w:t>
      </w:r>
      <w:r>
        <w:rPr>
          <w:sz w:val="17"/>
          <w:szCs w:val="17"/>
        </w:rPr>
        <w:t xml:space="preserve">Haasnoot, M., Kwakkel, J. H., Walker, W. E. &amp; ter Maat, J. (2013). Dynamic adaptive policy pathways: a method for crafting robust decisions for a deeply uncertain world. </w:t>
      </w:r>
      <w:r>
        <w:rPr>
          <w:i/>
          <w:iCs/>
          <w:sz w:val="17"/>
          <w:szCs w:val="17"/>
        </w:rPr>
        <w:t xml:space="preserve">Global Environmental Change</w:t>
      </w:r>
      <w:r>
        <w:rPr>
          <w:sz w:val="17"/>
          <w:szCs w:val="17"/>
        </w:rPr>
        <w:t xml:space="preserve">, 23(2), 485–498.</w:t>
      </w:r>
      <w:r>
        <w:rPr>
          <w:sz w:val="17"/>
          <w:szCs w:val="17"/>
        </w:rPr>
        <w:t xml:space="preserve"> </w:t>
      </w:r>
      <w:hyperlink w:history="1" r:id="rIdadezcchsszdm0ridikisn">
        <w:r>
          <w:rPr>
            <w:color w:val="1D4ED8"/>
            <w:sz w:val="17"/>
            <w:szCs w:val="17"/>
            <w:u w:val="single"/>
          </w:rPr>
          <w:t xml:space="preserve">https://doi.org/10.1016/j.gloenvcha.2012.12.006</w:t>
        </w:r>
      </w:hyperlink>
    </w:p>
    <w:p>
      <w:pPr>
        <w:tabs>
          <w:tab w:val="left" w:pos="567"/>
        </w:tabs>
        <w:spacing w:after="50"/>
        <w:ind w:left="567" w:hanging="567"/>
        <w:jc w:val="left"/>
      </w:pPr>
      <w:r>
        <w:rPr>
          <w:b/>
          <w:bCs/>
          <w:color w:val="1F3864"/>
          <w:sz w:val="17"/>
          <w:szCs w:val="17"/>
        </w:rPr>
        <w:t xml:space="preserve">[B7]	</w:t>
      </w:r>
      <w:r>
        <w:rPr>
          <w:sz w:val="17"/>
          <w:szCs w:val="17"/>
        </w:rPr>
        <w:t xml:space="preserve">Blackwell, D. &amp; Dubins, L. (1962). Merging of opinions with increasing information. </w:t>
      </w:r>
      <w:r>
        <w:rPr>
          <w:i/>
          <w:iCs/>
          <w:sz w:val="17"/>
          <w:szCs w:val="17"/>
        </w:rPr>
        <w:t xml:space="preserve">Annals of Mathematical Statistics</w:t>
      </w:r>
      <w:r>
        <w:rPr>
          <w:sz w:val="17"/>
          <w:szCs w:val="17"/>
        </w:rPr>
        <w:t xml:space="preserve">, 33(3), 882–886 (DOI not verified).</w:t>
      </w:r>
    </w:p>
    <w:p>
      <w:pPr>
        <w:tabs>
          <w:tab w:val="left" w:pos="567"/>
        </w:tabs>
        <w:spacing w:after="50"/>
        <w:ind w:left="567" w:hanging="567"/>
        <w:jc w:val="left"/>
      </w:pPr>
      <w:r>
        <w:rPr>
          <w:b/>
          <w:bCs/>
          <w:color w:val="1F3864"/>
          <w:sz w:val="17"/>
          <w:szCs w:val="17"/>
        </w:rPr>
        <w:t xml:space="preserve">[B8]	</w:t>
      </w:r>
      <w:r>
        <w:rPr>
          <w:sz w:val="17"/>
          <w:szCs w:val="17"/>
        </w:rPr>
        <w:t xml:space="preserve">Csiszár, I. (1975). I-divergence geometry of probability distributions and minimization problems. </w:t>
      </w:r>
      <w:r>
        <w:rPr>
          <w:i/>
          <w:iCs/>
          <w:sz w:val="17"/>
          <w:szCs w:val="17"/>
        </w:rPr>
        <w:t xml:space="preserve">Annals of Probability</w:t>
      </w:r>
      <w:r>
        <w:rPr>
          <w:sz w:val="17"/>
          <w:szCs w:val="17"/>
        </w:rPr>
        <w:t xml:space="preserve">, 3(1), 146–158.</w:t>
      </w:r>
      <w:r>
        <w:rPr>
          <w:sz w:val="17"/>
          <w:szCs w:val="17"/>
        </w:rPr>
        <w:t xml:space="preserve"> </w:t>
      </w:r>
      <w:hyperlink w:history="1" r:id="rIdpri380blr5kwijrt36mxq">
        <w:r>
          <w:rPr>
            <w:color w:val="1D4ED8"/>
            <w:sz w:val="17"/>
            <w:szCs w:val="17"/>
            <w:u w:val="single"/>
          </w:rPr>
          <w:t xml:space="preserve">https://doi.org/10.1214/aop/1176996454</w:t>
        </w:r>
      </w:hyperlink>
    </w:p>
    <w:p>
      <w:pPr>
        <w:tabs>
          <w:tab w:val="left" w:pos="567"/>
        </w:tabs>
        <w:spacing w:after="50"/>
        <w:ind w:left="567" w:hanging="567"/>
        <w:jc w:val="left"/>
      </w:pPr>
      <w:r>
        <w:rPr>
          <w:b/>
          <w:bCs/>
          <w:color w:val="1F3864"/>
          <w:sz w:val="17"/>
          <w:szCs w:val="17"/>
        </w:rPr>
        <w:t xml:space="preserve">[B9]	</w:t>
      </w:r>
      <w:r>
        <w:rPr>
          <w:sz w:val="17"/>
          <w:szCs w:val="17"/>
        </w:rPr>
        <w:t xml:space="preserve">Mongin, P. (1995). Consistent Bayesian aggregation. </w:t>
      </w:r>
      <w:r>
        <w:rPr>
          <w:i/>
          <w:iCs/>
          <w:sz w:val="17"/>
          <w:szCs w:val="17"/>
        </w:rPr>
        <w:t xml:space="preserve">Journal of Economic Theory</w:t>
      </w:r>
      <w:r>
        <w:rPr>
          <w:sz w:val="17"/>
          <w:szCs w:val="17"/>
        </w:rPr>
        <w:t xml:space="preserve">, 66(2), 313–351.</w:t>
      </w:r>
      <w:r>
        <w:rPr>
          <w:sz w:val="17"/>
          <w:szCs w:val="17"/>
        </w:rPr>
        <w:t xml:space="preserve"> </w:t>
      </w:r>
      <w:hyperlink w:history="1" r:id="rIdvxbexoefzgptwexw4kzuc">
        <w:r>
          <w:rPr>
            <w:color w:val="1D4ED8"/>
            <w:sz w:val="17"/>
            <w:szCs w:val="17"/>
            <w:u w:val="single"/>
          </w:rPr>
          <w:t xml:space="preserve">https://doi.org/10.1006/jeth.1995.1044</w:t>
        </w:r>
      </w:hyperlink>
    </w:p>
    <w:p>
      <w:pPr>
        <w:tabs>
          <w:tab w:val="left" w:pos="567"/>
        </w:tabs>
        <w:spacing w:after="50"/>
        <w:ind w:left="567" w:hanging="567"/>
        <w:jc w:val="left"/>
      </w:pPr>
      <w:r>
        <w:rPr>
          <w:b/>
          <w:bCs/>
          <w:color w:val="1F3864"/>
          <w:sz w:val="17"/>
          <w:szCs w:val="17"/>
        </w:rPr>
        <w:t xml:space="preserve">[B10]	</w:t>
      </w:r>
      <w:r>
        <w:rPr>
          <w:sz w:val="17"/>
          <w:szCs w:val="17"/>
        </w:rPr>
        <w:t xml:space="preserve">Campi, M. C. &amp; Garatti, S. (2008). The exact feasibility of randomized solutions of uncertain convex programs. </w:t>
      </w:r>
      <w:r>
        <w:rPr>
          <w:i/>
          <w:iCs/>
          <w:sz w:val="17"/>
          <w:szCs w:val="17"/>
        </w:rPr>
        <w:t xml:space="preserve">SIAM Journal on Optimization</w:t>
      </w:r>
      <w:r>
        <w:rPr>
          <w:sz w:val="17"/>
          <w:szCs w:val="17"/>
        </w:rPr>
        <w:t xml:space="preserve">, 19(3), 1211–1230 (DOI not verified).</w:t>
      </w:r>
    </w:p>
    <w:p>
      <w:pPr>
        <w:tabs>
          <w:tab w:val="left" w:pos="567"/>
        </w:tabs>
        <w:spacing w:after="50"/>
        <w:ind w:left="567" w:hanging="567"/>
        <w:jc w:val="left"/>
      </w:pPr>
      <w:r>
        <w:rPr>
          <w:b/>
          <w:bCs/>
          <w:color w:val="1F3864"/>
          <w:sz w:val="17"/>
          <w:szCs w:val="17"/>
        </w:rPr>
        <w:t xml:space="preserve">[B11]	</w:t>
      </w:r>
      <w:r>
        <w:rPr>
          <w:sz w:val="17"/>
          <w:szCs w:val="17"/>
        </w:rPr>
        <w:t xml:space="preserve">May, K. O. (1952). A set of independent necessary and sufficient conditions for simple majority decision. </w:t>
      </w:r>
      <w:r>
        <w:rPr>
          <w:i/>
          <w:iCs/>
          <w:sz w:val="17"/>
          <w:szCs w:val="17"/>
        </w:rPr>
        <w:t xml:space="preserve">Econometrica</w:t>
      </w:r>
      <w:r>
        <w:rPr>
          <w:sz w:val="17"/>
          <w:szCs w:val="17"/>
        </w:rPr>
        <w:t xml:space="preserve">, 20(4), 680–684 (DOI not verified).</w:t>
      </w:r>
    </w:p>
    <w:p>
      <w:pPr>
        <w:tabs>
          <w:tab w:val="left" w:pos="567"/>
        </w:tabs>
        <w:spacing w:after="50"/>
        <w:ind w:left="567" w:hanging="567"/>
        <w:jc w:val="left"/>
      </w:pPr>
      <w:r>
        <w:rPr>
          <w:b/>
          <w:bCs/>
          <w:color w:val="1F3864"/>
          <w:sz w:val="17"/>
          <w:szCs w:val="17"/>
        </w:rPr>
        <w:t xml:space="preserve">[B12]	</w:t>
      </w:r>
      <w:r>
        <w:rPr>
          <w:sz w:val="17"/>
          <w:szCs w:val="17"/>
        </w:rPr>
        <w:t xml:space="preserve">Nemirovski, A. &amp; Shapiro, A. (2006). Convex approximations of chance constrained programs. </w:t>
      </w:r>
      <w:r>
        <w:rPr>
          <w:i/>
          <w:iCs/>
          <w:sz w:val="17"/>
          <w:szCs w:val="17"/>
        </w:rPr>
        <w:t xml:space="preserve">SIAM Journal on Optimization</w:t>
      </w:r>
      <w:r>
        <w:rPr>
          <w:sz w:val="17"/>
          <w:szCs w:val="17"/>
        </w:rPr>
        <w:t xml:space="preserve">, 17(4), 969–996.</w:t>
      </w:r>
      <w:r>
        <w:rPr>
          <w:sz w:val="17"/>
          <w:szCs w:val="17"/>
        </w:rPr>
        <w:t xml:space="preserve"> </w:t>
      </w:r>
      <w:hyperlink w:history="1" r:id="rIdouizyj5qsjvgklqt6oidj">
        <w:r>
          <w:rPr>
            <w:color w:val="1D4ED8"/>
            <w:sz w:val="17"/>
            <w:szCs w:val="17"/>
            <w:u w:val="single"/>
          </w:rPr>
          <w:t xml:space="preserve">https://doi.org/10.1137/050622328</w:t>
        </w:r>
      </w:hyperlink>
    </w:p>
    <w:p>
      <w:pPr>
        <w:tabs>
          <w:tab w:val="left" w:pos="567"/>
        </w:tabs>
        <w:spacing w:after="50"/>
        <w:ind w:left="567" w:hanging="567"/>
        <w:jc w:val="left"/>
      </w:pPr>
      <w:r>
        <w:rPr>
          <w:b/>
          <w:bCs/>
          <w:color w:val="1F3864"/>
          <w:sz w:val="17"/>
          <w:szCs w:val="17"/>
        </w:rPr>
        <w:t xml:space="preserve">[B13]	</w:t>
      </w:r>
      <w:r>
        <w:rPr>
          <w:sz w:val="17"/>
          <w:szCs w:val="17"/>
        </w:rPr>
        <w:t xml:space="preserve">Howard, R. A. (1966). Information value theory. </w:t>
      </w:r>
      <w:r>
        <w:rPr>
          <w:i/>
          <w:iCs/>
          <w:sz w:val="17"/>
          <w:szCs w:val="17"/>
        </w:rPr>
        <w:t xml:space="preserve">IEEE Transactions on Systems Science and Cybernetics</w:t>
      </w:r>
      <w:r>
        <w:rPr>
          <w:sz w:val="17"/>
          <w:szCs w:val="17"/>
        </w:rPr>
        <w:t xml:space="preserve">, 2(1), 22–26 (DOI not verified).</w:t>
      </w:r>
    </w:p>
    <w:p>
      <w:pPr>
        <w:tabs>
          <w:tab w:val="left" w:pos="567"/>
        </w:tabs>
        <w:spacing w:after="50"/>
        <w:ind w:left="567" w:hanging="567"/>
        <w:jc w:val="left"/>
      </w:pPr>
      <w:r>
        <w:rPr>
          <w:b/>
          <w:bCs/>
          <w:color w:val="1F3864"/>
          <w:sz w:val="17"/>
          <w:szCs w:val="17"/>
        </w:rPr>
        <w:t xml:space="preserve">[B14]	</w:t>
      </w:r>
      <w:r>
        <w:rPr>
          <w:sz w:val="17"/>
          <w:szCs w:val="17"/>
        </w:rPr>
        <w:t xml:space="preserve">Nash, J. F. (1950). The bargaining problem. </w:t>
      </w:r>
      <w:r>
        <w:rPr>
          <w:i/>
          <w:iCs/>
          <w:sz w:val="17"/>
          <w:szCs w:val="17"/>
        </w:rPr>
        <w:t xml:space="preserve">Econometrica</w:t>
      </w:r>
      <w:r>
        <w:rPr>
          <w:sz w:val="17"/>
          <w:szCs w:val="17"/>
        </w:rPr>
        <w:t xml:space="preserve">, 18(2), 155–162 (DOI not verified).</w:t>
      </w:r>
    </w:p>
    <w:p>
      <w:pPr>
        <w:pStyle w:val="Heading3"/>
      </w:pPr>
      <w:r>
        <w:rPr>
          <w:color w:val="1F3864"/>
        </w:rPr>
        <w:t xml:space="preserve">References of Part II (the 20 papers)</w:t>
      </w:r>
    </w:p>
    <w:p>
      <w:pPr>
        <w:tabs>
          <w:tab w:val="left" w:pos="567"/>
        </w:tabs>
        <w:spacing w:after="50"/>
        <w:ind w:left="567" w:hanging="567"/>
        <w:jc w:val="left"/>
      </w:pPr>
      <w:r>
        <w:rPr>
          <w:b/>
          <w:bCs/>
          <w:color w:val="002147"/>
          <w:sz w:val="17"/>
          <w:szCs w:val="17"/>
        </w:rPr>
        <w:t xml:space="preserve">[O1]	</w:t>
      </w:r>
      <w:r>
        <w:rPr>
          <w:sz w:val="17"/>
          <w:szCs w:val="17"/>
        </w:rPr>
        <w:t xml:space="preserve">Pantazis, G., Fele, F. &amp; Margellos, K. (2024). A priori data-driven robustness guarantees on strategic deviations from generalised Nash equilibria. </w:t>
      </w:r>
      <w:r>
        <w:rPr>
          <w:i/>
          <w:iCs/>
          <w:sz w:val="17"/>
          <w:szCs w:val="17"/>
        </w:rPr>
        <w:t xml:space="preserve">Automatica</w:t>
      </w:r>
      <w:r>
        <w:rPr>
          <w:sz w:val="17"/>
          <w:szCs w:val="17"/>
        </w:rPr>
        <w:t xml:space="preserve">, 167, 111746.</w:t>
      </w:r>
      <w:r>
        <w:rPr>
          <w:sz w:val="17"/>
          <w:szCs w:val="17"/>
        </w:rPr>
        <w:t xml:space="preserve"> </w:t>
      </w:r>
      <w:hyperlink w:history="1" r:id="rIdyug02kixa0xt9xwno2hof">
        <w:r>
          <w:rPr>
            <w:color w:val="1D4ED8"/>
            <w:sz w:val="17"/>
            <w:szCs w:val="17"/>
            <w:u w:val="single"/>
          </w:rPr>
          <w:t xml:space="preserve">https://doi.org/10.1016/j.automatica.2024.111746</w:t>
        </w:r>
      </w:hyperlink>
    </w:p>
    <w:p>
      <w:pPr>
        <w:tabs>
          <w:tab w:val="left" w:pos="567"/>
        </w:tabs>
        <w:spacing w:after="50"/>
        <w:ind w:left="567" w:hanging="567"/>
        <w:jc w:val="left"/>
      </w:pPr>
      <w:r>
        <w:rPr>
          <w:b/>
          <w:bCs/>
          <w:color w:val="002147"/>
          <w:sz w:val="17"/>
          <w:szCs w:val="17"/>
        </w:rPr>
        <w:t xml:space="preserve">[O2]	</w:t>
      </w:r>
      <w:r>
        <w:rPr>
          <w:sz w:val="17"/>
          <w:szCs w:val="17"/>
        </w:rPr>
        <w:t xml:space="preserve">Curello, G. &amp; Sinander, L. (2023). Agenda-manipulation in ranking. </w:t>
      </w:r>
      <w:r>
        <w:rPr>
          <w:i/>
          <w:iCs/>
          <w:sz w:val="17"/>
          <w:szCs w:val="17"/>
        </w:rPr>
        <w:t xml:space="preserve">Review of Economic Studies</w:t>
      </w:r>
      <w:r>
        <w:rPr>
          <w:sz w:val="17"/>
          <w:szCs w:val="17"/>
        </w:rPr>
        <w:t xml:space="preserve">, 90(4), 1865–1892.</w:t>
      </w:r>
      <w:r>
        <w:rPr>
          <w:sz w:val="17"/>
          <w:szCs w:val="17"/>
        </w:rPr>
        <w:t xml:space="preserve"> </w:t>
      </w:r>
      <w:hyperlink w:history="1" r:id="rIdqvj3fdp4kgdpheaufqjjf">
        <w:r>
          <w:rPr>
            <w:color w:val="1D4ED8"/>
            <w:sz w:val="17"/>
            <w:szCs w:val="17"/>
            <w:u w:val="single"/>
          </w:rPr>
          <w:t xml:space="preserve">https://doi.org/10.1093/restud/rdac071</w:t>
        </w:r>
      </w:hyperlink>
    </w:p>
    <w:p>
      <w:pPr>
        <w:tabs>
          <w:tab w:val="left" w:pos="567"/>
        </w:tabs>
        <w:spacing w:after="50"/>
        <w:ind w:left="567" w:hanging="567"/>
        <w:jc w:val="left"/>
      </w:pPr>
      <w:r>
        <w:rPr>
          <w:b/>
          <w:bCs/>
          <w:color w:val="002147"/>
          <w:sz w:val="17"/>
          <w:szCs w:val="17"/>
        </w:rPr>
        <w:t xml:space="preserve">[O3]	</w:t>
      </w:r>
      <w:r>
        <w:rPr>
          <w:sz w:val="17"/>
          <w:szCs w:val="17"/>
        </w:rPr>
        <w:t xml:space="preserve">Elkind, E., Grossi, D., Shapiro, E. &amp; Talmon, N. (2024). United for change: deliberative coalition formation to change the status quo. </w:t>
      </w:r>
      <w:r>
        <w:rPr>
          <w:i/>
          <w:iCs/>
          <w:sz w:val="17"/>
          <w:szCs w:val="17"/>
        </w:rPr>
        <w:t xml:space="preserve">Social Choice and Welfare</w:t>
      </w:r>
      <w:r>
        <w:rPr>
          <w:sz w:val="17"/>
          <w:szCs w:val="17"/>
        </w:rPr>
        <w:t xml:space="preserve">, 63(3–4), 717–746.</w:t>
      </w:r>
      <w:r>
        <w:rPr>
          <w:sz w:val="17"/>
          <w:szCs w:val="17"/>
        </w:rPr>
        <w:t xml:space="preserve"> </w:t>
      </w:r>
      <w:hyperlink w:history="1" r:id="rIdhsx-wzivijcscj-_xnjtr">
        <w:r>
          <w:rPr>
            <w:color w:val="1D4ED8"/>
            <w:sz w:val="17"/>
            <w:szCs w:val="17"/>
            <w:u w:val="single"/>
          </w:rPr>
          <w:t xml:space="preserve">https://doi.org/10.1007/s00355-024-01561-y</w:t>
        </w:r>
      </w:hyperlink>
    </w:p>
    <w:p>
      <w:pPr>
        <w:tabs>
          <w:tab w:val="left" w:pos="567"/>
        </w:tabs>
        <w:spacing w:after="50"/>
        <w:ind w:left="567" w:hanging="567"/>
        <w:jc w:val="left"/>
      </w:pPr>
      <w:r>
        <w:rPr>
          <w:b/>
          <w:bCs/>
          <w:color w:val="002147"/>
          <w:sz w:val="17"/>
          <w:szCs w:val="17"/>
        </w:rPr>
        <w:t xml:space="preserve">[O4]	</w:t>
      </w:r>
      <w:r>
        <w:rPr>
          <w:sz w:val="17"/>
          <w:szCs w:val="17"/>
        </w:rPr>
        <w:t xml:space="preserve">Crawford, V. P. (2021). Efficient mechanisms for level-k bilateral trading. </w:t>
      </w:r>
      <w:r>
        <w:rPr>
          <w:i/>
          <w:iCs/>
          <w:sz w:val="17"/>
          <w:szCs w:val="17"/>
        </w:rPr>
        <w:t xml:space="preserve">Games and Economic Behavior</w:t>
      </w:r>
      <w:r>
        <w:rPr>
          <w:sz w:val="17"/>
          <w:szCs w:val="17"/>
        </w:rPr>
        <w:t xml:space="preserve">, volume not verified, 80–101.</w:t>
      </w:r>
      <w:r>
        <w:rPr>
          <w:sz w:val="17"/>
          <w:szCs w:val="17"/>
        </w:rPr>
        <w:t xml:space="preserve"> </w:t>
      </w:r>
      <w:hyperlink w:history="1" r:id="rId-b16uznwzbxgkxghodudg">
        <w:r>
          <w:rPr>
            <w:color w:val="1D4ED8"/>
            <w:sz w:val="17"/>
            <w:szCs w:val="17"/>
            <w:u w:val="single"/>
          </w:rPr>
          <w:t xml:space="preserve">https://doi.org/10.1016/j.geb.2021.02.005</w:t>
        </w:r>
      </w:hyperlink>
    </w:p>
    <w:p>
      <w:pPr>
        <w:tabs>
          <w:tab w:val="left" w:pos="567"/>
        </w:tabs>
        <w:spacing w:after="50"/>
        <w:ind w:left="567" w:hanging="567"/>
        <w:jc w:val="left"/>
      </w:pPr>
      <w:r>
        <w:rPr>
          <w:b/>
          <w:bCs/>
          <w:color w:val="002147"/>
          <w:sz w:val="17"/>
          <w:szCs w:val="17"/>
        </w:rPr>
        <w:t xml:space="preserve">[O5]	</w:t>
      </w:r>
      <w:r>
        <w:rPr>
          <w:sz w:val="17"/>
          <w:szCs w:val="17"/>
        </w:rPr>
        <w:t xml:space="preserve">Obłój, J. &amp; Wiesel, J. (2021). Distributionally robust portfolio maximization and marginal utility pricing in one period financial markets. </w:t>
      </w:r>
      <w:r>
        <w:rPr>
          <w:i/>
          <w:iCs/>
          <w:sz w:val="17"/>
          <w:szCs w:val="17"/>
        </w:rPr>
        <w:t xml:space="preserve">Mathematical Finance</w:t>
      </w:r>
      <w:r>
        <w:rPr>
          <w:sz w:val="17"/>
          <w:szCs w:val="17"/>
        </w:rPr>
        <w:t xml:space="preserve">, 31(4), 1454–1493.</w:t>
      </w:r>
      <w:r>
        <w:rPr>
          <w:sz w:val="17"/>
          <w:szCs w:val="17"/>
        </w:rPr>
        <w:t xml:space="preserve"> </w:t>
      </w:r>
      <w:hyperlink w:history="1" r:id="rIdipukzho0qyv8frfswlg1n">
        <w:r>
          <w:rPr>
            <w:color w:val="1D4ED8"/>
            <w:sz w:val="17"/>
            <w:szCs w:val="17"/>
            <w:u w:val="single"/>
          </w:rPr>
          <w:t xml:space="preserve">https://doi.org/10.1111/mafi.12337</w:t>
        </w:r>
      </w:hyperlink>
    </w:p>
    <w:p>
      <w:pPr>
        <w:tabs>
          <w:tab w:val="left" w:pos="567"/>
        </w:tabs>
        <w:spacing w:after="50"/>
        <w:ind w:left="567" w:hanging="567"/>
        <w:jc w:val="left"/>
      </w:pPr>
      <w:r>
        <w:rPr>
          <w:b/>
          <w:bCs/>
          <w:color w:val="B4410C"/>
          <w:sz w:val="17"/>
          <w:szCs w:val="17"/>
        </w:rPr>
        <w:t xml:space="preserve">[C1]	</w:t>
      </w:r>
      <w:r>
        <w:rPr>
          <w:sz w:val="17"/>
          <w:szCs w:val="17"/>
        </w:rPr>
        <w:t xml:space="preserve">Echenique, F., Miyashita, M., Nakamura, Y., Pomatto, L. &amp; Vinson, J. (2022). Twofold multiprior preferences and failures of contingent reasoning. </w:t>
      </w:r>
      <w:r>
        <w:rPr>
          <w:i/>
          <w:iCs/>
          <w:sz w:val="17"/>
          <w:szCs w:val="17"/>
        </w:rPr>
        <w:t xml:space="preserve">Journal of Economic Theory</w:t>
      </w:r>
      <w:r>
        <w:rPr>
          <w:sz w:val="17"/>
          <w:szCs w:val="17"/>
        </w:rPr>
        <w:t xml:space="preserve">, 202, 105448.</w:t>
      </w:r>
      <w:r>
        <w:rPr>
          <w:sz w:val="17"/>
          <w:szCs w:val="17"/>
        </w:rPr>
        <w:t xml:space="preserve"> </w:t>
      </w:r>
      <w:hyperlink w:history="1" r:id="rId57tdyvk1cgx3v8qmq5jxo">
        <w:r>
          <w:rPr>
            <w:color w:val="1D4ED8"/>
            <w:sz w:val="17"/>
            <w:szCs w:val="17"/>
            <w:u w:val="single"/>
          </w:rPr>
          <w:t xml:space="preserve">https://doi.org/10.1016/j.jet.2022.105448</w:t>
        </w:r>
      </w:hyperlink>
    </w:p>
    <w:p>
      <w:pPr>
        <w:tabs>
          <w:tab w:val="left" w:pos="567"/>
        </w:tabs>
        <w:spacing w:after="50"/>
        <w:ind w:left="567" w:hanging="567"/>
        <w:jc w:val="left"/>
      </w:pPr>
      <w:r>
        <w:rPr>
          <w:b/>
          <w:bCs/>
          <w:color w:val="B4410C"/>
          <w:sz w:val="17"/>
          <w:szCs w:val="17"/>
        </w:rPr>
        <w:t xml:space="preserve">[C2]	</w:t>
      </w:r>
      <w:r>
        <w:rPr>
          <w:sz w:val="17"/>
          <w:szCs w:val="17"/>
        </w:rPr>
        <w:t xml:space="preserve">Mu, X., Pomatto, L., Strack, P. &amp; Tamuz, O. (2024). Background risk and small-stakes risk aversion. </w:t>
      </w:r>
      <w:r>
        <w:rPr>
          <w:i/>
          <w:iCs/>
          <w:sz w:val="17"/>
          <w:szCs w:val="17"/>
        </w:rPr>
        <w:t xml:space="preserve">American Economic Review: Insights</w:t>
      </w:r>
      <w:r>
        <w:rPr>
          <w:sz w:val="17"/>
          <w:szCs w:val="17"/>
        </w:rPr>
        <w:t xml:space="preserve">, 6(2), 262–276.</w:t>
      </w:r>
      <w:r>
        <w:rPr>
          <w:sz w:val="17"/>
          <w:szCs w:val="17"/>
        </w:rPr>
        <w:t xml:space="preserve"> </w:t>
      </w:r>
      <w:hyperlink w:history="1" r:id="rIdze4twtoshcdsbu7zthvbo">
        <w:r>
          <w:rPr>
            <w:color w:val="1D4ED8"/>
            <w:sz w:val="17"/>
            <w:szCs w:val="17"/>
            <w:u w:val="single"/>
          </w:rPr>
          <w:t xml:space="preserve">https://doi.org/10.1257/aeri.20220480</w:t>
        </w:r>
      </w:hyperlink>
    </w:p>
    <w:p>
      <w:pPr>
        <w:tabs>
          <w:tab w:val="left" w:pos="567"/>
        </w:tabs>
        <w:spacing w:after="50"/>
        <w:ind w:left="567" w:hanging="567"/>
        <w:jc w:val="left"/>
      </w:pPr>
      <w:r>
        <w:rPr>
          <w:b/>
          <w:bCs/>
          <w:color w:val="B4410C"/>
          <w:sz w:val="17"/>
          <w:szCs w:val="17"/>
        </w:rPr>
        <w:t xml:space="preserve">[C3]	</w:t>
      </w:r>
      <w:r>
        <w:rPr>
          <w:sz w:val="17"/>
          <w:szCs w:val="17"/>
        </w:rPr>
        <w:t xml:space="preserve">Bartholdi, L., Hann-Caruthers, W., Josyula, M., Tamuz, O. &amp; Yariv, L. (2021). Equitable voting rules. </w:t>
      </w:r>
      <w:r>
        <w:rPr>
          <w:i/>
          <w:iCs/>
          <w:sz w:val="17"/>
          <w:szCs w:val="17"/>
        </w:rPr>
        <w:t xml:space="preserve">Econometrica</w:t>
      </w:r>
      <w:r>
        <w:rPr>
          <w:sz w:val="17"/>
          <w:szCs w:val="17"/>
        </w:rPr>
        <w:t xml:space="preserve">, 89(2), 563–589.</w:t>
      </w:r>
      <w:r>
        <w:rPr>
          <w:sz w:val="17"/>
          <w:szCs w:val="17"/>
        </w:rPr>
        <w:t xml:space="preserve"> </w:t>
      </w:r>
      <w:hyperlink w:history="1" r:id="rIdniqqlrvgudmv7w5azz4id">
        <w:r>
          <w:rPr>
            <w:color w:val="1D4ED8"/>
            <w:sz w:val="17"/>
            <w:szCs w:val="17"/>
            <w:u w:val="single"/>
          </w:rPr>
          <w:t xml:space="preserve">https://doi.org/10.3982/ECTA17032</w:t>
        </w:r>
      </w:hyperlink>
    </w:p>
    <w:p>
      <w:pPr>
        <w:tabs>
          <w:tab w:val="left" w:pos="567"/>
        </w:tabs>
        <w:spacing w:after="50"/>
        <w:ind w:left="567" w:hanging="567"/>
        <w:jc w:val="left"/>
      </w:pPr>
      <w:r>
        <w:rPr>
          <w:b/>
          <w:bCs/>
          <w:color w:val="B4410C"/>
          <w:sz w:val="17"/>
          <w:szCs w:val="17"/>
        </w:rPr>
        <w:t xml:space="preserve">[C4]	</w:t>
      </w:r>
      <w:r>
        <w:rPr>
          <w:sz w:val="17"/>
          <w:szCs w:val="17"/>
        </w:rPr>
        <w:t xml:space="preserve">Echenique, F., Miralles, A. &amp; Zhang, J. (2021). Constrained pseudo-market equilibrium. </w:t>
      </w:r>
      <w:r>
        <w:rPr>
          <w:i/>
          <w:iCs/>
          <w:sz w:val="17"/>
          <w:szCs w:val="17"/>
        </w:rPr>
        <w:t xml:space="preserve">American Economic Review</w:t>
      </w:r>
      <w:r>
        <w:rPr>
          <w:sz w:val="17"/>
          <w:szCs w:val="17"/>
        </w:rPr>
        <w:t xml:space="preserve">, 111(11), 3699–3732.</w:t>
      </w:r>
      <w:r>
        <w:rPr>
          <w:sz w:val="17"/>
          <w:szCs w:val="17"/>
        </w:rPr>
        <w:t xml:space="preserve"> </w:t>
      </w:r>
      <w:hyperlink w:history="1" r:id="rIdvwwschdxnelcuvj_ahx1c">
        <w:r>
          <w:rPr>
            <w:color w:val="1D4ED8"/>
            <w:sz w:val="17"/>
            <w:szCs w:val="17"/>
            <w:u w:val="single"/>
          </w:rPr>
          <w:t xml:space="preserve">https://doi.org/10.1257/aer.20201769</w:t>
        </w:r>
      </w:hyperlink>
    </w:p>
    <w:p>
      <w:pPr>
        <w:tabs>
          <w:tab w:val="left" w:pos="567"/>
        </w:tabs>
        <w:spacing w:after="50"/>
        <w:ind w:left="567" w:hanging="567"/>
        <w:jc w:val="left"/>
      </w:pPr>
      <w:r>
        <w:rPr>
          <w:b/>
          <w:bCs/>
          <w:color w:val="B4410C"/>
          <w:sz w:val="17"/>
          <w:szCs w:val="17"/>
        </w:rPr>
        <w:t xml:space="preserve">[C5]	</w:t>
      </w:r>
      <w:r>
        <w:rPr>
          <w:sz w:val="17"/>
          <w:szCs w:val="17"/>
        </w:rPr>
        <w:t xml:space="preserve">Sun, B., Lee, R., Hajiesmaili, M., Wierman, A. &amp; Tsang, D. (2021). Pareto-optimal learning-augmented algorithms for online conversion problems. </w:t>
      </w:r>
      <w:r>
        <w:rPr>
          <w:i/>
          <w:iCs/>
          <w:sz w:val="17"/>
          <w:szCs w:val="17"/>
        </w:rPr>
        <w:t xml:space="preserve">Advances in Neural Information Processing Systems</w:t>
      </w:r>
      <w:r>
        <w:rPr>
          <w:sz w:val="17"/>
          <w:szCs w:val="17"/>
        </w:rPr>
        <w:t xml:space="preserve">, 34 (pages not verified).</w:t>
      </w:r>
      <w:r>
        <w:rPr>
          <w:sz w:val="17"/>
          <w:szCs w:val="17"/>
        </w:rPr>
        <w:t xml:space="preserve"> </w:t>
      </w:r>
      <w:hyperlink w:history="1" r:id="rIdr2nsjziol_2mpae36vei2">
        <w:r>
          <w:rPr>
            <w:color w:val="1D4ED8"/>
            <w:sz w:val="17"/>
            <w:szCs w:val="17"/>
            <w:u w:val="single"/>
          </w:rPr>
          <w:t xml:space="preserve">https://proceedings.neurips.cc/paper/2021/hash/55a988dfb00a914717b3000a3374694c-Abstract.html</w:t>
        </w:r>
      </w:hyperlink>
    </w:p>
    <w:p>
      <w:pPr>
        <w:tabs>
          <w:tab w:val="left" w:pos="567"/>
        </w:tabs>
        <w:spacing w:after="50"/>
        <w:ind w:left="567" w:hanging="567"/>
        <w:jc w:val="left"/>
      </w:pPr>
      <w:r>
        <w:rPr>
          <w:b/>
          <w:bCs/>
          <w:color w:val="4D4D4F"/>
          <w:sz w:val="17"/>
          <w:szCs w:val="17"/>
        </w:rPr>
        <w:t xml:space="preserve">[M1]	</w:t>
      </w:r>
      <w:r>
        <w:rPr>
          <w:sz w:val="17"/>
          <w:szCs w:val="17"/>
        </w:rPr>
        <w:t xml:space="preserve">Morris, S., Oyama, D. &amp; Takahashi, S. (2024). Implementation via information design in binary-action supermodular games. </w:t>
      </w:r>
      <w:r>
        <w:rPr>
          <w:i/>
          <w:iCs/>
          <w:sz w:val="17"/>
          <w:szCs w:val="17"/>
        </w:rPr>
        <w:t xml:space="preserve">Econometrica</w:t>
      </w:r>
      <w:r>
        <w:rPr>
          <w:sz w:val="17"/>
          <w:szCs w:val="17"/>
        </w:rPr>
        <w:t xml:space="preserve">, 92(3), 775–813.</w:t>
      </w:r>
      <w:r>
        <w:rPr>
          <w:sz w:val="17"/>
          <w:szCs w:val="17"/>
        </w:rPr>
        <w:t xml:space="preserve"> </w:t>
      </w:r>
      <w:hyperlink w:history="1" r:id="rIdgfwtz7ltuejiab-u0kpzb">
        <w:r>
          <w:rPr>
            <w:color w:val="1D4ED8"/>
            <w:sz w:val="17"/>
            <w:szCs w:val="17"/>
            <w:u w:val="single"/>
          </w:rPr>
          <w:t xml:space="preserve">https://doi.org/10.3982/ECTA19149</w:t>
        </w:r>
      </w:hyperlink>
    </w:p>
    <w:p>
      <w:pPr>
        <w:tabs>
          <w:tab w:val="left" w:pos="567"/>
        </w:tabs>
        <w:spacing w:after="50"/>
        <w:ind w:left="567" w:hanging="567"/>
        <w:jc w:val="left"/>
      </w:pPr>
      <w:r>
        <w:rPr>
          <w:b/>
          <w:bCs/>
          <w:color w:val="4D4D4F"/>
          <w:sz w:val="17"/>
          <w:szCs w:val="17"/>
        </w:rPr>
        <w:t xml:space="preserve">[M2]	</w:t>
      </w:r>
      <w:r>
        <w:rPr>
          <w:sz w:val="17"/>
          <w:szCs w:val="17"/>
        </w:rPr>
        <w:t xml:space="preserve">Hązła, J., Jadbabaie, A., Mossel, E. &amp; Rahimian, M. A. (2021). Bayesian decision making in groups is hard. </w:t>
      </w:r>
      <w:r>
        <w:rPr>
          <w:i/>
          <w:iCs/>
          <w:sz w:val="17"/>
          <w:szCs w:val="17"/>
        </w:rPr>
        <w:t xml:space="preserve">Operations Research</w:t>
      </w:r>
      <w:r>
        <w:rPr>
          <w:sz w:val="17"/>
          <w:szCs w:val="17"/>
        </w:rPr>
        <w:t xml:space="preserve">, 69(2), 632–654.</w:t>
      </w:r>
      <w:r>
        <w:rPr>
          <w:sz w:val="17"/>
          <w:szCs w:val="17"/>
        </w:rPr>
        <w:t xml:space="preserve"> </w:t>
      </w:r>
      <w:hyperlink w:history="1" r:id="rIdsjcdgrwgtw3hb3da6sds_">
        <w:r>
          <w:rPr>
            <w:color w:val="1D4ED8"/>
            <w:sz w:val="17"/>
            <w:szCs w:val="17"/>
            <w:u w:val="single"/>
          </w:rPr>
          <w:t xml:space="preserve">https://doi.org/10.1287/opre.2020.2000</w:t>
        </w:r>
      </w:hyperlink>
    </w:p>
    <w:p>
      <w:pPr>
        <w:tabs>
          <w:tab w:val="left" w:pos="567"/>
        </w:tabs>
        <w:spacing w:after="50"/>
        <w:ind w:left="567" w:hanging="567"/>
        <w:jc w:val="left"/>
      </w:pPr>
      <w:r>
        <w:rPr>
          <w:b/>
          <w:bCs/>
          <w:color w:val="4D4D4F"/>
          <w:sz w:val="17"/>
          <w:szCs w:val="17"/>
        </w:rPr>
        <w:t xml:space="preserve">[M3]	</w:t>
      </w:r>
      <w:r>
        <w:rPr>
          <w:sz w:val="17"/>
          <w:szCs w:val="17"/>
        </w:rPr>
        <w:t xml:space="preserve">Van Parys, B. P. G., Mohajerin Esfahani, P. &amp; Kuhn, D. (2021). From data to decisions: distributionally robust optimization is optimal. </w:t>
      </w:r>
      <w:r>
        <w:rPr>
          <w:i/>
          <w:iCs/>
          <w:sz w:val="17"/>
          <w:szCs w:val="17"/>
        </w:rPr>
        <w:t xml:space="preserve">Management Science</w:t>
      </w:r>
      <w:r>
        <w:rPr>
          <w:sz w:val="17"/>
          <w:szCs w:val="17"/>
        </w:rPr>
        <w:t xml:space="preserve">, 67(6), 3387–3402.</w:t>
      </w:r>
      <w:r>
        <w:rPr>
          <w:sz w:val="17"/>
          <w:szCs w:val="17"/>
        </w:rPr>
        <w:t xml:space="preserve"> </w:t>
      </w:r>
      <w:hyperlink w:history="1" r:id="rIdvipj5gvgif_p3kc17vfl1">
        <w:r>
          <w:rPr>
            <w:color w:val="1D4ED8"/>
            <w:sz w:val="17"/>
            <w:szCs w:val="17"/>
            <w:u w:val="single"/>
          </w:rPr>
          <w:t xml:space="preserve">https://doi.org/10.1287/mnsc.2020.3678</w:t>
        </w:r>
      </w:hyperlink>
    </w:p>
    <w:p>
      <w:pPr>
        <w:tabs>
          <w:tab w:val="left" w:pos="567"/>
        </w:tabs>
        <w:spacing w:after="50"/>
        <w:ind w:left="567" w:hanging="567"/>
        <w:jc w:val="left"/>
      </w:pPr>
      <w:r>
        <w:rPr>
          <w:b/>
          <w:bCs/>
          <w:color w:val="4D4D4F"/>
          <w:sz w:val="17"/>
          <w:szCs w:val="17"/>
        </w:rPr>
        <w:t xml:space="preserve">[M4]	</w:t>
      </w:r>
      <w:r>
        <w:rPr>
          <w:sz w:val="17"/>
          <w:szCs w:val="17"/>
        </w:rPr>
        <w:t xml:space="preserve">Bertsimas, D., Shtern, S. &amp; Sturt, B. (2023). A data-driven approach to multistage stochastic linear optimization. </w:t>
      </w:r>
      <w:r>
        <w:rPr>
          <w:i/>
          <w:iCs/>
          <w:sz w:val="17"/>
          <w:szCs w:val="17"/>
        </w:rPr>
        <w:t xml:space="preserve">Management Science</w:t>
      </w:r>
      <w:r>
        <w:rPr>
          <w:sz w:val="17"/>
          <w:szCs w:val="17"/>
        </w:rPr>
        <w:t xml:space="preserve">, 69(1), 51–74.</w:t>
      </w:r>
      <w:r>
        <w:rPr>
          <w:sz w:val="17"/>
          <w:szCs w:val="17"/>
        </w:rPr>
        <w:t xml:space="preserve"> </w:t>
      </w:r>
      <w:hyperlink w:history="1" r:id="rIdldp5yyl52enqokpdvjosg">
        <w:r>
          <w:rPr>
            <w:color w:val="1D4ED8"/>
            <w:sz w:val="17"/>
            <w:szCs w:val="17"/>
            <w:u w:val="single"/>
          </w:rPr>
          <w:t xml:space="preserve">https://doi.org/10.1287/mnsc.2022.4352</w:t>
        </w:r>
      </w:hyperlink>
    </w:p>
    <w:p>
      <w:pPr>
        <w:tabs>
          <w:tab w:val="left" w:pos="567"/>
        </w:tabs>
        <w:spacing w:after="50"/>
        <w:ind w:left="567" w:hanging="567"/>
        <w:jc w:val="left"/>
      </w:pPr>
      <w:r>
        <w:rPr>
          <w:b/>
          <w:bCs/>
          <w:color w:val="4D4D4F"/>
          <w:sz w:val="17"/>
          <w:szCs w:val="17"/>
        </w:rPr>
        <w:t xml:space="preserve">[M5]	</w:t>
      </w:r>
      <w:r>
        <w:rPr>
          <w:sz w:val="17"/>
          <w:szCs w:val="17"/>
        </w:rPr>
        <w:t xml:space="preserve">Simchi-Levi, D. &amp; Xu, Y. (2023). Phase transitions in bandits with switching constraints. </w:t>
      </w:r>
      <w:r>
        <w:rPr>
          <w:i/>
          <w:iCs/>
          <w:sz w:val="17"/>
          <w:szCs w:val="17"/>
        </w:rPr>
        <w:t xml:space="preserve">Management Science</w:t>
      </w:r>
      <w:r>
        <w:rPr>
          <w:sz w:val="17"/>
          <w:szCs w:val="17"/>
        </w:rPr>
        <w:t xml:space="preserve">, 69(12), 7182–7201.</w:t>
      </w:r>
      <w:r>
        <w:rPr>
          <w:sz w:val="17"/>
          <w:szCs w:val="17"/>
        </w:rPr>
        <w:t xml:space="preserve"> </w:t>
      </w:r>
      <w:hyperlink w:history="1" r:id="rIdgmset9hmgi6e-h3ynxveh">
        <w:r>
          <w:rPr>
            <w:color w:val="1D4ED8"/>
            <w:sz w:val="17"/>
            <w:szCs w:val="17"/>
            <w:u w:val="single"/>
          </w:rPr>
          <w:t xml:space="preserve">https://doi.org/10.1287/mnsc.2023.4755</w:t>
        </w:r>
      </w:hyperlink>
    </w:p>
    <w:p>
      <w:pPr>
        <w:tabs>
          <w:tab w:val="left" w:pos="567"/>
        </w:tabs>
        <w:spacing w:after="50"/>
        <w:ind w:left="567" w:hanging="567"/>
        <w:jc w:val="left"/>
      </w:pPr>
      <w:r>
        <w:rPr>
          <w:b/>
          <w:bCs/>
          <w:color w:val="215CAF"/>
          <w:sz w:val="17"/>
          <w:szCs w:val="17"/>
        </w:rPr>
        <w:t xml:space="preserve">[E1]	</w:t>
      </w:r>
      <w:r>
        <w:rPr>
          <w:sz w:val="17"/>
          <w:szCs w:val="17"/>
        </w:rPr>
        <w:t xml:space="preserve">Gersbach, H., Mamageishvili, A. &amp; Tejada, O. (2022). Appointed learning for the common good: Optimal committee size and monetary transfers. </w:t>
      </w:r>
      <w:r>
        <w:rPr>
          <w:i/>
          <w:iCs/>
          <w:sz w:val="17"/>
          <w:szCs w:val="17"/>
        </w:rPr>
        <w:t xml:space="preserve">Games and Economic Behavior</w:t>
      </w:r>
      <w:r>
        <w:rPr>
          <w:sz w:val="17"/>
          <w:szCs w:val="17"/>
        </w:rPr>
        <w:t xml:space="preserve">, 136, 153–176.</w:t>
      </w:r>
      <w:r>
        <w:rPr>
          <w:sz w:val="17"/>
          <w:szCs w:val="17"/>
        </w:rPr>
        <w:t xml:space="preserve"> </w:t>
      </w:r>
      <w:hyperlink w:history="1" r:id="rIdrb6frqiz4opu54fdczxrr">
        <w:r>
          <w:rPr>
            <w:color w:val="1D4ED8"/>
            <w:sz w:val="17"/>
            <w:szCs w:val="17"/>
            <w:u w:val="single"/>
          </w:rPr>
          <w:t xml:space="preserve">https://doi.org/10.1016/j.geb.2022.04.005</w:t>
        </w:r>
      </w:hyperlink>
    </w:p>
    <w:p>
      <w:pPr>
        <w:tabs>
          <w:tab w:val="left" w:pos="567"/>
        </w:tabs>
        <w:spacing w:after="50"/>
        <w:ind w:left="567" w:hanging="567"/>
        <w:jc w:val="left"/>
      </w:pPr>
      <w:r>
        <w:rPr>
          <w:b/>
          <w:bCs/>
          <w:color w:val="215CAF"/>
          <w:sz w:val="17"/>
          <w:szCs w:val="17"/>
        </w:rPr>
        <w:t xml:space="preserve">[E2]	</w:t>
      </w:r>
      <w:r>
        <w:rPr>
          <w:sz w:val="17"/>
          <w:szCs w:val="17"/>
        </w:rPr>
        <w:t xml:space="preserve">Gersbach, H., Mamageishvili, A. &amp; Tejada, O. (2021). The effect of handicaps on turnout for large electorates with an application to assessment voting. </w:t>
      </w:r>
      <w:r>
        <w:rPr>
          <w:i/>
          <w:iCs/>
          <w:sz w:val="17"/>
          <w:szCs w:val="17"/>
        </w:rPr>
        <w:t xml:space="preserve">Journal of Economic Theory</w:t>
      </w:r>
      <w:r>
        <w:rPr>
          <w:sz w:val="17"/>
          <w:szCs w:val="17"/>
        </w:rPr>
        <w:t xml:space="preserve">, 195, 105228.</w:t>
      </w:r>
      <w:r>
        <w:rPr>
          <w:sz w:val="17"/>
          <w:szCs w:val="17"/>
        </w:rPr>
        <w:t xml:space="preserve"> </w:t>
      </w:r>
      <w:hyperlink w:history="1" r:id="rId6agrdaiyai64fe4prihvc">
        <w:r>
          <w:rPr>
            <w:color w:val="1D4ED8"/>
            <w:sz w:val="17"/>
            <w:szCs w:val="17"/>
            <w:u w:val="single"/>
          </w:rPr>
          <w:t xml:space="preserve">https://doi.org/10.1016/j.jet.2021.105228</w:t>
        </w:r>
      </w:hyperlink>
    </w:p>
    <w:p>
      <w:pPr>
        <w:tabs>
          <w:tab w:val="left" w:pos="567"/>
        </w:tabs>
        <w:spacing w:after="50"/>
        <w:ind w:left="567" w:hanging="567"/>
        <w:jc w:val="left"/>
      </w:pPr>
      <w:r>
        <w:rPr>
          <w:b/>
          <w:bCs/>
          <w:color w:val="215CAF"/>
          <w:sz w:val="17"/>
          <w:szCs w:val="17"/>
        </w:rPr>
        <w:t xml:space="preserve">[E3]	</w:t>
      </w:r>
      <w:r>
        <w:rPr>
          <w:sz w:val="17"/>
          <w:szCs w:val="17"/>
        </w:rPr>
        <w:t xml:space="preserve">Emmenegger, N., Mutný, M. &amp; Krause, A. (2023). Likelihood ratio confidence sets for sequential decision making. </w:t>
      </w:r>
      <w:r>
        <w:rPr>
          <w:i/>
          <w:iCs/>
          <w:sz w:val="17"/>
          <w:szCs w:val="17"/>
        </w:rPr>
        <w:t xml:space="preserve">Advances in Neural Information Processing Systems</w:t>
      </w:r>
      <w:r>
        <w:rPr>
          <w:sz w:val="17"/>
          <w:szCs w:val="17"/>
        </w:rPr>
        <w:t xml:space="preserve">, 36 (pages not verified).</w:t>
      </w:r>
      <w:r>
        <w:rPr>
          <w:sz w:val="17"/>
          <w:szCs w:val="17"/>
        </w:rPr>
        <w:t xml:space="preserve"> </w:t>
      </w:r>
      <w:hyperlink w:history="1" r:id="rIdia4s3jfaz4ouvhtomzr82">
        <w:r>
          <w:rPr>
            <w:color w:val="1D4ED8"/>
            <w:sz w:val="17"/>
            <w:szCs w:val="17"/>
            <w:u w:val="single"/>
          </w:rPr>
          <w:t xml:space="preserve">https://proceedings.neurips.cc/paper_files/paper/2023/hash/5491280797f3192b895bce84eb83df8d-Abstract.html</w:t>
        </w:r>
      </w:hyperlink>
    </w:p>
    <w:p>
      <w:pPr>
        <w:tabs>
          <w:tab w:val="left" w:pos="567"/>
        </w:tabs>
        <w:spacing w:after="50"/>
        <w:ind w:left="567" w:hanging="567"/>
        <w:jc w:val="left"/>
      </w:pPr>
      <w:r>
        <w:rPr>
          <w:b/>
          <w:bCs/>
          <w:color w:val="215CAF"/>
          <w:sz w:val="17"/>
          <w:szCs w:val="17"/>
        </w:rPr>
        <w:t xml:space="preserve">[E4]	</w:t>
      </w:r>
      <w:r>
        <w:rPr>
          <w:sz w:val="17"/>
          <w:szCs w:val="17"/>
        </w:rPr>
        <w:t xml:space="preserve">Coulson, J., Lygeros, J. &amp; Dörfler, F. (2022). Distributionally robust chance constrained data-enabled predictive control. </w:t>
      </w:r>
      <w:r>
        <w:rPr>
          <w:i/>
          <w:iCs/>
          <w:sz w:val="17"/>
          <w:szCs w:val="17"/>
        </w:rPr>
        <w:t xml:space="preserve">IEEE Transactions on Automatic Control</w:t>
      </w:r>
      <w:r>
        <w:rPr>
          <w:sz w:val="17"/>
          <w:szCs w:val="17"/>
        </w:rPr>
        <w:t xml:space="preserve">, 67(7), 3289–3304.</w:t>
      </w:r>
      <w:r>
        <w:rPr>
          <w:sz w:val="17"/>
          <w:szCs w:val="17"/>
        </w:rPr>
        <w:t xml:space="preserve"> </w:t>
      </w:r>
      <w:hyperlink w:history="1" r:id="rId0nmdcrmp_nad60tbhwiby">
        <w:r>
          <w:rPr>
            <w:color w:val="1D4ED8"/>
            <w:sz w:val="17"/>
            <w:szCs w:val="17"/>
            <w:u w:val="single"/>
          </w:rPr>
          <w:t xml:space="preserve">https://doi.org/10.1109/TAC.2021.3097706</w:t>
        </w:r>
      </w:hyperlink>
    </w:p>
    <w:p>
      <w:pPr>
        <w:tabs>
          <w:tab w:val="left" w:pos="567"/>
        </w:tabs>
        <w:spacing w:after="50"/>
        <w:ind w:left="567" w:hanging="567"/>
        <w:jc w:val="left"/>
      </w:pPr>
      <w:r>
        <w:rPr>
          <w:b/>
          <w:bCs/>
          <w:color w:val="215CAF"/>
          <w:sz w:val="17"/>
          <w:szCs w:val="17"/>
        </w:rPr>
        <w:t xml:space="preserve">[E5]	</w:t>
      </w:r>
      <w:r>
        <w:rPr>
          <w:sz w:val="17"/>
          <w:szCs w:val="17"/>
        </w:rPr>
        <w:t xml:space="preserve">Aolaritei, L., Lanzetti, N., Chen, H. &amp; Dörfler, F. (2025). Distributional uncertainty propagation via optimal transport. </w:t>
      </w:r>
      <w:r>
        <w:rPr>
          <w:i/>
          <w:iCs/>
          <w:sz w:val="17"/>
          <w:szCs w:val="17"/>
        </w:rPr>
        <w:t xml:space="preserve">IEEE Transactions on Automatic Control</w:t>
      </w:r>
      <w:r>
        <w:rPr>
          <w:sz w:val="17"/>
          <w:szCs w:val="17"/>
        </w:rPr>
        <w:t xml:space="preserve">, 6080–6095 (volume and issue not verified).</w:t>
      </w:r>
      <w:r>
        <w:rPr>
          <w:sz w:val="17"/>
          <w:szCs w:val="17"/>
        </w:rPr>
        <w:t xml:space="preserve"> </w:t>
      </w:r>
      <w:hyperlink w:history="1" r:id="rIdop6x80fo3s3o068q3632r">
        <w:r>
          <w:rPr>
            <w:color w:val="1D4ED8"/>
            <w:sz w:val="17"/>
            <w:szCs w:val="17"/>
            <w:u w:val="single"/>
          </w:rPr>
          <w:t xml:space="preserve">https://doi.org/10.1109/TAC.2025.3567559</w:t>
        </w:r>
      </w:hyperlink>
    </w:p>
    <w:p>
      <w:pPr>
        <w:pStyle w:val="Heading3"/>
      </w:pPr>
      <w:r>
        <w:rPr>
          <w:color w:val="1F3864"/>
        </w:rPr>
        <w:t xml:space="preserve">Further reading cited in the text (reserve papers)</w:t>
      </w:r>
    </w:p>
    <w:p>
      <w:pPr>
        <w:tabs>
          <w:tab w:val="left" w:pos="567"/>
        </w:tabs>
        <w:spacing w:after="50"/>
        <w:ind w:left="567" w:hanging="567"/>
        <w:jc w:val="left"/>
      </w:pPr>
      <w:r>
        <w:rPr>
          <w:b/>
          <w:bCs/>
          <w:color w:val="002147"/>
          <w:sz w:val="17"/>
          <w:szCs w:val="17"/>
        </w:rPr>
        <w:t xml:space="preserve">[OR1]	</w:t>
      </w:r>
      <w:r>
        <w:rPr>
          <w:sz w:val="17"/>
          <w:szCs w:val="17"/>
        </w:rPr>
        <w:t xml:space="preserve">Fele, F. &amp; Margellos, K. (2021). Probably approximately correct Nash equilibrium learning. </w:t>
      </w:r>
      <w:r>
        <w:rPr>
          <w:i/>
          <w:iCs/>
          <w:sz w:val="17"/>
          <w:szCs w:val="17"/>
        </w:rPr>
        <w:t xml:space="preserve">IEEE Transactions on Automatic Control</w:t>
      </w:r>
      <w:r>
        <w:rPr>
          <w:sz w:val="17"/>
          <w:szCs w:val="17"/>
        </w:rPr>
        <w:t xml:space="preserve">, volume and issue not verified, 4238–4245. </w:t>
      </w:r>
      <w:r>
        <w:rPr>
          <w:i/>
          <w:iCs/>
          <w:sz w:val="17"/>
          <w:szCs w:val="17"/>
        </w:rPr>
        <w:t xml:space="preserve">Why it is useful:</w:t>
      </w:r>
      <w:r>
        <w:rPr>
          <w:sz w:val="17"/>
          <w:szCs w:val="17"/>
        </w:rPr>
        <w:t xml:space="preserve"> Oxford (Fele, Margellos); Nash equilibria of games with uncertain payoffs learned from scenarios with a priori and a posteriori probabilistic guarantees (sections 1.2, 8.5).</w:t>
      </w:r>
      <w:r>
        <w:rPr>
          <w:sz w:val="17"/>
          <w:szCs w:val="17"/>
        </w:rPr>
        <w:t xml:space="preserve"> </w:t>
      </w:r>
      <w:hyperlink w:history="1" r:id="rIdux3ogd2hcyqbcsyquhfg6">
        <w:r>
          <w:rPr>
            <w:color w:val="1D4ED8"/>
            <w:sz w:val="17"/>
            <w:szCs w:val="17"/>
            <w:u w:val="single"/>
          </w:rPr>
          <w:t xml:space="preserve">https://doi.org/10.1109/TAC.2020.3030754</w:t>
        </w:r>
      </w:hyperlink>
    </w:p>
    <w:p>
      <w:pPr>
        <w:tabs>
          <w:tab w:val="left" w:pos="567"/>
        </w:tabs>
        <w:spacing w:after="50"/>
        <w:ind w:left="567" w:hanging="567"/>
        <w:jc w:val="left"/>
      </w:pPr>
      <w:r>
        <w:rPr>
          <w:b/>
          <w:bCs/>
          <w:color w:val="002147"/>
          <w:sz w:val="17"/>
          <w:szCs w:val="17"/>
        </w:rPr>
        <w:t xml:space="preserve">[OR2]	</w:t>
      </w:r>
      <w:r>
        <w:rPr>
          <w:sz w:val="17"/>
          <w:szCs w:val="17"/>
        </w:rPr>
        <w:t xml:space="preserve">Levy, G., Moreno de Barreda, I. &amp; Razin, R. (2022). Persuasion with correlation neglect: a full manipulation result. </w:t>
      </w:r>
      <w:r>
        <w:rPr>
          <w:i/>
          <w:iCs/>
          <w:sz w:val="17"/>
          <w:szCs w:val="17"/>
        </w:rPr>
        <w:t xml:space="preserve">American Economic Review: Insights</w:t>
      </w:r>
      <w:r>
        <w:rPr>
          <w:sz w:val="17"/>
          <w:szCs w:val="17"/>
        </w:rPr>
        <w:t xml:space="preserve">, 4(1), 123–138. </w:t>
      </w:r>
      <w:r>
        <w:rPr>
          <w:i/>
          <w:iCs/>
          <w:sz w:val="17"/>
          <w:szCs w:val="17"/>
        </w:rPr>
        <w:t xml:space="preserve">Why it is useful:</w:t>
      </w:r>
      <w:r>
        <w:rPr>
          <w:sz w:val="17"/>
          <w:szCs w:val="17"/>
        </w:rPr>
        <w:t xml:space="preserve"> Oxford (Moreno de Barreda) and LSE; a sender can move a receiver who neglects the correlation between signals to any belief, a warning for how monitoring results are presented to stakeholders (section 1.4).</w:t>
      </w:r>
      <w:r>
        <w:rPr>
          <w:sz w:val="17"/>
          <w:szCs w:val="17"/>
        </w:rPr>
        <w:t xml:space="preserve"> </w:t>
      </w:r>
      <w:hyperlink w:history="1" r:id="rIdxww6mht2rmlt3fpoqxssw">
        <w:r>
          <w:rPr>
            <w:color w:val="1D4ED8"/>
            <w:sz w:val="17"/>
            <w:szCs w:val="17"/>
            <w:u w:val="single"/>
          </w:rPr>
          <w:t xml:space="preserve">https://doi.org/10.1257/aeri.20210007</w:t>
        </w:r>
      </w:hyperlink>
    </w:p>
    <w:p>
      <w:pPr>
        <w:tabs>
          <w:tab w:val="left" w:pos="567"/>
        </w:tabs>
        <w:spacing w:after="50"/>
        <w:ind w:left="567" w:hanging="567"/>
        <w:jc w:val="left"/>
      </w:pPr>
      <w:r>
        <w:rPr>
          <w:b/>
          <w:bCs/>
          <w:color w:val="B4410C"/>
          <w:sz w:val="17"/>
          <w:szCs w:val="17"/>
        </w:rPr>
        <w:t xml:space="preserve">[CR1]	</w:t>
      </w:r>
      <w:r>
        <w:rPr>
          <w:sz w:val="17"/>
          <w:szCs w:val="17"/>
        </w:rPr>
        <w:t xml:space="preserve">Basu, P. &amp; Echenique, F. (2020). On the falsifiability and learnability of decision theories. </w:t>
      </w:r>
      <w:r>
        <w:rPr>
          <w:i/>
          <w:iCs/>
          <w:sz w:val="17"/>
          <w:szCs w:val="17"/>
        </w:rPr>
        <w:t xml:space="preserve">Theoretical Economics</w:t>
      </w:r>
      <w:r>
        <w:rPr>
          <w:sz w:val="17"/>
          <w:szCs w:val="17"/>
        </w:rPr>
        <w:t xml:space="preserve">, 15(4), 1279–1305. </w:t>
      </w:r>
      <w:r>
        <w:rPr>
          <w:i/>
          <w:iCs/>
          <w:sz w:val="17"/>
          <w:szCs w:val="17"/>
        </w:rPr>
        <w:t xml:space="preserve">Why it is useful:</w:t>
      </w:r>
      <w:r>
        <w:rPr>
          <w:sz w:val="17"/>
          <w:szCs w:val="17"/>
        </w:rPr>
        <w:t xml:space="preserve"> Caltech (Echenique); the VC dimension of decision theories: maxmin expected utility cannot be falsified by finite experiments once there are three states (section 1.1).</w:t>
      </w:r>
      <w:r>
        <w:rPr>
          <w:sz w:val="17"/>
          <w:szCs w:val="17"/>
        </w:rPr>
        <w:t xml:space="preserve"> </w:t>
      </w:r>
      <w:hyperlink w:history="1" r:id="rIddxgpf-8gyjmh35bachcps">
        <w:r>
          <w:rPr>
            <w:color w:val="1D4ED8"/>
            <w:sz w:val="17"/>
            <w:szCs w:val="17"/>
            <w:u w:val="single"/>
          </w:rPr>
          <w:t xml:space="preserve">https://doi.org/10.3982/TE3438</w:t>
        </w:r>
      </w:hyperlink>
    </w:p>
    <w:p>
      <w:pPr>
        <w:tabs>
          <w:tab w:val="left" w:pos="567"/>
        </w:tabs>
        <w:spacing w:after="50"/>
        <w:ind w:left="567" w:hanging="567"/>
        <w:jc w:val="left"/>
      </w:pPr>
      <w:r>
        <w:rPr>
          <w:b/>
          <w:bCs/>
          <w:color w:val="B4410C"/>
          <w:sz w:val="17"/>
          <w:szCs w:val="17"/>
        </w:rPr>
        <w:t xml:space="preserve">[CR2]	</w:t>
      </w:r>
      <w:r>
        <w:rPr>
          <w:sz w:val="17"/>
          <w:szCs w:val="17"/>
        </w:rPr>
        <w:t xml:space="preserve">Pomatto, L., Strack, P. &amp; Tamuz, O. (2020). Stochastic dominance under independent noise. </w:t>
      </w:r>
      <w:r>
        <w:rPr>
          <w:i/>
          <w:iCs/>
          <w:sz w:val="17"/>
          <w:szCs w:val="17"/>
        </w:rPr>
        <w:t xml:space="preserve">Journal of Political Economy</w:t>
      </w:r>
      <w:r>
        <w:rPr>
          <w:sz w:val="17"/>
          <w:szCs w:val="17"/>
        </w:rPr>
        <w:t xml:space="preserve">, 128(5), 1877–1900. </w:t>
      </w:r>
      <w:r>
        <w:rPr>
          <w:i/>
          <w:iCs/>
          <w:sz w:val="17"/>
          <w:szCs w:val="17"/>
        </w:rPr>
        <w:t xml:space="preserve">Why it is useful:</w:t>
      </w:r>
      <w:r>
        <w:rPr>
          <w:sz w:val="17"/>
          <w:szCs w:val="17"/>
        </w:rPr>
        <w:t xml:space="preserve"> Caltech (Pomatto, Tamuz) and Yale; independent noise turns a higher mean into first-order stochastic dominance, the theorem behind [C2] (section 1.1).</w:t>
      </w:r>
      <w:r>
        <w:rPr>
          <w:sz w:val="17"/>
          <w:szCs w:val="17"/>
        </w:rPr>
        <w:t xml:space="preserve"> </w:t>
      </w:r>
      <w:hyperlink w:history="1" r:id="rIdaow6h8stounexlycleo7x">
        <w:r>
          <w:rPr>
            <w:color w:val="1D4ED8"/>
            <w:sz w:val="17"/>
            <w:szCs w:val="17"/>
            <w:u w:val="single"/>
          </w:rPr>
          <w:t xml:space="preserve">https://doi.org/10.1086/705555</w:t>
        </w:r>
      </w:hyperlink>
    </w:p>
    <w:p>
      <w:pPr>
        <w:tabs>
          <w:tab w:val="left" w:pos="567"/>
        </w:tabs>
        <w:spacing w:after="50"/>
        <w:ind w:left="567" w:hanging="567"/>
        <w:jc w:val="left"/>
      </w:pPr>
      <w:r>
        <w:rPr>
          <w:b/>
          <w:bCs/>
          <w:color w:val="4D4D4F"/>
          <w:sz w:val="17"/>
          <w:szCs w:val="17"/>
        </w:rPr>
        <w:t xml:space="preserve">[MR1]	</w:t>
      </w:r>
      <w:r>
        <w:rPr>
          <w:sz w:val="17"/>
          <w:szCs w:val="17"/>
        </w:rPr>
        <w:t xml:space="preserve">Acemoglu, D., Makhdoumi, A., Malekian, A. &amp; Ozdaglar, A. (2022). Learning from reviews: the selection effect and the speed of learning. </w:t>
      </w:r>
      <w:r>
        <w:rPr>
          <w:i/>
          <w:iCs/>
          <w:sz w:val="17"/>
          <w:szCs w:val="17"/>
        </w:rPr>
        <w:t xml:space="preserve">Econometrica</w:t>
      </w:r>
      <w:r>
        <w:rPr>
          <w:sz w:val="17"/>
          <w:szCs w:val="17"/>
        </w:rPr>
        <w:t xml:space="preserve">, 90(6), 2857–2899. </w:t>
      </w:r>
      <w:r>
        <w:rPr>
          <w:i/>
          <w:iCs/>
          <w:sz w:val="17"/>
          <w:szCs w:val="17"/>
        </w:rPr>
        <w:t xml:space="preserve">Why it is useful:</w:t>
      </w:r>
      <w:r>
        <w:rPr>
          <w:sz w:val="17"/>
          <w:szCs w:val="17"/>
        </w:rPr>
        <w:t xml:space="preserve"> MIT (Acemoglu, Ozdaglar), Duke and Toronto; learning from others' reports is biased by who chooses to report and its speed depends on the reporting system (section 1.4).</w:t>
      </w:r>
      <w:r>
        <w:rPr>
          <w:sz w:val="17"/>
          <w:szCs w:val="17"/>
        </w:rPr>
        <w:t xml:space="preserve"> </w:t>
      </w:r>
      <w:hyperlink w:history="1" r:id="rIdurooc4h-touxagxtdkue3">
        <w:r>
          <w:rPr>
            <w:color w:val="1D4ED8"/>
            <w:sz w:val="17"/>
            <w:szCs w:val="17"/>
            <w:u w:val="single"/>
          </w:rPr>
          <w:t xml:space="preserve">https://doi.org/10.3982/ECTA15847</w:t>
        </w:r>
      </w:hyperlink>
    </w:p>
    <w:p>
      <w:pPr>
        <w:tabs>
          <w:tab w:val="left" w:pos="567"/>
        </w:tabs>
        <w:spacing w:after="50"/>
        <w:ind w:left="567" w:hanging="567"/>
        <w:jc w:val="left"/>
      </w:pPr>
      <w:r>
        <w:rPr>
          <w:b/>
          <w:bCs/>
          <w:color w:val="4D4D4F"/>
          <w:sz w:val="17"/>
          <w:szCs w:val="17"/>
        </w:rPr>
        <w:t xml:space="preserve">[MR2]	</w:t>
      </w:r>
      <w:r>
        <w:rPr>
          <w:sz w:val="17"/>
          <w:szCs w:val="17"/>
        </w:rPr>
        <w:t xml:space="preserve">Banerjee, A., Breza, E., Chandrasekhar, A. G. &amp; Mobius, M. (2021). Naïve learning with uninformed agents. </w:t>
      </w:r>
      <w:r>
        <w:rPr>
          <w:i/>
          <w:iCs/>
          <w:sz w:val="17"/>
          <w:szCs w:val="17"/>
        </w:rPr>
        <w:t xml:space="preserve">American Economic Review</w:t>
      </w:r>
      <w:r>
        <w:rPr>
          <w:sz w:val="17"/>
          <w:szCs w:val="17"/>
        </w:rPr>
        <w:t xml:space="preserve">, 111(11), 3540–3574. </w:t>
      </w:r>
      <w:r>
        <w:rPr>
          <w:i/>
          <w:iCs/>
          <w:sz w:val="17"/>
          <w:szCs w:val="17"/>
        </w:rPr>
        <w:t xml:space="preserve">Why it is useful:</w:t>
      </w:r>
      <w:r>
        <w:rPr>
          <w:sz w:val="17"/>
          <w:szCs w:val="17"/>
        </w:rPr>
        <w:t xml:space="preserve"> MIT (affiliation from a search summary) and co-authors; naive averaging with uninformed agents loses part of the available information, with influence set by who informs whom first (section 1.4).</w:t>
      </w:r>
      <w:r>
        <w:rPr>
          <w:sz w:val="17"/>
          <w:szCs w:val="17"/>
        </w:rPr>
        <w:t xml:space="preserve"> </w:t>
      </w:r>
      <w:hyperlink w:history="1" r:id="rIdv3mipspcyv3_mwixoowtk">
        <w:r>
          <w:rPr>
            <w:color w:val="1D4ED8"/>
            <w:sz w:val="17"/>
            <w:szCs w:val="17"/>
            <w:u w:val="single"/>
          </w:rPr>
          <w:t xml:space="preserve">https://doi.org/10.1257/aer.20181151</w:t>
        </w:r>
      </w:hyperlink>
    </w:p>
    <w:p>
      <w:pPr>
        <w:tabs>
          <w:tab w:val="left" w:pos="567"/>
        </w:tabs>
        <w:spacing w:after="50"/>
        <w:ind w:left="567" w:hanging="567"/>
        <w:jc w:val="left"/>
      </w:pPr>
      <w:r>
        <w:rPr>
          <w:b/>
          <w:bCs/>
          <w:color w:val="215CAF"/>
          <w:sz w:val="17"/>
          <w:szCs w:val="17"/>
        </w:rPr>
        <w:t xml:space="preserve">[ER1]	</w:t>
      </w:r>
      <w:r>
        <w:rPr>
          <w:sz w:val="17"/>
          <w:szCs w:val="17"/>
        </w:rPr>
        <w:t xml:space="preserve">Rothenhäusler, D., Meinshausen, N., Bühlmann, P. &amp; Peters, J. (2021). Anchor regression: Heterogeneous data meet causality. </w:t>
      </w:r>
      <w:r>
        <w:rPr>
          <w:i/>
          <w:iCs/>
          <w:sz w:val="17"/>
          <w:szCs w:val="17"/>
        </w:rPr>
        <w:t xml:space="preserve">Journal of the Royal Statistical Society Series B</w:t>
      </w:r>
      <w:r>
        <w:rPr>
          <w:sz w:val="17"/>
          <w:szCs w:val="17"/>
        </w:rPr>
        <w:t xml:space="preserve">, 83(2), 215–246. </w:t>
      </w:r>
      <w:r>
        <w:rPr>
          <w:i/>
          <w:iCs/>
          <w:sz w:val="17"/>
          <w:szCs w:val="17"/>
        </w:rPr>
        <w:t xml:space="preserve">Why it is useful:</w:t>
      </w:r>
      <w:r>
        <w:rPr>
          <w:sz w:val="17"/>
          <w:szCs w:val="17"/>
        </w:rPr>
        <w:t xml:space="preserve"> ETH Zürich (Meinshausen, Bühlmann) and co-authors; anchor regression is the worst-case squared error over shifts generated by exogenous variables (section 1.1).</w:t>
      </w:r>
      <w:r>
        <w:rPr>
          <w:sz w:val="17"/>
          <w:szCs w:val="17"/>
        </w:rPr>
        <w:t xml:space="preserve"> </w:t>
      </w:r>
      <w:hyperlink w:history="1" r:id="rIdjlpl2pr2nfesvtf4sqbfm">
        <w:r>
          <w:rPr>
            <w:color w:val="1D4ED8"/>
            <w:sz w:val="17"/>
            <w:szCs w:val="17"/>
            <w:u w:val="single"/>
          </w:rPr>
          <w:t xml:space="preserve">https://doi.org/10.1111/rssb.12398</w:t>
        </w:r>
      </w:hyperlink>
    </w:p>
    <w:p>
      <w:pPr>
        <w:tabs>
          <w:tab w:val="left" w:pos="567"/>
        </w:tabs>
        <w:spacing w:after="50"/>
        <w:ind w:left="567" w:hanging="567"/>
        <w:jc w:val="left"/>
      </w:pPr>
      <w:r>
        <w:rPr>
          <w:b/>
          <w:bCs/>
          <w:color w:val="215CAF"/>
          <w:sz w:val="17"/>
          <w:szCs w:val="17"/>
        </w:rPr>
        <w:t xml:space="preserve">[ER2]	</w:t>
      </w:r>
      <w:r>
        <w:rPr>
          <w:sz w:val="17"/>
          <w:szCs w:val="17"/>
        </w:rPr>
        <w:t xml:space="preserve">Belgioioso, G., Liao-McPherson, D., Hudoba de Badyn, M., Bolognani, S., Smith, R. S., Lygeros, J. &amp; Dörfler, F. (2025). Online feedback equilibrium seeking. </w:t>
      </w:r>
      <w:r>
        <w:rPr>
          <w:i/>
          <w:iCs/>
          <w:sz w:val="17"/>
          <w:szCs w:val="17"/>
        </w:rPr>
        <w:t xml:space="preserve">IEEE Transactions on Automatic Control</w:t>
      </w:r>
      <w:r>
        <w:rPr>
          <w:sz w:val="17"/>
          <w:szCs w:val="17"/>
        </w:rPr>
        <w:t xml:space="preserve">, 70(1), 203–218. </w:t>
      </w:r>
      <w:r>
        <w:rPr>
          <w:i/>
          <w:iCs/>
          <w:sz w:val="17"/>
          <w:szCs w:val="17"/>
        </w:rPr>
        <w:t xml:space="preserve">Why it is useful:</w:t>
      </w:r>
      <w:r>
        <w:rPr>
          <w:sz w:val="17"/>
          <w:szCs w:val="17"/>
        </w:rPr>
        <w:t xml:space="preserve"> ETH Zürich (Lygeros, Dörfler and co-authors); feedback controllers that track optimisers and Nash equilibria of time-varying problems while the plant runs (section 1.4).</w:t>
      </w:r>
      <w:r>
        <w:rPr>
          <w:sz w:val="17"/>
          <w:szCs w:val="17"/>
        </w:rPr>
        <w:t xml:space="preserve"> </w:t>
      </w:r>
      <w:hyperlink w:history="1" r:id="rIdno2dvsnnmtqvoyhnpauty">
        <w:r>
          <w:rPr>
            <w:color w:val="1D4ED8"/>
            <w:sz w:val="17"/>
            <w:szCs w:val="17"/>
            <w:u w:val="single"/>
          </w:rPr>
          <w:t xml:space="preserve">https://doi.org/10.1109/TAC.2024.3424345</w:t>
        </w:r>
      </w:hyperlink>
    </w:p>
    <w:p>
      <w:pPr>
        <w:spacing w:after="200"/>
      </w:pPr>
    </w:p>
    <w:p>
      <w:pPr>
        <w:spacing w:after="120"/>
      </w:pPr>
      <w:r>
        <w:rPr>
          <w:i/>
          <w:iCs/>
          <w:color w:val="5B6573"/>
          <w:sz w:val="18"/>
          <w:szCs w:val="18"/>
        </w:rPr>
        <w:t xml:space="preserve">Prepared from searches of 26 October 2026. Card codes: O = Oxford, C = Caltech, M = MIT, E = ETH Zürich; [B…] are references of Part I and section 9, and [OR1]–[ER2] are reserve papers cited as further reading. The code of VENDIMI-GO is in the repository folder experiments/vendimi_go; it uses the calibrated chloride ensemble of PUSI-GO (experiments/pusi_go).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Deciding decisively under deep uncertainty · Oxford, Caltech, MIT, ETH Zürich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0"/>
        <w:szCs w:val="20"/>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hzqe3sj-0v3msukk_ax-i" Type="http://schemas.openxmlformats.org/officeDocument/2006/relationships/hyperlink" Target="https://doi.org/10.1016/j.automatica.2024.111746" TargetMode="External"/><Relationship Id="rIdygg8uuctkfpbbwygy56nz" Type="http://schemas.openxmlformats.org/officeDocument/2006/relationships/hyperlink" Target="https://doi.org/10.1093/restud/rdac071" TargetMode="External"/><Relationship Id="rIdtcmzmam5haonttjas1j7p" Type="http://schemas.openxmlformats.org/officeDocument/2006/relationships/hyperlink" Target="https://doi.org/10.1007/s00355-024-01561-y" TargetMode="External"/><Relationship Id="rIdhmkgrbwux9b8zmv2srbp2" Type="http://schemas.openxmlformats.org/officeDocument/2006/relationships/hyperlink" Target="https://doi.org/10.1016/j.geb.2021.02.005" TargetMode="External"/><Relationship Id="rIdk3css0ws32eb1wv0amh_g" Type="http://schemas.openxmlformats.org/officeDocument/2006/relationships/hyperlink" Target="https://doi.org/10.1111/mafi.12337" TargetMode="External"/><Relationship Id="rIdhwt85_u1ptgoej5fy55vp" Type="http://schemas.openxmlformats.org/officeDocument/2006/relationships/hyperlink" Target="https://doi.org/10.1016/j.jet.2022.105448" TargetMode="External"/><Relationship Id="rIdon5civvgktr-y41gcoo8d" Type="http://schemas.openxmlformats.org/officeDocument/2006/relationships/hyperlink" Target="https://doi.org/10.1257/aeri.20220480" TargetMode="External"/><Relationship Id="rIdlly-jtddifcabukw67olt" Type="http://schemas.openxmlformats.org/officeDocument/2006/relationships/hyperlink" Target="https://doi.org/10.3982/ECTA17032" TargetMode="External"/><Relationship Id="rIduwnz2bid_wqubuhokabpo" Type="http://schemas.openxmlformats.org/officeDocument/2006/relationships/hyperlink" Target="https://doi.org/10.1257/aer.20201769" TargetMode="External"/><Relationship Id="rId0cxfwoz_yms3vgyrxkdth" Type="http://schemas.openxmlformats.org/officeDocument/2006/relationships/hyperlink" Target="https://proceedings.neurips.cc/paper/2021/hash/55a988dfb00a914717b3000a3374694c-Abstract.html" TargetMode="External"/><Relationship Id="rIdjylkpcjj_wrlqloqb5ebb" Type="http://schemas.openxmlformats.org/officeDocument/2006/relationships/hyperlink" Target="https://doi.org/10.3982/ECTA19149" TargetMode="External"/><Relationship Id="rIdtjoexglkfwvrh6vnat0nc" Type="http://schemas.openxmlformats.org/officeDocument/2006/relationships/hyperlink" Target="https://doi.org/10.1287/opre.2020.2000" TargetMode="External"/><Relationship Id="rIdb-epagstecaos8bgu9art" Type="http://schemas.openxmlformats.org/officeDocument/2006/relationships/hyperlink" Target="https://doi.org/10.1287/mnsc.2020.3678" TargetMode="External"/><Relationship Id="rIded0yyrcekl6zk_muo3fc9" Type="http://schemas.openxmlformats.org/officeDocument/2006/relationships/hyperlink" Target="https://doi.org/10.1287/mnsc.2022.4352" TargetMode="External"/><Relationship Id="rIdjxmn0jdpeirqzk7c7gtk8" Type="http://schemas.openxmlformats.org/officeDocument/2006/relationships/hyperlink" Target="https://doi.org/10.1287/mnsc.2023.4755" TargetMode="External"/><Relationship Id="rIdnzg4-exsu78pxpxyruzjv" Type="http://schemas.openxmlformats.org/officeDocument/2006/relationships/hyperlink" Target="https://doi.org/10.1016/j.geb.2022.04.005" TargetMode="External"/><Relationship Id="rIdqhrdovc2rqida27brd0mf" Type="http://schemas.openxmlformats.org/officeDocument/2006/relationships/hyperlink" Target="https://doi.org/10.1016/j.jet.2021.105228" TargetMode="External"/><Relationship Id="rId1mvbbyvrw_c-1fgexbqsy" Type="http://schemas.openxmlformats.org/officeDocument/2006/relationships/hyperlink" Target="https://proceedings.neurips.cc/paper_files/paper/2023/hash/5491280797f3192b895bce84eb83df8d-Abstract.html" TargetMode="External"/><Relationship Id="rIdhcxbi4nfh2f9pty4shhi6" Type="http://schemas.openxmlformats.org/officeDocument/2006/relationships/hyperlink" Target="https://doi.org/10.1109/TAC.2021.3097706" TargetMode="External"/><Relationship Id="rId404a-radvhuqwcdph3rev" Type="http://schemas.openxmlformats.org/officeDocument/2006/relationships/hyperlink" Target="https://doi.org/10.1109/TAC.2025.3567559" TargetMode="External"/><Relationship Id="rIdfwhcg1pasctjcyet7od6j" Type="http://schemas.openxmlformats.org/officeDocument/2006/relationships/hyperlink" Target="https://doi.org/10.1016/0304-4068(89)90018-9" TargetMode="External"/><Relationship Id="rIdyxvdrxipdrb2uur_kjxzv" Type="http://schemas.openxmlformats.org/officeDocument/2006/relationships/hyperlink" Target="https://doi.org/10.1287/mnsc.1050.0472" TargetMode="External"/><Relationship Id="rIdomeubxgqkzvsaoy6ffhq4" Type="http://schemas.openxmlformats.org/officeDocument/2006/relationships/hyperlink" Target="https://doi.org/10.1214/aoms/1177704873" TargetMode="External"/><Relationship Id="rIdnnl0o1548uxrs4mnnwire" Type="http://schemas.openxmlformats.org/officeDocument/2006/relationships/hyperlink" Target="https://doi.org/10.1214/ss/1177013825" TargetMode="External"/><Relationship Id="rIdadezcchsszdm0ridikisn" Type="http://schemas.openxmlformats.org/officeDocument/2006/relationships/hyperlink" Target="https://doi.org/10.1016/j.gloenvcha.2012.12.006" TargetMode="External"/><Relationship Id="rIdpri380blr5kwijrt36mxq" Type="http://schemas.openxmlformats.org/officeDocument/2006/relationships/hyperlink" Target="https://doi.org/10.1214/aop/1176996454" TargetMode="External"/><Relationship Id="rIdvxbexoefzgptwexw4kzuc" Type="http://schemas.openxmlformats.org/officeDocument/2006/relationships/hyperlink" Target="https://doi.org/10.1006/jeth.1995.1044" TargetMode="External"/><Relationship Id="rIdouizyj5qsjvgklqt6oidj" Type="http://schemas.openxmlformats.org/officeDocument/2006/relationships/hyperlink" Target="https://doi.org/10.1137/050622328" TargetMode="External"/><Relationship Id="rIdyug02kixa0xt9xwno2hof" Type="http://schemas.openxmlformats.org/officeDocument/2006/relationships/hyperlink" Target="https://doi.org/10.1016/j.automatica.2024.111746" TargetMode="External"/><Relationship Id="rIdqvj3fdp4kgdpheaufqjjf" Type="http://schemas.openxmlformats.org/officeDocument/2006/relationships/hyperlink" Target="https://doi.org/10.1093/restud/rdac071" TargetMode="External"/><Relationship Id="rIdhsx-wzivijcscj-_xnjtr" Type="http://schemas.openxmlformats.org/officeDocument/2006/relationships/hyperlink" Target="https://doi.org/10.1007/s00355-024-01561-y" TargetMode="External"/><Relationship Id="rId-b16uznwzbxgkxghodudg" Type="http://schemas.openxmlformats.org/officeDocument/2006/relationships/hyperlink" Target="https://doi.org/10.1016/j.geb.2021.02.005" TargetMode="External"/><Relationship Id="rIdipukzho0qyv8frfswlg1n" Type="http://schemas.openxmlformats.org/officeDocument/2006/relationships/hyperlink" Target="https://doi.org/10.1111/mafi.12337" TargetMode="External"/><Relationship Id="rId57tdyvk1cgx3v8qmq5jxo" Type="http://schemas.openxmlformats.org/officeDocument/2006/relationships/hyperlink" Target="https://doi.org/10.1016/j.jet.2022.105448" TargetMode="External"/><Relationship Id="rIdze4twtoshcdsbu7zthvbo" Type="http://schemas.openxmlformats.org/officeDocument/2006/relationships/hyperlink" Target="https://doi.org/10.1257/aeri.20220480" TargetMode="External"/><Relationship Id="rIdniqqlrvgudmv7w5azz4id" Type="http://schemas.openxmlformats.org/officeDocument/2006/relationships/hyperlink" Target="https://doi.org/10.3982/ECTA17032" TargetMode="External"/><Relationship Id="rIdvwwschdxnelcuvj_ahx1c" Type="http://schemas.openxmlformats.org/officeDocument/2006/relationships/hyperlink" Target="https://doi.org/10.1257/aer.20201769" TargetMode="External"/><Relationship Id="rIdr2nsjziol_2mpae36vei2" Type="http://schemas.openxmlformats.org/officeDocument/2006/relationships/hyperlink" Target="https://proceedings.neurips.cc/paper/2021/hash/55a988dfb00a914717b3000a3374694c-Abstract.html" TargetMode="External"/><Relationship Id="rIdgfwtz7ltuejiab-u0kpzb" Type="http://schemas.openxmlformats.org/officeDocument/2006/relationships/hyperlink" Target="https://doi.org/10.3982/ECTA19149" TargetMode="External"/><Relationship Id="rIdsjcdgrwgtw3hb3da6sds_" Type="http://schemas.openxmlformats.org/officeDocument/2006/relationships/hyperlink" Target="https://doi.org/10.1287/opre.2020.2000" TargetMode="External"/><Relationship Id="rIdvipj5gvgif_p3kc17vfl1" Type="http://schemas.openxmlformats.org/officeDocument/2006/relationships/hyperlink" Target="https://doi.org/10.1287/mnsc.2020.3678" TargetMode="External"/><Relationship Id="rIdldp5yyl52enqokpdvjosg" Type="http://schemas.openxmlformats.org/officeDocument/2006/relationships/hyperlink" Target="https://doi.org/10.1287/mnsc.2022.4352" TargetMode="External"/><Relationship Id="rIdgmset9hmgi6e-h3ynxveh" Type="http://schemas.openxmlformats.org/officeDocument/2006/relationships/hyperlink" Target="https://doi.org/10.1287/mnsc.2023.4755" TargetMode="External"/><Relationship Id="rIdrb6frqiz4opu54fdczxrr" Type="http://schemas.openxmlformats.org/officeDocument/2006/relationships/hyperlink" Target="https://doi.org/10.1016/j.geb.2022.04.005" TargetMode="External"/><Relationship Id="rId6agrdaiyai64fe4prihvc" Type="http://schemas.openxmlformats.org/officeDocument/2006/relationships/hyperlink" Target="https://doi.org/10.1016/j.jet.2021.105228" TargetMode="External"/><Relationship Id="rIdia4s3jfaz4ouvhtomzr82" Type="http://schemas.openxmlformats.org/officeDocument/2006/relationships/hyperlink" Target="https://proceedings.neurips.cc/paper_files/paper/2023/hash/5491280797f3192b895bce84eb83df8d-Abstract.html" TargetMode="External"/><Relationship Id="rId0nmdcrmp_nad60tbhwiby" Type="http://schemas.openxmlformats.org/officeDocument/2006/relationships/hyperlink" Target="https://doi.org/10.1109/TAC.2021.3097706" TargetMode="External"/><Relationship Id="rIdop6x80fo3s3o068q3632r" Type="http://schemas.openxmlformats.org/officeDocument/2006/relationships/hyperlink" Target="https://doi.org/10.1109/TAC.2025.3567559" TargetMode="External"/><Relationship Id="rIdux3ogd2hcyqbcsyquhfg6" Type="http://schemas.openxmlformats.org/officeDocument/2006/relationships/hyperlink" Target="https://doi.org/10.1109/TAC.2020.3030754" TargetMode="External"/><Relationship Id="rIdxww6mht2rmlt3fpoqxssw" Type="http://schemas.openxmlformats.org/officeDocument/2006/relationships/hyperlink" Target="https://doi.org/10.1257/aeri.20210007" TargetMode="External"/><Relationship Id="rIddxgpf-8gyjmh35bachcps" Type="http://schemas.openxmlformats.org/officeDocument/2006/relationships/hyperlink" Target="https://doi.org/10.3982/TE3438" TargetMode="External"/><Relationship Id="rIdaow6h8stounexlycleo7x" Type="http://schemas.openxmlformats.org/officeDocument/2006/relationships/hyperlink" Target="https://doi.org/10.1086/705555" TargetMode="External"/><Relationship Id="rIdurooc4h-touxagxtdkue3" Type="http://schemas.openxmlformats.org/officeDocument/2006/relationships/hyperlink" Target="https://doi.org/10.3982/ECTA15847" TargetMode="External"/><Relationship Id="rIdv3mipspcyv3_mwixoowtk" Type="http://schemas.openxmlformats.org/officeDocument/2006/relationships/hyperlink" Target="https://doi.org/10.1257/aer.20181151" TargetMode="External"/><Relationship Id="rIdjlpl2pr2nfesvtf4sqbfm" Type="http://schemas.openxmlformats.org/officeDocument/2006/relationships/hyperlink" Target="https://doi.org/10.1111/rssb.12398" TargetMode="External"/><Relationship Id="rIdno2dvsnnmtqvoyhnpauty" Type="http://schemas.openxmlformats.org/officeDocument/2006/relationships/hyperlink" Target="https://doi.org/10.1109/TAC.2024.3424345" TargetMode="External"/><Relationship Id="rId11" Type="http://schemas.openxmlformats.org/officeDocument/2006/relationships/image" Target="media/10e76a4973f23369f7e67931c65ed71a8d474362.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Deciding decisively under deep uncertainty: twenty papers from Oxford, Caltech, MIT and ETH Zürich</dc:title>
  <dc:subject>Literature review: decisions under ambiguity and deep uncertainty, robust optimisation, stopping and value of information, and group decisions with disagreeing stakeholders, 2020–2026</dc:subject>
  <dc:creator>D. Zeqiraj</dc:creator>
  <dc:description>How decision makers and stakeholders choose when probabilities are ambiguous or disputed and models misspecified, and still commit to one choice (2020–2026). With a theoretical introduction and VENDIMI-GO (vendimi: the decision), a tested rule that turns the dispute of the Fushë-Kuqe stakeholders into one committed choice of pumping and managed recharge</dc:description>
  <cp:lastModifiedBy>D. Zeqiraj</cp:lastModifiedBy>
  <cp:revision>1</cp:revision>
  <dcterms:created xsi:type="dcterms:W3CDTF">2026-10-26T20:41:40.126Z</dcterms:created>
  <dcterms:modified xsi:type="dcterms:W3CDTF">2026-10-26T20:41:40.126Z</dcterms:modified>
</cp:coreProperties>
</file>

<file path=docProps/custom.xml><?xml version="1.0" encoding="utf-8"?>
<Properties xmlns="http://schemas.openxmlformats.org/officeDocument/2006/custom-properties" xmlns:vt="http://schemas.openxmlformats.org/officeDocument/2006/docPropsVTypes"/>
</file>