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RESEARCH NOTE · TESTED INNOVATION</w:t>
      </w:r>
    </w:p>
    <w:p>
      <w:pPr>
        <w:pBdr>
          <w:bottom w:val="single" w:color="1F3864" w:sz="12" w:space="8"/>
        </w:pBdr>
        <w:spacing w:after="240"/>
      </w:pPr>
      <w:r>
        <w:rPr>
          <w:b/>
          <w:bCs/>
          <w:color w:val="1F3864"/>
          <w:sz w:val="52"/>
          <w:szCs w:val="52"/>
        </w:rPr>
        <w:t xml:space="preserve">PRAG-GO on the Henry problem</w:t>
      </w:r>
    </w:p>
    <w:p>
      <w:pPr>
        <w:spacing w:after="360"/>
      </w:pPr>
      <w:r>
        <w:rPr>
          <w:color w:val="3A4350"/>
          <w:sz w:val="26"/>
          <w:szCs w:val="26"/>
        </w:rPr>
        <w:t xml:space="preserve">Design oriented to the risk of exceeding a salinity threshold, tested with the variable-density solver of the SWI-Goal-OED project</w:t>
      </w:r>
    </w:p>
    <w:p>
      <w:pPr>
        <w:spacing w:after="360"/>
      </w:pPr>
      <w:r>
        <w:rPr>
          <w:b/>
          <w:bCs/>
          <w:color w:val="92400E"/>
          <w:sz w:val="22"/>
          <w:szCs w:val="22"/>
        </w:rPr>
        <w:t xml:space="preserve">Henry 41 × 21 · 14,000 solves per prior · 4,960 designs · exact EIG without linearization</w:t>
      </w:r>
    </w:p>
    <w:p>
      <w:pPr>
        <w:pBdr>
          <w:left w:val="single" w:color="1F3864" w:sz="24" w:space="6"/>
        </w:pBdr>
        <w:shd w:fill="EEF3FA" w:color="auto" w:val="clear"/>
        <w:spacing w:after="220" w:before="120" w:line="276" w:lineRule="auto"/>
        <w:ind w:left="140" w:right="60"/>
        <w:jc w:val="both"/>
      </w:pPr>
      <w:r>
        <w:rPr>
          <w:b/>
          <w:bCs/>
          <w:color w:val="1F3864"/>
        </w:rPr>
        <w:t xml:space="preserve">SUMMARY  </w:t>
      </w:r>
      <w:r>
        <w:rPr>
          <w:b/>
          <w:bCs/>
        </w:rPr>
        <w:t xml:space="preserve">Question:</w:t>
      </w:r>
      <w:r>
        <w:t xml:space="preserve"> does the optimal monitoring design change when the goal is not the salt mass but the exceedance of the 1% threshold at the supply wells? </w:t>
      </w:r>
      <w:r>
        <w:rPr>
          <w:b/>
          <w:bCs/>
        </w:rPr>
        <w:t xml:space="preserve">Method:</w:t>
      </w:r>
      <w:r>
        <w:t xml:space="preserve"> the Henry problem with the project solver (toe at 1.3918 m reproduced exactly), 12,000 realizations per prior, 4,960 designs with 3 wells and the exact EIG without linearization. </w:t>
      </w:r>
      <w:r>
        <w:rPr>
          <w:b/>
          <w:bCs/>
        </w:rPr>
        <w:t xml:space="preserve">Result:</w:t>
      </w:r>
      <w:r>
        <w:t xml:space="preserve"> the salt-mass design reaches 80.4% (risk at A) and 84.4% (risk at A or B) of the optimum under the Gaussian prior, and 75.5% under local heterogeneity; PRAG-GO with adjoint reaches 100.0%, 99.6% and 99.8%. Theorem 1 survives the nonlinearity: the design for the concentration at A reaches 98.5%–99.4% of the optimum for the risk at A.</w:t>
      </w:r>
    </w:p>
    <w:p>
      <w:pPr>
        <w:spacing w:after="80" w:before="240"/>
      </w:pPr>
      <w:r>
        <w:rPr>
          <w:b/>
          <w:bCs/>
          <w:color w:val="1F3864"/>
        </w:rPr>
        <w:t xml:space="preserve">Contents</w:t>
      </w:r>
    </w:p>
    <w:p>
      <w:pPr>
        <w:pStyle w:val="ListParagraph"/>
        <w:numPr>
          <w:ilvl w:val="0"/>
          <w:numId w:val="2"/>
        </w:numPr>
        <w:spacing w:after="60"/>
        <w:jc w:val="both"/>
      </w:pPr>
      <w:r>
        <w:rPr>
          <w:b/>
          <w:bCs/>
        </w:rPr>
        <w:t xml:space="preserve">The model:</w:t>
      </w:r>
      <w:r>
        <w:t xml:space="preserve"> the port of the project solver and its check against the README numbers.</w:t>
      </w:r>
    </w:p>
    <w:p>
      <w:pPr>
        <w:pStyle w:val="ListParagraph"/>
        <w:numPr>
          <w:ilvl w:val="0"/>
          <w:numId w:val="2"/>
        </w:numPr>
        <w:spacing w:after="60"/>
        <w:jc w:val="both"/>
      </w:pPr>
      <w:r>
        <w:rPr>
          <w:b/>
          <w:bCs/>
        </w:rPr>
        <w:t xml:space="preserve">The experiment:</w:t>
      </w:r>
      <w:r>
        <w:t xml:space="preserve"> the prior, the two supply wells, the 32 candidates and the exact EIG estimator.</w:t>
      </w:r>
    </w:p>
    <w:p>
      <w:pPr>
        <w:pStyle w:val="ListParagraph"/>
        <w:numPr>
          <w:ilvl w:val="0"/>
          <w:numId w:val="2"/>
        </w:numPr>
        <w:spacing w:after="60"/>
        <w:jc w:val="both"/>
      </w:pPr>
      <w:r>
        <w:rPr>
          <w:b/>
          <w:bCs/>
        </w:rPr>
        <w:t xml:space="preserve">Results:</w:t>
      </w:r>
      <w:r>
        <w:t xml:space="preserve"> three priors, five criteria and the convergence check, with figures.</w:t>
      </w:r>
    </w:p>
    <w:p>
      <w:pPr>
        <w:pStyle w:val="ListParagraph"/>
        <w:numPr>
          <w:ilvl w:val="0"/>
          <w:numId w:val="2"/>
        </w:numPr>
        <w:spacing w:after="60"/>
        <w:jc w:val="both"/>
      </w:pPr>
      <w:r>
        <w:rPr>
          <w:b/>
          <w:bCs/>
        </w:rPr>
        <w:t xml:space="preserve">Lessons and next steps</w:t>
      </w:r>
      <w:r>
        <w:t xml:space="preserve"> for Fushë-Kuqe.</w:t>
      </w:r>
    </w:p>
    <w:p>
      <w:pPr>
        <w:spacing w:before="600"/>
      </w:pPr>
      <w:r>
        <w:rPr>
          <w:color w:val="5B6573"/>
          <w:sz w:val="20"/>
          <w:szCs w:val="20"/>
        </w:rPr>
        <w:t xml:space="preserve">Date: October 12, 2026  ·  Continuation of the PRAG-GO proposal of Document 15</w:t>
      </w:r>
    </w:p>
    <w:p>
      <w:pPr>
        <w:pStyle w:val="Heading1"/>
        <w:pageBreakBefore/>
      </w:pPr>
      <w:r>
        <w:rPr>
          <w:color w:val="1F3864"/>
        </w:rPr>
        <w:t xml:space="preserve">1. The question and the short answer</w:t>
      </w:r>
    </w:p>
    <w:p>
      <w:pPr>
        <w:spacing w:after="120"/>
        <w:jc w:val="both"/>
      </w:pPr>
      <w:r>
        <w:t xml:space="preserve">Document 15 proposed PRAG-GO: the monitoring-network design that maximizes the information about the exceedance of a salinity threshold, </w:t>
      </w:r>
      <m:oMath>
        <m:r>
          <m:t>q</m:t>
        </m:r>
        <m:r>
          <m:rPr>
            <m:sty m:val="p"/>
          </m:rPr>
          <m:t>=</m:t>
        </m:r>
        <m:r>
          <m:rPr>
            <m:sty m:val="p"/>
          </m:rPr>
          <m:t>I</m:t>
        </m:r>
        <m:d>
          <m:dPr>
            <m:begChr m:val="("/>
            <m:sepChr m:val=""/>
            <m:endChr m:val=")"/>
            <m:grow/>
          </m:dPr>
          <m:e>
            <m:sSub>
              <m:e>
                <m:r>
                  <m:rPr>
                    <m:sty m:val="p"/>
                  </m:rPr>
                  <m:t>max</m:t>
                </m:r>
              </m:e>
              <m:sub>
                <m:r>
                  <m:t>w</m:t>
                </m:r>
              </m:sub>
            </m:sSub>
            <m:sSub>
              <m:e>
                <m:r>
                  <m:t>c</m:t>
                </m:r>
              </m:e>
              <m:sub>
                <m:r>
                  <m:t>w</m:t>
                </m:r>
              </m:sub>
            </m:sSub>
            <m:r>
              <m:rPr>
                <m:sty m:val="p"/>
              </m:rPr>
              <m:t>&gt;</m:t>
            </m:r>
            <m:r>
              <m:t>τ</m:t>
            </m:r>
          </m:e>
        </m:d>
      </m:oMath>
      <w:r>
        <w:t xml:space="preserve">, instead of the information about an average quantity such as the salt mass. Two theorems were proved there in the linear-Gaussian model: for a scalar goal, the risk and the mean have the same optimal design (Theorem 1), whereas for the risk over several zones the designs can differ (Theorem 2). This document takes the proposal to the Henry problem with the project's variable-density solver, where the model is not linear and the salinity is not Gaussian. There are three questions:</w:t>
      </w:r>
    </w:p>
    <w:p>
      <w:pPr>
        <w:pStyle w:val="ListParagraph"/>
        <w:numPr>
          <w:ilvl w:val="0"/>
          <w:numId w:val="3"/>
        </w:numPr>
        <w:spacing w:after="60"/>
        <w:jc w:val="both"/>
      </w:pPr>
      <w:r>
        <w:rPr>
          <w:b/>
          <w:bCs/>
        </w:rPr>
        <w:t xml:space="preserve">How much does the project's current design lose</w:t>
      </w:r>
      <w:r>
        <w:t xml:space="preserve">, optimized for the salt mass, when the true goal is the risk at the supply wells?</w:t>
      </w:r>
    </w:p>
    <w:p>
      <w:pPr>
        <w:pStyle w:val="ListParagraph"/>
        <w:numPr>
          <w:ilvl w:val="0"/>
          <w:numId w:val="3"/>
        </w:numPr>
        <w:spacing w:after="60"/>
        <w:jc w:val="both"/>
      </w:pPr>
      <w:r>
        <w:rPr>
          <w:b/>
          <w:bCs/>
        </w:rPr>
        <w:t xml:space="preserve">Does Theorem 1 survive</w:t>
      </w:r>
      <w:r>
        <w:t xml:space="preserve"> in the nonlinear model: does the design for the mean concentration at a well also find the design for the risk at the same well?</w:t>
      </w:r>
    </w:p>
    <w:p>
      <w:pPr>
        <w:pStyle w:val="ListParagraph"/>
        <w:numPr>
          <w:ilvl w:val="0"/>
          <w:numId w:val="3"/>
        </w:numPr>
        <w:spacing w:after="60"/>
        <w:jc w:val="both"/>
      </w:pPr>
      <w:r>
        <w:rPr>
          <w:b/>
          <w:bCs/>
        </w:rPr>
        <w:t xml:space="preserve">Does the closed-form PRAG-GO formula</w:t>
      </w:r>
      <w:r>
        <w:t xml:space="preserve">, computed with the project's adjoint sensitivities, find the exact optimal design, evaluated without any linearization?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On the Henry problem, the current salt-mass design captures only 75.5%–84.4% of the optimal information about the risk at the supply wells when the heterogeneity is continuous, whereas the closed-form PRAG-GO formula, computed with the project's adjoint sensitivities, reaches 99.6%–100% of the exact optimum for the “A or B” risk under all three priors.</w:t>
      </w:r>
    </w:p>
    <w:p>
      <w:pPr>
        <w:spacing w:after="240"/>
      </w:pPr>
    </w:p>
    <w:p>
      <w:pPr>
        <w:pStyle w:val="Heading1"/>
      </w:pPr>
      <w:r>
        <w:rPr>
          <w:color w:val="1F3864"/>
        </w:rPr>
        <w:t xml:space="preserve">2. The model: the Henry problem with the project solver</w:t>
      </w:r>
    </w:p>
    <w:p>
      <w:pPr>
        <w:spacing w:after="120"/>
        <w:jc w:val="both"/>
      </w:pPr>
      <w:r>
        <w:t xml:space="preserve">We used the same discretization as the project's validated scripts (src/vd_residual.m and src/vd_solve_forward.m), ported to Python: cell-centered finite volumes, equivalent freshwater head </w:t>
      </w:r>
      <m:oMath>
        <m:r>
          <m:t>h</m:t>
        </m:r>
      </m:oMath>
      <w:r>
        <w:t xml:space="preserve"> and relative salinity </w:t>
      </w:r>
      <m:oMath>
        <m:r>
          <m:t>c</m:t>
        </m:r>
      </m:oMath>
      <w:r>
        <w:t xml:space="preserve">, harmonic mean of the conductivity on the faces, and first-order upwind advection. With </w:t>
      </w:r>
      <m:oMath>
        <m:r>
          <m:t>K</m:t>
        </m:r>
        <m:r>
          <m:rPr>
            <m:sty m:val="p"/>
          </m:rPr>
          <m:t>=</m:t>
        </m:r>
        <m:sSub>
          <m:e>
            <m:r>
              <m:t>K</m:t>
            </m:r>
          </m:e>
          <m:sub>
            <m:r>
              <m:rPr>
                <m:sty m:val="p"/>
              </m:rPr>
              <m:t>r</m:t>
            </m:r>
            <m:r>
              <m:rPr>
                <m:sty m:val="p"/>
              </m:rPr>
              <m:t>e</m:t>
            </m:r>
            <m:r>
              <m:rPr>
                <m:sty m:val="p"/>
              </m:rPr>
              <m:t>f</m:t>
            </m:r>
          </m:sub>
        </m:sSub>
        <m:sSup>
          <m:e>
            <m:r>
              <m:t>e</m:t>
            </m:r>
          </m:e>
          <m:sup>
            <m:r>
              <m:t>θ</m:t>
            </m:r>
          </m:sup>
        </m:sSup>
      </m:oMath>
      <w:r>
        <w:t xml:space="preserve"> for each cell, the coupled system solved by Newton's method is:</w:t>
      </w:r>
    </w:p>
    <w:p>
      <w:pPr>
        <w:pStyle w:val="Equation"/>
      </w:pPr>
      <m:oMathPara>
        <m:oMathParaPr>
          <m:jc m:val="center"/>
        </m:oMathParaPr>
        <m:oMath>
          <m:r>
            <m:rPr>
              <m:sty m:val="p"/>
            </m:rPr>
            <m:t>∇</m:t>
          </m:r>
          <m:r>
            <m:rPr>
              <m:sty m:val="p"/>
            </m:rPr>
            <m:t>⋅</m:t>
          </m:r>
          <m:d>
            <m:dPr>
              <m:begChr m:val="("/>
              <m:sepChr m:val=""/>
              <m:endChr m:val=")"/>
              <m:grow/>
            </m:dPr>
            <m:e>
              <m:r>
                <m:t>K</m:t>
              </m:r>
              <m:d>
                <m:dPr>
                  <m:begChr m:val="("/>
                  <m:sepChr m:val=""/>
                  <m:endChr m:val=")"/>
                  <m:grow/>
                </m:dPr>
                <m:e>
                  <m:r>
                    <m:rPr>
                      <m:sty m:val="p"/>
                    </m:rPr>
                    <m:t>∇</m:t>
                  </m:r>
                  <m:r>
                    <m:t>h</m:t>
                  </m:r>
                  <m:r>
                    <m:rPr>
                      <m:sty m:val="p"/>
                    </m:rPr>
                    <m:t>+</m:t>
                  </m:r>
                  <m:r>
                    <m:t>ε</m:t>
                  </m:r>
                  <m:r>
                    <m:t>c</m:t>
                  </m:r>
                  <m:r>
                    <m:t> </m:t>
                  </m:r>
                  <m:sSub>
                    <m:e>
                      <m:r>
                        <m:t>e</m:t>
                      </m:r>
                    </m:e>
                    <m:sub>
                      <m:r>
                        <m:t>z</m:t>
                      </m:r>
                    </m:sub>
                  </m:sSub>
                </m:e>
              </m:d>
            </m:e>
          </m:d>
          <m:r>
            <m:rPr>
              <m:sty m:val="p"/>
            </m:rPr>
            <m:t>=</m:t>
          </m:r>
          <m:r>
            <m:t>0</m:t>
          </m:r>
          <m:r>
            <m:rPr>
              <m:sty m:val="p"/>
            </m:rPr>
            <m:t>,</m:t>
          </m:r>
          <m:r>
            <m:t>  </m:t>
          </m:r>
          <m:r>
            <m:rPr>
              <m:sty m:val="p"/>
            </m:rPr>
            <m:t>∇</m:t>
          </m:r>
          <m:r>
            <m:rPr>
              <m:sty m:val="p"/>
            </m:rPr>
            <m:t>⋅</m:t>
          </m:r>
          <m:d>
            <m:dPr>
              <m:begChr m:val="("/>
              <m:sepChr m:val=""/>
              <m:endChr m:val=")"/>
              <m:grow/>
            </m:dPr>
            <m:e>
              <m:r>
                <m:t>q</m:t>
              </m:r>
              <m:r>
                <m:t>c</m:t>
              </m:r>
            </m:e>
          </m:d>
          <m:r>
            <m:rPr>
              <m:sty m:val="p"/>
            </m:rPr>
            <m:t>−</m:t>
          </m:r>
          <m:r>
            <m:rPr>
              <m:sty m:val="p"/>
            </m:rPr>
            <m:t>∇</m:t>
          </m:r>
          <m:r>
            <m:rPr>
              <m:sty m:val="p"/>
            </m:rPr>
            <m:t>⋅</m:t>
          </m:r>
          <m:d>
            <m:dPr>
              <m:begChr m:val="("/>
              <m:sepChr m:val=""/>
              <m:endChr m:val=")"/>
              <m:grow/>
            </m:dPr>
            <m:e>
              <m:r>
                <m:t>ϕ</m:t>
              </m:r>
              <m:r>
                <m:t>D</m:t>
              </m:r>
              <m:r>
                <m:rPr>
                  <m:sty m:val="p"/>
                </m:rPr>
                <m:t>∇</m:t>
              </m:r>
              <m:r>
                <m:t>c</m:t>
              </m:r>
            </m:e>
          </m:d>
          <m:r>
            <m:rPr>
              <m:sty m:val="p"/>
            </m:rPr>
            <m:t>=</m:t>
          </m:r>
          <m:r>
            <m:t>0</m:t>
          </m:r>
          <m:r>
            <m:rPr>
              <m:sty m:val="p"/>
            </m:rPr>
            <m:t>,</m:t>
          </m:r>
          <m:r>
            <m:t>  </m:t>
          </m:r>
          <m:r>
            <m:t>q</m:t>
          </m:r>
          <m:r>
            <m:rPr>
              <m:sty m:val="p"/>
            </m:rPr>
            <m:t>=</m:t>
          </m:r>
          <m:r>
            <m:rPr>
              <m:sty m:val="p"/>
            </m:rPr>
            <m:t>−</m:t>
          </m:r>
          <m:r>
            <m:t>K</m:t>
          </m:r>
          <m:d>
            <m:dPr>
              <m:begChr m:val="("/>
              <m:sepChr m:val=""/>
              <m:endChr m:val=")"/>
              <m:grow/>
            </m:dPr>
            <m:e>
              <m:r>
                <m:rPr>
                  <m:sty m:val="p"/>
                </m:rPr>
                <m:t>∇</m:t>
              </m:r>
              <m:r>
                <m:t>h</m:t>
              </m:r>
              <m:r>
                <m:rPr>
                  <m:sty m:val="p"/>
                </m:rPr>
                <m:t>+</m:t>
              </m:r>
              <m:r>
                <m:t>ε</m:t>
              </m:r>
              <m:r>
                <m:t>c</m:t>
              </m:r>
              <m:r>
                <m:t> </m:t>
              </m:r>
              <m:sSub>
                <m:e>
                  <m:r>
                    <m:t>e</m:t>
                  </m:r>
                </m:e>
                <m:sub>
                  <m:r>
                    <m:t>z</m:t>
                  </m:r>
                </m:sub>
              </m:sSub>
            </m:e>
          </m:d>
        </m:oMath>
      </m:oMathPara>
    </w:p>
    <w:p>
      <w:pPr>
        <w:spacing w:after="120"/>
        <w:jc w:val="both"/>
      </w:pPr>
      <w:r>
        <w:t xml:space="preserve">with </w:t>
      </w:r>
      <m:oMath>
        <m:r>
          <m:t>ε</m:t>
        </m:r>
        <m:r>
          <m:rPr>
            <m:sty m:val="p"/>
          </m:rPr>
          <m:t>=</m:t>
        </m:r>
        <m:r>
          <m:t>0.025</m:t>
        </m:r>
      </m:oMath>
      <w:r>
        <w:t xml:space="preserve">, </w:t>
      </w:r>
      <m:oMath>
        <m:r>
          <m:t>ϕ</m:t>
        </m:r>
        <m:r>
          <m:rPr>
            <m:sty m:val="p"/>
          </m:rPr>
          <m:t>=</m:t>
        </m:r>
        <m:r>
          <m:t>0.35</m:t>
        </m:r>
      </m:oMath>
      <w:r>
        <w:t xml:space="preserve">, </w:t>
      </w:r>
      <m:oMath>
        <m:r>
          <m:t>ϕ</m:t>
        </m:r>
        <m:r>
          <m:t>D</m:t>
        </m:r>
        <m:r>
          <m:rPr>
            <m:sty m:val="p"/>
          </m:rPr>
          <m:t>=</m:t>
        </m:r>
        <m:r>
          <m:t>6.6</m:t>
        </m:r>
        <m:r>
          <m:rPr>
            <m:sty m:val="p"/>
          </m:rPr>
          <m:t>⋅</m:t>
        </m:r>
        <m:sSup>
          <m:e>
            <m:r>
              <m:t>10</m:t>
            </m:r>
          </m:e>
          <m:sup>
            <m:r>
              <m:rPr>
                <m:sty m:val="p"/>
              </m:rPr>
              <m:t>−</m:t>
            </m:r>
            <m:r>
              <m:t>6</m:t>
            </m:r>
          </m:sup>
        </m:sSup>
      </m:oMath>
      <w:r>
        <w:t xml:space="preserve"> m²/s (the corrected Henry value), a freshwater inflow of </w:t>
      </w:r>
      <m:oMath>
        <m:r>
          <m:t>6.6</m:t>
        </m:r>
        <m:r>
          <m:rPr>
            <m:sty m:val="p"/>
          </m:rPr>
          <m:t>⋅</m:t>
        </m:r>
        <m:sSup>
          <m:e>
            <m:r>
              <m:t>10</m:t>
            </m:r>
          </m:e>
          <m:sup>
            <m:r>
              <m:rPr>
                <m:sty m:val="p"/>
              </m:rPr>
              <m:t>−</m:t>
            </m:r>
            <m:r>
              <m:t>5</m:t>
            </m:r>
          </m:sup>
        </m:sSup>
      </m:oMath>
      <w:r>
        <w:t xml:space="preserve"> m²/s on the left boundary and a hydrostatic sea on the right. The Jacobian is computed by finite differences with column coloring (10 residual evaluations instead of 1,722), so one 41 × 21 solve takes about 0.05 s. The port exactly reproduces the numbers in the project README: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2546"/>
        <w:gridCol w:w="2546"/>
        <w:gridCol w:w="2546"/>
      </w:tblGrid>
      <w:tr>
        <w:trPr>
          <w:cantSplit/>
          <w:tblHeader/>
        </w:trPr>
        <w:tc>
          <w:tcPr>
            <w:tcW w:type="dxa" w:w="2000"/>
            <w:shd w:fill="1F3864" w:color="auto" w:val="clear"/>
            <w:tcMar>
              <w:top w:type="dxa" w:w="60"/>
              <w:left w:type="dxa" w:w="100"/>
              <w:bottom w:type="dxa" w:w="60"/>
              <w:right w:type="dxa" w:w="100"/>
            </w:tcMar>
            <w:vAlign w:val="top"/>
          </w:tcPr>
          <w:p>
            <w:r>
              <w:rPr>
                <w:b/>
                <w:bCs/>
                <w:color w:val="FFFFFF"/>
                <w:sz w:val="17"/>
                <w:szCs w:val="17"/>
              </w:rPr>
              <w:t xml:space="preserve">Grid</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Wedge toe (Python)</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Wedge toe (project)</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Residual |F|</w:t>
            </w:r>
          </w:p>
        </w:tc>
      </w:tr>
      <w:tr>
        <w:trPr>
          <w:cantSplit/>
        </w:trPr>
        <w:tc>
          <w:tcPr>
            <w:tcW w:type="dxa" w:w="2000"/>
            <w:tcMar>
              <w:top w:type="dxa" w:w="60"/>
              <w:left w:type="dxa" w:w="100"/>
              <w:bottom w:type="dxa" w:w="60"/>
              <w:right w:type="dxa" w:w="100"/>
            </w:tcMar>
            <w:vAlign w:val="top"/>
          </w:tcPr>
          <w:p>
            <w:r>
              <w:rPr>
                <w:sz w:val="17"/>
                <w:szCs w:val="17"/>
              </w:rPr>
              <w:t xml:space="preserve">16 × 8</w:t>
            </w:r>
          </w:p>
        </w:tc>
        <w:tc>
          <w:tcPr>
            <w:tcW w:type="dxa" w:w="2546"/>
            <w:tcMar>
              <w:top w:type="dxa" w:w="60"/>
              <w:left w:type="dxa" w:w="100"/>
              <w:bottom w:type="dxa" w:w="60"/>
              <w:right w:type="dxa" w:w="100"/>
            </w:tcMar>
            <w:vAlign w:val="top"/>
          </w:tcPr>
          <w:p>
            <w:r>
              <w:rPr>
                <w:sz w:val="17"/>
                <w:szCs w:val="17"/>
              </w:rPr>
              <w:t xml:space="preserve">1.4226 m</w:t>
            </w:r>
          </w:p>
        </w:tc>
        <w:tc>
          <w:tcPr>
            <w:tcW w:type="dxa" w:w="2546"/>
            <w:tcMar>
              <w:top w:type="dxa" w:w="60"/>
              <w:left w:type="dxa" w:w="100"/>
              <w:bottom w:type="dxa" w:w="60"/>
              <w:right w:type="dxa" w:w="100"/>
            </w:tcMar>
            <w:vAlign w:val="top"/>
          </w:tcPr>
          <w:p>
            <w:r>
              <w:rPr>
                <w:sz w:val="17"/>
                <w:szCs w:val="17"/>
              </w:rPr>
              <w:t xml:space="preserve">1.4226 m</w:t>
            </w:r>
          </w:p>
        </w:tc>
        <w:tc>
          <w:tcPr>
            <w:tcW w:type="dxa" w:w="2546"/>
            <w:tcMar>
              <w:top w:type="dxa" w:w="60"/>
              <w:left w:type="dxa" w:w="100"/>
              <w:bottom w:type="dxa" w:w="60"/>
              <w:right w:type="dxa" w:w="100"/>
            </w:tcMar>
            <w:vAlign w:val="top"/>
          </w:tcPr>
          <w:p>
            <w:r>
              <w:rPr>
                <w:sz w:val="17"/>
                <w:szCs w:val="17"/>
              </w:rPr>
              <w:t xml:space="preserve">3.2·10⁻¹⁷</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32 × 16</w:t>
            </w:r>
          </w:p>
        </w:tc>
        <w:tc>
          <w:tcPr>
            <w:tcW w:type="dxa" w:w="2546"/>
            <w:shd w:fill="F7F9FC" w:color="auto" w:val="clear"/>
            <w:tcMar>
              <w:top w:type="dxa" w:w="60"/>
              <w:left w:type="dxa" w:w="100"/>
              <w:bottom w:type="dxa" w:w="60"/>
              <w:right w:type="dxa" w:w="100"/>
            </w:tcMar>
            <w:vAlign w:val="top"/>
          </w:tcPr>
          <w:p>
            <w:r>
              <w:rPr>
                <w:sz w:val="17"/>
                <w:szCs w:val="17"/>
              </w:rPr>
              <w:t xml:space="preserve">1.3971 m</w:t>
            </w:r>
          </w:p>
        </w:tc>
        <w:tc>
          <w:tcPr>
            <w:tcW w:type="dxa" w:w="2546"/>
            <w:shd w:fill="F7F9FC" w:color="auto" w:val="clear"/>
            <w:tcMar>
              <w:top w:type="dxa" w:w="60"/>
              <w:left w:type="dxa" w:w="100"/>
              <w:bottom w:type="dxa" w:w="60"/>
              <w:right w:type="dxa" w:w="100"/>
            </w:tcMar>
            <w:vAlign w:val="top"/>
          </w:tcPr>
          <w:p>
            <w:r>
              <w:rPr>
                <w:sz w:val="17"/>
                <w:szCs w:val="17"/>
              </w:rPr>
              <w:t xml:space="preserve">1.3971 m</w:t>
            </w:r>
          </w:p>
        </w:tc>
        <w:tc>
          <w:tcPr>
            <w:tcW w:type="dxa" w:w="2546"/>
            <w:shd w:fill="F7F9FC" w:color="auto" w:val="clear"/>
            <w:tcMar>
              <w:top w:type="dxa" w:w="60"/>
              <w:left w:type="dxa" w:w="100"/>
              <w:bottom w:type="dxa" w:w="60"/>
              <w:right w:type="dxa" w:w="100"/>
            </w:tcMar>
            <w:vAlign w:val="top"/>
          </w:tcPr>
          <w:p>
            <w:r>
              <w:rPr>
                <w:sz w:val="17"/>
                <w:szCs w:val="17"/>
              </w:rPr>
              <w:t xml:space="preserve">2.3·10⁻¹⁶</w:t>
            </w:r>
          </w:p>
        </w:tc>
      </w:tr>
      <w:tr>
        <w:trPr>
          <w:cantSplit/>
        </w:trPr>
        <w:tc>
          <w:tcPr>
            <w:tcW w:type="dxa" w:w="2000"/>
            <w:tcMar>
              <w:top w:type="dxa" w:w="60"/>
              <w:left w:type="dxa" w:w="100"/>
              <w:bottom w:type="dxa" w:w="60"/>
              <w:right w:type="dxa" w:w="100"/>
            </w:tcMar>
            <w:vAlign w:val="top"/>
          </w:tcPr>
          <w:p>
            <w:r>
              <w:rPr>
                <w:sz w:val="17"/>
                <w:szCs w:val="17"/>
              </w:rPr>
              <w:t xml:space="preserve">41 × 21</w:t>
            </w:r>
          </w:p>
        </w:tc>
        <w:tc>
          <w:tcPr>
            <w:tcW w:type="dxa" w:w="2546"/>
            <w:tcMar>
              <w:top w:type="dxa" w:w="60"/>
              <w:left w:type="dxa" w:w="100"/>
              <w:bottom w:type="dxa" w:w="60"/>
              <w:right w:type="dxa" w:w="100"/>
            </w:tcMar>
            <w:vAlign w:val="top"/>
          </w:tcPr>
          <w:p>
            <w:r>
              <w:rPr>
                <w:sz w:val="17"/>
                <w:szCs w:val="17"/>
              </w:rPr>
              <w:t xml:space="preserve">1.3918 m</w:t>
            </w:r>
          </w:p>
        </w:tc>
        <w:tc>
          <w:tcPr>
            <w:tcW w:type="dxa" w:w="2546"/>
            <w:tcMar>
              <w:top w:type="dxa" w:w="60"/>
              <w:left w:type="dxa" w:w="100"/>
              <w:bottom w:type="dxa" w:w="60"/>
              <w:right w:type="dxa" w:w="100"/>
            </w:tcMar>
            <w:vAlign w:val="top"/>
          </w:tcPr>
          <w:p>
            <w:r>
              <w:rPr>
                <w:sz w:val="17"/>
                <w:szCs w:val="17"/>
              </w:rPr>
              <w:t xml:space="preserve">1.3918 m</w:t>
            </w:r>
          </w:p>
        </w:tc>
        <w:tc>
          <w:tcPr>
            <w:tcW w:type="dxa" w:w="2546"/>
            <w:tcMar>
              <w:top w:type="dxa" w:w="60"/>
              <w:left w:type="dxa" w:w="100"/>
              <w:bottom w:type="dxa" w:w="60"/>
              <w:right w:type="dxa" w:w="100"/>
            </w:tcMar>
            <w:vAlign w:val="top"/>
          </w:tcPr>
          <w:p>
            <w:r>
              <w:rPr>
                <w:sz w:val="17"/>
                <w:szCs w:val="17"/>
              </w:rPr>
              <w:t xml:space="preserve">3.5·10⁻¹⁴ (project: 3.5·10⁻¹⁴)</w:t>
            </w:r>
          </w:p>
        </w:tc>
      </w:tr>
    </w:tbl>
    <w:p>
      <w:pPr>
        <w:spacing w:after="160"/>
      </w:pPr>
    </w:p>
    <w:p>
      <w:pPr>
        <w:spacing w:after="120"/>
        <w:jc w:val="both"/>
      </w:pPr>
      <w:r>
        <w:t xml:space="preserve">The adjoint sensitivities of the goals were checked with central differences along a random direction: the relative error was </w:t>
      </w:r>
      <m:oMath>
        <m:r>
          <m:t>1.6</m:t>
        </m:r>
        <m:r>
          <m:rPr>
            <m:sty m:val="p"/>
          </m:rPr>
          <m:t>⋅</m:t>
        </m:r>
        <m:sSup>
          <m:e>
            <m:r>
              <m:t>10</m:t>
            </m:r>
          </m:e>
          <m:sup>
            <m:r>
              <m:rPr>
                <m:sty m:val="p"/>
              </m:rPr>
              <m:t>−</m:t>
            </m:r>
            <m:r>
              <m:t>4</m:t>
            </m:r>
          </m:sup>
        </m:sSup>
      </m:oMath>
      <w:r>
        <w:t xml:space="preserve">, as expected for a residual with upwind advection that is not differentiable everywhere.</w:t>
      </w:r>
    </w:p>
    <w:p>
      <w:pPr>
        <w:spacing w:after="240"/>
      </w:pPr>
    </w:p>
    <w:p>
      <w:pPr>
        <w:pStyle w:val="Heading1"/>
      </w:pPr>
      <w:r>
        <w:rPr>
          <w:color w:val="1F3864"/>
        </w:rPr>
        <w:t xml:space="preserve">3. The experiment: the prior, the wells and the criteria</w:t>
      </w:r>
    </w:p>
    <w:p>
      <w:pPr>
        <w:spacing w:after="120"/>
        <w:jc w:val="both"/>
      </w:pPr>
      <w:r>
        <w:rPr>
          <w:b/>
          <w:bCs/>
        </w:rPr>
        <w:t xml:space="preserve">The prior.</w:t>
      </w:r>
      <w:r>
        <w:t xml:space="preserve"> The log-conductivity of each cell is Gaussian with an exponential covariance, </w:t>
      </w:r>
      <m:oMath>
        <m:r>
          <m:t>σ</m:t>
        </m:r>
        <m:r>
          <m:rPr>
            <m:sty m:val="p"/>
          </m:rPr>
          <m:t>=</m:t>
        </m:r>
        <m:r>
          <m:t>0.5</m:t>
        </m:r>
      </m:oMath>
      <w:r>
        <w:t xml:space="preserve">, and correlation lengths of 0.5 m horizontally and 0.2 m vertically. Under this prior, the wedge toe has a mean of 1.36 m and a standard deviation of 0.18 m.</w:t>
      </w:r>
    </w:p>
    <w:p>
      <w:pPr>
        <w:spacing w:after="120"/>
        <w:jc w:val="both"/>
      </w:pPr>
      <w:r>
        <w:rPr>
          <w:b/>
          <w:bCs/>
        </w:rPr>
        <w:t xml:space="preserve">The goals.</w:t>
      </w:r>
      <w:r>
        <w:t xml:space="preserve"> Two inland supply wells: A at </w:t>
      </w:r>
      <m:oMath>
        <m:d>
          <m:dPr>
            <m:begChr m:val="("/>
            <m:sepChr m:val=""/>
            <m:endChr m:val=")"/>
            <m:grow/>
          </m:dPr>
          <m:e>
            <m:r>
              <m:t>0.61</m:t>
            </m:r>
            <m:r>
              <m:rPr>
                <m:sty m:val="p"/>
              </m:rPr>
              <m:t>,</m:t>
            </m:r>
            <m:r>
              <m:t> </m:t>
            </m:r>
            <m:r>
              <m:t>0.12</m:t>
            </m:r>
          </m:e>
        </m:d>
      </m:oMath>
      <w:r>
        <w:t xml:space="preserve"> m and B at </w:t>
      </w:r>
      <m:oMath>
        <m:d>
          <m:dPr>
            <m:begChr m:val="("/>
            <m:sepChr m:val=""/>
            <m:endChr m:val=")"/>
            <m:grow/>
          </m:dPr>
          <m:e>
            <m:r>
              <m:t>0.80</m:t>
            </m:r>
            <m:r>
              <m:rPr>
                <m:sty m:val="p"/>
              </m:rPr>
              <m:t>,</m:t>
            </m:r>
            <m:r>
              <m:t> </m:t>
            </m:r>
            <m:r>
              <m:t>0.60</m:t>
            </m:r>
          </m:e>
        </m:d>
      </m:oMath>
      <w:r>
        <w:t xml:space="preserve"> m. The threshold is </w:t>
      </w:r>
      <m:oMath>
        <m:r>
          <m:t>τ</m:t>
        </m:r>
        <m:r>
          <m:rPr>
            <m:sty m:val="p"/>
          </m:rPr>
          <m:t>=</m:t>
        </m:r>
        <m:r>
          <m:t>0.01</m:t>
        </m:r>
      </m:oMath>
      <w:r>
        <w:t xml:space="preserve">, i.e., 1% of seawater (about 190 mg/L chloride). The prior exceedance probability is 0.35 for A and 0.38 for “A or B”. For comparison we also keep the project's current goal, the salt mass in the window </w:t>
      </w:r>
      <m:oMath>
        <m:r>
          <m:t>1.0</m:t>
        </m:r>
        <m:r>
          <m:rPr>
            <m:sty m:val="p"/>
          </m:rPr>
          <m:t>&lt;</m:t>
        </m:r>
        <m:r>
          <m:t>x</m:t>
        </m:r>
        <m:r>
          <m:rPr>
            <m:sty m:val="p"/>
          </m:rPr>
          <m:t>&lt;</m:t>
        </m:r>
        <m:r>
          <m:t>1.6</m:t>
        </m:r>
      </m:oMath>
      <w:r>
        <w:t xml:space="preserve"> m.</w:t>
      </w:r>
    </w:p>
    <w:p>
      <w:pPr>
        <w:spacing w:after="120"/>
        <w:jc w:val="both"/>
      </w:pPr>
      <w:r>
        <w:rPr>
          <w:b/>
          <w:bCs/>
        </w:rPr>
        <w:t xml:space="preserve">Measurements and designs.</w:t>
      </w:r>
      <w:r>
        <w:t xml:space="preserve"> 32 candidate points (8 columns × 4 depths) measure salinity with noise </w:t>
      </w:r>
      <m:oMath>
        <m:sSub>
          <m:e>
            <m:r>
              <m:t>σ</m:t>
            </m:r>
          </m:e>
          <m:sub>
            <m:r>
              <m:t>ε</m:t>
            </m:r>
          </m:sub>
        </m:sSub>
        <m:r>
          <m:rPr>
            <m:sty m:val="p"/>
          </m:rPr>
          <m:t>=</m:t>
        </m:r>
        <m:r>
          <m:t>0.01</m:t>
        </m:r>
      </m:oMath>
      <w:r>
        <w:t xml:space="preserve">; each design selects 3 points, giving 4,960 designs, all of which were evaluated.</w:t>
      </w:r>
    </w:p>
    <w:p>
      <w:pPr>
        <w:keepNext/>
        <w:spacing w:after="60" w:before="120"/>
        <w:jc w:val="center"/>
      </w:pPr>
      <w:r>
        <w:drawing>
          <wp:inline distT="0" distB="0" distL="0" distR="0">
            <wp:extent cx="5581650" cy="5410200"/>
            <wp:effectExtent t="0" r="0" b="0" l="0"/>
            <wp:docPr id="1" name="Experimental setup for the Henry problem" descr="Experimental setup for the Henry problem" title="Experimental setup for the Henry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410200"/>
                    </a:xfrm>
                    <a:prstGeom prst="rect">
                      <a:avLst/>
                    </a:prstGeom>
                  </pic:spPr>
                </pic:pic>
              </a:graphicData>
            </a:graphic>
          </wp:inline>
        </w:drawing>
      </w:r>
    </w:p>
    <w:p>
      <w:pPr>
        <w:spacing w:after="200"/>
        <w:jc w:val="both"/>
      </w:pPr>
      <w:r>
        <w:rPr>
          <w:b/>
          <w:bCs/>
          <w:color w:val="3A4350"/>
          <w:sz w:val="18"/>
          <w:szCs w:val="18"/>
        </w:rPr>
        <w:t xml:space="preserve">Figure 1.</w:t>
      </w:r>
      <w:r>
        <w:rPr>
          <w:color w:val="3A4350"/>
          <w:sz w:val="18"/>
          <w:szCs w:val="18"/>
        </w:rPr>
        <w:t xml:space="preserve"> (a) Relative salinity at the prior mean with the 1% (dashed line) and 50% (solid line) isochlors, the salt-mass window (dotted rectangle), the 32 candidate points (circles) and the supply wells A, B (triangles). (b) Prior probability that salinity exceeds 1%, from 1,000 realizations.</w:t>
      </w:r>
    </w:p>
    <w:p>
      <w:pPr>
        <w:spacing w:after="120"/>
        <w:jc w:val="both"/>
      </w:pPr>
      <w:r>
        <w:rPr>
          <w:b/>
          <w:bCs/>
        </w:rPr>
        <w:t xml:space="preserve">The exact EIG.</w:t>
      </w:r>
      <w:r>
        <w:t xml:space="preserve"> For a binary goal, the EIG is </w:t>
      </w:r>
      <m:oMath>
        <m:r>
          <m:rPr>
            <m:sty m:val="p"/>
          </m:rPr>
          <m:t>E</m:t>
        </m:r>
        <m:r>
          <m:rPr>
            <m:sty m:val="p"/>
          </m:rPr>
          <m:t>I</m:t>
        </m:r>
        <m:r>
          <m:rPr>
            <m:sty m:val="p"/>
          </m:rPr>
          <m:t>G</m:t>
        </m:r>
        <m:r>
          <m:rPr>
            <m:sty m:val="p"/>
          </m:rPr>
          <m:t>=</m:t>
        </m:r>
        <m:r>
          <m:t>h</m:t>
        </m:r>
        <m:d>
          <m:dPr>
            <m:begChr m:val="("/>
            <m:sepChr m:val=""/>
            <m:endChr m:val=")"/>
            <m:grow/>
          </m:dPr>
          <m:e>
            <m:sSub>
              <m:e>
                <m:r>
                  <m:t>p</m:t>
                </m:r>
              </m:e>
              <m:sub>
                <m:r>
                  <m:t>0</m:t>
                </m:r>
              </m:sub>
            </m:sSub>
          </m:e>
        </m:d>
        <m:r>
          <m:rPr>
            <m:sty m:val="p"/>
          </m:rPr>
          <m:t>−</m:t>
        </m:r>
        <m:sSub>
          <m:e>
            <m:r>
              <m:rPr>
                <m:scr m:val="double-struck"/>
                <m:sty m:val="p"/>
              </m:rPr>
              <m:t>E</m:t>
            </m:r>
          </m:e>
          <m:sub>
            <m:r>
              <m:t>y</m:t>
            </m:r>
          </m:sub>
        </m:sSub>
        <m:d>
          <m:dPr>
            <m:begChr m:val="["/>
            <m:sepChr m:val=""/>
            <m:endChr m:val="]"/>
            <m:grow/>
          </m:dPr>
          <m:e>
            <m:r>
              <m:t>h</m:t>
            </m:r>
            <m:d>
              <m:dPr>
                <m:begChr m:val="("/>
                <m:sepChr m:val=""/>
                <m:endChr m:val=")"/>
                <m:grow/>
              </m:dPr>
              <m:e>
                <m:r>
                  <m:t>P</m:t>
                </m:r>
                <m:d>
                  <m:dPr>
                    <m:begChr m:val="("/>
                    <m:sepChr m:val=""/>
                    <m:endChr m:val=")"/>
                    <m:grow/>
                  </m:dPr>
                  <m:e>
                    <m:r>
                      <m:t>q</m:t>
                    </m:r>
                    <m:r>
                      <m:rPr>
                        <m:sty m:val="p"/>
                      </m:rPr>
                      <m:t>=</m:t>
                    </m:r>
                    <m:r>
                      <m:t>1</m:t>
                    </m:r>
                    <m:r>
                      <m:rPr>
                        <m:sty m:val="p"/>
                      </m:rPr>
                      <m:t>∣</m:t>
                    </m:r>
                    <m:r>
                      <m:t>y</m:t>
                    </m:r>
                  </m:e>
                </m:d>
              </m:e>
            </m:d>
          </m:e>
        </m:d>
      </m:oMath>
      <w:r>
        <w:t xml:space="preserve">, with </w:t>
      </w:r>
      <m:oMath>
        <m:r>
          <m:t>h</m:t>
        </m:r>
      </m:oMath>
      <w:r>
        <w:t xml:space="preserve"> the binary entropy. We estimate it without any linearization, by reweighting an ensemble of 12,000 solutions of the Henry problem computed with the Python port of the project’s variable-density solver, with 2,000 outer synthetic data sets that are the same for all designs (common random numbers):</w:t>
      </w:r>
    </w:p>
    <w:p>
      <w:pPr>
        <w:pStyle w:val="Equation"/>
      </w:pPr>
      <m:oMathPara>
        <m:oMathParaPr>
          <m:jc m:val="center"/>
        </m:oMathParaPr>
        <m:oMath>
          <m:acc>
            <m:accPr>
              <m:chr m:val="̂"/>
            </m:accPr>
            <m:e>
              <m:r>
                <m:rPr>
                  <m:sty m:val="p"/>
                </m:rPr>
                <m:t>E</m:t>
              </m:r>
              <m:r>
                <m:rPr>
                  <m:sty m:val="p"/>
                </m:rPr>
                <m:t>I</m:t>
              </m:r>
              <m:r>
                <m:rPr>
                  <m:sty m:val="p"/>
                </m:rPr>
                <m:t>G</m:t>
              </m:r>
            </m:e>
          </m:acc>
          <m:d>
            <m:dPr>
              <m:begChr m:val="("/>
              <m:sepChr m:val=""/>
              <m:endChr m:val=")"/>
              <m:grow/>
            </m:dPr>
            <m:e>
              <m:r>
                <m:t>d</m:t>
              </m:r>
            </m:e>
          </m:d>
          <m:r>
            <m:rPr>
              <m:sty m:val="p"/>
            </m:rPr>
            <m:t>=</m:t>
          </m:r>
          <m:r>
            <m:t>h</m:t>
          </m:r>
          <m:d>
            <m:dPr>
              <m:begChr m:val="("/>
              <m:sepChr m:val=""/>
              <m:endChr m:val=")"/>
              <m:grow/>
            </m:dPr>
            <m:e>
              <m:bar>
                <m:barPr>
                  <m:pos m:val="top"/>
                </m:barPr>
                <m:e>
                  <m:r>
                    <m:t>q</m:t>
                  </m:r>
                </m:e>
              </m:ba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r>
                <m:t>h</m:t>
              </m:r>
            </m:e>
          </m:nary>
          <m:d>
            <m:dPr>
              <m:begChr m:val="("/>
              <m:sepChr m:val=""/>
              <m:endChr m:val=")"/>
              <m:grow/>
            </m:dPr>
            <m:e>
              <m:sSub>
                <m:e>
                  <m:acc>
                    <m:accPr>
                      <m:chr m:val="̂"/>
                    </m:accPr>
                    <m:e>
                      <m:r>
                        <m:t>p</m:t>
                      </m:r>
                    </m:e>
                  </m:acc>
                </m:e>
                <m:sub>
                  <m:r>
                    <m:t>j</m:t>
                  </m:r>
                </m:sub>
              </m:sSub>
            </m:e>
          </m:d>
          <m:r>
            <m:rPr>
              <m:sty m:val="p"/>
            </m:rPr>
            <m:t>,</m:t>
          </m:r>
          <m:r>
            <m:t>  </m:t>
          </m:r>
          <m:sSub>
            <m:e>
              <m:acc>
                <m:accPr>
                  <m:chr m:val="̂"/>
                </m:accPr>
                <m:e>
                  <m:r>
                    <m:t>p</m:t>
                  </m:r>
                </m:e>
              </m:acc>
            </m:e>
            <m:sub>
              <m:r>
                <m:t>j</m:t>
              </m:r>
            </m:sub>
          </m:sSub>
          <m:r>
            <m:rPr>
              <m:sty m:val="p"/>
            </m:rPr>
            <m:t>=</m:t>
          </m:r>
          <m:f>
            <m:fPr>
              <m:type m:val="bar"/>
            </m:fPr>
            <m:num>
              <m:nary>
                <m:naryPr>
                  <m:chr m:val="∑"/>
                  <m:limLoc m:val="undOvr"/>
                  <m:subHide m:val="off"/>
                  <m:supHide m:val="on"/>
                </m:naryPr>
                <m:sub>
                  <m:r>
                    <m:t>i</m:t>
                  </m:r>
                </m:sub>
                <m:sup>
                  <m:r>
                    <m:t>​</m:t>
                  </m:r>
                </m:sup>
                <m:e>
                  <m:sSub>
                    <m:e>
                      <m:r>
                        <m:t>w</m:t>
                      </m:r>
                    </m:e>
                    <m:sub>
                      <m:r>
                        <m:t>i</m:t>
                      </m:r>
                      <m:r>
                        <m:t>j</m:t>
                      </m:r>
                    </m:sub>
                  </m:sSub>
                </m:e>
              </m:nary>
              <m:sSub>
                <m:e>
                  <m:r>
                    <m:t>q</m:t>
                  </m:r>
                </m:e>
                <m:sub>
                  <m:r>
                    <m:t>i</m:t>
                  </m:r>
                </m:sub>
              </m:sSub>
            </m:num>
            <m:den>
              <m:nary>
                <m:naryPr>
                  <m:chr m:val="∑"/>
                  <m:limLoc m:val="undOvr"/>
                  <m:subHide m:val="off"/>
                  <m:supHide m:val="on"/>
                </m:naryPr>
                <m:sub>
                  <m:r>
                    <m:t>i</m:t>
                  </m:r>
                </m:sub>
                <m:sup>
                  <m:r>
                    <m:t>​</m:t>
                  </m:r>
                </m:sup>
                <m:e>
                  <m:sSub>
                    <m:e>
                      <m:r>
                        <m:t>w</m:t>
                      </m:r>
                    </m:e>
                    <m:sub>
                      <m:r>
                        <m:t>i</m:t>
                      </m:r>
                      <m:r>
                        <m:t>j</m:t>
                      </m:r>
                    </m:sub>
                  </m:sSub>
                </m:e>
              </m:nary>
            </m:den>
          </m:f>
          <m:r>
            <m:rPr>
              <m:sty m:val="p"/>
            </m:rPr>
            <m:t>,</m:t>
          </m:r>
          <m:r>
            <m:t>  </m:t>
          </m:r>
          <m:sSub>
            <m:e>
              <m:r>
                <m:t>w</m:t>
              </m:r>
            </m:e>
            <m:sub>
              <m:r>
                <m:t>i</m:t>
              </m:r>
              <m:r>
                <m:t>j</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r>
                                <m:t>y</m:t>
                              </m:r>
                            </m:e>
                            <m:sub>
                              <m:r>
                                <m:t>j</m:t>
                              </m:r>
                            </m:sub>
                          </m:sSub>
                          <m:r>
                            <m:rPr>
                              <m:sty m:val="p"/>
                            </m:rPr>
                            <m:t>−</m:t>
                          </m:r>
                          <m:sSub>
                            <m:e>
                              <m:r>
                                <m:t>g</m:t>
                              </m:r>
                            </m:e>
                            <m:sub>
                              <m:r>
                                <m:t>d</m:t>
                              </m:r>
                            </m:sub>
                          </m:sSub>
                          <m:d>
                            <m:dPr>
                              <m:begChr m:val="("/>
                              <m:sepChr m:val=""/>
                              <m:endChr m:val=")"/>
                              <m:grow/>
                            </m:dPr>
                            <m:e>
                              <m:sSub>
                                <m:e>
                                  <m:r>
                                    <m:t>θ</m:t>
                                  </m:r>
                                </m:e>
                                <m:sub>
                                  <m:r>
                                    <m:t>i</m:t>
                                  </m:r>
                                </m:sub>
                              </m:sSub>
                            </m:e>
                          </m:d>
                        </m:e>
                      </m:d>
                    </m:e>
                    <m:sup>
                      <m:r>
                        <m:t>2</m:t>
                      </m:r>
                    </m:sup>
                  </m:sSup>
                </m:num>
                <m:den>
                  <m:r>
                    <m:t>2</m:t>
                  </m:r>
                  <m:sSubSup>
                    <m:e>
                      <m:r>
                        <m:t>σ</m:t>
                      </m:r>
                    </m:e>
                    <m:sub>
                      <m:r>
                        <m:t>ε</m:t>
                      </m:r>
                    </m:sub>
                    <m:sup>
                      <m:r>
                        <m:t>2</m:t>
                      </m:r>
                    </m:sup>
                  </m:sSubSup>
                </m:den>
              </m:f>
            </m:e>
          </m:d>
        </m:oMath>
      </m:oMathPara>
    </w:p>
    <w:p>
      <w:pPr>
        <w:spacing w:after="120"/>
        <w:jc w:val="both"/>
      </w:pPr>
      <w:r>
        <w:rPr>
          <w:b/>
          <w:bCs/>
        </w:rPr>
        <w:t xml:space="preserve">The criteria compared.</w:t>
      </w:r>
      <w:r>
        <w:t xml:space="preserve"> (1) The linear EIG of the salt mass, i.e., the project's current pipeline with Lemma 1 and the adjoint; (2) the linear EIG of the concentration at A, which by Theorem 1 gives the risk design for A; (3) the closed-form PRAG-GO formula for the risk at A or B, with the moments from the adjoint; (4) the same formula with the ensemble moments; (5) the same formula after a normal-score transform of each variable. Variant (5) is legitimate only for threshold goals, because the exceedance event does not change under a monotone transformation: </w:t>
      </w:r>
      <m:oMath>
        <m:r>
          <m:rPr>
            <m:sty m:val="p"/>
          </m:rPr>
          <m:t>I</m:t>
        </m:r>
        <m:d>
          <m:dPr>
            <m:begChr m:val="("/>
            <m:sepChr m:val=""/>
            <m:endChr m:val=")"/>
            <m:grow/>
          </m:dPr>
          <m:e>
            <m:r>
              <m:t>c</m:t>
            </m:r>
            <m:r>
              <m:rPr>
                <m:sty m:val="p"/>
              </m:rPr>
              <m:t>&gt;</m:t>
            </m:r>
            <m:r>
              <m:t>τ</m:t>
            </m:r>
          </m:e>
        </m:d>
        <m:r>
          <m:rPr>
            <m:sty m:val="p"/>
          </m:rPr>
          <m:t>=</m:t>
        </m:r>
        <m:r>
          <m:rPr>
            <m:sty m:val="p"/>
          </m:rPr>
          <m:t>I</m:t>
        </m:r>
        <m:d>
          <m:dPr>
            <m:begChr m:val="("/>
            <m:sepChr m:val=""/>
            <m:endChr m:val=")"/>
            <m:grow/>
          </m:dPr>
          <m:e>
            <m:r>
              <m:t>T</m:t>
            </m:r>
            <m:d>
              <m:dPr>
                <m:begChr m:val="("/>
                <m:sepChr m:val=""/>
                <m:endChr m:val=")"/>
                <m:grow/>
              </m:dPr>
              <m:e>
                <m:r>
                  <m:t>c</m:t>
                </m:r>
              </m:e>
            </m:d>
            <m:r>
              <m:rPr>
                <m:sty m:val="p"/>
              </m:rPr>
              <m:t>&gt;</m:t>
            </m:r>
            <m:r>
              <m:t>T</m:t>
            </m:r>
            <m:d>
              <m:dPr>
                <m:begChr m:val="("/>
                <m:sepChr m:val=""/>
                <m:endChr m:val=")"/>
                <m:grow/>
              </m:dPr>
              <m:e>
                <m:r>
                  <m:t>τ</m:t>
                </m:r>
              </m:e>
            </m:d>
          </m:e>
        </m:d>
      </m:oMath>
      <w:r>
        <w:t xml:space="preserve">.</w:t>
      </w:r>
    </w:p>
    <w:p>
      <w:pPr>
        <w:pStyle w:val="Equation"/>
      </w:pPr>
      <m:oMathPara>
        <m:oMathParaPr>
          <m:jc m:val="center"/>
        </m:oMathParaPr>
        <m:oMath>
          <m:sSub>
            <m:e>
              <m:r>
                <m:rPr>
                  <m:sty m:val="p"/>
                </m:rPr>
                <m:t>E</m:t>
              </m:r>
              <m:r>
                <m:rPr>
                  <m:sty m:val="p"/>
                </m:rPr>
                <m:t>I</m:t>
              </m:r>
              <m:r>
                <m:rPr>
                  <m:sty m:val="p"/>
                </m:rPr>
                <m:t>G</m:t>
              </m:r>
            </m:e>
            <m:sub>
              <m:r>
                <m:rPr>
                  <m:sty m:val="p"/>
                </m:rPr>
                <m:t>max</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sSub>
                <m:e>
                  <m:acc>
                    <m:accPr>
                      <m:chr m:val="̂"/>
                    </m:accPr>
                    <m:e>
                      <m:r>
                        <m:t>z</m:t>
                      </m:r>
                    </m:e>
                  </m:acc>
                </m:e>
                <m:sub>
                  <m:r>
                    <m:t>d</m:t>
                  </m:r>
                </m:sub>
              </m:sSub>
              <m:r>
                <m:rPr>
                  <m:sty m:val="p"/>
                </m:rPr>
                <m:t>∼</m:t>
              </m:r>
              <m:r>
                <m:rPr>
                  <m:scr m:val="script"/>
                  <m:sty m:val="p"/>
                </m:rPr>
                <m:t>N</m:t>
              </m:r>
              <m:d>
                <m:dPr>
                  <m:begChr m:val="("/>
                  <m:sepChr m:val=""/>
                  <m:endChr m:val=")"/>
                  <m:grow/>
                </m:dPr>
                <m:e>
                  <m:r>
                    <m:t>0</m:t>
                  </m:r>
                  <m:r>
                    <m:rPr>
                      <m:sty m:val="p"/>
                    </m:rPr>
                    <m:t>,</m:t>
                  </m:r>
                  <m:sSub>
                    <m:e>
                      <m:r>
                        <m:t>K</m:t>
                      </m:r>
                    </m:e>
                    <m:sub>
                      <m:r>
                        <m:t>d</m:t>
                      </m:r>
                    </m:sub>
                  </m:sSub>
                </m:e>
              </m:d>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r>
                            <m:t>τ</m:t>
                          </m:r>
                          <m:r>
                            <m:rPr>
                              <m:sty m:val="p"/>
                            </m:rPr>
                            <m:t>−</m:t>
                          </m:r>
                          <m:sSub>
                            <m:e>
                              <m:r>
                                <m:t>μ</m:t>
                              </m:r>
                            </m:e>
                            <m:sub>
                              <m:r>
                                <m:t>A</m:t>
                              </m:r>
                            </m:sub>
                          </m:sSub>
                          <m:r>
                            <m:rPr>
                              <m:sty m:val="p"/>
                            </m:rPr>
                            <m:t>−</m:t>
                          </m:r>
                          <m:sSub>
                            <m:e>
                              <m:acc>
                                <m:accPr>
                                  <m:chr m:val="̂"/>
                                </m:accPr>
                                <m:e>
                                  <m:r>
                                    <m:t>z</m:t>
                                  </m:r>
                                </m:e>
                              </m:acc>
                            </m:e>
                            <m:sub>
                              <m:r>
                                <m:t>1</m:t>
                              </m:r>
                            </m:sub>
                          </m:sSub>
                        </m:num>
                        <m:den>
                          <m:sSub>
                            <m:e>
                              <m:r>
                                <m:t>s</m:t>
                              </m:r>
                            </m:e>
                            <m:sub>
                              <m:r>
                                <m:t>1</m:t>
                              </m:r>
                            </m:sub>
                          </m:sSub>
                        </m:den>
                      </m:f>
                      <m:r>
                        <m:rPr>
                          <m:sty m:val="p"/>
                        </m:rPr>
                        <m:t>,</m:t>
                      </m:r>
                      <m:f>
                        <m:fPr>
                          <m:type m:val="bar"/>
                        </m:fPr>
                        <m:num>
                          <m:r>
                            <m:t>τ</m:t>
                          </m:r>
                          <m:r>
                            <m:rPr>
                              <m:sty m:val="p"/>
                            </m:rPr>
                            <m:t>−</m:t>
                          </m:r>
                          <m:sSub>
                            <m:e>
                              <m:r>
                                <m:t>μ</m:t>
                              </m:r>
                            </m:e>
                            <m:sub>
                              <m:r>
                                <m:t>B</m:t>
                              </m:r>
                            </m:sub>
                          </m:sSub>
                          <m:r>
                            <m:rPr>
                              <m:sty m:val="p"/>
                            </m:rPr>
                            <m:t>−</m:t>
                          </m:r>
                          <m:sSub>
                            <m:e>
                              <m:acc>
                                <m:accPr>
                                  <m:chr m:val="̂"/>
                                </m:accPr>
                                <m:e>
                                  <m:r>
                                    <m:t>z</m:t>
                                  </m:r>
                                </m:e>
                              </m:acc>
                            </m:e>
                            <m:sub>
                              <m:r>
                                <m:t>2</m:t>
                              </m:r>
                            </m:sub>
                          </m:sSub>
                        </m:num>
                        <m:den>
                          <m:sSub>
                            <m:e>
                              <m:r>
                                <m:t>s</m:t>
                              </m:r>
                            </m:e>
                            <m:sub>
                              <m:r>
                                <m:t>2</m:t>
                              </m:r>
                            </m:sub>
                          </m:sSub>
                        </m:den>
                      </m:f>
                      <m:r>
                        <m:rPr>
                          <m:sty m:val="p"/>
                        </m:rPr>
                        <m:t>;</m:t>
                      </m:r>
                      <m:r>
                        <m:t>r</m:t>
                      </m:r>
                    </m:e>
                  </m:d>
                </m:e>
              </m:d>
            </m:e>
          </m:d>
        </m:oMath>
      </m:oMathPara>
    </w:p>
    <w:p>
      <w:pPr>
        <w:spacing w:after="240"/>
      </w:pPr>
    </w:p>
    <w:p>
      <w:pPr>
        <w:pStyle w:val="Heading1"/>
      </w:pPr>
      <w:r>
        <w:rPr>
          <w:color w:val="1F3864"/>
        </w:rPr>
        <w:t xml:space="preserve">4. Results with the Gaussian prior</w:t>
      </w:r>
    </w:p>
    <w:p>
      <w:pPr>
        <w:spacing w:after="120"/>
        <w:jc w:val="both"/>
      </w:pPr>
      <w:r>
        <w:t xml:space="preserve">The table gives the exact EIG of the design selected by each criterion, as a percentage of the exact optimum over all 4,960 designs, and the rank correlation (Spearman) of the criterion with the exact EIG.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38"/>
        <w:gridCol w:w="2000"/>
        <w:gridCol w:w="2000"/>
        <w:gridCol w:w="2000"/>
      </w:tblGrid>
      <w:tr>
        <w:trPr>
          <w:cantSplit/>
          <w:tblHeader/>
        </w:trPr>
        <w:tc>
          <w:tcPr>
            <w:tcW w:type="dxa" w:w="3638"/>
            <w:shd w:fill="D97706" w:color="auto" w:val="clear"/>
            <w:tcMar>
              <w:top w:type="dxa" w:w="60"/>
              <w:left w:type="dxa" w:w="100"/>
              <w:bottom w:type="dxa" w:w="60"/>
              <w:right w:type="dxa" w:w="100"/>
            </w:tcMar>
            <w:vAlign w:val="top"/>
          </w:tcPr>
          <w:p>
            <w:r>
              <w:rPr>
                <w:b/>
                <w:bCs/>
                <w:color w:val="FFFFFF"/>
                <w:sz w:val="17"/>
                <w:szCs w:val="17"/>
              </w:rPr>
              <w:t xml:space="preserve">Criterion</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Risk at A: % of optimum</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A or B: % of optimum</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Spearman (A or B)</w:t>
            </w:r>
          </w:p>
        </w:tc>
      </w:tr>
      <w:tr>
        <w:trPr>
          <w:cantSplit/>
        </w:trPr>
        <w:tc>
          <w:tcPr>
            <w:tcW w:type="dxa" w:w="3638"/>
            <w:tcMar>
              <w:top w:type="dxa" w:w="60"/>
              <w:left w:type="dxa" w:w="100"/>
              <w:bottom w:type="dxa" w:w="60"/>
              <w:right w:type="dxa" w:w="100"/>
            </w:tcMar>
            <w:vAlign w:val="top"/>
          </w:tcPr>
          <w:p>
            <w:r>
              <w:rPr>
                <w:sz w:val="17"/>
                <w:szCs w:val="17"/>
              </w:rPr>
              <w:t xml:space="preserve">Linear EIG of the salt mass (current project)</w:t>
            </w:r>
          </w:p>
        </w:tc>
        <w:tc>
          <w:tcPr>
            <w:tcW w:type="dxa" w:w="2000"/>
            <w:tcMar>
              <w:top w:type="dxa" w:w="60"/>
              <w:left w:type="dxa" w:w="100"/>
              <w:bottom w:type="dxa" w:w="60"/>
              <w:right w:type="dxa" w:w="100"/>
            </w:tcMar>
            <w:vAlign w:val="top"/>
          </w:tcPr>
          <w:p>
            <w:r>
              <w:rPr>
                <w:sz w:val="17"/>
                <w:szCs w:val="17"/>
              </w:rPr>
              <w:t xml:space="preserve">80.4%</w:t>
            </w:r>
          </w:p>
        </w:tc>
        <w:tc>
          <w:tcPr>
            <w:tcW w:type="dxa" w:w="2000"/>
            <w:tcMar>
              <w:top w:type="dxa" w:w="60"/>
              <w:left w:type="dxa" w:w="100"/>
              <w:bottom w:type="dxa" w:w="60"/>
              <w:right w:type="dxa" w:w="100"/>
            </w:tcMar>
            <w:vAlign w:val="top"/>
          </w:tcPr>
          <w:p>
            <w:r>
              <w:rPr>
                <w:sz w:val="17"/>
                <w:szCs w:val="17"/>
              </w:rPr>
              <w:t xml:space="preserve">84.4%</w:t>
            </w:r>
          </w:p>
        </w:tc>
        <w:tc>
          <w:tcPr>
            <w:tcW w:type="dxa" w:w="2000"/>
            <w:tcMar>
              <w:top w:type="dxa" w:w="60"/>
              <w:left w:type="dxa" w:w="100"/>
              <w:bottom w:type="dxa" w:w="60"/>
              <w:right w:type="dxa" w:w="100"/>
            </w:tcMar>
            <w:vAlign w:val="top"/>
          </w:tcPr>
          <w:p>
            <w:r>
              <w:rPr>
                <w:sz w:val="17"/>
                <w:szCs w:val="17"/>
              </w:rPr>
              <w:t xml:space="preserve">0.53</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Linear EIG of the mean concentration at A and B</w:t>
            </w:r>
          </w:p>
        </w:tc>
        <w:tc>
          <w:tcPr>
            <w:tcW w:type="dxa" w:w="2000"/>
            <w:shd w:fill="F7F9FC" w:color="auto" w:val="clear"/>
            <w:tcMar>
              <w:top w:type="dxa" w:w="60"/>
              <w:left w:type="dxa" w:w="100"/>
              <w:bottom w:type="dxa" w:w="60"/>
              <w:right w:type="dxa" w:w="100"/>
            </w:tcMar>
            <w:vAlign w:val="top"/>
          </w:tcPr>
          <w:p>
            <w:r>
              <w:rPr>
                <w:sz w:val="17"/>
                <w:szCs w:val="17"/>
              </w:rPr>
              <w:t xml:space="preserve">97.6%</w:t>
            </w:r>
          </w:p>
        </w:tc>
        <w:tc>
          <w:tcPr>
            <w:tcW w:type="dxa" w:w="2000"/>
            <w:shd w:fill="F7F9FC" w:color="auto" w:val="clear"/>
            <w:tcMar>
              <w:top w:type="dxa" w:w="60"/>
              <w:left w:type="dxa" w:w="100"/>
              <w:bottom w:type="dxa" w:w="60"/>
              <w:right w:type="dxa" w:w="100"/>
            </w:tcMar>
            <w:vAlign w:val="top"/>
          </w:tcPr>
          <w:p>
            <w:r>
              <w:rPr>
                <w:sz w:val="17"/>
                <w:szCs w:val="17"/>
              </w:rPr>
              <w:t xml:space="preserve">99.2%</w:t>
            </w:r>
          </w:p>
        </w:tc>
        <w:tc>
          <w:tcPr>
            <w:tcW w:type="dxa" w:w="2000"/>
            <w:shd w:fill="F7F9FC" w:color="auto" w:val="clear"/>
            <w:tcMar>
              <w:top w:type="dxa" w:w="60"/>
              <w:left w:type="dxa" w:w="100"/>
              <w:bottom w:type="dxa" w:w="60"/>
              <w:right w:type="dxa" w:w="100"/>
            </w:tcMar>
            <w:vAlign w:val="top"/>
          </w:tcPr>
          <w:p>
            <w:r>
              <w:rPr>
                <w:sz w:val="17"/>
                <w:szCs w:val="17"/>
              </w:rPr>
              <w:t xml:space="preserve">0.97</w:t>
            </w:r>
          </w:p>
        </w:tc>
      </w:tr>
      <w:tr>
        <w:trPr>
          <w:cantSplit/>
        </w:trPr>
        <w:tc>
          <w:tcPr>
            <w:tcW w:type="dxa" w:w="3638"/>
            <w:tcMar>
              <w:top w:type="dxa" w:w="60"/>
              <w:left w:type="dxa" w:w="100"/>
              <w:bottom w:type="dxa" w:w="60"/>
              <w:right w:type="dxa" w:w="100"/>
            </w:tcMar>
            <w:vAlign w:val="top"/>
          </w:tcPr>
          <w:p>
            <w:r>
              <w:rPr>
                <w:sz w:val="17"/>
                <w:szCs w:val="17"/>
              </w:rPr>
              <w:t xml:space="preserve">Linear EIG of the concentration at A (Theorem 1)</w:t>
            </w:r>
          </w:p>
        </w:tc>
        <w:tc>
          <w:tcPr>
            <w:tcW w:type="dxa" w:w="2000"/>
            <w:tcMar>
              <w:top w:type="dxa" w:w="60"/>
              <w:left w:type="dxa" w:w="100"/>
              <w:bottom w:type="dxa" w:w="60"/>
              <w:right w:type="dxa" w:w="100"/>
            </w:tcMar>
            <w:vAlign w:val="top"/>
          </w:tcPr>
          <w:p>
            <w:r>
              <w:rPr>
                <w:sz w:val="17"/>
                <w:szCs w:val="17"/>
              </w:rPr>
              <w:t xml:space="preserve">98.5%</w:t>
            </w:r>
          </w:p>
        </w:tc>
        <w:tc>
          <w:tcPr>
            <w:tcW w:type="dxa" w:w="2000"/>
            <w:tcMar>
              <w:top w:type="dxa" w:w="60"/>
              <w:left w:type="dxa" w:w="100"/>
              <w:bottom w:type="dxa" w:w="60"/>
              <w:right w:type="dxa" w:w="100"/>
            </w:tcMar>
            <w:vAlign w:val="top"/>
          </w:tcPr>
          <w:p>
            <w:r>
              <w:rPr>
                <w:sz w:val="17"/>
                <w:szCs w:val="17"/>
              </w:rPr>
              <w:t xml:space="preserve">96.1%</w:t>
            </w:r>
          </w:p>
        </w:tc>
        <w:tc>
          <w:tcPr>
            <w:tcW w:type="dxa" w:w="2000"/>
            <w:tcMar>
              <w:top w:type="dxa" w:w="60"/>
              <w:left w:type="dxa" w:w="100"/>
              <w:bottom w:type="dxa" w:w="60"/>
              <w:right w:type="dxa" w:w="100"/>
            </w:tcMar>
            <w:vAlign w:val="top"/>
          </w:tcPr>
          <w:p>
            <w:r>
              <w:rPr>
                <w:sz w:val="17"/>
                <w:szCs w:val="17"/>
              </w:rPr>
              <w:t xml:space="preserve">0.97</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PRAG-GO, closed-form formula with adjoint</w:t>
            </w:r>
          </w:p>
        </w:tc>
        <w:tc>
          <w:tcPr>
            <w:tcW w:type="dxa" w:w="2000"/>
            <w:shd w:fill="F7F9FC" w:color="auto" w:val="clear"/>
            <w:tcMar>
              <w:top w:type="dxa" w:w="60"/>
              <w:left w:type="dxa" w:w="100"/>
              <w:bottom w:type="dxa" w:w="60"/>
              <w:right w:type="dxa" w:w="100"/>
            </w:tcMar>
            <w:vAlign w:val="top"/>
          </w:tcPr>
          <w:p>
            <w:r>
              <w:rPr>
                <w:sz w:val="17"/>
                <w:szCs w:val="17"/>
              </w:rPr>
              <w:t xml:space="preserve">98.5%</w:t>
            </w:r>
          </w:p>
        </w:tc>
        <w:tc>
          <w:tcPr>
            <w:tcW w:type="dxa" w:w="2000"/>
            <w:shd w:fill="F7F9FC" w:color="auto" w:val="clear"/>
            <w:tcMar>
              <w:top w:type="dxa" w:w="60"/>
              <w:left w:type="dxa" w:w="100"/>
              <w:bottom w:type="dxa" w:w="60"/>
              <w:right w:type="dxa" w:w="100"/>
            </w:tcMar>
            <w:vAlign w:val="top"/>
          </w:tcPr>
          <w:p>
            <w:r>
              <w:rPr>
                <w:sz w:val="17"/>
                <w:szCs w:val="17"/>
              </w:rPr>
              <w:t xml:space="preserve">100.0%</w:t>
            </w:r>
          </w:p>
        </w:tc>
        <w:tc>
          <w:tcPr>
            <w:tcW w:type="dxa" w:w="2000"/>
            <w:shd w:fill="F7F9FC" w:color="auto" w:val="clear"/>
            <w:tcMar>
              <w:top w:type="dxa" w:w="60"/>
              <w:left w:type="dxa" w:w="100"/>
              <w:bottom w:type="dxa" w:w="60"/>
              <w:right w:type="dxa" w:w="100"/>
            </w:tcMar>
            <w:vAlign w:val="top"/>
          </w:tcPr>
          <w:p>
            <w:r>
              <w:rPr>
                <w:sz w:val="17"/>
                <w:szCs w:val="17"/>
              </w:rPr>
              <w:t xml:space="preserve">0.98</w:t>
            </w:r>
          </w:p>
        </w:tc>
      </w:tr>
      <w:tr>
        <w:trPr>
          <w:cantSplit/>
        </w:trPr>
        <w:tc>
          <w:tcPr>
            <w:tcW w:type="dxa" w:w="3638"/>
            <w:tcMar>
              <w:top w:type="dxa" w:w="60"/>
              <w:left w:type="dxa" w:w="100"/>
              <w:bottom w:type="dxa" w:w="60"/>
              <w:right w:type="dxa" w:w="100"/>
            </w:tcMar>
            <w:vAlign w:val="top"/>
          </w:tcPr>
          <w:p>
            <w:r>
              <w:rPr>
                <w:sz w:val="17"/>
                <w:szCs w:val="17"/>
              </w:rPr>
              <w:t xml:space="preserve">PRAG-GO with ensemble moments</w:t>
            </w:r>
          </w:p>
        </w:tc>
        <w:tc>
          <w:tcPr>
            <w:tcW w:type="dxa" w:w="2000"/>
            <w:tcMar>
              <w:top w:type="dxa" w:w="60"/>
              <w:left w:type="dxa" w:w="100"/>
              <w:bottom w:type="dxa" w:w="60"/>
              <w:right w:type="dxa" w:w="100"/>
            </w:tcMar>
            <w:vAlign w:val="top"/>
          </w:tcPr>
          <w:p>
            <w:r>
              <w:rPr>
                <w:sz w:val="17"/>
                <w:szCs w:val="17"/>
              </w:rPr>
              <w:t xml:space="preserve">86.8%</w:t>
            </w:r>
          </w:p>
        </w:tc>
        <w:tc>
          <w:tcPr>
            <w:tcW w:type="dxa" w:w="2000"/>
            <w:tcMar>
              <w:top w:type="dxa" w:w="60"/>
              <w:left w:type="dxa" w:w="100"/>
              <w:bottom w:type="dxa" w:w="60"/>
              <w:right w:type="dxa" w:w="100"/>
            </w:tcMar>
            <w:vAlign w:val="top"/>
          </w:tcPr>
          <w:p>
            <w:r>
              <w:rPr>
                <w:sz w:val="17"/>
                <w:szCs w:val="17"/>
              </w:rPr>
              <w:t xml:space="preserve">85.2%</w:t>
            </w:r>
          </w:p>
        </w:tc>
        <w:tc>
          <w:tcPr>
            <w:tcW w:type="dxa" w:w="2000"/>
            <w:tcMar>
              <w:top w:type="dxa" w:w="60"/>
              <w:left w:type="dxa" w:w="100"/>
              <w:bottom w:type="dxa" w:w="60"/>
              <w:right w:type="dxa" w:w="100"/>
            </w:tcMar>
            <w:vAlign w:val="top"/>
          </w:tcPr>
          <w:p>
            <w:r>
              <w:rPr>
                <w:sz w:val="17"/>
                <w:szCs w:val="17"/>
              </w:rPr>
              <w:t xml:space="preserve">0.57</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PRAG-GO with normal-score ensemble</w:t>
            </w:r>
          </w:p>
        </w:tc>
        <w:tc>
          <w:tcPr>
            <w:tcW w:type="dxa" w:w="2000"/>
            <w:shd w:fill="F7F9FC" w:color="auto" w:val="clear"/>
            <w:tcMar>
              <w:top w:type="dxa" w:w="60"/>
              <w:left w:type="dxa" w:w="100"/>
              <w:bottom w:type="dxa" w:w="60"/>
              <w:right w:type="dxa" w:w="100"/>
            </w:tcMar>
            <w:vAlign w:val="top"/>
          </w:tcPr>
          <w:p>
            <w:r>
              <w:rPr>
                <w:sz w:val="17"/>
                <w:szCs w:val="17"/>
              </w:rPr>
              <w:t xml:space="preserve">94.7%</w:t>
            </w:r>
          </w:p>
        </w:tc>
        <w:tc>
          <w:tcPr>
            <w:tcW w:type="dxa" w:w="2000"/>
            <w:shd w:fill="F7F9FC" w:color="auto" w:val="clear"/>
            <w:tcMar>
              <w:top w:type="dxa" w:w="60"/>
              <w:left w:type="dxa" w:w="100"/>
              <w:bottom w:type="dxa" w:w="60"/>
              <w:right w:type="dxa" w:w="100"/>
            </w:tcMar>
            <w:vAlign w:val="top"/>
          </w:tcPr>
          <w:p>
            <w:r>
              <w:rPr>
                <w:sz w:val="17"/>
                <w:szCs w:val="17"/>
              </w:rPr>
              <w:t xml:space="preserve">95.1%</w:t>
            </w:r>
          </w:p>
        </w:tc>
        <w:tc>
          <w:tcPr>
            <w:tcW w:type="dxa" w:w="2000"/>
            <w:shd w:fill="F7F9FC" w:color="auto" w:val="clear"/>
            <w:tcMar>
              <w:top w:type="dxa" w:w="60"/>
              <w:left w:type="dxa" w:w="100"/>
              <w:bottom w:type="dxa" w:w="60"/>
              <w:right w:type="dxa" w:w="100"/>
            </w:tcMar>
            <w:vAlign w:val="top"/>
          </w:tcPr>
          <w:p>
            <w:r>
              <w:rPr>
                <w:sz w:val="17"/>
                <w:szCs w:val="17"/>
              </w:rPr>
              <w:t xml:space="preserve">0.85</w:t>
            </w:r>
          </w:p>
        </w:tc>
      </w:tr>
    </w:tbl>
    <w:p>
      <w:pPr>
        <w:spacing w:after="160"/>
      </w:pPr>
    </w:p>
    <w:p>
      <w:pPr>
        <w:spacing w:after="120"/>
        <w:jc w:val="both"/>
      </w:pPr>
      <w:r>
        <w:t xml:space="preserve">The project's salt-mass design, wells (20, 25, 26), lies near the wedge toe and loses 19.6% of the information about the risk at A and 15.6% about the risk at A or B; its rank correlation with the exact EIG is only 0.53. The design for the concentration at A reaches 98.5% for the risk at A, so Theorem 1 remains nearly exact even with a nonlinear model. The two-zone PRAG-GO formula with the adjoint moments selected wells (12, 17, 24), which are the exact optimum for the risk at A or B (Spearman 0.98). With the ensemble moments, the same formula loses 14.8%: the global linearization mixes the regime where salinity is near zero with the one where it rises, and it selects wells near the 1% isochlor, where in half of the realizations the measurement is practically zero. The normal-score transform, legitimate only for threshold goals, raises it to 95.1%.</w:t>
      </w:r>
    </w:p>
    <w:p>
      <w:pPr>
        <w:keepNext/>
        <w:spacing w:after="60" w:before="120"/>
        <w:jc w:val="center"/>
      </w:pPr>
      <w:r>
        <w:drawing>
          <wp:inline distT="0" distB="0" distL="0" distR="0">
            <wp:extent cx="4752975" cy="2095500"/>
            <wp:effectExtent t="0" r="0" b="0" l="0"/>
            <wp:docPr id="1" name="Criterion versus exact EIG for all 4,960 designs" descr="Criterion versus exact EIG for all 4,960 designs" title="Criterion versus exact EIG for all 4,960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095500"/>
                    </a:xfrm>
                    <a:prstGeom prst="rect">
                      <a:avLst/>
                    </a:prstGeom>
                  </pic:spPr>
                </pic:pic>
              </a:graphicData>
            </a:graphic>
          </wp:inline>
        </w:drawing>
      </w:r>
    </w:p>
    <w:p>
      <w:pPr>
        <w:spacing w:after="200"/>
        <w:jc w:val="both"/>
      </w:pPr>
      <w:r>
        <w:rPr>
          <w:b/>
          <w:bCs/>
          <w:color w:val="3A4350"/>
          <w:sz w:val="18"/>
          <w:szCs w:val="18"/>
        </w:rPr>
        <w:t xml:space="preserve">Figure 2.</w:t>
      </w:r>
      <w:r>
        <w:rPr>
          <w:color w:val="3A4350"/>
          <w:sz w:val="18"/>
          <w:szCs w:val="18"/>
        </w:rPr>
        <w:t xml:space="preserve"> Criterion value versus the exact EIG of the “A or B” risk for all 4,960 designs. Left: the linear EIG of the salt mass; right: the PRAG-GO formula with adjoint. The orange dot is the design selected by the criterion; the dashed line is the exact optimum.</w:t>
      </w:r>
    </w:p>
    <w:p>
      <w:pPr>
        <w:keepNext/>
        <w:spacing w:after="60" w:before="120"/>
        <w:jc w:val="center"/>
      </w:pPr>
      <w:r>
        <w:drawing>
          <wp:inline distT="0" distB="0" distL="0" distR="0">
            <wp:extent cx="3962400" cy="5676900"/>
            <wp:effectExtent t="0" r="0" b="0" l="0"/>
            <wp:docPr id="1" name="Designs selected by the three criteria" descr="Designs selected by the three criteria" title="Designs selected by the three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5676900"/>
                    </a:xfrm>
                    <a:prstGeom prst="rect">
                      <a:avLst/>
                    </a:prstGeom>
                  </pic:spPr>
                </pic:pic>
              </a:graphicData>
            </a:graphic>
          </wp:inline>
        </w:drawing>
      </w:r>
    </w:p>
    <w:p>
      <w:pPr>
        <w:spacing w:after="200"/>
        <w:jc w:val="both"/>
      </w:pPr>
      <w:r>
        <w:rPr>
          <w:b/>
          <w:bCs/>
          <w:color w:val="3A4350"/>
          <w:sz w:val="18"/>
          <w:szCs w:val="18"/>
        </w:rPr>
        <w:t xml:space="preserve">Figure 3.</w:t>
      </w:r>
      <w:r>
        <w:rPr>
          <w:color w:val="3A4350"/>
          <w:sz w:val="18"/>
          <w:szCs w:val="18"/>
        </w:rPr>
        <w:t xml:space="preserve"> The three points selected (orange circles) by PRAG-GO with adjoint, by the linear EIG of the salt mass and by PRAG-GO with ensemble moments, with the exact EIG of the “A or B” risk. The dashed line is the 1% isochlor at the prior mean.</w:t>
      </w:r>
    </w:p>
    <w:p>
      <w:pPr>
        <w:spacing w:after="120"/>
        <w:jc w:val="both"/>
      </w:pPr>
      <w:r>
        <w:rPr>
          <w:b/>
          <w:bCs/>
        </w:rPr>
        <w:t xml:space="preserve">Convergence check.</w:t>
      </w:r>
      <w:r>
        <w:t xml:space="preserve"> The selected designs were re-evaluated on two independent halves of the ensemble (6,000 realizations each) and with fresh noise. The percentages changed by at most about 1.5 points, while the five best designs are within 0.5% of one another: the optimum is flat, but the loss of the salt-mass design and the closeness of PRAG-GO to the optimum are robust.</w:t>
      </w:r>
    </w:p>
    <w:p>
      <w:pPr>
        <w:spacing w:after="240"/>
      </w:pPr>
    </w:p>
    <w:p>
      <w:pPr>
        <w:pStyle w:val="Heading1"/>
      </w:pPr>
      <w:r>
        <w:rPr>
          <w:color w:val="1F3864"/>
        </w:rPr>
        <w:t xml:space="preserve">5. Other priors: local heterogeneity and facies</w:t>
      </w:r>
    </w:p>
    <w:p>
      <w:pPr>
        <w:spacing w:after="120"/>
        <w:jc w:val="both"/>
      </w:pPr>
      <w:r>
        <w:t xml:space="preserve">We repeated the whole experiment with two other priors: (i) local heterogeneity, with </w:t>
      </w:r>
      <m:oMath>
        <m:r>
          <m:t>σ</m:t>
        </m:r>
        <m:r>
          <m:rPr>
            <m:sty m:val="p"/>
          </m:rPr>
          <m:t>=</m:t>
        </m:r>
        <m:r>
          <m:t>0.7</m:t>
        </m:r>
      </m:oMath>
      <w:r>
        <w:t xml:space="preserve"> and correlation lengths of 0.2 m and 0.1 m; (ii) a two-facies mixture, in which the mean log-conductivity is </w:t>
      </w:r>
      <m:oMath>
        <m:r>
          <m:rPr>
            <m:sty m:val="p"/>
          </m:rPr>
          <m:t>−</m:t>
        </m:r>
        <m:r>
          <m:t>0.5</m:t>
        </m:r>
      </m:oMath>
      <w:r>
        <w:t xml:space="preserve"> or </w:t>
      </w:r>
      <m:oMath>
        <m:r>
          <m:rPr>
            <m:sty m:val="p"/>
          </m:rPr>
          <m:t>+</m:t>
        </m:r>
        <m:r>
          <m:t>0.5</m:t>
        </m:r>
      </m:oMath>
      <w:r>
        <w:t xml:space="preserve"> with probability </w:t>
      </w:r>
      <m:oMath>
        <m:r>
          <m:t>1</m:t>
        </m:r>
        <m:r>
          <m:rPr>
            <m:sty m:val="p"/>
          </m:rPr>
          <m:t>/</m:t>
        </m:r>
        <m:r>
          <m:t>2</m:t>
        </m:r>
      </m:oMath>
      <w:r>
        <w:t xml:space="preserve">. In case (ii) the linear criteria use the Gaussian approximation of the mixture, i.e., the pooled covariance, as the current pipeline would do without knowledge of the facies.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700"/>
        <w:gridCol w:w="1560"/>
        <w:gridCol w:w="1560"/>
        <w:gridCol w:w="1560"/>
        <w:gridCol w:w="1558"/>
      </w:tblGrid>
      <w:tr>
        <w:trPr>
          <w:cantSplit/>
          <w:tblHeader/>
        </w:trPr>
        <w:tc>
          <w:tcPr>
            <w:tcW w:type="dxa" w:w="1700"/>
            <w:shd w:fill="D97706" w:color="auto" w:val="clear"/>
            <w:tcMar>
              <w:top w:type="dxa" w:w="60"/>
              <w:left w:type="dxa" w:w="100"/>
              <w:bottom w:type="dxa" w:w="60"/>
              <w:right w:type="dxa" w:w="100"/>
            </w:tcMar>
            <w:vAlign w:val="top"/>
          </w:tcPr>
          <w:p>
            <w:r>
              <w:rPr>
                <w:b/>
                <w:bCs/>
                <w:color w:val="FFFFFF"/>
                <w:sz w:val="16"/>
                <w:szCs w:val="16"/>
              </w:rPr>
              <w:t xml:space="preserve">Prior</w:t>
            </w:r>
          </w:p>
        </w:tc>
        <w:tc>
          <w:tcPr>
            <w:tcW w:type="dxa" w:w="1700"/>
            <w:shd w:fill="D97706" w:color="auto" w:val="clear"/>
            <w:tcMar>
              <w:top w:type="dxa" w:w="60"/>
              <w:left w:type="dxa" w:w="100"/>
              <w:bottom w:type="dxa" w:w="60"/>
              <w:right w:type="dxa" w:w="100"/>
            </w:tcMar>
            <w:vAlign w:val="top"/>
          </w:tcPr>
          <w:p>
            <w:r>
              <w:rPr>
                <w:b/>
                <w:bCs/>
                <w:color w:val="FFFFFF"/>
                <w:sz w:val="16"/>
                <w:szCs w:val="16"/>
              </w:rPr>
              <w:t xml:space="preserve">P(A) / P(A or B)</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Salt mass</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Concentration at A</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PRAG-GO adjoint</w:t>
            </w:r>
          </w:p>
        </w:tc>
        <w:tc>
          <w:tcPr>
            <w:tcW w:type="dxa" w:w="1558"/>
            <w:shd w:fill="D97706" w:color="auto" w:val="clear"/>
            <w:tcMar>
              <w:top w:type="dxa" w:w="60"/>
              <w:left w:type="dxa" w:w="100"/>
              <w:bottom w:type="dxa" w:w="60"/>
              <w:right w:type="dxa" w:w="100"/>
            </w:tcMar>
            <w:vAlign w:val="top"/>
          </w:tcPr>
          <w:p>
            <w:r>
              <w:rPr>
                <w:b/>
                <w:bCs/>
                <w:color w:val="FFFFFF"/>
                <w:sz w:val="16"/>
                <w:szCs w:val="16"/>
              </w:rPr>
              <w:t xml:space="preserve">PRAG-GO normal-score</w:t>
            </w:r>
          </w:p>
        </w:tc>
      </w:tr>
      <w:tr>
        <w:trPr>
          <w:cantSplit/>
        </w:trPr>
        <w:tc>
          <w:tcPr>
            <w:tcW w:type="dxa" w:w="1700"/>
            <w:tcMar>
              <w:top w:type="dxa" w:w="60"/>
              <w:left w:type="dxa" w:w="100"/>
              <w:bottom w:type="dxa" w:w="60"/>
              <w:right w:type="dxa" w:w="100"/>
            </w:tcMar>
            <w:vAlign w:val="top"/>
          </w:tcPr>
          <w:p>
            <w:r>
              <w:rPr>
                <w:sz w:val="16"/>
                <w:szCs w:val="16"/>
              </w:rPr>
              <w:t xml:space="preserve">Gaussian (σ = 0.5; 0.5 m / 0.2 m)</w:t>
            </w:r>
          </w:p>
        </w:tc>
        <w:tc>
          <w:tcPr>
            <w:tcW w:type="dxa" w:w="1700"/>
            <w:tcMar>
              <w:top w:type="dxa" w:w="60"/>
              <w:left w:type="dxa" w:w="100"/>
              <w:bottom w:type="dxa" w:w="60"/>
              <w:right w:type="dxa" w:w="100"/>
            </w:tcMar>
            <w:vAlign w:val="top"/>
          </w:tcPr>
          <w:p>
            <w:r>
              <w:rPr>
                <w:sz w:val="16"/>
                <w:szCs w:val="16"/>
              </w:rPr>
              <w:t xml:space="preserve">0.35 / 0.38</w:t>
            </w:r>
          </w:p>
        </w:tc>
        <w:tc>
          <w:tcPr>
            <w:tcW w:type="dxa" w:w="1560"/>
            <w:tcMar>
              <w:top w:type="dxa" w:w="60"/>
              <w:left w:type="dxa" w:w="100"/>
              <w:bottom w:type="dxa" w:w="60"/>
              <w:right w:type="dxa" w:w="100"/>
            </w:tcMar>
            <w:vAlign w:val="top"/>
          </w:tcPr>
          <w:p>
            <w:r>
              <w:rPr>
                <w:sz w:val="16"/>
                <w:szCs w:val="16"/>
              </w:rPr>
              <w:t xml:space="preserve">80.4% / 84.4%</w:t>
            </w:r>
          </w:p>
        </w:tc>
        <w:tc>
          <w:tcPr>
            <w:tcW w:type="dxa" w:w="1560"/>
            <w:tcMar>
              <w:top w:type="dxa" w:w="60"/>
              <w:left w:type="dxa" w:w="100"/>
              <w:bottom w:type="dxa" w:w="60"/>
              <w:right w:type="dxa" w:w="100"/>
            </w:tcMar>
            <w:vAlign w:val="top"/>
          </w:tcPr>
          <w:p>
            <w:r>
              <w:rPr>
                <w:sz w:val="16"/>
                <w:szCs w:val="16"/>
              </w:rPr>
              <w:t xml:space="preserve">98.5% / 96.1%</w:t>
            </w:r>
          </w:p>
        </w:tc>
        <w:tc>
          <w:tcPr>
            <w:tcW w:type="dxa" w:w="1560"/>
            <w:tcMar>
              <w:top w:type="dxa" w:w="60"/>
              <w:left w:type="dxa" w:w="100"/>
              <w:bottom w:type="dxa" w:w="60"/>
              <w:right w:type="dxa" w:w="100"/>
            </w:tcMar>
            <w:vAlign w:val="top"/>
          </w:tcPr>
          <w:p>
            <w:r>
              <w:rPr>
                <w:sz w:val="16"/>
                <w:szCs w:val="16"/>
              </w:rPr>
              <w:t xml:space="preserve">98.5% / 100.0%</w:t>
            </w:r>
          </w:p>
        </w:tc>
        <w:tc>
          <w:tcPr>
            <w:tcW w:type="dxa" w:w="1558"/>
            <w:tcMar>
              <w:top w:type="dxa" w:w="60"/>
              <w:left w:type="dxa" w:w="100"/>
              <w:bottom w:type="dxa" w:w="60"/>
              <w:right w:type="dxa" w:w="100"/>
            </w:tcMar>
            <w:vAlign w:val="top"/>
          </w:tcPr>
          <w:p>
            <w:r>
              <w:rPr>
                <w:sz w:val="16"/>
                <w:szCs w:val="16"/>
              </w:rPr>
              <w:t xml:space="preserve">94.7% / 95.1%</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Local (σ = 0.7; 0.2 m / 0.1 m)</w:t>
            </w:r>
          </w:p>
        </w:tc>
        <w:tc>
          <w:tcPr>
            <w:tcW w:type="dxa" w:w="1700"/>
            <w:shd w:fill="F7F9FC" w:color="auto" w:val="clear"/>
            <w:tcMar>
              <w:top w:type="dxa" w:w="60"/>
              <w:left w:type="dxa" w:w="100"/>
              <w:bottom w:type="dxa" w:w="60"/>
              <w:right w:type="dxa" w:w="100"/>
            </w:tcMar>
            <w:vAlign w:val="top"/>
          </w:tcPr>
          <w:p>
            <w:r>
              <w:rPr>
                <w:sz w:val="16"/>
                <w:szCs w:val="16"/>
              </w:rPr>
              <w:t xml:space="preserve">0.33 / 0.37</w:t>
            </w:r>
          </w:p>
        </w:tc>
        <w:tc>
          <w:tcPr>
            <w:tcW w:type="dxa" w:w="1560"/>
            <w:shd w:fill="F7F9FC" w:color="auto" w:val="clear"/>
            <w:tcMar>
              <w:top w:type="dxa" w:w="60"/>
              <w:left w:type="dxa" w:w="100"/>
              <w:bottom w:type="dxa" w:w="60"/>
              <w:right w:type="dxa" w:w="100"/>
            </w:tcMar>
            <w:vAlign w:val="top"/>
          </w:tcPr>
          <w:p>
            <w:r>
              <w:rPr>
                <w:sz w:val="16"/>
                <w:szCs w:val="16"/>
              </w:rPr>
              <w:t xml:space="preserve">75.5% / 81.0%</w:t>
            </w:r>
          </w:p>
        </w:tc>
        <w:tc>
          <w:tcPr>
            <w:tcW w:type="dxa" w:w="1560"/>
            <w:shd w:fill="F7F9FC" w:color="auto" w:val="clear"/>
            <w:tcMar>
              <w:top w:type="dxa" w:w="60"/>
              <w:left w:type="dxa" w:w="100"/>
              <w:bottom w:type="dxa" w:w="60"/>
              <w:right w:type="dxa" w:w="100"/>
            </w:tcMar>
            <w:vAlign w:val="top"/>
          </w:tcPr>
          <w:p>
            <w:r>
              <w:rPr>
                <w:sz w:val="16"/>
                <w:szCs w:val="16"/>
              </w:rPr>
              <w:t xml:space="preserve">98.7% / 96.5%</w:t>
            </w:r>
          </w:p>
        </w:tc>
        <w:tc>
          <w:tcPr>
            <w:tcW w:type="dxa" w:w="1560"/>
            <w:shd w:fill="F7F9FC" w:color="auto" w:val="clear"/>
            <w:tcMar>
              <w:top w:type="dxa" w:w="60"/>
              <w:left w:type="dxa" w:w="100"/>
              <w:bottom w:type="dxa" w:w="60"/>
              <w:right w:type="dxa" w:w="100"/>
            </w:tcMar>
            <w:vAlign w:val="top"/>
          </w:tcPr>
          <w:p>
            <w:r>
              <w:rPr>
                <w:sz w:val="16"/>
                <w:szCs w:val="16"/>
              </w:rPr>
              <w:t xml:space="preserve">98.7% / 99.6%</w:t>
            </w:r>
          </w:p>
        </w:tc>
        <w:tc>
          <w:tcPr>
            <w:tcW w:type="dxa" w:w="1558"/>
            <w:shd w:fill="F7F9FC" w:color="auto" w:val="clear"/>
            <w:tcMar>
              <w:top w:type="dxa" w:w="60"/>
              <w:left w:type="dxa" w:w="100"/>
              <w:bottom w:type="dxa" w:w="60"/>
              <w:right w:type="dxa" w:w="100"/>
            </w:tcMar>
            <w:vAlign w:val="top"/>
          </w:tcPr>
          <w:p>
            <w:r>
              <w:rPr>
                <w:sz w:val="16"/>
                <w:szCs w:val="16"/>
              </w:rPr>
              <w:t xml:space="preserve">99.9% / 98.5%</w:t>
            </w:r>
          </w:p>
        </w:tc>
      </w:tr>
      <w:tr>
        <w:trPr>
          <w:cantSplit/>
        </w:trPr>
        <w:tc>
          <w:tcPr>
            <w:tcW w:type="dxa" w:w="1700"/>
            <w:tcMar>
              <w:top w:type="dxa" w:w="60"/>
              <w:left w:type="dxa" w:w="100"/>
              <w:bottom w:type="dxa" w:w="60"/>
              <w:right w:type="dxa" w:w="100"/>
            </w:tcMar>
            <w:vAlign w:val="top"/>
          </w:tcPr>
          <w:p>
            <w:r>
              <w:rPr>
                <w:sz w:val="16"/>
                <w:szCs w:val="16"/>
              </w:rPr>
              <w:t xml:space="preserve">Two facies (±0.5)</w:t>
            </w:r>
          </w:p>
        </w:tc>
        <w:tc>
          <w:tcPr>
            <w:tcW w:type="dxa" w:w="1700"/>
            <w:tcMar>
              <w:top w:type="dxa" w:w="60"/>
              <w:left w:type="dxa" w:w="100"/>
              <w:bottom w:type="dxa" w:w="60"/>
              <w:right w:type="dxa" w:w="100"/>
            </w:tcMar>
            <w:vAlign w:val="top"/>
          </w:tcPr>
          <w:p>
            <w:r>
              <w:rPr>
                <w:sz w:val="16"/>
                <w:szCs w:val="16"/>
              </w:rPr>
              <w:t xml:space="preserve">0.48 / 0.48</w:t>
            </w:r>
          </w:p>
        </w:tc>
        <w:tc>
          <w:tcPr>
            <w:tcW w:type="dxa" w:w="1560"/>
            <w:tcMar>
              <w:top w:type="dxa" w:w="60"/>
              <w:left w:type="dxa" w:w="100"/>
              <w:bottom w:type="dxa" w:w="60"/>
              <w:right w:type="dxa" w:w="100"/>
            </w:tcMar>
            <w:vAlign w:val="top"/>
          </w:tcPr>
          <w:p>
            <w:r>
              <w:rPr>
                <w:sz w:val="16"/>
                <w:szCs w:val="16"/>
              </w:rPr>
              <w:t xml:space="preserve">96.0% / 97.3%</w:t>
            </w:r>
          </w:p>
        </w:tc>
        <w:tc>
          <w:tcPr>
            <w:tcW w:type="dxa" w:w="1560"/>
            <w:tcMar>
              <w:top w:type="dxa" w:w="60"/>
              <w:left w:type="dxa" w:w="100"/>
              <w:bottom w:type="dxa" w:w="60"/>
              <w:right w:type="dxa" w:w="100"/>
            </w:tcMar>
            <w:vAlign w:val="top"/>
          </w:tcPr>
          <w:p>
            <w:r>
              <w:rPr>
                <w:sz w:val="16"/>
                <w:szCs w:val="16"/>
              </w:rPr>
              <w:t xml:space="preserve">99.4% / 99.5%</w:t>
            </w:r>
          </w:p>
        </w:tc>
        <w:tc>
          <w:tcPr>
            <w:tcW w:type="dxa" w:w="1560"/>
            <w:tcMar>
              <w:top w:type="dxa" w:w="60"/>
              <w:left w:type="dxa" w:w="100"/>
              <w:bottom w:type="dxa" w:w="60"/>
              <w:right w:type="dxa" w:w="100"/>
            </w:tcMar>
            <w:vAlign w:val="top"/>
          </w:tcPr>
          <w:p>
            <w:r>
              <w:rPr>
                <w:sz w:val="16"/>
                <w:szCs w:val="16"/>
              </w:rPr>
              <w:t xml:space="preserve">99.4% / 99.8%</w:t>
            </w:r>
          </w:p>
        </w:tc>
        <w:tc>
          <w:tcPr>
            <w:tcW w:type="dxa" w:w="1558"/>
            <w:tcMar>
              <w:top w:type="dxa" w:w="60"/>
              <w:left w:type="dxa" w:w="100"/>
              <w:bottom w:type="dxa" w:w="60"/>
              <w:right w:type="dxa" w:w="100"/>
            </w:tcMar>
            <w:vAlign w:val="top"/>
          </w:tcPr>
          <w:p>
            <w:r>
              <w:rPr>
                <w:sz w:val="16"/>
                <w:szCs w:val="16"/>
              </w:rPr>
              <w:t xml:space="preserve">99.6% / 99.1%</w:t>
            </w:r>
          </w:p>
        </w:tc>
      </w:tr>
    </w:tbl>
    <w:p>
      <w:pPr>
        <w:spacing w:after="160"/>
      </w:pPr>
    </w:p>
    <w:p>
      <w:pPr>
        <w:spacing w:after="120"/>
        <w:jc w:val="both"/>
      </w:pPr>
      <w:r>
        <w:t xml:space="preserve">With local heterogeneity, the loss of the salt-mass design grows (75.5% for the risk at A), because the salinity near the toe is more weakly linked to the salinity inland; PRAG-GO with adjoint reaches 99.6% for A or B, and the normal-score variant 99.9% for A. With two facies, the risk depends mainly on one discrete variable, the facies, which almost any well identifies: the exact optimum captures 0.674 of the 0.693 nats available, and all criteria reach at least 96.0% except the ensemble linearization (92.9%, with Spearman only 0.10). When a discrete scenario dominates, goal orientation matters less; when the heterogeneity is continuous and local, it matters more.</w:t>
      </w:r>
    </w:p>
    <w:p>
      <w:pPr>
        <w:spacing w:after="240"/>
      </w:pPr>
    </w:p>
    <w:p>
      <w:pPr>
        <w:pStyle w:val="Heading1"/>
      </w:pPr>
      <w:r>
        <w:rPr>
          <w:color w:val="1F3864"/>
        </w:rPr>
        <w:t xml:space="preserve">6. What we learn</w:t>
      </w:r>
    </w:p>
    <w:p>
      <w:pPr>
        <w:pStyle w:val="ListParagraph"/>
        <w:numPr>
          <w:ilvl w:val="0"/>
          <w:numId w:val="2"/>
        </w:numPr>
        <w:spacing w:after="60"/>
        <w:jc w:val="both"/>
      </w:pPr>
      <w:r>
        <w:rPr>
          <w:b/>
          <w:bCs/>
        </w:rPr>
        <w:t xml:space="preserve">The goal matters.</w:t>
      </w:r>
      <w:r>
        <w:t xml:space="preserve"> The design optimized for the salt mass loses 15.6%–24.5% of the information about the regulatory risk under priors with continuous heterogeneity; with discrete facies the loss drops to 4.0%.</w:t>
      </w:r>
    </w:p>
    <w:p>
      <w:pPr>
        <w:pStyle w:val="ListParagraph"/>
        <w:numPr>
          <w:ilvl w:val="0"/>
          <w:numId w:val="2"/>
        </w:numPr>
        <w:spacing w:after="60"/>
        <w:jc w:val="both"/>
      </w:pPr>
      <w:r>
        <w:rPr>
          <w:b/>
          <w:bCs/>
        </w:rPr>
        <w:t xml:space="preserve">Theorem 1 survives the nonlinearity.</w:t>
      </w:r>
      <w:r>
        <w:t xml:space="preserve"> For a single well, the design for the mean concentration reaches 98.5% or more of the optimum for the risk: when the goal is a single zone, the project's Lemma 1 with the right goal is sufficient.</w:t>
      </w:r>
    </w:p>
    <w:p>
      <w:pPr>
        <w:pStyle w:val="ListParagraph"/>
        <w:numPr>
          <w:ilvl w:val="0"/>
          <w:numId w:val="2"/>
        </w:numPr>
        <w:spacing w:after="60"/>
        <w:jc w:val="both"/>
      </w:pPr>
      <w:r>
        <w:rPr>
          <w:b/>
          <w:bCs/>
        </w:rPr>
        <w:t xml:space="preserve">The closed-form formula with adjoint is the best criterion tested.</w:t>
      </w:r>
      <w:r>
        <w:t xml:space="preserve"> Two-zone PRAG-GO reaches 100.0%, 99.6% and 99.8% of the exact optimum, at the cost of one formula evaluation per design, with no ensemble.</w:t>
      </w:r>
    </w:p>
    <w:p>
      <w:pPr>
        <w:pStyle w:val="ListParagraph"/>
        <w:numPr>
          <w:ilvl w:val="0"/>
          <w:numId w:val="2"/>
        </w:numPr>
        <w:spacing w:after="60"/>
        <w:jc w:val="both"/>
      </w:pPr>
      <w:r>
        <w:rPr>
          <w:b/>
          <w:bCs/>
        </w:rPr>
        <w:t xml:space="preserve">Local linearization can be better than global linearization.</w:t>
      </w:r>
      <w:r>
        <w:t xml:space="preserve"> The ensemble moments lose 7–15%, because salinity is bounded and saturates near zero; the normal-score transform partly corrects this, and the correction is valid only for threshold goals.</w:t>
      </w:r>
    </w:p>
    <w:p>
      <w:pPr>
        <w:pStyle w:val="ListParagraph"/>
        <w:numPr>
          <w:ilvl w:val="0"/>
          <w:numId w:val="2"/>
        </w:numPr>
        <w:spacing w:after="60"/>
        <w:jc w:val="both"/>
      </w:pPr>
      <w:r>
        <w:rPr>
          <w:b/>
          <w:bCs/>
        </w:rPr>
        <w:t xml:space="preserve">Where to measure.</w:t>
      </w:r>
      <w:r>
        <w:t xml:space="preserve"> PRAG-GO selects wells that span the mixing zone from the 1% isochlor to the toe, the salt-mass design only near the toe, and the ensemble linearization near the 1% isochlor, where the measurement is often zero.</w:t>
      </w:r>
    </w:p>
    <w:p>
      <w:pPr>
        <w:spacing w:after="240"/>
      </w:pPr>
    </w:p>
    <w:p>
      <w:pPr>
        <w:pStyle w:val="Heading1"/>
      </w:pPr>
      <w:r>
        <w:rPr>
          <w:color w:val="1F3864"/>
        </w:rPr>
        <w:t xml:space="preserve">7. Next steps</w:t>
      </w:r>
    </w:p>
    <w:p>
      <w:pPr>
        <w:pStyle w:val="ListParagraph"/>
        <w:numPr>
          <w:ilvl w:val="0"/>
          <w:numId w:val="4"/>
        </w:numPr>
        <w:spacing w:after="60"/>
        <w:jc w:val="both"/>
      </w:pPr>
      <w:r>
        <w:rPr>
          <w:b/>
          <w:bCs/>
        </w:rPr>
        <w:t xml:space="preserve">Code in the project:</w:t>
      </w:r>
      <w:r>
        <w:t xml:space="preserve"> the PRAG-GO formula requires only </w:t>
      </w:r>
      <m:oMath>
        <m:sSub>
          <m:e>
            <m:r>
              <m:t>K</m:t>
            </m:r>
          </m:e>
          <m:sub>
            <m:r>
              <m:t>d</m:t>
            </m:r>
          </m:sub>
        </m:sSub>
      </m:oMath>
      <w:r>
        <w:t xml:space="preserve"> and the moments of the two goals, which eig_operator.m already computes; a single new MATLAB function with Gauss–Hermite quadrature and </w:t>
      </w:r>
      <m:oMath>
        <m:sSub>
          <m:e>
            <m:r>
              <m:t>Φ</m:t>
            </m:r>
          </m:e>
          <m:sub>
            <m:r>
              <m:t>2</m:t>
            </m:r>
          </m:sub>
        </m:sSub>
      </m:oMath>
      <w:r>
        <w:t xml:space="preserve"> is enough.</w:t>
      </w:r>
    </w:p>
    <w:p>
      <w:pPr>
        <w:pStyle w:val="ListParagraph"/>
        <w:numPr>
          <w:ilvl w:val="0"/>
          <w:numId w:val="4"/>
        </w:numPr>
        <w:spacing w:after="60"/>
        <w:jc w:val="both"/>
      </w:pPr>
      <w:r>
        <w:rPr>
          <w:b/>
          <w:bCs/>
        </w:rPr>
        <w:t xml:space="preserve">Fushë-Kuqe:</w:t>
      </w:r>
      <w:r>
        <w:t xml:space="preserve"> the 250 mg/L chloride threshold in the supply-well zones, with the 32 candidate wells and the current design (5 monitoring wells and 3 MAR sites) as the reference.</w:t>
      </w:r>
    </w:p>
    <w:p>
      <w:pPr>
        <w:pStyle w:val="ListParagraph"/>
        <w:numPr>
          <w:ilvl w:val="0"/>
          <w:numId w:val="4"/>
        </w:numPr>
        <w:spacing w:after="60"/>
        <w:jc w:val="both"/>
      </w:pPr>
      <w:r>
        <w:rPr>
          <w:b/>
          <w:bCs/>
        </w:rPr>
        <w:t xml:space="preserve">Facies-aware prior:</w:t>
      </w:r>
      <w:r>
        <w:t xml:space="preserve"> when the facies are recognized, PRAG-GO is computed as a mixture of the closed-form formulas, one for each scenario, instead of the pooled Gaussian approximation.</w:t>
      </w:r>
    </w:p>
    <w:p>
      <w:pPr>
        <w:pStyle w:val="ListParagraph"/>
        <w:numPr>
          <w:ilvl w:val="0"/>
          <w:numId w:val="4"/>
        </w:numPr>
        <w:spacing w:after="60"/>
        <w:jc w:val="both"/>
      </w:pPr>
      <w:r>
        <w:rPr>
          <w:b/>
          <w:bCs/>
        </w:rPr>
        <w:t xml:space="preserve">Sensitivity to noise and threshold:</w:t>
      </w:r>
      <w:r>
        <w:t xml:space="preserve"> </w:t>
      </w:r>
      <m:oMath>
        <m:sSub>
          <m:e>
            <m:r>
              <m:t>σ</m:t>
            </m:r>
          </m:e>
          <m:sub>
            <m:r>
              <m:t>ε</m:t>
            </m:r>
          </m:sub>
        </m:sSub>
        <m:r>
          <m:rPr>
            <m:sty m:val="p"/>
          </m:rPr>
          <m:t>=</m:t>
        </m:r>
        <m:r>
          <m:t>0.005</m:t>
        </m:r>
      </m:oMath>
      <w:r>
        <w:t xml:space="preserve"> and </w:t>
      </w:r>
      <m:oMath>
        <m:r>
          <m:t>0.02</m:t>
        </m:r>
      </m:oMath>
      <w:r>
        <w:t xml:space="preserve">, and thresholds from 0.5% to 5%.</w:t>
      </w:r>
    </w:p>
    <w:p>
      <w:pPr>
        <w:spacing w:after="240"/>
      </w:pPr>
    </w:p>
    <w:p>
      <w:pPr>
        <w:pStyle w:val="Heading1"/>
      </w:pPr>
      <w:r>
        <w:rPr>
          <w:color w:val="1F3864"/>
        </w:rPr>
        <w:t xml:space="preserve">8. References</w:t>
      </w:r>
    </w:p>
    <w:p>
      <w:pPr>
        <w:tabs>
          <w:tab w:val="left" w:pos="567"/>
        </w:tabs>
        <w:spacing w:after="90"/>
        <w:ind w:left="567" w:hanging="567"/>
        <w:jc w:val="left"/>
      </w:pPr>
      <w:r>
        <w:rPr>
          <w:b/>
          <w:bCs/>
          <w:color w:val="1F3864"/>
          <w:sz w:val="19"/>
          <w:szCs w:val="19"/>
        </w:rPr>
        <w:t xml:space="preserve">[B1]	</w:t>
      </w:r>
      <w:r>
        <w:rPr>
          <w:sz w:val="19"/>
          <w:szCs w:val="19"/>
        </w:rPr>
        <w:t xml:space="preserve">Henry, H. R. (1964). Effects of dispersion on salt encroachment in coastal aquifers. In </w:t>
      </w:r>
      <w:r>
        <w:rPr>
          <w:i/>
          <w:iCs/>
          <w:sz w:val="19"/>
          <w:szCs w:val="19"/>
        </w:rPr>
        <w:t xml:space="preserve">Sea Water in Coastal Aquifers</w:t>
      </w:r>
      <w:r>
        <w:rPr>
          <w:sz w:val="19"/>
          <w:szCs w:val="19"/>
        </w:rPr>
        <w:t xml:space="preserve">, U.S. Geological Survey Water-Supply Paper 1613-C, C70–C84.</w:t>
      </w:r>
    </w:p>
    <w:p>
      <w:pPr>
        <w:tabs>
          <w:tab w:val="left" w:pos="567"/>
        </w:tabs>
        <w:spacing w:after="90"/>
        <w:ind w:left="567" w:hanging="567"/>
        <w:jc w:val="left"/>
      </w:pPr>
      <w:r>
        <w:rPr>
          <w:b/>
          <w:bCs/>
          <w:color w:val="1F3864"/>
          <w:sz w:val="19"/>
          <w:szCs w:val="19"/>
        </w:rPr>
        <w:t xml:space="preserve">[B2]	</w:t>
      </w:r>
      <w:r>
        <w:rPr>
          <w:sz w:val="19"/>
          <w:szCs w:val="19"/>
        </w:rPr>
        <w:t xml:space="preserve">Voss, C. I. &amp; Souza, W. R. (1987). Variable density flow and solute transport simulation of regional aquifers containing a narrow freshwater–saltwater transition zone. </w:t>
      </w:r>
      <w:r>
        <w:rPr>
          <w:i/>
          <w:iCs/>
          <w:sz w:val="19"/>
          <w:szCs w:val="19"/>
        </w:rPr>
        <w:t xml:space="preserve">Water Resources Research</w:t>
      </w:r>
      <w:r>
        <w:rPr>
          <w:sz w:val="19"/>
          <w:szCs w:val="19"/>
        </w:rPr>
        <w:t xml:space="preserve">, 23(10), 1851–1866.</w:t>
      </w:r>
      <w:r>
        <w:rPr>
          <w:sz w:val="19"/>
          <w:szCs w:val="19"/>
        </w:rPr>
        <w:t xml:space="preserve"> </w:t>
      </w:r>
      <w:hyperlink w:history="1" r:id="rIdl2cehlv_p99oq-qvgxxee">
        <w:r>
          <w:rPr>
            <w:color w:val="1D4ED8"/>
            <w:sz w:val="19"/>
            <w:szCs w:val="19"/>
            <w:u w:val="single"/>
          </w:rPr>
          <w:t xml:space="preserve">https://doi.org/10.1029/WR023i010p01851</w:t>
        </w:r>
      </w:hyperlink>
    </w:p>
    <w:p>
      <w:pPr>
        <w:tabs>
          <w:tab w:val="left" w:pos="567"/>
        </w:tabs>
        <w:spacing w:after="90"/>
        <w:ind w:left="567" w:hanging="567"/>
        <w:jc w:val="left"/>
      </w:pPr>
      <w:r>
        <w:rPr>
          <w:b/>
          <w:bCs/>
          <w:color w:val="1F3864"/>
          <w:sz w:val="19"/>
          <w:szCs w:val="19"/>
        </w:rPr>
        <w:t xml:space="preserve">[B3]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o8kxva4mrjzoum1rpqiwa">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[B4]	</w:t>
      </w:r>
      <w:r>
        <w:rPr>
          <w:sz w:val="19"/>
          <w:szCs w:val="19"/>
        </w:rPr>
        <w:t xml:space="preserve">Blackwell, D. (1953). Equivalent comparisons of experiments. </w:t>
      </w:r>
      <w:r>
        <w:rPr>
          <w:i/>
          <w:iCs/>
          <w:sz w:val="19"/>
          <w:szCs w:val="19"/>
        </w:rPr>
        <w:t xml:space="preserve">The Annals of Mathematical Statistics</w:t>
      </w:r>
      <w:r>
        <w:rPr>
          <w:sz w:val="19"/>
          <w:szCs w:val="19"/>
        </w:rPr>
        <w:t xml:space="preserve">, 24(2), 265–272.</w:t>
      </w:r>
      <w:r>
        <w:rPr>
          <w:sz w:val="19"/>
          <w:szCs w:val="19"/>
        </w:rPr>
        <w:t xml:space="preserve"> </w:t>
      </w:r>
      <w:hyperlink w:history="1" r:id="rIdju66u2coauv-bqdxlo_bi">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[B5]	</w:t>
      </w:r>
      <w:r>
        <w:rPr>
          <w:sz w:val="19"/>
          <w:szCs w:val="19"/>
        </w:rPr>
        <w:t xml:space="preserve">Leube, P. C., Geiges, A. &amp; Nowak, W. (2012). Bayesian assessment of the expected data impact on prediction confidence in optimal sampling design. </w:t>
      </w:r>
      <w:r>
        <w:rPr>
          <w:i/>
          <w:iCs/>
          <w:sz w:val="19"/>
          <w:szCs w:val="19"/>
        </w:rPr>
        <w:t xml:space="preserve">Water Resources Research</w:t>
      </w:r>
      <w:r>
        <w:rPr>
          <w:sz w:val="19"/>
          <w:szCs w:val="19"/>
        </w:rPr>
        <w:t xml:space="preserve">, 48(2), W02501.</w:t>
      </w:r>
      <w:r>
        <w:rPr>
          <w:sz w:val="19"/>
          <w:szCs w:val="19"/>
        </w:rPr>
        <w:t xml:space="preserve"> </w:t>
      </w:r>
      <w:hyperlink w:history="1" r:id="rId35tjgw2vg44h0yrgji4mw">
        <w:r>
          <w:rPr>
            <w:color w:val="1D4ED8"/>
            <w:sz w:val="19"/>
            <w:szCs w:val="19"/>
            <w:u w:val="single"/>
          </w:rPr>
          <w:t xml:space="preserve">https://doi.org/10.1029/2010WR010137</w:t>
        </w:r>
      </w:hyperlink>
    </w:p>
    <w:p>
      <w:pPr>
        <w:tabs>
          <w:tab w:val="left" w:pos="567"/>
        </w:tabs>
        <w:spacing w:after="90"/>
        <w:ind w:left="567" w:hanging="567"/>
        <w:jc w:val="left"/>
      </w:pPr>
      <w:r>
        <w:rPr>
          <w:b/>
          <w:bCs/>
          <w:color w:val="1F3864"/>
          <w:sz w:val="19"/>
          <w:szCs w:val="19"/>
        </w:rPr>
        <w:t xml:space="preserve">[B6]	</w:t>
      </w:r>
      <w:r>
        <w:rPr>
          <w:sz w:val="19"/>
          <w:szCs w:val="19"/>
        </w:rPr>
        <w:t xml:space="preserve">Zeqiraj, D. (2026). Goal-oriented Bayesian experimental design for variable-density seawater intrusion. Submitted to </w:t>
      </w:r>
      <w:r>
        <w:rPr>
          <w:i/>
          <w:iCs/>
          <w:sz w:val="19"/>
          <w:szCs w:val="19"/>
        </w:rPr>
        <w:t xml:space="preserve">Journal of Hydrology</w:t>
      </w:r>
      <w:r>
        <w:rPr>
          <w:sz w:val="19"/>
          <w:szCs w:val="19"/>
        </w:rPr>
        <w:t xml:space="preserve">; code: SWI-Goal-OED.</w:t>
      </w:r>
    </w:p>
    <w:p>
      <w:pPr>
        <w:spacing w:after="200"/>
      </w:pPr>
    </w:p>
    <w:p>
      <w:pPr>
        <w:spacing w:after="120"/>
      </w:pPr>
      <w:r>
        <w:rPr>
          <w:i/>
          <w:iCs/>
          <w:color w:val="5B6573"/>
          <w:sz w:val="18"/>
          <w:szCs w:val="18"/>
        </w:rPr>
        <w:t xml:space="preserve">Note on reliability: all results are synthetic, on the 41 × 21 Henry problem, with two supply wells, noise </w:t>
      </w:r>
      <m:oMath>
        <m:sSub>
          <m:e>
            <m:r>
              <m:t>σ</m:t>
            </m:r>
          </m:e>
          <m:sub>
            <m:r>
              <m:t>ε</m:t>
            </m:r>
          </m:sub>
        </m:sSub>
        <m:r>
          <m:rPr>
            <m:sty m:val="p"/>
          </m:rPr>
          <m:t>=</m:t>
        </m:r>
        <m:r>
          <m:t>0.01</m:t>
        </m:r>
      </m:oMath>
      <w:r>
        <w:rPr>
          <w:i/>
          <w:iCs/>
          <w:color w:val="5B6573"/>
          <w:sz w:val="18"/>
          <w:szCs w:val="18"/>
        </w:rPr>
        <w:t xml:space="preserve">, a 1% threshold and 3-point designs. The solver is a Python port of the project's MATLAB scripts and exactly reproduces the README numbers; the adjoint sensitivities were checked with finite differences (relative error </w:t>
      </w:r>
      <m:oMath>
        <m:r>
          <m:t>1.6</m:t>
        </m:r>
        <m:r>
          <m:rPr>
            <m:sty m:val="p"/>
          </m:rPr>
          <m:t>⋅</m:t>
        </m:r>
        <m:sSup>
          <m:e>
            <m:r>
              <m:t>10</m:t>
            </m:r>
          </m:e>
          <m:sup>
            <m:r>
              <m:rPr>
                <m:sty m:val="p"/>
              </m:rPr>
              <m:t>−</m:t>
            </m:r>
            <m:r>
              <m:t>4</m:t>
            </m:r>
          </m:sup>
        </m:sSup>
      </m:oMath>
      <w:r>
        <w:rPr>
          <w:i/>
          <w:iCs/>
          <w:color w:val="5B6573"/>
          <w:sz w:val="18"/>
          <w:szCs w:val="18"/>
        </w:rPr>
        <w:t xml:space="preserve">). The exact EIG is estimated by reweighting: the effective sample size at the optimum was about 2,000 for the Gaussian and local priors, but only 67–120 for the facies prior, where the posterior is very narrow; the check with independent halves confirmed the ranking in all three cases. The code and the full table of numbers are in experiments/prag_go_henry in the repository.</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Research note · PRAG-GO on the Henry problem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2cehlv_p99oq-qvgxxee" Type="http://schemas.openxmlformats.org/officeDocument/2006/relationships/hyperlink" Target="https://doi.org/10.1029/WR023i010p01851" TargetMode="External"/><Relationship Id="rIdo8kxva4mrjzoum1rpqiwa" Type="http://schemas.openxmlformats.org/officeDocument/2006/relationships/hyperlink" Target="https://doi.org/10.1214/aoms/1177728069" TargetMode="External"/><Relationship Id="rIdju66u2coauv-bqdxlo_bi" Type="http://schemas.openxmlformats.org/officeDocument/2006/relationships/hyperlink" Target="https://doi.org/10.1214/aoms/1177729032" TargetMode="External"/><Relationship Id="rId35tjgw2vg44h0yrgji4mw" Type="http://schemas.openxmlformats.org/officeDocument/2006/relationships/hyperlink" Target="https://doi.org/10.1029/2010WR010137" TargetMode="External"/><Relationship Id="rId11" Type="http://schemas.openxmlformats.org/officeDocument/2006/relationships/image" Target="media/cdcd802fc2a7f7a4991435c1f46c803bcd4f31f8.png"/><Relationship Id="rId12" Type="http://schemas.openxmlformats.org/officeDocument/2006/relationships/image" Target="media/ec58444d10ca44ee913f373ffdb424d300ae594b.png"/><Relationship Id="rId13" Type="http://schemas.openxmlformats.org/officeDocument/2006/relationships/image" Target="media/3823a88d4aa7a7e4a20225edde3bb1e6951ab69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PRAG-GO on the Henry problem</dc:title>
  <dc:creator>D. Zeqiraj</dc:creator>
  <dc:description>Design oriented to the risk of exceeding a salinity threshold, tested with the variable-density solver of the SWI-Goal-OED project</dc:description>
  <cp:lastModifiedBy>Un-named</cp:lastModifiedBy>
  <cp:revision>1</cp:revision>
  <dcterms:created xsi:type="dcterms:W3CDTF">2026-10-19T13:30:13.405Z</dcterms:created>
  <dcterms:modified xsi:type="dcterms:W3CDTF">2026-10-19T13:30:13.405Z</dcterms:modified>
</cp:coreProperties>
</file>

<file path=docProps/custom.xml><?xml version="1.0" encoding="utf-8"?>
<Properties xmlns="http://schemas.openxmlformats.org/officeDocument/2006/custom-properties" xmlns:vt="http://schemas.openxmlformats.org/officeDocument/2006/docPropsVTypes"/>
</file>