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RESEARCH NOTE · TWO INNOVATIONS TESTED</w:t>
      </w:r>
    </w:p>
    <w:p>
      <w:pPr>
        <w:pBdr>
          <w:bottom w:val="single" w:color="1F3864" w:sz="12" w:space="8"/>
        </w:pBdr>
        <w:spacing w:after="240"/>
      </w:pPr>
      <w:r>
        <w:rPr>
          <w:b/>
          <w:bCs/>
          <w:color w:val="1F3864"/>
          <w:sz w:val="52"/>
          <w:szCs w:val="52"/>
        </w:rPr>
        <w:t xml:space="preserve">PRAG-GO and PRAG-MAR at Fushë-Kuqe</w:t>
      </w:r>
    </w:p>
    <w:p>
      <w:pPr>
        <w:spacing w:after="360"/>
      </w:pPr>
      <w:r>
        <w:rPr>
          <w:color w:val="3A4350"/>
          <w:sz w:val="26"/>
          <w:szCs w:val="26"/>
        </w:rPr>
        <w:t xml:space="preserve">Monitoring and managed aquifer recharge oriented to the salinization risk of supply wells, tested in the field model of the SWI-Goal-OED project</w:t>
      </w:r>
    </w:p>
    <w:p>
      <w:pPr>
        <w:spacing w:after="360"/>
      </w:pPr>
      <w:r>
        <w:rPr>
          <w:b/>
          <w:bCs/>
          <w:color w:val="92400E"/>
          <w:sz w:val="22"/>
          <w:szCs w:val="22"/>
        </w:rPr>
        <w:t xml:space="preserve">Real polygon 349 km² · 5 589 cells · 14 000 solves per prior · 142 506 designs with 5 wells · exact EIG</w:t>
      </w:r>
    </w:p>
    <w:p>
      <w:pPr>
        <w:pBdr>
          <w:left w:val="single" w:color="1F3864" w:sz="24" w:space="6"/>
        </w:pBdr>
        <w:shd w:fill="EEF3FA" w:color="auto" w:val="clear"/>
        <w:spacing w:after="220" w:before="120" w:line="276" w:lineRule="auto"/>
        <w:ind w:left="140" w:right="60"/>
        <w:jc w:val="both"/>
      </w:pPr>
      <w:r>
        <w:rPr>
          <w:b/>
          <w:bCs/>
          <w:color w:val="1F3864"/>
        </w:rPr>
        <w:t xml:space="preserve">SUMMARY  </w:t>
      </w:r>
      <w:r>
        <w:rPr>
          <w:b/>
          <w:bCs/>
        </w:rPr>
        <w:t xml:space="preserve">Question:</w:t>
      </w:r>
      <w:r>
        <w:t xml:space="preserve"> do the monitoring wells and MAR sites chosen for the intruded area also serve the regulatory question “will the supply wells be salinized?” </w:t>
      </w:r>
      <w:r>
        <w:rPr>
          <w:b/>
          <w:bCs/>
        </w:rPr>
        <w:t xml:space="preserve">Method:</w:t>
      </w:r>
      <w:r>
        <w:t xml:space="preserve"> the project's field model, ported to Python and checked against the published numbers (92.7 km²; P21, A12, A13, A21, A10). Two real wells serve as supply wells, A23 in the north and R16 in the south, and the exact EIG, without linearization, is computed over all designs. </w:t>
      </w:r>
      <w:r>
        <w:rPr>
          <w:b/>
          <w:bCs/>
        </w:rPr>
        <w:t xml:space="preserve">Result:</w:t>
      </w:r>
      <w:r>
        <w:t xml:space="preserve"> Theorem 1 holds, because the design for the area is optimal for the area threshold. The published design nevertheless captures only 57% of the information for the risk at A23 and 82% for “A23 or R16”. PRAG-GO selects the best design found for “A23 or R16”. PRAG-MAR lowers the risk from 0.79 to 0.04 with the same water.</w:t>
      </w:r>
    </w:p>
    <w:p>
      <w:pPr>
        <w:spacing w:after="80" w:before="240"/>
      </w:pPr>
      <w:r>
        <w:rPr>
          <w:b/>
          <w:bCs/>
          <w:color w:val="1F3864"/>
        </w:rPr>
        <w:t xml:space="preserve">Contents</w:t>
      </w:r>
    </w:p>
    <w:p>
      <w:pPr>
        <w:pStyle w:val="ListParagraph"/>
        <w:numPr>
          <w:ilvl w:val="0"/>
          <w:numId w:val="2"/>
        </w:numPr>
        <w:spacing w:after="60"/>
        <w:jc w:val="both"/>
      </w:pPr>
      <w:r>
        <w:rPr>
          <w:b/>
          <w:bCs/>
        </w:rPr>
        <w:t xml:space="preserve">Model:</w:t>
      </w:r>
      <w:r>
        <w:t xml:space="preserve"> port of the field model and reproduction of the published design.</w:t>
      </w:r>
    </w:p>
    <w:p>
      <w:pPr>
        <w:pStyle w:val="ListParagraph"/>
        <w:numPr>
          <w:ilvl w:val="0"/>
          <w:numId w:val="2"/>
        </w:numPr>
        <w:spacing w:after="60"/>
        <w:jc w:val="both"/>
      </w:pPr>
      <w:r>
        <w:rPr>
          <w:b/>
          <w:bCs/>
        </w:rPr>
        <w:t xml:space="preserve">Experiment:</w:t>
      </w:r>
      <w:r>
        <w:t xml:space="preserve"> the supply wells, three binary goals, the criteria and the exact estimator.</w:t>
      </w:r>
    </w:p>
    <w:p>
      <w:pPr>
        <w:pStyle w:val="ListParagraph"/>
        <w:numPr>
          <w:ilvl w:val="0"/>
          <w:numId w:val="2"/>
        </w:numPr>
        <w:spacing w:after="60"/>
        <w:jc w:val="both"/>
      </w:pPr>
      <w:r>
        <w:rPr>
          <w:b/>
          <w:bCs/>
        </w:rPr>
        <w:t xml:space="preserve">Results:</w:t>
      </w:r>
      <w:r>
        <w:t xml:space="preserve"> the 3- and 5-well designs, the convergence check and two other priors.</w:t>
      </w:r>
    </w:p>
    <w:p>
      <w:pPr>
        <w:pStyle w:val="ListParagraph"/>
        <w:numPr>
          <w:ilvl w:val="0"/>
          <w:numId w:val="2"/>
        </w:numPr>
        <w:spacing w:after="60"/>
        <w:jc w:val="both"/>
      </w:pPr>
      <w:r>
        <w:rPr>
          <w:b/>
          <w:bCs/>
        </w:rPr>
        <w:t xml:space="preserve">PRAG-MAR:</w:t>
      </w:r>
      <w:r>
        <w:t xml:space="preserve"> the closed-form formula for the recharge sites and its exact evaluation.</w:t>
      </w:r>
    </w:p>
    <w:p>
      <w:pPr>
        <w:spacing w:before="600"/>
      </w:pPr>
      <w:r>
        <w:rPr>
          <w:color w:val="5B6573"/>
          <w:sz w:val="20"/>
          <w:szCs w:val="20"/>
        </w:rPr>
        <w:t xml:space="preserve">Date: October 12, 2026  ·  Follow-up to the note “PRAG-GO on the Henry problem”</w:t>
      </w:r>
    </w:p>
    <w:p>
      <w:pPr>
        <w:pStyle w:val="Heading1"/>
        <w:pageBreakBefore/>
      </w:pPr>
      <w:r>
        <w:rPr>
          <w:color w:val="1F3864"/>
        </w:rPr>
        <w:t xml:space="preserve">1. The question and the short answer</w:t>
      </w:r>
    </w:p>
    <w:p>
      <w:pPr>
        <w:spacing w:after="120"/>
        <w:jc w:val="both"/>
      </w:pPr>
      <w:r>
        <w:t xml:space="preserve">The previous note tested PRAG-GO on the Henry problem: when the goal is the exceedance of a salinity threshold at the supply wells, the design optimized for the salt mass loses 16–25% of the information, while the closed-form PRAG-GO formula reaches 99.6–100% of the exact optimum. The next step was the field. At Fushë-Kuqe the project uses a confined flow model on the real polygon (349 km²) and selects 5 monitoring wells that are informative about the intruded area, as well as 3 managed aquifer recharge (MAR) sites that reduce it. This note asks the same questions of this model:</w:t>
      </w:r>
    </w:p>
    <w:p>
      <w:pPr>
        <w:pStyle w:val="ListParagraph"/>
        <w:numPr>
          <w:ilvl w:val="0"/>
          <w:numId w:val="3"/>
        </w:numPr>
        <w:spacing w:after="60"/>
        <w:jc w:val="both"/>
      </w:pPr>
      <w:r>
        <w:rPr>
          <w:b/>
          <w:bCs/>
        </w:rPr>
        <w:t xml:space="preserve">Does Theorem 1 hold for the project's own goal?</w:t>
      </w:r>
      <w:r>
        <w:t xml:space="preserve"> If the area is turned into a threshold (does it exceed 100 km²?), does the Lemma 1 design for the area remain optimal?</w:t>
      </w:r>
    </w:p>
    <w:p>
      <w:pPr>
        <w:pStyle w:val="ListParagraph"/>
        <w:numPr>
          <w:ilvl w:val="0"/>
          <w:numId w:val="3"/>
        </w:numPr>
        <w:spacing w:after="60"/>
        <w:jc w:val="both"/>
      </w:pPr>
      <w:r>
        <w:rPr>
          <w:b/>
          <w:bCs/>
        </w:rPr>
        <w:t xml:space="preserve">How much information do the published wells provide about the supply wells?</w:t>
      </w:r>
      <w:r>
        <w:t xml:space="preserve"> The regulatory question is whether the saltwater interface reaches the aquifer base beneath a supply well.</w:t>
      </w:r>
    </w:p>
    <w:p>
      <w:pPr>
        <w:pStyle w:val="ListParagraph"/>
        <w:numPr>
          <w:ilvl w:val="0"/>
          <w:numId w:val="3"/>
        </w:numPr>
        <w:spacing w:after="60"/>
        <w:jc w:val="both"/>
      </w:pPr>
      <w:r>
        <w:rPr>
          <w:b/>
          <w:bCs/>
        </w:rPr>
        <w:t xml:space="preserve">Does PRAG-GO find the exact optimal design in the field?</w:t>
      </w:r>
      <w:r>
        <w:t xml:space="preserve"> The designs are compared using the exact EIG, without linearization.</w:t>
      </w:r>
    </w:p>
    <w:p>
      <w:pPr>
        <w:pStyle w:val="ListParagraph"/>
        <w:numPr>
          <w:ilvl w:val="0"/>
          <w:numId w:val="3"/>
        </w:numPr>
        <w:spacing w:after="60"/>
        <w:jc w:val="both"/>
      </w:pPr>
      <w:r>
        <w:rPr>
          <w:b/>
          <w:bCs/>
        </w:rPr>
        <w:t xml:space="preserve">Should the MAR location change as well?</w:t>
      </w:r>
      <w:r>
        <w:t xml:space="preserve"> The question arises when the goal of recharge is to protect the wells rather than to reduce the area. PRAG-MAR is proposed for this purpose.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In the Fushë-Kuqe field model, the published 5-well monitoring design captures 86% of the information for the project question (does the intruded area exceed 100 km²?), but only 57% for the salinization risk of well A23 and 82% for “A23 or R16”. The closed-form PRAG-GO formula selects the best design found for “A23 or R16”. PRAG-MAR, a new formula with two adjoint solves, uses the same water to lower the probability that either well is salinized from 0.79 to 0.04, versus 0.62 with the published MAR sites.</w:t>
      </w:r>
    </w:p>
    <w:p>
      <w:pPr>
        <w:spacing w:after="240"/>
      </w:pPr>
    </w:p>
    <w:p>
      <w:pPr>
        <w:pStyle w:val="Heading1"/>
      </w:pPr>
      <w:r>
        <w:rPr>
          <w:color w:val="1F3864"/>
        </w:rPr>
        <w:t xml:space="preserve">2. The field model and its reproduction</w:t>
      </w:r>
    </w:p>
    <w:p>
      <w:pPr>
        <w:spacing w:after="120"/>
        <w:jc w:val="both"/>
      </w:pPr>
      <w:r>
        <w:t xml:space="preserve">We ported the project's shared script src/fushe_kuqe_field_design.m to Python, line by line. The geometry uses the polygon with 3 411 vertices and a grid with 0.25 km spacing. The hydraulic conductivity </w:t>
      </w:r>
      <m:oMath>
        <m:sSub>
          <m:e>
            <m:r>
              <m:t>K</m:t>
            </m:r>
          </m:e>
          <m:sub>
            <m:r>
              <m:t>0</m:t>
            </m:r>
          </m:sub>
        </m:sSub>
      </m:oMath>
      <w:r>
        <w:t xml:space="preserve"> is interpolated by IDW from the 43 wells with </w:t>
      </w:r>
      <m:oMath>
        <m:r>
          <m:t>K</m:t>
        </m:r>
      </m:oMath>
      <w:r>
        <w:t xml:space="preserve"> measurements, and the coastline is the westernmost cell of each row, with </w:t>
      </w:r>
      <m:oMath>
        <m:r>
          <m:t>h</m:t>
        </m:r>
        <m:r>
          <m:rPr>
            <m:sty m:val="p"/>
          </m:rPr>
          <m:t>=</m:t>
        </m:r>
        <m:r>
          <m:t>0</m:t>
        </m:r>
      </m:oMath>
      <w:r>
        <w:t xml:space="preserve">. Flow is steady in a confined aquifer of thickness </w:t>
      </w:r>
      <m:oMath>
        <m:r>
          <m:t>b</m:t>
        </m:r>
        <m:r>
          <m:rPr>
            <m:sty m:val="p"/>
          </m:rPr>
          <m:t>=</m:t>
        </m:r>
        <m:r>
          <m:t>30</m:t>
        </m:r>
      </m:oMath>
      <w:r>
        <w:t xml:space="preserve"> m with recharge </w:t>
      </w:r>
      <m:oMath>
        <m:r>
          <m:t>R</m:t>
        </m:r>
        <m:r>
          <m:rPr>
            <m:sty m:val="p"/>
          </m:rPr>
          <m:t>=</m:t>
        </m:r>
        <m:r>
          <m:t>5</m:t>
        </m:r>
        <m:r>
          <m:rPr>
            <m:sty m:val="p"/>
          </m:rPr>
          <m:t>⋅</m:t>
        </m:r>
        <m:sSup>
          <m:e>
            <m:r>
              <m:t>10</m:t>
            </m:r>
          </m:e>
          <m:sup>
            <m:r>
              <m:rPr>
                <m:sty m:val="p"/>
              </m:rPr>
              <m:t>−</m:t>
            </m:r>
            <m:r>
              <m:t>4</m:t>
            </m:r>
          </m:sup>
        </m:sSup>
      </m:oMath>
      <w:r>
        <w:t xml:space="preserve"> m/day:</w:t>
      </w:r>
    </w:p>
    <w:p>
      <w:pPr>
        <w:pStyle w:val="Equation"/>
      </w:pPr>
      <m:oMathPara>
        <m:oMathParaPr>
          <m:jc m:val="center"/>
        </m:oMathParaPr>
        <m:oMath>
          <m:r>
            <m:rPr>
              <m:sty m:val="p"/>
            </m:rPr>
            <m:t>∇</m:t>
          </m:r>
          <m:r>
            <m:rPr>
              <m:sty m:val="p"/>
            </m:rPr>
            <m:t>⋅</m:t>
          </m:r>
          <m:d>
            <m:dPr>
              <m:begChr m:val="("/>
              <m:sepChr m:val=""/>
              <m:endChr m:val=")"/>
              <m:grow/>
            </m:dPr>
            <m:e>
              <m:r>
                <m:t>T</m:t>
              </m:r>
              <m:r>
                <m:rPr>
                  <m:sty m:val="p"/>
                </m:rPr>
                <m:t>∇</m:t>
              </m:r>
              <m:r>
                <m:t>h</m:t>
              </m:r>
            </m:e>
          </m:d>
          <m:r>
            <m:rPr>
              <m:sty m:val="p"/>
            </m:rPr>
            <m:t>=</m:t>
          </m:r>
          <m:r>
            <m:rPr>
              <m:sty m:val="p"/>
            </m:rPr>
            <m:t>−</m:t>
          </m:r>
          <m:r>
            <m:t>R</m:t>
          </m:r>
          <m:r>
            <m:rPr>
              <m:sty m:val="p"/>
            </m:rPr>
            <m:t>,</m:t>
          </m:r>
          <m:r>
            <m:t>  </m:t>
          </m:r>
          <m:r>
            <m:t>T</m:t>
          </m:r>
          <m:r>
            <m:rPr>
              <m:sty m:val="p"/>
            </m:rPr>
            <m:t>=</m:t>
          </m:r>
          <m:sSub>
            <m:e>
              <m:r>
                <m:t>K</m:t>
              </m:r>
            </m:e>
            <m:sub>
              <m:r>
                <m:t>0</m:t>
              </m:r>
            </m:sub>
          </m:sSub>
          <m:r>
            <m:t> </m:t>
          </m:r>
          <m:r>
            <m:t>b</m:t>
          </m:r>
          <m:r>
            <m:t> </m:t>
          </m:r>
          <m:sSup>
            <m:e>
              <m:r>
                <m:t>e</m:t>
              </m:r>
            </m:e>
            <m:sup>
              <m:sSub>
                <m:e>
                  <m:r>
                    <m:t>θ</m:t>
                  </m:r>
                </m:e>
                <m:sub>
                  <m:r>
                    <m:t>z</m:t>
                  </m:r>
                </m:sub>
              </m:sSub>
            </m:sup>
          </m:sSup>
        </m:oMath>
      </m:oMathPara>
    </w:p>
    <w:p>
      <w:pPr>
        <w:spacing w:after="120"/>
        <w:jc w:val="both"/>
      </w:pPr>
      <w:r>
        <w:t xml:space="preserve">Here </w:t>
      </w:r>
      <m:oMath>
        <m:sSub>
          <m:e>
            <m:r>
              <m:t>θ</m:t>
            </m:r>
          </m:e>
          <m:sub>
            <m:r>
              <m:t>z</m:t>
            </m:r>
          </m:sub>
        </m:sSub>
      </m:oMath>
      <w:r>
        <w:t xml:space="preserve"> is the log-multiplier of pilot zone </w:t>
      </w:r>
      <m:oMath>
        <m:r>
          <m:t>z</m:t>
        </m:r>
      </m:oMath>
      <w:r>
        <w:t xml:space="preserve">. Intrusion is determined by the Ghyben–Herzberg criterion: the interface lies at depth </w:t>
      </w:r>
      <m:oMath>
        <m:r>
          <m:t>ζ</m:t>
        </m:r>
        <m:r>
          <m:rPr>
            <m:sty m:val="p"/>
          </m:rPr>
          <m:t>=</m:t>
        </m:r>
        <m:r>
          <m:t>h</m:t>
        </m:r>
        <m:r>
          <m:rPr>
            <m:sty m:val="p"/>
          </m:rPr>
          <m:t>/</m:t>
        </m:r>
        <m:r>
          <m:t>δ</m:t>
        </m:r>
      </m:oMath>
      <w:r>
        <w:t xml:space="preserve"> below sea level, and saltwater reaches the aquifer base, at depth </w:t>
      </w:r>
      <m:oMath>
        <m:sSub>
          <m:e>
            <m:r>
              <m:t>b</m:t>
            </m:r>
          </m:e>
          <m:sub>
            <m:r>
              <m:t>0</m:t>
            </m:r>
          </m:sub>
        </m:sSub>
        <m:r>
          <m:rPr>
            <m:sty m:val="p"/>
          </m:rPr>
          <m:t>=</m:t>
        </m:r>
        <m:r>
          <m:t>40</m:t>
        </m:r>
      </m:oMath>
      <w:r>
        <w:t xml:space="preserve"> m, when (in meters):</w:t>
      </w:r>
    </w:p>
    <w:p>
      <w:pPr>
        <w:pStyle w:val="Equation"/>
      </w:pPr>
      <m:oMathPara>
        <m:oMathParaPr>
          <m:jc m:val="center"/>
        </m:oMathParaPr>
        <m:oMath>
          <m:sSub>
            <m:e>
              <m:r>
                <m:t>q</m:t>
              </m:r>
            </m:e>
            <m:sub>
              <m:r>
                <m:t>w</m:t>
              </m:r>
            </m:sub>
          </m:sSub>
          <m:r>
            <m:rPr>
              <m:sty m:val="p"/>
            </m:rPr>
            <m:t>=</m:t>
          </m:r>
          <m:r>
            <m:rPr>
              <m:sty m:val="p"/>
            </m:rPr>
            <m:t>I</m:t>
          </m:r>
          <m:d>
            <m:dPr>
              <m:begChr m:val="("/>
              <m:sepChr m:val=""/>
              <m:endChr m:val=")"/>
              <m:grow/>
            </m:dPr>
            <m:e>
              <m:sSub>
                <m:e>
                  <m:r>
                    <m:t>ζ</m:t>
                  </m:r>
                </m:e>
                <m:sub>
                  <m:r>
                    <m:t>w</m:t>
                  </m:r>
                </m:sub>
              </m:sSub>
              <m:r>
                <m:rPr>
                  <m:sty m:val="p"/>
                </m:rPr>
                <m:t>&lt;</m:t>
              </m:r>
              <m:sSub>
                <m:e>
                  <m:r>
                    <m:t>b</m:t>
                  </m:r>
                </m:e>
                <m:sub>
                  <m:r>
                    <m:t>0</m:t>
                  </m:r>
                </m:sub>
              </m:sSub>
            </m:e>
          </m:d>
          <m:r>
            <m:rPr>
              <m:sty m:val="p"/>
            </m:rPr>
            <m:t>=</m:t>
          </m:r>
          <m:r>
            <m:rPr>
              <m:sty m:val="p"/>
            </m:rPr>
            <m:t>I</m:t>
          </m:r>
          <m:d>
            <m:dPr>
              <m:begChr m:val="("/>
              <m:sepChr m:val=""/>
              <m:endChr m:val=")"/>
              <m:grow/>
            </m:dPr>
            <m:e>
              <m:sSub>
                <m:e>
                  <m:r>
                    <m:t>h</m:t>
                  </m:r>
                </m:e>
                <m:sub>
                  <m:r>
                    <m:t>w</m:t>
                  </m:r>
                </m:sub>
              </m:sSub>
              <m:r>
                <m:rPr>
                  <m:sty m:val="p"/>
                </m:rPr>
                <m:t>&lt;</m:t>
              </m:r>
              <m:sSub>
                <m:e>
                  <m:r>
                    <m:t>h</m:t>
                  </m:r>
                </m:e>
                <m:sub>
                  <m:r>
                    <m:t>c</m:t>
                  </m:r>
                </m:sub>
              </m:sSub>
            </m:e>
          </m:d>
          <m:r>
            <m:rPr>
              <m:sty m:val="p"/>
            </m:rPr>
            <m:t>,</m:t>
          </m:r>
          <m:r>
            <m:t>  </m:t>
          </m:r>
          <m:sSub>
            <m:e>
              <m:r>
                <m:t>h</m:t>
              </m:r>
            </m:e>
            <m:sub>
              <m:r>
                <m:t>c</m:t>
              </m:r>
            </m:sub>
          </m:sSub>
          <m:r>
            <m:rPr>
              <m:sty m:val="p"/>
            </m:rPr>
            <m:t>=</m:t>
          </m:r>
          <m:r>
            <m:t>δ</m:t>
          </m:r>
          <m:r>
            <m:t> </m:t>
          </m:r>
          <m:sSub>
            <m:e>
              <m:r>
                <m:t>b</m:t>
              </m:r>
            </m:e>
            <m:sub>
              <m:r>
                <m:t>0</m:t>
              </m:r>
            </m:sub>
          </m:sSub>
          <m:r>
            <m:rPr>
              <m:sty m:val="p"/>
            </m:rPr>
            <m:t>=</m:t>
          </m:r>
          <m:r>
            <m:t>0.025</m:t>
          </m:r>
          <m:r>
            <m:rPr>
              <m:sty m:val="p"/>
            </m:rPr>
            <m:t>⋅</m:t>
          </m:r>
          <m:r>
            <m:t>40</m:t>
          </m:r>
          <m:r>
            <m:rPr>
              <m:sty m:val="p"/>
            </m:rPr>
            <m:t>=</m:t>
          </m:r>
          <m:r>
            <m:t>1.0</m:t>
          </m:r>
        </m:oMath>
      </m:oMathPara>
    </w:p>
    <w:p>
      <w:pPr>
        <w:spacing w:after="120"/>
        <w:jc w:val="both"/>
      </w:pPr>
      <w:r>
        <w:t xml:space="preserve">The project prior has 12 pilot zones. The facies class of each zone follows from its mean </w:t>
      </w:r>
      <m:oMath>
        <m:r>
          <m:t>K</m:t>
        </m:r>
      </m:oMath>
      <w:r>
        <w:t xml:space="preserve">: 4 zones of coarse gravel and 8 of medium gravel. The covariance is </w:t>
      </w:r>
      <m:oMath>
        <m:sSub>
          <m:e>
            <m:d>
              <m:dPr>
                <m:begChr m:val="("/>
                <m:sepChr m:val=""/>
                <m:endChr m:val=")"/>
                <m:grow/>
              </m:dPr>
              <m:e>
                <m:sSub>
                  <m:e>
                    <m:r>
                      <m:t>Γ</m:t>
                    </m:r>
                  </m:e>
                  <m:sub>
                    <m:r>
                      <m:t>F</m:t>
                    </m:r>
                  </m:sub>
                </m:sSub>
              </m:e>
            </m:d>
          </m:e>
          <m:sub>
            <m:r>
              <m:t>i</m:t>
            </m:r>
            <m:r>
              <m:t>j</m:t>
            </m:r>
          </m:sub>
        </m:sSub>
        <m:r>
          <m:rPr>
            <m:sty m:val="p"/>
          </m:rPr>
          <m:t>=</m:t>
        </m:r>
        <m:sSub>
          <m:e>
            <m:r>
              <m:t>s</m:t>
            </m:r>
          </m:e>
          <m:sub>
            <m:r>
              <m:t>i</m:t>
            </m:r>
          </m:sub>
        </m:sSub>
        <m:sSub>
          <m:e>
            <m:r>
              <m:t>s</m:t>
            </m:r>
          </m:e>
          <m:sub>
            <m:r>
              <m:t>j</m:t>
            </m:r>
          </m:sub>
        </m:sSub>
        <m:r>
          <m:t> </m:t>
        </m:r>
        <m:sSup>
          <m:e>
            <m:r>
              <m:t>e</m:t>
            </m:r>
          </m:e>
          <m:sup>
            <m:r>
              <m:rPr>
                <m:sty m:val="p"/>
              </m:rPr>
              <m:t>−</m:t>
            </m:r>
            <m:sSub>
              <m:e>
                <m:r>
                  <m:t>d</m:t>
                </m:r>
              </m:e>
              <m:sub>
                <m:r>
                  <m:t>i</m:t>
                </m:r>
                <m:r>
                  <m:t>j</m:t>
                </m:r>
              </m:sub>
            </m:sSub>
            <m:r>
              <m:rPr>
                <m:sty m:val="p"/>
              </m:rPr>
              <m:t>/</m:t>
            </m:r>
            <m:sSub>
              <m:e>
                <m:r>
                  <m:t>L</m:t>
                </m:r>
              </m:e>
              <m:sub>
                <m:r>
                  <m:t>c</m:t>
                </m:r>
              </m:sub>
            </m:sSub>
          </m:sup>
        </m:sSup>
        <m:sSub>
          <m:e>
            <m:r>
              <m:t>ρ</m:t>
            </m:r>
          </m:e>
          <m:sub>
            <m:r>
              <m:t>i</m:t>
            </m:r>
            <m:r>
              <m:t>j</m:t>
            </m:r>
          </m:sub>
        </m:sSub>
      </m:oMath>
      <w:r>
        <w:t xml:space="preserve">, where </w:t>
      </w:r>
      <m:oMath>
        <m:sSub>
          <m:e>
            <m:r>
              <m:t>L</m:t>
            </m:r>
          </m:e>
          <m:sub>
            <m:r>
              <m:t>c</m:t>
            </m:r>
          </m:sub>
        </m:sSub>
        <m:r>
          <m:rPr>
            <m:sty m:val="p"/>
          </m:rPr>
          <m:t>=</m:t>
        </m:r>
        <m:r>
          <m:t>8</m:t>
        </m:r>
      </m:oMath>
      <w:r>
        <w:t xml:space="preserve"> km, </w:t>
      </w:r>
      <m:oMath>
        <m:r>
          <m:t>s</m:t>
        </m:r>
        <m:r>
          <m:rPr>
            <m:sty m:val="p"/>
          </m:rPr>
          <m:t>=</m:t>
        </m:r>
        <m:r>
          <m:t>0.30</m:t>
        </m:r>
      </m:oMath>
      <w:r>
        <w:t xml:space="preserve">, </w:t>
      </w:r>
      <m:oMath>
        <m:r>
          <m:t>0.45</m:t>
        </m:r>
      </m:oMath>
      <w:r>
        <w:t xml:space="preserve"> or </w:t>
      </w:r>
      <m:oMath>
        <m:r>
          <m:t>0.60</m:t>
        </m:r>
      </m:oMath>
      <w:r>
        <w:t xml:space="preserve"> depending on the facies, and </w:t>
      </w:r>
      <m:oMath>
        <m:sSub>
          <m:e>
            <m:r>
              <m:t>ρ</m:t>
            </m:r>
          </m:e>
          <m:sub>
            <m:r>
              <m:t>i</m:t>
            </m:r>
            <m:r>
              <m:t>j</m:t>
            </m:r>
          </m:sub>
        </m:sSub>
        <m:r>
          <m:rPr>
            <m:sty m:val="p"/>
          </m:rPr>
          <m:t>=</m:t>
        </m:r>
        <m:sSub>
          <m:e>
            <m:r>
              <m:t>ρ</m:t>
            </m:r>
          </m:e>
          <m:sub>
            <m:r>
              <m:t>F</m:t>
            </m:r>
          </m:sub>
        </m:sSub>
        <m:r>
          <m:rPr>
            <m:sty m:val="p"/>
          </m:rPr>
          <m:t>=</m:t>
        </m:r>
        <m:r>
          <m:t>0.6</m:t>
        </m:r>
      </m:oMath>
      <w:r>
        <w:t xml:space="preserve"> between different facies. The port reproduces the project's published numbers exactly:</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200"/>
        <w:gridCol w:w="3219"/>
        <w:gridCol w:w="3219"/>
      </w:tblGrid>
      <w:tr>
        <w:trPr>
          <w:cantSplit/>
          <w:tblHeader/>
        </w:trPr>
        <w:tc>
          <w:tcPr>
            <w:tcW w:type="dxa" w:w="3200"/>
            <w:shd w:fill="1F3864" w:color="auto" w:val="clear"/>
            <w:tcMar>
              <w:top w:type="dxa" w:w="60"/>
              <w:left w:type="dxa" w:w="100"/>
              <w:bottom w:type="dxa" w:w="60"/>
              <w:right w:type="dxa" w:w="100"/>
            </w:tcMar>
            <w:vAlign w:val="top"/>
          </w:tcPr>
          <w:p>
            <w:r>
              <w:rPr>
                <w:b/>
                <w:bCs/>
                <w:color w:val="FFFFFF"/>
                <w:sz w:val="17"/>
                <w:szCs w:val="17"/>
              </w:rPr>
              <w:t xml:space="preserve">Quantity</w:t>
            </w:r>
          </w:p>
        </w:tc>
        <w:tc>
          <w:tcPr>
            <w:tcW w:type="dxa" w:w="3219"/>
            <w:shd w:fill="1F3864" w:color="auto" w:val="clear"/>
            <w:tcMar>
              <w:top w:type="dxa" w:w="60"/>
              <w:left w:type="dxa" w:w="100"/>
              <w:bottom w:type="dxa" w:w="60"/>
              <w:right w:type="dxa" w:w="100"/>
            </w:tcMar>
            <w:vAlign w:val="top"/>
          </w:tcPr>
          <w:p>
            <w:r>
              <w:rPr>
                <w:b/>
                <w:bCs/>
                <w:color w:val="FFFFFF"/>
                <w:sz w:val="17"/>
                <w:szCs w:val="17"/>
              </w:rPr>
              <w:t xml:space="preserve">Python (this note)</w:t>
            </w:r>
          </w:p>
        </w:tc>
        <w:tc>
          <w:tcPr>
            <w:tcW w:type="dxa" w:w="3219"/>
            <w:shd w:fill="1F3864" w:color="auto" w:val="clear"/>
            <w:tcMar>
              <w:top w:type="dxa" w:w="60"/>
              <w:left w:type="dxa" w:w="100"/>
              <w:bottom w:type="dxa" w:w="60"/>
              <w:right w:type="dxa" w:w="100"/>
            </w:tcMar>
            <w:vAlign w:val="top"/>
          </w:tcPr>
          <w:p>
            <w:r>
              <w:rPr>
                <w:b/>
                <w:bCs/>
                <w:color w:val="FFFFFF"/>
                <w:sz w:val="17"/>
                <w:szCs w:val="17"/>
              </w:rPr>
              <w:t xml:space="preserve">Project (README, R2 log)</w:t>
            </w:r>
          </w:p>
        </w:tc>
      </w:tr>
      <w:tr>
        <w:trPr>
          <w:cantSplit/>
        </w:trPr>
        <w:tc>
          <w:tcPr>
            <w:tcW w:type="dxa" w:w="3200"/>
            <w:tcMar>
              <w:top w:type="dxa" w:w="60"/>
              <w:left w:type="dxa" w:w="100"/>
              <w:bottom w:type="dxa" w:w="60"/>
              <w:right w:type="dxa" w:w="100"/>
            </w:tcMar>
            <w:vAlign w:val="top"/>
          </w:tcPr>
          <w:p>
            <w:r>
              <w:rPr>
                <w:sz w:val="17"/>
                <w:szCs w:val="17"/>
              </w:rPr>
              <w:t xml:space="preserve">Active cells / area</w:t>
            </w:r>
          </w:p>
        </w:tc>
        <w:tc>
          <w:tcPr>
            <w:tcW w:type="dxa" w:w="3219"/>
            <w:tcMar>
              <w:top w:type="dxa" w:w="60"/>
              <w:left w:type="dxa" w:w="100"/>
              <w:bottom w:type="dxa" w:w="60"/>
              <w:right w:type="dxa" w:w="100"/>
            </w:tcMar>
            <w:vAlign w:val="top"/>
          </w:tcPr>
          <w:p>
            <w:r>
              <w:rPr>
                <w:sz w:val="17"/>
                <w:szCs w:val="17"/>
              </w:rPr>
              <w:t xml:space="preserve">5 589 / 349.3 km²</w:t>
            </w:r>
          </w:p>
        </w:tc>
        <w:tc>
          <w:tcPr>
            <w:tcW w:type="dxa" w:w="3219"/>
            <w:tcMar>
              <w:top w:type="dxa" w:w="60"/>
              <w:left w:type="dxa" w:w="100"/>
              <w:bottom w:type="dxa" w:w="60"/>
              <w:right w:type="dxa" w:w="100"/>
            </w:tcMar>
            <w:vAlign w:val="top"/>
          </w:tcPr>
          <w:p>
            <w:r>
              <w:rPr>
                <w:sz w:val="17"/>
                <w:szCs w:val="17"/>
              </w:rPr>
              <w:t xml:space="preserve">349.3 km² of active cells</w:t>
            </w:r>
          </w:p>
        </w:tc>
      </w:tr>
      <w:tr>
        <w:trPr>
          <w:cantSplit/>
        </w:trPr>
        <w:tc>
          <w:tcPr>
            <w:tcW w:type="dxa" w:w="3200"/>
            <w:shd w:fill="F7F9FC" w:color="auto" w:val="clear"/>
            <w:tcMar>
              <w:top w:type="dxa" w:w="60"/>
              <w:left w:type="dxa" w:w="100"/>
              <w:bottom w:type="dxa" w:w="60"/>
              <w:right w:type="dxa" w:w="100"/>
            </w:tcMar>
            <w:vAlign w:val="top"/>
          </w:tcPr>
          <w:p>
            <w:r>
              <w:rPr>
                <w:sz w:val="17"/>
                <w:szCs w:val="17"/>
              </w:rPr>
              <w:t xml:space="preserve">Baseline intruded area</w:t>
            </w:r>
          </w:p>
        </w:tc>
        <w:tc>
          <w:tcPr>
            <w:tcW w:type="dxa" w:w="3219"/>
            <w:shd w:fill="F7F9FC" w:color="auto" w:val="clear"/>
            <w:tcMar>
              <w:top w:type="dxa" w:w="60"/>
              <w:left w:type="dxa" w:w="100"/>
              <w:bottom w:type="dxa" w:w="60"/>
              <w:right w:type="dxa" w:w="100"/>
            </w:tcMar>
            <w:vAlign w:val="top"/>
          </w:tcPr>
          <w:p>
            <w:r>
              <w:rPr>
                <w:sz w:val="17"/>
                <w:szCs w:val="17"/>
              </w:rPr>
              <w:t xml:space="preserve">92.7 km² (26.6% of the polygon)</w:t>
            </w:r>
          </w:p>
        </w:tc>
        <w:tc>
          <w:tcPr>
            <w:tcW w:type="dxa" w:w="3219"/>
            <w:shd w:fill="F7F9FC" w:color="auto" w:val="clear"/>
            <w:tcMar>
              <w:top w:type="dxa" w:w="60"/>
              <w:left w:type="dxa" w:w="100"/>
              <w:bottom w:type="dxa" w:w="60"/>
              <w:right w:type="dxa" w:w="100"/>
            </w:tcMar>
            <w:vAlign w:val="top"/>
          </w:tcPr>
          <w:p>
            <w:r>
              <w:rPr>
                <w:sz w:val="17"/>
                <w:szCs w:val="17"/>
              </w:rPr>
              <w:t xml:space="preserve">92.7 km² (26.6%)</w:t>
            </w:r>
          </w:p>
        </w:tc>
      </w:tr>
      <w:tr>
        <w:trPr>
          <w:cantSplit/>
        </w:trPr>
        <w:tc>
          <w:tcPr>
            <w:tcW w:type="dxa" w:w="3200"/>
            <w:tcMar>
              <w:top w:type="dxa" w:w="60"/>
              <w:left w:type="dxa" w:w="100"/>
              <w:bottom w:type="dxa" w:w="60"/>
              <w:right w:type="dxa" w:w="100"/>
            </w:tcMar>
            <w:vAlign w:val="top"/>
          </w:tcPr>
          <w:p>
            <w:r>
              <w:rPr>
                <w:sz w:val="17"/>
                <w:szCs w:val="17"/>
              </w:rPr>
              <w:t xml:space="preserve">Pilot zones</w:t>
            </w:r>
          </w:p>
        </w:tc>
        <w:tc>
          <w:tcPr>
            <w:tcW w:type="dxa" w:w="3219"/>
            <w:tcMar>
              <w:top w:type="dxa" w:w="60"/>
              <w:left w:type="dxa" w:w="100"/>
              <w:bottom w:type="dxa" w:w="60"/>
              <w:right w:type="dxa" w:w="100"/>
            </w:tcMar>
            <w:vAlign w:val="top"/>
          </w:tcPr>
          <w:p>
            <w:r>
              <w:rPr>
                <w:sz w:val="17"/>
                <w:szCs w:val="17"/>
              </w:rPr>
              <w:t xml:space="preserve">12</w:t>
            </w:r>
          </w:p>
        </w:tc>
        <w:tc>
          <w:tcPr>
            <w:tcW w:type="dxa" w:w="3219"/>
            <w:tcMar>
              <w:top w:type="dxa" w:w="60"/>
              <w:left w:type="dxa" w:w="100"/>
              <w:bottom w:type="dxa" w:w="60"/>
              <w:right w:type="dxa" w:w="100"/>
            </w:tcMar>
            <w:vAlign w:val="top"/>
          </w:tcPr>
          <w:p>
            <w:r>
              <w:rPr>
                <w:sz w:val="17"/>
                <w:szCs w:val="17"/>
              </w:rPr>
              <w:t xml:space="preserve">12</w:t>
            </w:r>
          </w:p>
        </w:tc>
      </w:tr>
      <w:tr>
        <w:trPr>
          <w:cantSplit/>
        </w:trPr>
        <w:tc>
          <w:tcPr>
            <w:tcW w:type="dxa" w:w="3200"/>
            <w:shd w:fill="F7F9FC" w:color="auto" w:val="clear"/>
            <w:tcMar>
              <w:top w:type="dxa" w:w="60"/>
              <w:left w:type="dxa" w:w="100"/>
              <w:bottom w:type="dxa" w:w="60"/>
              <w:right w:type="dxa" w:w="100"/>
            </w:tcMar>
            <w:vAlign w:val="top"/>
          </w:tcPr>
          <w:p>
            <w:r>
              <w:rPr>
                <w:sz w:val="17"/>
                <w:szCs w:val="17"/>
              </w:rPr>
              <w:t xml:space="preserve">Monitoring wells (5)</w:t>
            </w:r>
          </w:p>
        </w:tc>
        <w:tc>
          <w:tcPr>
            <w:tcW w:type="dxa" w:w="3219"/>
            <w:shd w:fill="F7F9FC" w:color="auto" w:val="clear"/>
            <w:tcMar>
              <w:top w:type="dxa" w:w="60"/>
              <w:left w:type="dxa" w:w="100"/>
              <w:bottom w:type="dxa" w:w="60"/>
              <w:right w:type="dxa" w:w="100"/>
            </w:tcMar>
            <w:vAlign w:val="top"/>
          </w:tcPr>
          <w:p>
            <w:r>
              <w:rPr>
                <w:sz w:val="17"/>
                <w:szCs w:val="17"/>
              </w:rPr>
              <w:t xml:space="preserve">P21, A12, A13, A21, A10</w:t>
            </w:r>
          </w:p>
        </w:tc>
        <w:tc>
          <w:tcPr>
            <w:tcW w:type="dxa" w:w="3219"/>
            <w:shd w:fill="F7F9FC" w:color="auto" w:val="clear"/>
            <w:tcMar>
              <w:top w:type="dxa" w:w="60"/>
              <w:left w:type="dxa" w:w="100"/>
              <w:bottom w:type="dxa" w:w="60"/>
              <w:right w:type="dxa" w:w="100"/>
            </w:tcMar>
            <w:vAlign w:val="top"/>
          </w:tcPr>
          <w:p>
            <w:r>
              <w:rPr>
                <w:sz w:val="17"/>
                <w:szCs w:val="17"/>
              </w:rPr>
              <w:t xml:space="preserve">P21, A12, A13, A21, A10</w:t>
            </w:r>
          </w:p>
        </w:tc>
      </w:tr>
      <w:tr>
        <w:trPr>
          <w:cantSplit/>
        </w:trPr>
        <w:tc>
          <w:tcPr>
            <w:tcW w:type="dxa" w:w="3200"/>
            <w:tcMar>
              <w:top w:type="dxa" w:w="60"/>
              <w:left w:type="dxa" w:w="100"/>
              <w:bottom w:type="dxa" w:w="60"/>
              <w:right w:type="dxa" w:w="100"/>
            </w:tcMar>
            <w:vAlign w:val="top"/>
          </w:tcPr>
          <w:p>
            <w:r>
              <w:rPr>
                <w:sz w:val="17"/>
                <w:szCs w:val="17"/>
              </w:rPr>
              <w:t xml:space="preserve">MAR sites (3)</w:t>
            </w:r>
          </w:p>
        </w:tc>
        <w:tc>
          <w:tcPr>
            <w:tcW w:type="dxa" w:w="3219"/>
            <w:tcMar>
              <w:top w:type="dxa" w:w="60"/>
              <w:left w:type="dxa" w:w="100"/>
              <w:bottom w:type="dxa" w:w="60"/>
              <w:right w:type="dxa" w:w="100"/>
            </w:tcMar>
            <w:vAlign w:val="top"/>
          </w:tcPr>
          <w:p>
            <w:r>
              <w:rPr>
                <w:sz w:val="17"/>
                <w:szCs w:val="17"/>
              </w:rPr>
              <w:t xml:space="preserve">A18, P21, P16</w:t>
            </w:r>
          </w:p>
        </w:tc>
        <w:tc>
          <w:tcPr>
            <w:tcW w:type="dxa" w:w="3219"/>
            <w:tcMar>
              <w:top w:type="dxa" w:w="60"/>
              <w:left w:type="dxa" w:w="100"/>
              <w:bottom w:type="dxa" w:w="60"/>
              <w:right w:type="dxa" w:w="100"/>
            </w:tcMar>
            <w:vAlign w:val="top"/>
          </w:tcPr>
          <w:p>
            <w:r>
              <w:rPr>
                <w:sz w:val="17"/>
                <w:szCs w:val="17"/>
              </w:rPr>
              <w:t xml:space="preserve">A18, P21, P16</w:t>
            </w:r>
          </w:p>
        </w:tc>
      </w:tr>
    </w:tbl>
    <w:p>
      <w:pPr>
        <w:spacing w:after="160"/>
      </w:pPr>
    </w:p>
    <w:p>
      <w:pPr>
        <w:spacing w:after="240"/>
      </w:pPr>
    </w:p>
    <w:p>
      <w:pPr>
        <w:pStyle w:val="Heading1"/>
      </w:pPr>
      <w:r>
        <w:rPr>
          <w:color w:val="1F3864"/>
        </w:rPr>
        <w:t xml:space="preserve">3. The experiment: goals, wells and criteria</w:t>
      </w:r>
    </w:p>
    <w:p>
      <w:pPr>
        <w:spacing w:after="120"/>
        <w:jc w:val="both"/>
      </w:pPr>
      <w:r>
        <w:rPr>
          <w:b/>
          <w:bCs/>
        </w:rPr>
        <w:t xml:space="preserve">Supply wells.</w:t>
      </w:r>
      <w:r>
        <w:t xml:space="preserve"> The data do not include the coordinates of the Gorre and Fushë-Kuqe pumping stations, toward which the wedge is moving according to Cenameri and Beqiraj (2016). We therefore chose the supply wells with a rule stated in advance. In each sector (north: N &gt; 25 km; south: N &lt; 25 km), the supply well is the well inside the aquifer, outside the published design, whose prior intrusion probability is closest to 1/2. This selected </w:t>
      </w:r>
      <w:r>
        <w:rPr>
          <w:b/>
          <w:bCs/>
        </w:rPr>
        <w:t xml:space="preserve">A = A23</w:t>
      </w:r>
      <w:r>
        <w:t xml:space="preserve"> (fine gravel, 1.9 km from the coast, P = 0.52) and </w:t>
      </w:r>
      <w:r>
        <w:rPr>
          <w:b/>
          <w:bCs/>
        </w:rPr>
        <w:t xml:space="preserve">B = R16</w:t>
      </w:r>
      <w:r>
        <w:t xml:space="preserve"> (medium gravel, 1.4 km from the coast, P = 0.64). The supply wells are not candidates, because pumping distorts their head. The candidates are the other 30 wells inside the aquifer, which measure head with noise </w:t>
      </w:r>
      <m:oMath>
        <m:sSub>
          <m:e>
            <m:r>
              <m:t>σ</m:t>
            </m:r>
          </m:e>
          <m:sub>
            <m:r>
              <m:t>ε</m:t>
            </m:r>
          </m:sub>
        </m:sSub>
        <m:r>
          <m:rPr>
            <m:sty m:val="p"/>
          </m:rPr>
          <m:t>=</m:t>
        </m:r>
        <m:r>
          <m:t>0.2</m:t>
        </m:r>
      </m:oMath>
      <w:r>
        <w:t xml:space="preserve"> m, as in the project.</w:t>
      </w:r>
    </w:p>
    <w:p>
      <w:pPr>
        <w:spacing w:after="120"/>
        <w:jc w:val="both"/>
      </w:pPr>
      <w:r>
        <w:rPr>
          <w:b/>
          <w:bCs/>
        </w:rPr>
        <w:t xml:space="preserve">Goals.</w:t>
      </w:r>
      <w:r>
        <w:t xml:space="preserve"> We have three binary goals: the risk at A, </w:t>
      </w:r>
      <m:oMath>
        <m:sSub>
          <m:e>
            <m:r>
              <m:t>q</m:t>
            </m:r>
          </m:e>
          <m:sub>
            <m:r>
              <m:t>A</m:t>
            </m:r>
          </m:sub>
        </m:sSub>
        <m:r>
          <m:rPr>
            <m:sty m:val="p"/>
          </m:rPr>
          <m:t>=</m:t>
        </m:r>
        <m:r>
          <m:rPr>
            <m:sty m:val="p"/>
          </m:rPr>
          <m:t>I</m:t>
        </m:r>
        <m:d>
          <m:dPr>
            <m:begChr m:val="("/>
            <m:sepChr m:val=""/>
            <m:endChr m:val=")"/>
            <m:grow/>
          </m:dPr>
          <m:e>
            <m:sSub>
              <m:e>
                <m:r>
                  <m:t>h</m:t>
                </m:r>
              </m:e>
              <m:sub>
                <m:r>
                  <m:t>A</m:t>
                </m:r>
              </m:sub>
            </m:sSub>
            <m:r>
              <m:rPr>
                <m:sty m:val="p"/>
              </m:rPr>
              <m:t>&lt;</m:t>
            </m:r>
            <m:sSub>
              <m:e>
                <m:r>
                  <m:t>h</m:t>
                </m:r>
              </m:e>
              <m:sub>
                <m:r>
                  <m:t>c</m:t>
                </m:r>
              </m:sub>
            </m:sSub>
          </m:e>
        </m:d>
      </m:oMath>
      <w:r>
        <w:t xml:space="preserve">; the risk at A or B, </w:t>
      </w:r>
      <m:oMath>
        <m:sSub>
          <m:e>
            <m:r>
              <m:t>q</m:t>
            </m:r>
          </m:e>
          <m:sub>
            <m:r>
              <m:t>A</m:t>
            </m:r>
            <m:r>
              <m:t>B</m:t>
            </m:r>
          </m:sub>
        </m:sSub>
        <m:r>
          <m:rPr>
            <m:sty m:val="p"/>
          </m:rPr>
          <m:t>=</m:t>
        </m:r>
        <m:r>
          <m:rPr>
            <m:sty m:val="p"/>
          </m:rPr>
          <m:t>I</m:t>
        </m:r>
        <m:d>
          <m:dPr>
            <m:begChr m:val="("/>
            <m:sepChr m:val=""/>
            <m:endChr m:val=")"/>
            <m:grow/>
          </m:dPr>
          <m:e>
            <m:r>
              <m:rPr>
                <m:sty m:val="p"/>
              </m:rPr>
              <m:t>min</m:t>
            </m:r>
            <m:d>
              <m:dPr>
                <m:begChr m:val="("/>
                <m:sepChr m:val=""/>
                <m:endChr m:val=")"/>
                <m:grow/>
              </m:dPr>
              <m:e>
                <m:sSub>
                  <m:e>
                    <m:r>
                      <m:t>h</m:t>
                    </m:r>
                  </m:e>
                  <m:sub>
                    <m:r>
                      <m:t>A</m:t>
                    </m:r>
                  </m:sub>
                </m:sSub>
                <m:r>
                  <m:rPr>
                    <m:sty m:val="p"/>
                  </m:rPr>
                  <m:t>,</m:t>
                </m:r>
                <m:sSub>
                  <m:e>
                    <m:r>
                      <m:t>h</m:t>
                    </m:r>
                  </m:e>
                  <m:sub>
                    <m:r>
                      <m:t>B</m:t>
                    </m:r>
                  </m:sub>
                </m:sSub>
              </m:e>
            </m:d>
            <m:r>
              <m:rPr>
                <m:sty m:val="p"/>
              </m:rPr>
              <m:t>&lt;</m:t>
            </m:r>
            <m:sSub>
              <m:e>
                <m:r>
                  <m:t>h</m:t>
                </m:r>
              </m:e>
              <m:sub>
                <m:r>
                  <m:t>c</m:t>
                </m:r>
              </m:sub>
            </m:sSub>
          </m:e>
        </m:d>
      </m:oMath>
      <w:r>
        <w:t xml:space="preserve">; and the project question turned into a threshold, </w:t>
      </w:r>
      <m:oMath>
        <m:sSub>
          <m:e>
            <m:r>
              <m:t>q</m:t>
            </m:r>
          </m:e>
          <m:sub>
            <m:r>
              <m:t>S</m:t>
            </m:r>
          </m:sub>
        </m:sSub>
        <m:r>
          <m:rPr>
            <m:sty m:val="p"/>
          </m:rPr>
          <m:t>=</m:t>
        </m:r>
        <m:r>
          <m:rPr>
            <m:sty m:val="p"/>
          </m:rPr>
          <m:t>I</m:t>
        </m:r>
        <m:d>
          <m:dPr>
            <m:begChr m:val="("/>
            <m:sepChr m:val=""/>
            <m:endChr m:val=")"/>
            <m:grow/>
          </m:dPr>
          <m:e>
            <m:r>
              <m:t>S</m:t>
            </m:r>
            <m:r>
              <m:rPr>
                <m:sty m:val="p"/>
              </m:rPr>
              <m:t>&gt;</m:t>
            </m:r>
            <m:r>
              <m:t>100</m:t>
            </m:r>
          </m:e>
        </m:d>
      </m:oMath>
      <w:r>
        <w:t xml:space="preserve">, where </w:t>
      </w:r>
      <m:oMath>
        <m:r>
          <m:t>S</m:t>
        </m:r>
      </m:oMath>
      <w:r>
        <w:t xml:space="preserve"> is the intruded area in km². The prior probabilities are 0.52, 0.80 and 0.44. The interface toe passing beneath a supply well is this sharp-interface model's approximation of the 250 mg/L chloride threshold being exceeded at the base of the well.</w:t>
      </w:r>
    </w:p>
    <w:p>
      <w:pPr>
        <w:keepNext/>
        <w:spacing w:after="60" w:before="120"/>
        <w:jc w:val="center"/>
      </w:pPr>
      <w:r>
        <w:drawing>
          <wp:inline distT="0" distB="0" distL="0" distR="0">
            <wp:extent cx="5762625" cy="3705225"/>
            <wp:effectExtent t="0" r="0" b="0" l="0"/>
            <wp:docPr id="1" name="Map of Fushë-Kuqe with the intrusion probability and the 5-well designs" descr="Map of Fushë-Kuqe with the intrusion probability and the 5-well designs" title="Map of Fushë-Kuqe with the intrusion probability and the 5-well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705225"/>
                    </a:xfrm>
                    <a:prstGeom prst="rect">
                      <a:avLst/>
                    </a:prstGeom>
                  </pic:spPr>
                </pic:pic>
              </a:graphicData>
            </a:graphic>
          </wp:inline>
        </w:drawing>
      </w:r>
    </w:p>
    <w:p>
      <w:pPr>
        <w:spacing w:after="200"/>
        <w:jc w:val="both"/>
      </w:pPr>
      <w:r>
        <w:rPr>
          <w:b/>
          <w:bCs/>
          <w:color w:val="3A4350"/>
          <w:sz w:val="18"/>
          <w:szCs w:val="18"/>
        </w:rPr>
        <w:t xml:space="preserve">Figure 1.</w:t>
      </w:r>
      <w:r>
        <w:rPr>
          <w:color w:val="3A4350"/>
          <w:sz w:val="18"/>
          <w:szCs w:val="18"/>
        </w:rPr>
        <w:t xml:space="preserve"> (a) Prior intrusion probability </w:t>
      </w:r>
      <m:oMath>
        <m:r>
          <m:t>P</m:t>
        </m:r>
        <m:d>
          <m:dPr>
            <m:begChr m:val="("/>
            <m:sepChr m:val=""/>
            <m:endChr m:val=")"/>
            <m:grow/>
          </m:dPr>
          <m:e>
            <m:r>
              <m:t>h</m:t>
            </m:r>
            <m:r>
              <m:rPr>
                <m:sty m:val="p"/>
              </m:rPr>
              <m:t>&lt;</m:t>
            </m:r>
            <m:r>
              <m:t>1</m:t>
            </m:r>
            <m:r>
              <m:t> </m:t>
            </m:r>
            <m:r>
              <m:rPr>
                <m:sty m:val="p"/>
              </m:rPr>
              <m:t>m</m:t>
            </m:r>
          </m:e>
        </m:d>
      </m:oMath>
      <w:r>
        <w:rPr>
          <w:color w:val="3A4350"/>
          <w:sz w:val="18"/>
          <w:szCs w:val="18"/>
        </w:rPr>
        <w:t xml:space="preserve">, from 1 000 realizations. The dashed line shows the interface toe under the prior mean, the white circles the 30 candidates, and the triangles the supply wells A = A23 and B = R16. (b–d) The 5-well designs (orange circles) and their exact EIG for the “A or B” risk: (b) the published design, (c) PRAG-GO, (d) the design from greedy search with swaps on the exact EIG. The values come from the ensemble with 48 000 realizations, as a percentage of the best design found.</w:t>
      </w:r>
    </w:p>
    <w:p>
      <w:pPr>
        <w:spacing w:after="120"/>
        <w:jc w:val="both"/>
      </w:pPr>
      <w:r>
        <w:rPr>
          <w:b/>
          <w:bCs/>
        </w:rPr>
        <w:t xml:space="preserve">Exact EIG.</w:t>
      </w:r>
      <w:r>
        <w:t xml:space="preserve"> For each binary goal, </w:t>
      </w:r>
      <m:oMath>
        <m:r>
          <m:rPr>
            <m:sty m:val="p"/>
          </m:rPr>
          <m:t>E</m:t>
        </m:r>
        <m:r>
          <m:rPr>
            <m:sty m:val="p"/>
          </m:rPr>
          <m:t>I</m:t>
        </m:r>
        <m:r>
          <m:rPr>
            <m:sty m:val="p"/>
          </m:rPr>
          <m:t>G</m:t>
        </m:r>
        <m:r>
          <m:rPr>
            <m:sty m:val="p"/>
          </m:rPr>
          <m:t>=</m:t>
        </m:r>
        <m:r>
          <m:t>h</m:t>
        </m:r>
        <m:d>
          <m:dPr>
            <m:begChr m:val="("/>
            <m:sepChr m:val=""/>
            <m:endChr m:val=")"/>
            <m:grow/>
          </m:dPr>
          <m:e>
            <m:sSub>
              <m:e>
                <m:r>
                  <m:t>p</m:t>
                </m:r>
              </m:e>
              <m:sub>
                <m:r>
                  <m:t>0</m:t>
                </m:r>
              </m:sub>
            </m:sSub>
          </m:e>
        </m:d>
        <m:r>
          <m:rPr>
            <m:sty m:val="p"/>
          </m:rPr>
          <m:t>−</m:t>
        </m:r>
        <m:sSub>
          <m:e>
            <m:r>
              <m:rPr>
                <m:scr m:val="double-struck"/>
                <m:sty m:val="p"/>
              </m:rPr>
              <m:t>E</m:t>
            </m:r>
          </m:e>
          <m:sub>
            <m:r>
              <m:t>y</m:t>
            </m:r>
          </m:sub>
        </m:sSub>
        <m:d>
          <m:dPr>
            <m:begChr m:val="["/>
            <m:sepChr m:val=""/>
            <m:endChr m:val="]"/>
            <m:grow/>
          </m:dPr>
          <m:e>
            <m:r>
              <m:t>h</m:t>
            </m:r>
            <m:d>
              <m:dPr>
                <m:begChr m:val="("/>
                <m:sepChr m:val=""/>
                <m:endChr m:val=")"/>
                <m:grow/>
              </m:dPr>
              <m:e>
                <m:r>
                  <m:t>P</m:t>
                </m:r>
                <m:d>
                  <m:dPr>
                    <m:begChr m:val="("/>
                    <m:sepChr m:val=""/>
                    <m:endChr m:val=")"/>
                    <m:grow/>
                  </m:dPr>
                  <m:e>
                    <m:r>
                      <m:t>q</m:t>
                    </m:r>
                    <m:r>
                      <m:rPr>
                        <m:sty m:val="p"/>
                      </m:rPr>
                      <m:t>=</m:t>
                    </m:r>
                    <m:r>
                      <m:t>1</m:t>
                    </m:r>
                    <m:r>
                      <m:rPr>
                        <m:sty m:val="p"/>
                      </m:rPr>
                      <m:t>∣</m:t>
                    </m:r>
                    <m:r>
                      <m:t>y</m:t>
                    </m:r>
                  </m:e>
                </m:d>
              </m:e>
            </m:d>
          </m:e>
        </m:d>
      </m:oMath>
      <w:r>
        <w:t xml:space="preserve">, where </w:t>
      </w:r>
      <m:oMath>
        <m:r>
          <m:t>h</m:t>
        </m:r>
      </m:oMath>
      <w:r>
        <w:t xml:space="preserve"> is the binary entropy. We estimate it without linearization, by reweighting 12 000 prior solutions with 2 000 external synthetic data sets, the same for all designs:</w:t>
      </w:r>
    </w:p>
    <w:p>
      <w:pPr>
        <w:pStyle w:val="Equation"/>
      </w:pPr>
      <m:oMathPara>
        <m:oMathParaPr>
          <m:jc m:val="center"/>
        </m:oMathParaPr>
        <m:oMath>
          <m:acc>
            <m:accPr>
              <m:chr m:val="̂"/>
            </m:accPr>
            <m:e>
              <m:r>
                <m:rPr>
                  <m:sty m:val="p"/>
                </m:rPr>
                <m:t>E</m:t>
              </m:r>
              <m:r>
                <m:rPr>
                  <m:sty m:val="p"/>
                </m:rPr>
                <m:t>I</m:t>
              </m:r>
              <m:r>
                <m:rPr>
                  <m:sty m:val="p"/>
                </m:rPr>
                <m:t>G</m:t>
              </m:r>
            </m:e>
          </m:acc>
          <m:d>
            <m:dPr>
              <m:begChr m:val="("/>
              <m:sepChr m:val=""/>
              <m:endChr m:val=")"/>
              <m:grow/>
            </m:dPr>
            <m:e>
              <m:r>
                <m:t>d</m:t>
              </m:r>
            </m:e>
          </m:d>
          <m:r>
            <m:rPr>
              <m:sty m:val="p"/>
            </m:rPr>
            <m:t>=</m:t>
          </m:r>
          <m:r>
            <m:t>h</m:t>
          </m:r>
          <m:d>
            <m:dPr>
              <m:begChr m:val="("/>
              <m:sepChr m:val=""/>
              <m:endChr m:val=")"/>
              <m:grow/>
            </m:dPr>
            <m:e>
              <m:bar>
                <m:barPr>
                  <m:pos m:val="top"/>
                </m:barPr>
                <m:e>
                  <m:r>
                    <m:t>q</m:t>
                  </m:r>
                </m:e>
              </m:bar>
            </m:e>
          </m:d>
          <m:r>
            <m:rPr>
              <m:sty m:val="p"/>
            </m:rPr>
            <m:t>−</m:t>
          </m:r>
          <m:f>
            <m:fPr>
              <m:type m:val="bar"/>
            </m:fPr>
            <m:num>
              <m:r>
                <m:t>1</m:t>
              </m:r>
            </m:num>
            <m:den>
              <m:sSub>
                <m:e>
                  <m:r>
                    <m:t>N</m:t>
                  </m:r>
                </m:e>
                <m:sub>
                  <m:r>
                    <m:t>y</m:t>
                  </m:r>
                </m:sub>
              </m:sSub>
            </m:den>
          </m:f>
          <m:nary>
            <m:naryPr>
              <m:chr m:val="∑"/>
              <m:limLoc m:val="undOvr"/>
              <m:subHide m:val="off"/>
              <m:supHide m:val="off"/>
            </m:naryPr>
            <m:sub>
              <m:r>
                <m:t>j</m:t>
              </m:r>
              <m:r>
                <m:rPr>
                  <m:sty m:val="p"/>
                </m:rPr>
                <m:t>=</m:t>
              </m:r>
              <m:r>
                <m:t>1</m:t>
              </m:r>
            </m:sub>
            <m:sup>
              <m:sSub>
                <m:e>
                  <m:r>
                    <m:t>N</m:t>
                  </m:r>
                </m:e>
                <m:sub>
                  <m:r>
                    <m:t>y</m:t>
                  </m:r>
                </m:sub>
              </m:sSub>
            </m:sup>
            <m:e>
              <m:r>
                <m:t>h</m:t>
              </m:r>
            </m:e>
          </m:nary>
          <m:d>
            <m:dPr>
              <m:begChr m:val="("/>
              <m:sepChr m:val=""/>
              <m:endChr m:val=")"/>
              <m:grow/>
            </m:dPr>
            <m:e>
              <m:sSub>
                <m:e>
                  <m:acc>
                    <m:accPr>
                      <m:chr m:val="̂"/>
                    </m:accPr>
                    <m:e>
                      <m:r>
                        <m:t>p</m:t>
                      </m:r>
                    </m:e>
                  </m:acc>
                </m:e>
                <m:sub>
                  <m:r>
                    <m:t>j</m:t>
                  </m:r>
                </m:sub>
              </m:sSub>
            </m:e>
          </m:d>
          <m:r>
            <m:rPr>
              <m:sty m:val="p"/>
            </m:rPr>
            <m:t>,</m:t>
          </m:r>
          <m:r>
            <m:t>  </m:t>
          </m:r>
          <m:sSub>
            <m:e>
              <m:acc>
                <m:accPr>
                  <m:chr m:val="̂"/>
                </m:accPr>
                <m:e>
                  <m:r>
                    <m:t>p</m:t>
                  </m:r>
                </m:e>
              </m:acc>
            </m:e>
            <m:sub>
              <m:r>
                <m:t>j</m:t>
              </m:r>
            </m:sub>
          </m:sSub>
          <m:r>
            <m:rPr>
              <m:sty m:val="p"/>
            </m:rPr>
            <m:t>=</m:t>
          </m:r>
          <m:f>
            <m:fPr>
              <m:type m:val="bar"/>
            </m:fPr>
            <m:num>
              <m:nary>
                <m:naryPr>
                  <m:chr m:val="∑"/>
                  <m:limLoc m:val="undOvr"/>
                  <m:subHide m:val="off"/>
                  <m:supHide m:val="on"/>
                </m:naryPr>
                <m:sub>
                  <m:r>
                    <m:t>i</m:t>
                  </m:r>
                </m:sub>
                <m:sup>
                  <m:r>
                    <m:t>​</m:t>
                  </m:r>
                </m:sup>
                <m:e>
                  <m:sSub>
                    <m:e>
                      <m:r>
                        <m:t>w</m:t>
                      </m:r>
                    </m:e>
                    <m:sub>
                      <m:r>
                        <m:t>i</m:t>
                      </m:r>
                      <m:r>
                        <m:t>j</m:t>
                      </m:r>
                    </m:sub>
                  </m:sSub>
                </m:e>
              </m:nary>
              <m:sSub>
                <m:e>
                  <m:r>
                    <m:t>q</m:t>
                  </m:r>
                </m:e>
                <m:sub>
                  <m:r>
                    <m:t>i</m:t>
                  </m:r>
                </m:sub>
              </m:sSub>
            </m:num>
            <m:den>
              <m:nary>
                <m:naryPr>
                  <m:chr m:val="∑"/>
                  <m:limLoc m:val="undOvr"/>
                  <m:subHide m:val="off"/>
                  <m:supHide m:val="on"/>
                </m:naryPr>
                <m:sub>
                  <m:r>
                    <m:t>i</m:t>
                  </m:r>
                </m:sub>
                <m:sup>
                  <m:r>
                    <m:t>​</m:t>
                  </m:r>
                </m:sup>
                <m:e>
                  <m:sSub>
                    <m:e>
                      <m:r>
                        <m:t>w</m:t>
                      </m:r>
                    </m:e>
                    <m:sub>
                      <m:r>
                        <m:t>i</m:t>
                      </m:r>
                      <m:r>
                        <m:t>j</m:t>
                      </m:r>
                    </m:sub>
                  </m:sSub>
                </m:e>
              </m:nary>
            </m:den>
          </m:f>
          <m:r>
            <m:rPr>
              <m:sty m:val="p"/>
            </m:rPr>
            <m:t>,</m:t>
          </m:r>
          <m:r>
            <m:t>  </m:t>
          </m:r>
          <m:sSub>
            <m:e>
              <m:r>
                <m:t>w</m:t>
              </m:r>
            </m:e>
            <m:sub>
              <m:r>
                <m:t>i</m:t>
              </m:r>
              <m:r>
                <m:t>j</m:t>
              </m:r>
            </m:sub>
          </m:sSub>
          <m:r>
            <m:rPr>
              <m:sty m:val="p"/>
            </m:rPr>
            <m:t>=</m:t>
          </m:r>
          <m:r>
            <m:rPr>
              <m:sty m:val="p"/>
            </m:rPr>
            <m:t>exp</m:t>
          </m:r>
          <m:d>
            <m:dPr>
              <m:begChr m:val="("/>
              <m:sepChr m:val=""/>
              <m:endChr m:val=")"/>
              <m:grow/>
            </m:dPr>
            <m:e>
              <m:r>
                <m:rPr>
                  <m:sty m:val="p"/>
                </m:rPr>
                <m:t>−</m:t>
              </m:r>
              <m:f>
                <m:fPr>
                  <m:type m:val="bar"/>
                </m:fPr>
                <m:num>
                  <m:sSup>
                    <m:e>
                      <m:d>
                        <m:dPr>
                          <m:begChr m:val="∥"/>
                          <m:sepChr m:val=""/>
                          <m:endChr m:val="∥"/>
                          <m:grow/>
                        </m:dPr>
                        <m:e>
                          <m:sSub>
                            <m:e>
                              <m:r>
                                <m:t>y</m:t>
                              </m:r>
                            </m:e>
                            <m:sub>
                              <m:r>
                                <m:t>j</m:t>
                              </m:r>
                            </m:sub>
                          </m:sSub>
                          <m:r>
                            <m:rPr>
                              <m:sty m:val="p"/>
                            </m:rPr>
                            <m:t>−</m:t>
                          </m:r>
                          <m:sSub>
                            <m:e>
                              <m:r>
                                <m:t>g</m:t>
                              </m:r>
                            </m:e>
                            <m:sub>
                              <m:r>
                                <m:t>d</m:t>
                              </m:r>
                            </m:sub>
                          </m:sSub>
                          <m:d>
                            <m:dPr>
                              <m:begChr m:val="("/>
                              <m:sepChr m:val=""/>
                              <m:endChr m:val=")"/>
                              <m:grow/>
                            </m:dPr>
                            <m:e>
                              <m:sSub>
                                <m:e>
                                  <m:r>
                                    <m:t>θ</m:t>
                                  </m:r>
                                </m:e>
                                <m:sub>
                                  <m:r>
                                    <m:t>i</m:t>
                                  </m:r>
                                </m:sub>
                              </m:sSub>
                            </m:e>
                          </m:d>
                        </m:e>
                      </m:d>
                    </m:e>
                    <m:sup>
                      <m:r>
                        <m:t>2</m:t>
                      </m:r>
                    </m:sup>
                  </m:sSup>
                </m:num>
                <m:den>
                  <m:r>
                    <m:t>2</m:t>
                  </m:r>
                  <m:sSubSup>
                    <m:e>
                      <m:r>
                        <m:t>σ</m:t>
                      </m:r>
                    </m:e>
                    <m:sub>
                      <m:r>
                        <m:t>ε</m:t>
                      </m:r>
                    </m:sub>
                    <m:sup>
                      <m:r>
                        <m:t>2</m:t>
                      </m:r>
                    </m:sup>
                  </m:sSubSup>
                </m:den>
              </m:f>
            </m:e>
          </m:d>
        </m:oMath>
      </m:oMathPara>
    </w:p>
    <w:p>
      <w:pPr>
        <w:spacing w:after="120"/>
        <w:jc w:val="both"/>
      </w:pPr>
      <w:r>
        <w:rPr>
          <w:b/>
          <w:bCs/>
        </w:rPr>
        <w:t xml:space="preserve">Criteria.</w:t>
      </w:r>
      <w:r>
        <w:t xml:space="preserve"> We compare four criteria:</w:t>
      </w:r>
    </w:p>
    <w:p>
      <w:pPr>
        <w:pStyle w:val="ListParagraph"/>
        <w:numPr>
          <w:ilvl w:val="0"/>
          <w:numId w:val="2"/>
        </w:numPr>
        <w:spacing w:after="60"/>
        <w:jc w:val="both"/>
      </w:pPr>
      <w:r>
        <w:t xml:space="preserve">the linear EIG of the area, which is the published pipeline with Lemma 1;</w:t>
      </w:r>
    </w:p>
    <w:p>
      <w:pPr>
        <w:pStyle w:val="ListParagraph"/>
        <w:numPr>
          <w:ilvl w:val="0"/>
          <w:numId w:val="2"/>
        </w:numPr>
        <w:spacing w:after="60"/>
        <w:jc w:val="both"/>
      </w:pPr>
      <w:r>
        <w:t xml:space="preserve">the linear EIG of the head at A, which by Theorem 1 gives the design for the risk at A;</w:t>
      </w:r>
    </w:p>
    <w:p>
      <w:pPr>
        <w:pStyle w:val="ListParagraph"/>
        <w:numPr>
          <w:ilvl w:val="0"/>
          <w:numId w:val="2"/>
        </w:numPr>
        <w:spacing w:after="60"/>
        <w:jc w:val="both"/>
      </w:pPr>
      <w:r>
        <w:t xml:space="preserve">the linear EIG of the mean head at A and B;</w:t>
      </w:r>
    </w:p>
    <w:p>
      <w:pPr>
        <w:pStyle w:val="ListParagraph"/>
        <w:numPr>
          <w:ilvl w:val="0"/>
          <w:numId w:val="2"/>
        </w:numPr>
        <w:spacing w:after="60"/>
        <w:jc w:val="both"/>
      </w:pPr>
      <w:r>
        <w:t xml:space="preserve">the closed-form PRAG-GO formula for the “A or B” risk. We compute it with three kinds of moments: the project's linear moments, the ensemble moments, and the moments after the normal-score transform.</w:t>
      </w:r>
    </w:p>
    <w:p>
      <w:pPr>
        <w:spacing w:after="120"/>
        <w:jc w:val="both"/>
      </w:pPr>
      <w:r>
        <w:t xml:space="preserve">For the intrusion events </w:t>
      </w:r>
      <m:oMath>
        <m:d>
          <m:dPr>
            <m:begChr m:val="{"/>
            <m:sepChr m:val=""/>
            <m:endChr m:val="}"/>
            <m:grow/>
          </m:dPr>
          <m:e>
            <m:r>
              <m:t>h</m:t>
            </m:r>
            <m:r>
              <m:rPr>
                <m:sty m:val="p"/>
              </m:rPr>
              <m:t>&lt;</m:t>
            </m:r>
            <m:sSub>
              <m:e>
                <m:r>
                  <m:t>h</m:t>
                </m:r>
              </m:e>
              <m:sub>
                <m:r>
                  <m:t>c</m:t>
                </m:r>
              </m:sub>
            </m:sSub>
          </m:e>
        </m:d>
      </m:oMath>
      <w:r>
        <w:t xml:space="preserve">, the formula is:</w:t>
      </w:r>
    </w:p>
    <w:p>
      <w:pPr>
        <w:pStyle w:val="Equation"/>
      </w:pPr>
      <m:oMathPara>
        <m:oMathParaPr>
          <m:jc m:val="center"/>
        </m:oMathParaPr>
        <m:oMath>
          <m:sSub>
            <m:e>
              <m:r>
                <m:rPr>
                  <m:sty m:val="p"/>
                </m:rPr>
                <m:t>E</m:t>
              </m:r>
              <m:r>
                <m:rPr>
                  <m:sty m:val="p"/>
                </m:rPr>
                <m:t>I</m:t>
              </m:r>
              <m:r>
                <m:rPr>
                  <m:sty m:val="p"/>
                </m:rPr>
                <m:t>G</m:t>
              </m:r>
            </m:e>
            <m:sub>
              <m:r>
                <m:t>A</m:t>
              </m:r>
              <m:r>
                <m:t>B</m:t>
              </m:r>
            </m:sub>
          </m:sSub>
          <m:d>
            <m:dPr>
              <m:begChr m:val="("/>
              <m:sepChr m:val=""/>
              <m:endChr m:val=")"/>
              <m:grow/>
            </m:dPr>
            <m:e>
              <m:r>
                <m:t>d</m:t>
              </m:r>
            </m:e>
          </m:d>
          <m:r>
            <m:rPr>
              <m:sty m:val="p"/>
            </m:rPr>
            <m:t>=</m:t>
          </m:r>
          <m:r>
            <m:t>h</m:t>
          </m:r>
          <m:d>
            <m:dPr>
              <m:begChr m:val="("/>
              <m:sepChr m:val=""/>
              <m:endChr m:val=")"/>
              <m:grow/>
            </m:dPr>
            <m:e>
              <m:sSub>
                <m:e>
                  <m:r>
                    <m:t>p</m:t>
                  </m:r>
                </m:e>
                <m:sub>
                  <m:r>
                    <m:t>0</m:t>
                  </m:r>
                </m:sub>
              </m:sSub>
            </m:e>
          </m:d>
          <m:r>
            <m:rPr>
              <m:sty m:val="p"/>
            </m:rPr>
            <m:t>−</m:t>
          </m:r>
          <m:sSub>
            <m:e>
              <m:r>
                <m:rPr>
                  <m:scr m:val="double-struck"/>
                  <m:sty m:val="p"/>
                </m:rPr>
                <m:t>E</m:t>
              </m:r>
            </m:e>
            <m:sub>
              <m:acc>
                <m:accPr>
                  <m:chr m:val="̂"/>
                </m:accPr>
                <m:e>
                  <m:r>
                    <m:t>z</m:t>
                  </m:r>
                </m:e>
              </m:acc>
              <m:r>
                <m:rPr>
                  <m:sty m:val="p"/>
                </m:rPr>
                <m:t>∼</m:t>
              </m:r>
              <m:r>
                <m:rPr>
                  <m:scr m:val="script"/>
                  <m:sty m:val="p"/>
                </m:rPr>
                <m:t>N</m:t>
              </m:r>
              <m:d>
                <m:dPr>
                  <m:begChr m:val="("/>
                  <m:sepChr m:val=""/>
                  <m:endChr m:val=")"/>
                  <m:grow/>
                </m:dPr>
                <m:e>
                  <m:r>
                    <m:t>0</m:t>
                  </m:r>
                  <m:r>
                    <m:rPr>
                      <m:sty m:val="p"/>
                    </m:rPr>
                    <m:t>,</m:t>
                  </m:r>
                  <m:sSub>
                    <m:e>
                      <m:r>
                        <m:t>K</m:t>
                      </m:r>
                    </m:e>
                    <m:sub>
                      <m:r>
                        <m:t>d</m:t>
                      </m:r>
                    </m:sub>
                  </m:sSub>
                </m:e>
              </m:d>
            </m:sub>
          </m:sSub>
          <m:d>
            <m:dPr>
              <m:begChr m:val="["/>
              <m:sepChr m:val=""/>
              <m:endChr m:val="]"/>
              <m:grow/>
            </m:dPr>
            <m:e>
              <m:r>
                <m:t>h</m:t>
              </m:r>
              <m:d>
                <m:dPr>
                  <m:begChr m:val="("/>
                  <m:sepChr m:val=""/>
                  <m:endChr m:val=")"/>
                  <m:grow/>
                </m:dPr>
                <m:e>
                  <m:r>
                    <m:t>1</m:t>
                  </m:r>
                  <m:r>
                    <m:rPr>
                      <m:sty m:val="p"/>
                    </m:rPr>
                    <m:t>−</m:t>
                  </m:r>
                  <m:sSub>
                    <m:e>
                      <m:r>
                        <m:t>Φ</m:t>
                      </m:r>
                    </m:e>
                    <m:sub>
                      <m:r>
                        <m:t>2</m:t>
                      </m:r>
                    </m:sub>
                  </m:sSub>
                  <m:d>
                    <m:dPr>
                      <m:begChr m:val="("/>
                      <m:sepChr m:val=""/>
                      <m:endChr m:val=")"/>
                      <m:grow/>
                    </m:dPr>
                    <m:e>
                      <m:f>
                        <m:fPr>
                          <m:type m:val="bar"/>
                        </m:fPr>
                        <m:num>
                          <m:sSub>
                            <m:e>
                              <m:r>
                                <m:t>μ</m:t>
                              </m:r>
                            </m:e>
                            <m:sub>
                              <m:r>
                                <m:t>A</m:t>
                              </m:r>
                            </m:sub>
                          </m:sSub>
                          <m:r>
                            <m:rPr>
                              <m:sty m:val="p"/>
                            </m:rPr>
                            <m:t>+</m:t>
                          </m:r>
                          <m:sSub>
                            <m:e>
                              <m:acc>
                                <m:accPr>
                                  <m:chr m:val="̂"/>
                                </m:accPr>
                                <m:e>
                                  <m:r>
                                    <m:t>z</m:t>
                                  </m:r>
                                </m:e>
                              </m:acc>
                            </m:e>
                            <m:sub>
                              <m:r>
                                <m:t>1</m:t>
                              </m:r>
                            </m:sub>
                          </m:sSub>
                          <m:r>
                            <m:rPr>
                              <m:sty m:val="p"/>
                            </m:rPr>
                            <m:t>−</m:t>
                          </m:r>
                          <m:sSub>
                            <m:e>
                              <m:r>
                                <m:t>h</m:t>
                              </m:r>
                            </m:e>
                            <m:sub>
                              <m:r>
                                <m:t>c</m:t>
                              </m:r>
                            </m:sub>
                          </m:sSub>
                        </m:num>
                        <m:den>
                          <m:sSub>
                            <m:e>
                              <m:r>
                                <m:t>s</m:t>
                              </m:r>
                            </m:e>
                            <m:sub>
                              <m:r>
                                <m:t>A</m:t>
                              </m:r>
                            </m:sub>
                          </m:sSub>
                        </m:den>
                      </m:f>
                      <m:r>
                        <m:rPr>
                          <m:sty m:val="p"/>
                        </m:rPr>
                        <m:t>,</m:t>
                      </m:r>
                      <m:f>
                        <m:fPr>
                          <m:type m:val="bar"/>
                        </m:fPr>
                        <m:num>
                          <m:sSub>
                            <m:e>
                              <m:r>
                                <m:t>μ</m:t>
                              </m:r>
                            </m:e>
                            <m:sub>
                              <m:r>
                                <m:t>B</m:t>
                              </m:r>
                            </m:sub>
                          </m:sSub>
                          <m:r>
                            <m:rPr>
                              <m:sty m:val="p"/>
                            </m:rPr>
                            <m:t>+</m:t>
                          </m:r>
                          <m:sSub>
                            <m:e>
                              <m:acc>
                                <m:accPr>
                                  <m:chr m:val="̂"/>
                                </m:accPr>
                                <m:e>
                                  <m:r>
                                    <m:t>z</m:t>
                                  </m:r>
                                </m:e>
                              </m:acc>
                            </m:e>
                            <m:sub>
                              <m:r>
                                <m:t>2</m:t>
                              </m:r>
                            </m:sub>
                          </m:sSub>
                          <m:r>
                            <m:rPr>
                              <m:sty m:val="p"/>
                            </m:rPr>
                            <m:t>−</m:t>
                          </m:r>
                          <m:sSub>
                            <m:e>
                              <m:r>
                                <m:t>h</m:t>
                              </m:r>
                            </m:e>
                            <m:sub>
                              <m:r>
                                <m:t>c</m:t>
                              </m:r>
                            </m:sub>
                          </m:sSub>
                        </m:num>
                        <m:den>
                          <m:sSub>
                            <m:e>
                              <m:r>
                                <m:t>s</m:t>
                              </m:r>
                            </m:e>
                            <m:sub>
                              <m:r>
                                <m:t>B</m:t>
                              </m:r>
                            </m:sub>
                          </m:sSub>
                        </m:den>
                      </m:f>
                      <m:r>
                        <m:rPr>
                          <m:sty m:val="p"/>
                        </m:rPr>
                        <m:t>;</m:t>
                      </m:r>
                      <m:r>
                        <m:t>r</m:t>
                      </m:r>
                    </m:e>
                  </m:d>
                </m:e>
              </m:d>
            </m:e>
          </m:d>
        </m:oMath>
      </m:oMathPara>
    </w:p>
    <w:p>
      <w:pPr>
        <w:spacing w:after="120"/>
        <w:jc w:val="both"/>
      </w:pPr>
      <w:r>
        <w:t xml:space="preserve">Here </w:t>
      </w:r>
      <m:oMath>
        <m:sSub>
          <m:e>
            <m:r>
              <m:t>K</m:t>
            </m:r>
          </m:e>
          <m:sub>
            <m:r>
              <m:t>d</m:t>
            </m:r>
          </m:sub>
        </m:sSub>
      </m:oMath>
      <w:r>
        <w:t xml:space="preserve"> is the information operator of the two heads, </w:t>
      </w:r>
      <m:oMath>
        <m:sSub>
          <m:e>
            <m:r>
              <m:t>s</m:t>
            </m:r>
          </m:e>
          <m:sub>
            <m:r>
              <m:t>A</m:t>
            </m:r>
          </m:sub>
        </m:sSub>
      </m:oMath>
      <w:r>
        <w:t xml:space="preserve">, </w:t>
      </w:r>
      <m:oMath>
        <m:sSub>
          <m:e>
            <m:r>
              <m:t>s</m:t>
            </m:r>
          </m:e>
          <m:sub>
            <m:r>
              <m:t>B</m:t>
            </m:r>
          </m:sub>
        </m:sSub>
      </m:oMath>
      <w:r>
        <w:t xml:space="preserve"> and </w:t>
      </w:r>
      <m:oMath>
        <m:r>
          <m:t>r</m:t>
        </m:r>
      </m:oMath>
      <w:r>
        <w:t xml:space="preserve"> are the posterior standard deviations and correlation, and the expectation is computed with 24 × 24 Gauss–Hermite quadrature.</w:t>
      </w:r>
    </w:p>
    <w:p>
      <w:pPr>
        <w:spacing w:after="240"/>
      </w:pPr>
    </w:p>
    <w:p>
      <w:pPr>
        <w:pStyle w:val="Heading1"/>
      </w:pPr>
      <w:r>
        <w:rPr>
          <w:color w:val="1F3864"/>
        </w:rPr>
        <w:t xml:space="preserve">4. Results with the published prior</w:t>
      </w:r>
    </w:p>
    <w:p>
      <w:pPr>
        <w:spacing w:after="120"/>
        <w:jc w:val="both"/>
      </w:pPr>
      <w:r>
        <w:rPr>
          <w:b/>
          <w:bCs/>
        </w:rPr>
        <w:t xml:space="preserve">Three wells, all 4 060 designs.</w:t>
      </w:r>
      <w:r>
        <w:t xml:space="preserve"> The table gives the exact EIG of the design chosen by each criterion, as a percentage of the exact optimum for each goal, and the rank correlation (Spearman) with the exact EIG of the “A or B” risk.</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238"/>
        <w:gridCol w:w="1600"/>
        <w:gridCol w:w="1600"/>
        <w:gridCol w:w="1600"/>
        <w:gridCol w:w="1600"/>
      </w:tblGrid>
      <w:tr>
        <w:trPr>
          <w:cantSplit/>
          <w:tblHeader/>
        </w:trPr>
        <w:tc>
          <w:tcPr>
            <w:tcW w:type="dxa" w:w="3238"/>
            <w:shd w:fill="D97706" w:color="auto" w:val="clear"/>
            <w:tcMar>
              <w:top w:type="dxa" w:w="60"/>
              <w:left w:type="dxa" w:w="100"/>
              <w:bottom w:type="dxa" w:w="60"/>
              <w:right w:type="dxa" w:w="100"/>
            </w:tcMar>
            <w:vAlign w:val="top"/>
          </w:tcPr>
          <w:p>
            <w:r>
              <w:rPr>
                <w:b/>
                <w:bCs/>
                <w:color w:val="FFFFFF"/>
                <w:sz w:val="17"/>
                <w:szCs w:val="17"/>
              </w:rPr>
              <w:t xml:space="preserve">Criterion</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Area &gt; 100 km²</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Risk at A</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A or B</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Spearman (A or B)</w:t>
            </w:r>
          </w:p>
        </w:tc>
      </w:tr>
      <w:tr>
        <w:trPr>
          <w:cantSplit/>
        </w:trPr>
        <w:tc>
          <w:tcPr>
            <w:tcW w:type="dxa" w:w="3238"/>
            <w:tcMar>
              <w:top w:type="dxa" w:w="60"/>
              <w:left w:type="dxa" w:w="100"/>
              <w:bottom w:type="dxa" w:w="60"/>
              <w:right w:type="dxa" w:w="100"/>
            </w:tcMar>
            <w:vAlign w:val="top"/>
          </w:tcPr>
          <w:p>
            <w:r>
              <w:rPr>
                <w:sz w:val="17"/>
                <w:szCs w:val="17"/>
              </w:rPr>
              <w:t xml:space="preserve">Linear EIG of the area (published pipeline)</w:t>
            </w:r>
          </w:p>
        </w:tc>
        <w:tc>
          <w:tcPr>
            <w:tcW w:type="dxa" w:w="1600"/>
            <w:tcMar>
              <w:top w:type="dxa" w:w="60"/>
              <w:left w:type="dxa" w:w="100"/>
              <w:bottom w:type="dxa" w:w="60"/>
              <w:right w:type="dxa" w:w="100"/>
            </w:tcMar>
            <w:vAlign w:val="top"/>
          </w:tcPr>
          <w:p>
            <w:r>
              <w:rPr>
                <w:sz w:val="17"/>
                <w:szCs w:val="17"/>
              </w:rPr>
              <w:t xml:space="preserve">100.0%</w:t>
            </w:r>
          </w:p>
        </w:tc>
        <w:tc>
          <w:tcPr>
            <w:tcW w:type="dxa" w:w="1600"/>
            <w:tcMar>
              <w:top w:type="dxa" w:w="60"/>
              <w:left w:type="dxa" w:w="100"/>
              <w:bottom w:type="dxa" w:w="60"/>
              <w:right w:type="dxa" w:w="100"/>
            </w:tcMar>
            <w:vAlign w:val="top"/>
          </w:tcPr>
          <w:p>
            <w:r>
              <w:rPr>
                <w:sz w:val="17"/>
                <w:szCs w:val="17"/>
              </w:rPr>
              <w:t xml:space="preserve">32.3%</w:t>
            </w:r>
          </w:p>
        </w:tc>
        <w:tc>
          <w:tcPr>
            <w:tcW w:type="dxa" w:w="1600"/>
            <w:tcMar>
              <w:top w:type="dxa" w:w="60"/>
              <w:left w:type="dxa" w:w="100"/>
              <w:bottom w:type="dxa" w:w="60"/>
              <w:right w:type="dxa" w:w="100"/>
            </w:tcMar>
            <w:vAlign w:val="top"/>
          </w:tcPr>
          <w:p>
            <w:r>
              <w:rPr>
                <w:sz w:val="17"/>
                <w:szCs w:val="17"/>
              </w:rPr>
              <w:t xml:space="preserve">80.2%</w:t>
            </w:r>
          </w:p>
        </w:tc>
        <w:tc>
          <w:tcPr>
            <w:tcW w:type="dxa" w:w="1600"/>
            <w:tcMar>
              <w:top w:type="dxa" w:w="60"/>
              <w:left w:type="dxa" w:w="100"/>
              <w:bottom w:type="dxa" w:w="60"/>
              <w:right w:type="dxa" w:w="100"/>
            </w:tcMar>
            <w:vAlign w:val="top"/>
          </w:tcPr>
          <w:p>
            <w:r>
              <w:rPr>
                <w:sz w:val="17"/>
                <w:szCs w:val="17"/>
              </w:rPr>
              <w:t xml:space="preserve">0.827</w:t>
            </w:r>
          </w:p>
        </w:tc>
      </w:tr>
      <w:tr>
        <w:trPr>
          <w:cantSplit/>
        </w:trPr>
        <w:tc>
          <w:tcPr>
            <w:tcW w:type="dxa" w:w="3238"/>
            <w:shd w:fill="F7F9FC" w:color="auto" w:val="clear"/>
            <w:tcMar>
              <w:top w:type="dxa" w:w="60"/>
              <w:left w:type="dxa" w:w="100"/>
              <w:bottom w:type="dxa" w:w="60"/>
              <w:right w:type="dxa" w:w="100"/>
            </w:tcMar>
            <w:vAlign w:val="top"/>
          </w:tcPr>
          <w:p>
            <w:r>
              <w:rPr>
                <w:sz w:val="17"/>
                <w:szCs w:val="17"/>
              </w:rPr>
              <w:t xml:space="preserve">Linear EIG of the head at A (Theorem 1)</w:t>
            </w:r>
          </w:p>
        </w:tc>
        <w:tc>
          <w:tcPr>
            <w:tcW w:type="dxa" w:w="1600"/>
            <w:shd w:fill="F7F9FC" w:color="auto" w:val="clear"/>
            <w:tcMar>
              <w:top w:type="dxa" w:w="60"/>
              <w:left w:type="dxa" w:w="100"/>
              <w:bottom w:type="dxa" w:w="60"/>
              <w:right w:type="dxa" w:w="100"/>
            </w:tcMar>
            <w:vAlign w:val="top"/>
          </w:tcPr>
          <w:p>
            <w:r>
              <w:rPr>
                <w:sz w:val="17"/>
                <w:szCs w:val="17"/>
              </w:rPr>
              <w:t xml:space="preserve">33.0%</w:t>
            </w:r>
          </w:p>
        </w:tc>
        <w:tc>
          <w:tcPr>
            <w:tcW w:type="dxa" w:w="1600"/>
            <w:shd w:fill="F7F9FC" w:color="auto" w:val="clear"/>
            <w:tcMar>
              <w:top w:type="dxa" w:w="60"/>
              <w:left w:type="dxa" w:w="100"/>
              <w:bottom w:type="dxa" w:w="60"/>
              <w:right w:type="dxa" w:w="100"/>
            </w:tcMar>
            <w:vAlign w:val="top"/>
          </w:tcPr>
          <w:p>
            <w:r>
              <w:rPr>
                <w:sz w:val="17"/>
                <w:szCs w:val="17"/>
              </w:rPr>
              <w:t xml:space="preserve">100.0%</w:t>
            </w:r>
          </w:p>
        </w:tc>
        <w:tc>
          <w:tcPr>
            <w:tcW w:type="dxa" w:w="1600"/>
            <w:shd w:fill="F7F9FC" w:color="auto" w:val="clear"/>
            <w:tcMar>
              <w:top w:type="dxa" w:w="60"/>
              <w:left w:type="dxa" w:w="100"/>
              <w:bottom w:type="dxa" w:w="60"/>
              <w:right w:type="dxa" w:w="100"/>
            </w:tcMar>
            <w:vAlign w:val="top"/>
          </w:tcPr>
          <w:p>
            <w:r>
              <w:rPr>
                <w:sz w:val="17"/>
                <w:szCs w:val="17"/>
              </w:rPr>
              <w:t xml:space="preserve">40.1%</w:t>
            </w:r>
          </w:p>
        </w:tc>
        <w:tc>
          <w:tcPr>
            <w:tcW w:type="dxa" w:w="1600"/>
            <w:shd w:fill="F7F9FC" w:color="auto" w:val="clear"/>
            <w:tcMar>
              <w:top w:type="dxa" w:w="60"/>
              <w:left w:type="dxa" w:w="100"/>
              <w:bottom w:type="dxa" w:w="60"/>
              <w:right w:type="dxa" w:w="100"/>
            </w:tcMar>
            <w:vAlign w:val="top"/>
          </w:tcPr>
          <w:p>
            <w:r>
              <w:rPr>
                <w:sz w:val="17"/>
                <w:szCs w:val="17"/>
              </w:rPr>
              <w:t xml:space="preserve">0.203</w:t>
            </w:r>
          </w:p>
        </w:tc>
      </w:tr>
      <w:tr>
        <w:trPr>
          <w:cantSplit/>
        </w:trPr>
        <w:tc>
          <w:tcPr>
            <w:tcW w:type="dxa" w:w="3238"/>
            <w:tcMar>
              <w:top w:type="dxa" w:w="60"/>
              <w:left w:type="dxa" w:w="100"/>
              <w:bottom w:type="dxa" w:w="60"/>
              <w:right w:type="dxa" w:w="100"/>
            </w:tcMar>
            <w:vAlign w:val="top"/>
          </w:tcPr>
          <w:p>
            <w:r>
              <w:rPr>
                <w:sz w:val="17"/>
                <w:szCs w:val="17"/>
              </w:rPr>
              <w:t xml:space="preserve">Linear EIG of the mean head at A and B</w:t>
            </w:r>
          </w:p>
        </w:tc>
        <w:tc>
          <w:tcPr>
            <w:tcW w:type="dxa" w:w="1600"/>
            <w:tcMar>
              <w:top w:type="dxa" w:w="60"/>
              <w:left w:type="dxa" w:w="100"/>
              <w:bottom w:type="dxa" w:w="60"/>
              <w:right w:type="dxa" w:w="100"/>
            </w:tcMar>
            <w:vAlign w:val="top"/>
          </w:tcPr>
          <w:p>
            <w:r>
              <w:rPr>
                <w:sz w:val="17"/>
                <w:szCs w:val="17"/>
              </w:rPr>
              <w:t xml:space="preserve">85.4%</w:t>
            </w:r>
          </w:p>
        </w:tc>
        <w:tc>
          <w:tcPr>
            <w:tcW w:type="dxa" w:w="1600"/>
            <w:tcMar>
              <w:top w:type="dxa" w:w="60"/>
              <w:left w:type="dxa" w:w="100"/>
              <w:bottom w:type="dxa" w:w="60"/>
              <w:right w:type="dxa" w:w="100"/>
            </w:tcMar>
            <w:vAlign w:val="top"/>
          </w:tcPr>
          <w:p>
            <w:r>
              <w:rPr>
                <w:sz w:val="17"/>
                <w:szCs w:val="17"/>
              </w:rPr>
              <w:t xml:space="preserve">91.4%</w:t>
            </w:r>
          </w:p>
        </w:tc>
        <w:tc>
          <w:tcPr>
            <w:tcW w:type="dxa" w:w="1600"/>
            <w:tcMar>
              <w:top w:type="dxa" w:w="60"/>
              <w:left w:type="dxa" w:w="100"/>
              <w:bottom w:type="dxa" w:w="60"/>
              <w:right w:type="dxa" w:w="100"/>
            </w:tcMar>
            <w:vAlign w:val="top"/>
          </w:tcPr>
          <w:p>
            <w:r>
              <w:rPr>
                <w:sz w:val="17"/>
                <w:szCs w:val="17"/>
              </w:rPr>
              <w:t xml:space="preserve">100.0%</w:t>
            </w:r>
          </w:p>
        </w:tc>
        <w:tc>
          <w:tcPr>
            <w:tcW w:type="dxa" w:w="1600"/>
            <w:tcMar>
              <w:top w:type="dxa" w:w="60"/>
              <w:left w:type="dxa" w:w="100"/>
              <w:bottom w:type="dxa" w:w="60"/>
              <w:right w:type="dxa" w:w="100"/>
            </w:tcMar>
            <w:vAlign w:val="top"/>
          </w:tcPr>
          <w:p>
            <w:r>
              <w:rPr>
                <w:sz w:val="17"/>
                <w:szCs w:val="17"/>
              </w:rPr>
              <w:t xml:space="preserve">0.957</w:t>
            </w:r>
          </w:p>
        </w:tc>
      </w:tr>
      <w:tr>
        <w:trPr>
          <w:cantSplit/>
        </w:trPr>
        <w:tc>
          <w:tcPr>
            <w:tcW w:type="dxa" w:w="3238"/>
            <w:shd w:fill="F7F9FC" w:color="auto" w:val="clear"/>
            <w:tcMar>
              <w:top w:type="dxa" w:w="60"/>
              <w:left w:type="dxa" w:w="100"/>
              <w:bottom w:type="dxa" w:w="60"/>
              <w:right w:type="dxa" w:w="100"/>
            </w:tcMar>
            <w:vAlign w:val="top"/>
          </w:tcPr>
          <w:p>
            <w:r>
              <w:rPr>
                <w:sz w:val="17"/>
                <w:szCs w:val="17"/>
              </w:rPr>
              <w:t xml:space="preserve">PRAG-GO, linear moments</w:t>
            </w:r>
          </w:p>
        </w:tc>
        <w:tc>
          <w:tcPr>
            <w:tcW w:type="dxa" w:w="1600"/>
            <w:shd w:fill="F7F9FC" w:color="auto" w:val="clear"/>
            <w:tcMar>
              <w:top w:type="dxa" w:w="60"/>
              <w:left w:type="dxa" w:w="100"/>
              <w:bottom w:type="dxa" w:w="60"/>
              <w:right w:type="dxa" w:w="100"/>
            </w:tcMar>
            <w:vAlign w:val="top"/>
          </w:tcPr>
          <w:p>
            <w:r>
              <w:rPr>
                <w:sz w:val="17"/>
                <w:szCs w:val="17"/>
              </w:rPr>
              <w:t xml:space="preserve">90.2%</w:t>
            </w:r>
          </w:p>
        </w:tc>
        <w:tc>
          <w:tcPr>
            <w:tcW w:type="dxa" w:w="1600"/>
            <w:shd w:fill="F7F9FC" w:color="auto" w:val="clear"/>
            <w:tcMar>
              <w:top w:type="dxa" w:w="60"/>
              <w:left w:type="dxa" w:w="100"/>
              <w:bottom w:type="dxa" w:w="60"/>
              <w:right w:type="dxa" w:w="100"/>
            </w:tcMar>
            <w:vAlign w:val="top"/>
          </w:tcPr>
          <w:p>
            <w:r>
              <w:rPr>
                <w:sz w:val="17"/>
                <w:szCs w:val="17"/>
              </w:rPr>
              <w:t xml:space="preserve">91.6%</w:t>
            </w:r>
          </w:p>
        </w:tc>
        <w:tc>
          <w:tcPr>
            <w:tcW w:type="dxa" w:w="1600"/>
            <w:shd w:fill="F7F9FC" w:color="auto" w:val="clear"/>
            <w:tcMar>
              <w:top w:type="dxa" w:w="60"/>
              <w:left w:type="dxa" w:w="100"/>
              <w:bottom w:type="dxa" w:w="60"/>
              <w:right w:type="dxa" w:w="100"/>
            </w:tcMar>
            <w:vAlign w:val="top"/>
          </w:tcPr>
          <w:p>
            <w:r>
              <w:rPr>
                <w:sz w:val="17"/>
                <w:szCs w:val="17"/>
              </w:rPr>
              <w:t xml:space="preserve">97.6%</w:t>
            </w:r>
          </w:p>
        </w:tc>
        <w:tc>
          <w:tcPr>
            <w:tcW w:type="dxa" w:w="1600"/>
            <w:shd w:fill="F7F9FC" w:color="auto" w:val="clear"/>
            <w:tcMar>
              <w:top w:type="dxa" w:w="60"/>
              <w:left w:type="dxa" w:w="100"/>
              <w:bottom w:type="dxa" w:w="60"/>
              <w:right w:type="dxa" w:w="100"/>
            </w:tcMar>
            <w:vAlign w:val="top"/>
          </w:tcPr>
          <w:p>
            <w:r>
              <w:rPr>
                <w:sz w:val="17"/>
                <w:szCs w:val="17"/>
              </w:rPr>
              <w:t xml:space="preserve">0.996</w:t>
            </w:r>
          </w:p>
        </w:tc>
      </w:tr>
      <w:tr>
        <w:trPr>
          <w:cantSplit/>
        </w:trPr>
        <w:tc>
          <w:tcPr>
            <w:tcW w:type="dxa" w:w="3238"/>
            <w:tcMar>
              <w:top w:type="dxa" w:w="60"/>
              <w:left w:type="dxa" w:w="100"/>
              <w:bottom w:type="dxa" w:w="60"/>
              <w:right w:type="dxa" w:w="100"/>
            </w:tcMar>
            <w:vAlign w:val="top"/>
          </w:tcPr>
          <w:p>
            <w:r>
              <w:rPr>
                <w:sz w:val="17"/>
                <w:szCs w:val="17"/>
              </w:rPr>
              <w:t xml:space="preserve">PRAG-GO, ensemble moments</w:t>
            </w:r>
          </w:p>
        </w:tc>
        <w:tc>
          <w:tcPr>
            <w:tcW w:type="dxa" w:w="1600"/>
            <w:tcMar>
              <w:top w:type="dxa" w:w="60"/>
              <w:left w:type="dxa" w:w="100"/>
              <w:bottom w:type="dxa" w:w="60"/>
              <w:right w:type="dxa" w:w="100"/>
            </w:tcMar>
            <w:vAlign w:val="top"/>
          </w:tcPr>
          <w:p>
            <w:r>
              <w:rPr>
                <w:sz w:val="17"/>
                <w:szCs w:val="17"/>
              </w:rPr>
              <w:t xml:space="preserve">85.4%</w:t>
            </w:r>
          </w:p>
        </w:tc>
        <w:tc>
          <w:tcPr>
            <w:tcW w:type="dxa" w:w="1600"/>
            <w:tcMar>
              <w:top w:type="dxa" w:w="60"/>
              <w:left w:type="dxa" w:w="100"/>
              <w:bottom w:type="dxa" w:w="60"/>
              <w:right w:type="dxa" w:w="100"/>
            </w:tcMar>
            <w:vAlign w:val="top"/>
          </w:tcPr>
          <w:p>
            <w:r>
              <w:rPr>
                <w:sz w:val="17"/>
                <w:szCs w:val="17"/>
              </w:rPr>
              <w:t xml:space="preserve">91.4%</w:t>
            </w:r>
          </w:p>
        </w:tc>
        <w:tc>
          <w:tcPr>
            <w:tcW w:type="dxa" w:w="1600"/>
            <w:tcMar>
              <w:top w:type="dxa" w:w="60"/>
              <w:left w:type="dxa" w:w="100"/>
              <w:bottom w:type="dxa" w:w="60"/>
              <w:right w:type="dxa" w:w="100"/>
            </w:tcMar>
            <w:vAlign w:val="top"/>
          </w:tcPr>
          <w:p>
            <w:r>
              <w:rPr>
                <w:sz w:val="17"/>
                <w:szCs w:val="17"/>
              </w:rPr>
              <w:t xml:space="preserve">100.0%</w:t>
            </w:r>
          </w:p>
        </w:tc>
        <w:tc>
          <w:tcPr>
            <w:tcW w:type="dxa" w:w="1600"/>
            <w:tcMar>
              <w:top w:type="dxa" w:w="60"/>
              <w:left w:type="dxa" w:w="100"/>
              <w:bottom w:type="dxa" w:w="60"/>
              <w:right w:type="dxa" w:w="100"/>
            </w:tcMar>
            <w:vAlign w:val="top"/>
          </w:tcPr>
          <w:p>
            <w:r>
              <w:rPr>
                <w:sz w:val="17"/>
                <w:szCs w:val="17"/>
              </w:rPr>
              <w:t xml:space="preserve">0.995</w:t>
            </w:r>
          </w:p>
        </w:tc>
      </w:tr>
      <w:tr>
        <w:trPr>
          <w:cantSplit/>
        </w:trPr>
        <w:tc>
          <w:tcPr>
            <w:tcW w:type="dxa" w:w="3238"/>
            <w:shd w:fill="F7F9FC" w:color="auto" w:val="clear"/>
            <w:tcMar>
              <w:top w:type="dxa" w:w="60"/>
              <w:left w:type="dxa" w:w="100"/>
              <w:bottom w:type="dxa" w:w="60"/>
              <w:right w:type="dxa" w:w="100"/>
            </w:tcMar>
            <w:vAlign w:val="top"/>
          </w:tcPr>
          <w:p>
            <w:r>
              <w:rPr>
                <w:sz w:val="17"/>
                <w:szCs w:val="17"/>
              </w:rPr>
              <w:t xml:space="preserve">PRAG-GO, normal-score</w:t>
            </w:r>
          </w:p>
        </w:tc>
        <w:tc>
          <w:tcPr>
            <w:tcW w:type="dxa" w:w="1600"/>
            <w:shd w:fill="F7F9FC" w:color="auto" w:val="clear"/>
            <w:tcMar>
              <w:top w:type="dxa" w:w="60"/>
              <w:left w:type="dxa" w:w="100"/>
              <w:bottom w:type="dxa" w:w="60"/>
              <w:right w:type="dxa" w:w="100"/>
            </w:tcMar>
            <w:vAlign w:val="top"/>
          </w:tcPr>
          <w:p>
            <w:r>
              <w:rPr>
                <w:sz w:val="17"/>
                <w:szCs w:val="17"/>
              </w:rPr>
              <w:t xml:space="preserve">90.2%</w:t>
            </w:r>
          </w:p>
        </w:tc>
        <w:tc>
          <w:tcPr>
            <w:tcW w:type="dxa" w:w="1600"/>
            <w:shd w:fill="F7F9FC" w:color="auto" w:val="clear"/>
            <w:tcMar>
              <w:top w:type="dxa" w:w="60"/>
              <w:left w:type="dxa" w:w="100"/>
              <w:bottom w:type="dxa" w:w="60"/>
              <w:right w:type="dxa" w:w="100"/>
            </w:tcMar>
            <w:vAlign w:val="top"/>
          </w:tcPr>
          <w:p>
            <w:r>
              <w:rPr>
                <w:sz w:val="17"/>
                <w:szCs w:val="17"/>
              </w:rPr>
              <w:t xml:space="preserve">91.6%</w:t>
            </w:r>
          </w:p>
        </w:tc>
        <w:tc>
          <w:tcPr>
            <w:tcW w:type="dxa" w:w="1600"/>
            <w:shd w:fill="F7F9FC" w:color="auto" w:val="clear"/>
            <w:tcMar>
              <w:top w:type="dxa" w:w="60"/>
              <w:left w:type="dxa" w:w="100"/>
              <w:bottom w:type="dxa" w:w="60"/>
              <w:right w:type="dxa" w:w="100"/>
            </w:tcMar>
            <w:vAlign w:val="top"/>
          </w:tcPr>
          <w:p>
            <w:r>
              <w:rPr>
                <w:sz w:val="17"/>
                <w:szCs w:val="17"/>
              </w:rPr>
              <w:t xml:space="preserve">97.6%</w:t>
            </w:r>
          </w:p>
        </w:tc>
        <w:tc>
          <w:tcPr>
            <w:tcW w:type="dxa" w:w="1600"/>
            <w:shd w:fill="F7F9FC" w:color="auto" w:val="clear"/>
            <w:tcMar>
              <w:top w:type="dxa" w:w="60"/>
              <w:left w:type="dxa" w:w="100"/>
              <w:bottom w:type="dxa" w:w="60"/>
              <w:right w:type="dxa" w:w="100"/>
            </w:tcMar>
            <w:vAlign w:val="top"/>
          </w:tcPr>
          <w:p>
            <w:r>
              <w:rPr>
                <w:sz w:val="17"/>
                <w:szCs w:val="17"/>
              </w:rPr>
              <w:t xml:space="preserve">0.996</w:t>
            </w:r>
          </w:p>
        </w:tc>
      </w:tr>
    </w:tbl>
    <w:p>
      <w:pPr>
        <w:spacing w:after="160"/>
      </w:pPr>
    </w:p>
    <w:p>
      <w:pPr>
        <w:spacing w:after="120"/>
        <w:jc w:val="both"/>
      </w:pPr>
      <w:r>
        <w:t xml:space="preserve">Theorem 1 holds in the field for the project goal. The Lemma 1 design for the area (P21, A3, A18) is also the exact optimum for the area threshold, with Spearman 0.995. This design extends along the whole length of the coast, because the area integrates the salinity of the entire coastal strip. For the risk at A23 it captures only 32.3%, and its ranking bears almost no relation to the exact EIG (Spearman 0.072). The information about A23 comes from wells P13, A11, A25, 2–4 km east of it. The linear EIG of the head at A finds them exactly (100%), so Theorem 1 for the supply well also holds unchanged. For the “A or B” risk, the PRAG-GO formula reaches 97.6% with linear moments and 100.0% with ensemble moments, with Spearman 0.996.</w:t>
      </w:r>
    </w:p>
    <w:p>
      <w:pPr>
        <w:keepNext/>
        <w:spacing w:after="60" w:before="120"/>
        <w:jc w:val="center"/>
      </w:pPr>
      <w:r>
        <w:drawing>
          <wp:inline distT="0" distB="0" distL="0" distR="0">
            <wp:extent cx="5762625" cy="2143125"/>
            <wp:effectExtent t="0" r="0" b="0" l="0"/>
            <wp:docPr id="1" name="Criterion versus exact EIG for all 4060 designs with 3 wells" descr="Criterion versus exact EIG for all 4060 designs with 3 wells" title="Criterion versus exact EIG for all 4060 designs with 3 w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143125"/>
                    </a:xfrm>
                    <a:prstGeom prst="rect">
                      <a:avLst/>
                    </a:prstGeom>
                  </pic:spPr>
                </pic:pic>
              </a:graphicData>
            </a:graphic>
          </wp:inline>
        </w:drawing>
      </w:r>
    </w:p>
    <w:p>
      <w:pPr>
        <w:spacing w:after="200"/>
        <w:jc w:val="both"/>
      </w:pPr>
      <w:r>
        <w:rPr>
          <w:b/>
          <w:bCs/>
          <w:color w:val="3A4350"/>
          <w:sz w:val="18"/>
          <w:szCs w:val="18"/>
        </w:rPr>
        <w:t xml:space="preserve">Figure 2.</w:t>
      </w:r>
      <w:r>
        <w:rPr>
          <w:color w:val="3A4350"/>
          <w:sz w:val="18"/>
          <w:szCs w:val="18"/>
        </w:rPr>
        <w:t xml:space="preserve"> Criterion value versus exact EIG for all 4 060 designs with 3 wells. (a) Linear EIG of the area versus the area threshold: Theorem 1 in the field. (b) The same criterion versus the “A or B” risk. (c) PRAG-GO with linear moments versus the “A or B” risk. The orange dot is the design chosen by the criterion, and the dashed line is the exact optimum.</w:t>
      </w:r>
    </w:p>
    <w:p>
      <w:pPr>
        <w:spacing w:after="120"/>
        <w:jc w:val="both"/>
      </w:pPr>
      <w:r>
        <w:rPr>
          <w:b/>
          <w:bCs/>
        </w:rPr>
        <w:t xml:space="preserve">Five wells, the project budget.</w:t>
      </w:r>
      <w:r>
        <w:t xml:space="preserve"> All 142 506 designs with 5 wells were ranked by each criterion. The exact EIG was computed for 3 671 designs: 3 000 random designs and the top 200 of each criterion. Greedy search with swaps on the exact EIG was run for each goal. The leading designs were then re-estimated with an ensemble four times larger (48 000 realizations), because reweighting overestimates the EIG when the effective sample size is small. The table gives the percentages from this re-estimate, relative to the best design found by any method: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38"/>
        <w:gridCol w:w="2600"/>
        <w:gridCol w:w="1500"/>
        <w:gridCol w:w="1450"/>
        <w:gridCol w:w="1450"/>
      </w:tblGrid>
      <w:tr>
        <w:trPr>
          <w:cantSplit/>
          <w:tblHeader/>
        </w:trPr>
        <w:tc>
          <w:tcPr>
            <w:tcW w:type="dxa" w:w="2638"/>
            <w:shd w:fill="D97706" w:color="auto" w:val="clear"/>
            <w:tcMar>
              <w:top w:type="dxa" w:w="60"/>
              <w:left w:type="dxa" w:w="100"/>
              <w:bottom w:type="dxa" w:w="60"/>
              <w:right w:type="dxa" w:w="100"/>
            </w:tcMar>
            <w:vAlign w:val="top"/>
          </w:tcPr>
          <w:p>
            <w:r>
              <w:rPr>
                <w:b/>
                <w:bCs/>
                <w:color w:val="FFFFFF"/>
                <w:sz w:val="16"/>
                <w:szCs w:val="16"/>
              </w:rPr>
              <w:t xml:space="preserve">Design</w:t>
            </w:r>
          </w:p>
        </w:tc>
        <w:tc>
          <w:tcPr>
            <w:tcW w:type="dxa" w:w="2600"/>
            <w:shd w:fill="D97706" w:color="auto" w:val="clear"/>
            <w:tcMar>
              <w:top w:type="dxa" w:w="60"/>
              <w:left w:type="dxa" w:w="100"/>
              <w:bottom w:type="dxa" w:w="60"/>
              <w:right w:type="dxa" w:w="100"/>
            </w:tcMar>
            <w:vAlign w:val="top"/>
          </w:tcPr>
          <w:p>
            <w:r>
              <w:rPr>
                <w:b/>
                <w:bCs/>
                <w:color w:val="FFFFFF"/>
                <w:sz w:val="16"/>
                <w:szCs w:val="16"/>
              </w:rPr>
              <w:t xml:space="preserve">Wells</w:t>
            </w:r>
          </w:p>
        </w:tc>
        <w:tc>
          <w:tcPr>
            <w:tcW w:type="dxa" w:w="1500"/>
            <w:shd w:fill="D97706" w:color="auto" w:val="clear"/>
            <w:tcMar>
              <w:top w:type="dxa" w:w="60"/>
              <w:left w:type="dxa" w:w="100"/>
              <w:bottom w:type="dxa" w:w="60"/>
              <w:right w:type="dxa" w:w="100"/>
            </w:tcMar>
            <w:vAlign w:val="top"/>
          </w:tcPr>
          <w:p>
            <w:r>
              <w:rPr>
                <w:b/>
                <w:bCs/>
                <w:color w:val="FFFFFF"/>
                <w:sz w:val="16"/>
                <w:szCs w:val="16"/>
              </w:rPr>
              <w:t xml:space="preserve">Area &gt; 100 km²</w:t>
            </w:r>
          </w:p>
        </w:tc>
        <w:tc>
          <w:tcPr>
            <w:tcW w:type="dxa" w:w="1450"/>
            <w:shd w:fill="D97706" w:color="auto" w:val="clear"/>
            <w:tcMar>
              <w:top w:type="dxa" w:w="60"/>
              <w:left w:type="dxa" w:w="100"/>
              <w:bottom w:type="dxa" w:w="60"/>
              <w:right w:type="dxa" w:w="100"/>
            </w:tcMar>
            <w:vAlign w:val="top"/>
          </w:tcPr>
          <w:p>
            <w:r>
              <w:rPr>
                <w:b/>
                <w:bCs/>
                <w:color w:val="FFFFFF"/>
                <w:sz w:val="16"/>
                <w:szCs w:val="16"/>
              </w:rPr>
              <w:t xml:space="preserve">Risk at A</w:t>
            </w:r>
          </w:p>
        </w:tc>
        <w:tc>
          <w:tcPr>
            <w:tcW w:type="dxa" w:w="1450"/>
            <w:shd w:fill="D97706" w:color="auto" w:val="clear"/>
            <w:tcMar>
              <w:top w:type="dxa" w:w="60"/>
              <w:left w:type="dxa" w:w="100"/>
              <w:bottom w:type="dxa" w:w="60"/>
              <w:right w:type="dxa" w:w="100"/>
            </w:tcMar>
            <w:vAlign w:val="top"/>
          </w:tcPr>
          <w:p>
            <w:r>
              <w:rPr>
                <w:b/>
                <w:bCs/>
                <w:color w:val="FFFFFF"/>
                <w:sz w:val="16"/>
                <w:szCs w:val="16"/>
              </w:rPr>
              <w:t xml:space="preserve">A or B</w:t>
            </w:r>
          </w:p>
        </w:tc>
      </w:tr>
      <w:tr>
        <w:trPr>
          <w:cantSplit/>
        </w:trPr>
        <w:tc>
          <w:tcPr>
            <w:tcW w:type="dxa" w:w="2638"/>
            <w:tcMar>
              <w:top w:type="dxa" w:w="60"/>
              <w:left w:type="dxa" w:w="100"/>
              <w:bottom w:type="dxa" w:w="60"/>
              <w:right w:type="dxa" w:w="100"/>
            </w:tcMar>
            <w:vAlign w:val="top"/>
          </w:tcPr>
          <w:p>
            <w:r>
              <w:rPr>
                <w:sz w:val="16"/>
                <w:szCs w:val="16"/>
              </w:rPr>
              <w:t xml:space="preserve">Published (marginal EIG, 6 km apart)</w:t>
            </w:r>
          </w:p>
        </w:tc>
        <w:tc>
          <w:tcPr>
            <w:tcW w:type="dxa" w:w="2600"/>
            <w:tcMar>
              <w:top w:type="dxa" w:w="60"/>
              <w:left w:type="dxa" w:w="100"/>
              <w:bottom w:type="dxa" w:w="60"/>
              <w:right w:type="dxa" w:w="100"/>
            </w:tcMar>
            <w:vAlign w:val="top"/>
          </w:tcPr>
          <w:p>
            <w:r>
              <w:rPr>
                <w:sz w:val="16"/>
                <w:szCs w:val="16"/>
              </w:rPr>
              <w:t xml:space="preserve">P21, A10, A12, A13, A21</w:t>
            </w:r>
          </w:p>
        </w:tc>
        <w:tc>
          <w:tcPr>
            <w:tcW w:type="dxa" w:w="1500"/>
            <w:tcMar>
              <w:top w:type="dxa" w:w="60"/>
              <w:left w:type="dxa" w:w="100"/>
              <w:bottom w:type="dxa" w:w="60"/>
              <w:right w:type="dxa" w:w="100"/>
            </w:tcMar>
            <w:vAlign w:val="top"/>
          </w:tcPr>
          <w:p>
            <w:r>
              <w:rPr>
                <w:sz w:val="16"/>
                <w:szCs w:val="16"/>
              </w:rPr>
              <w:t xml:space="preserve">86.2%</w:t>
            </w:r>
          </w:p>
        </w:tc>
        <w:tc>
          <w:tcPr>
            <w:tcW w:type="dxa" w:w="1450"/>
            <w:tcMar>
              <w:top w:type="dxa" w:w="60"/>
              <w:left w:type="dxa" w:w="100"/>
              <w:bottom w:type="dxa" w:w="60"/>
              <w:right w:type="dxa" w:w="100"/>
            </w:tcMar>
            <w:vAlign w:val="top"/>
          </w:tcPr>
          <w:p>
            <w:r>
              <w:rPr>
                <w:sz w:val="16"/>
                <w:szCs w:val="16"/>
              </w:rPr>
              <w:t xml:space="preserve">56.9%</w:t>
            </w:r>
          </w:p>
        </w:tc>
        <w:tc>
          <w:tcPr>
            <w:tcW w:type="dxa" w:w="1450"/>
            <w:tcMar>
              <w:top w:type="dxa" w:w="60"/>
              <w:left w:type="dxa" w:w="100"/>
              <w:bottom w:type="dxa" w:w="60"/>
              <w:right w:type="dxa" w:w="100"/>
            </w:tcMar>
            <w:vAlign w:val="top"/>
          </w:tcPr>
          <w:p>
            <w:r>
              <w:rPr>
                <w:sz w:val="16"/>
                <w:szCs w:val="16"/>
              </w:rPr>
              <w:t xml:space="preserve">81.9%</w:t>
            </w:r>
          </w:p>
        </w:tc>
      </w:tr>
      <w:tr>
        <w:trPr>
          <w:cantSplit/>
        </w:trPr>
        <w:tc>
          <w:tcPr>
            <w:tcW w:type="dxa" w:w="2638"/>
            <w:shd w:fill="F7F9FC" w:color="auto" w:val="clear"/>
            <w:tcMar>
              <w:top w:type="dxa" w:w="60"/>
              <w:left w:type="dxa" w:w="100"/>
              <w:bottom w:type="dxa" w:w="60"/>
              <w:right w:type="dxa" w:w="100"/>
            </w:tcMar>
            <w:vAlign w:val="top"/>
          </w:tcPr>
          <w:p>
            <w:r>
              <w:rPr>
                <w:sz w:val="16"/>
                <w:szCs w:val="16"/>
              </w:rPr>
              <w:t xml:space="preserve">Lemma 1 for the area, over all designs</w:t>
            </w:r>
          </w:p>
        </w:tc>
        <w:tc>
          <w:tcPr>
            <w:tcW w:type="dxa" w:w="2600"/>
            <w:shd w:fill="F7F9FC" w:color="auto" w:val="clear"/>
            <w:tcMar>
              <w:top w:type="dxa" w:w="60"/>
              <w:left w:type="dxa" w:w="100"/>
              <w:bottom w:type="dxa" w:w="60"/>
              <w:right w:type="dxa" w:w="100"/>
            </w:tcMar>
            <w:vAlign w:val="top"/>
          </w:tcPr>
          <w:p>
            <w:r>
              <w:rPr>
                <w:sz w:val="16"/>
                <w:szCs w:val="16"/>
              </w:rPr>
              <w:t xml:space="preserve">P19, P21, A3, A13, A18</w:t>
            </w:r>
          </w:p>
        </w:tc>
        <w:tc>
          <w:tcPr>
            <w:tcW w:type="dxa" w:w="1500"/>
            <w:shd w:fill="F7F9FC" w:color="auto" w:val="clear"/>
            <w:tcMar>
              <w:top w:type="dxa" w:w="60"/>
              <w:left w:type="dxa" w:w="100"/>
              <w:bottom w:type="dxa" w:w="60"/>
              <w:right w:type="dxa" w:w="100"/>
            </w:tcMar>
            <w:vAlign w:val="top"/>
          </w:tcPr>
          <w:p>
            <w:r>
              <w:rPr>
                <w:sz w:val="16"/>
                <w:szCs w:val="16"/>
              </w:rPr>
              <w:t xml:space="preserve">100.0%</w:t>
            </w:r>
          </w:p>
        </w:tc>
        <w:tc>
          <w:tcPr>
            <w:tcW w:type="dxa" w:w="1450"/>
            <w:shd w:fill="F7F9FC" w:color="auto" w:val="clear"/>
            <w:tcMar>
              <w:top w:type="dxa" w:w="60"/>
              <w:left w:type="dxa" w:w="100"/>
              <w:bottom w:type="dxa" w:w="60"/>
              <w:right w:type="dxa" w:w="100"/>
            </w:tcMar>
            <w:vAlign w:val="top"/>
          </w:tcPr>
          <w:p>
            <w:r>
              <w:rPr>
                <w:sz w:val="16"/>
                <w:szCs w:val="16"/>
              </w:rPr>
              <w:t xml:space="preserve">50.1%</w:t>
            </w:r>
          </w:p>
        </w:tc>
        <w:tc>
          <w:tcPr>
            <w:tcW w:type="dxa" w:w="1450"/>
            <w:shd w:fill="F7F9FC" w:color="auto" w:val="clear"/>
            <w:tcMar>
              <w:top w:type="dxa" w:w="60"/>
              <w:left w:type="dxa" w:w="100"/>
              <w:bottom w:type="dxa" w:w="60"/>
              <w:right w:type="dxa" w:w="100"/>
            </w:tcMar>
            <w:vAlign w:val="top"/>
          </w:tcPr>
          <w:p>
            <w:r>
              <w:rPr>
                <w:sz w:val="16"/>
                <w:szCs w:val="16"/>
              </w:rPr>
              <w:t xml:space="preserve">82.5%</w:t>
            </w:r>
          </w:p>
        </w:tc>
      </w:tr>
      <w:tr>
        <w:trPr>
          <w:cantSplit/>
        </w:trPr>
        <w:tc>
          <w:tcPr>
            <w:tcW w:type="dxa" w:w="2638"/>
            <w:tcMar>
              <w:top w:type="dxa" w:w="60"/>
              <w:left w:type="dxa" w:w="100"/>
              <w:bottom w:type="dxa" w:w="60"/>
              <w:right w:type="dxa" w:w="100"/>
            </w:tcMar>
            <w:vAlign w:val="top"/>
          </w:tcPr>
          <w:p>
            <w:r>
              <w:rPr>
                <w:sz w:val="16"/>
                <w:szCs w:val="16"/>
              </w:rPr>
              <w:t xml:space="preserve">Linear EIG of the head at A</w:t>
            </w:r>
          </w:p>
        </w:tc>
        <w:tc>
          <w:tcPr>
            <w:tcW w:type="dxa" w:w="2600"/>
            <w:tcMar>
              <w:top w:type="dxa" w:w="60"/>
              <w:left w:type="dxa" w:w="100"/>
              <w:bottom w:type="dxa" w:w="60"/>
              <w:right w:type="dxa" w:w="100"/>
            </w:tcMar>
            <w:vAlign w:val="top"/>
          </w:tcPr>
          <w:p>
            <w:r>
              <w:rPr>
                <w:sz w:val="16"/>
                <w:szCs w:val="16"/>
              </w:rPr>
              <w:t xml:space="preserve">P10, P13, A11, A24, A25</w:t>
            </w:r>
          </w:p>
        </w:tc>
        <w:tc>
          <w:tcPr>
            <w:tcW w:type="dxa" w:w="1500"/>
            <w:tcMar>
              <w:top w:type="dxa" w:w="60"/>
              <w:left w:type="dxa" w:w="100"/>
              <w:bottom w:type="dxa" w:w="60"/>
              <w:right w:type="dxa" w:w="100"/>
            </w:tcMar>
            <w:vAlign w:val="top"/>
          </w:tcPr>
          <w:p>
            <w:r>
              <w:rPr>
                <w:sz w:val="16"/>
                <w:szCs w:val="16"/>
              </w:rPr>
              <w:t xml:space="preserve">28.3%</w:t>
            </w:r>
          </w:p>
        </w:tc>
        <w:tc>
          <w:tcPr>
            <w:tcW w:type="dxa" w:w="1450"/>
            <w:tcMar>
              <w:top w:type="dxa" w:w="60"/>
              <w:left w:type="dxa" w:w="100"/>
              <w:bottom w:type="dxa" w:w="60"/>
              <w:right w:type="dxa" w:w="100"/>
            </w:tcMar>
            <w:vAlign w:val="top"/>
          </w:tcPr>
          <w:p>
            <w:r>
              <w:rPr>
                <w:sz w:val="16"/>
                <w:szCs w:val="16"/>
              </w:rPr>
              <w:t xml:space="preserve">100.0%</w:t>
            </w:r>
          </w:p>
        </w:tc>
        <w:tc>
          <w:tcPr>
            <w:tcW w:type="dxa" w:w="1450"/>
            <w:tcMar>
              <w:top w:type="dxa" w:w="60"/>
              <w:left w:type="dxa" w:w="100"/>
              <w:bottom w:type="dxa" w:w="60"/>
              <w:right w:type="dxa" w:w="100"/>
            </w:tcMar>
            <w:vAlign w:val="top"/>
          </w:tcPr>
          <w:p>
            <w:r>
              <w:rPr>
                <w:sz w:val="16"/>
                <w:szCs w:val="16"/>
              </w:rPr>
              <w:t xml:space="preserve">39.5%</w:t>
            </w:r>
          </w:p>
        </w:tc>
      </w:tr>
      <w:tr>
        <w:trPr>
          <w:cantSplit/>
        </w:trPr>
        <w:tc>
          <w:tcPr>
            <w:tcW w:type="dxa" w:w="2638"/>
            <w:shd w:fill="F7F9FC" w:color="auto" w:val="clear"/>
            <w:tcMar>
              <w:top w:type="dxa" w:w="60"/>
              <w:left w:type="dxa" w:w="100"/>
              <w:bottom w:type="dxa" w:w="60"/>
              <w:right w:type="dxa" w:w="100"/>
            </w:tcMar>
            <w:vAlign w:val="top"/>
          </w:tcPr>
          <w:p>
            <w:r>
              <w:rPr>
                <w:sz w:val="16"/>
                <w:szCs w:val="16"/>
              </w:rPr>
              <w:t xml:space="preserve">PRAG-GO, linear moments</w:t>
            </w:r>
          </w:p>
        </w:tc>
        <w:tc>
          <w:tcPr>
            <w:tcW w:type="dxa" w:w="2600"/>
            <w:shd w:fill="F7F9FC" w:color="auto" w:val="clear"/>
            <w:tcMar>
              <w:top w:type="dxa" w:w="60"/>
              <w:left w:type="dxa" w:w="100"/>
              <w:bottom w:type="dxa" w:w="60"/>
              <w:right w:type="dxa" w:w="100"/>
            </w:tcMar>
            <w:vAlign w:val="top"/>
          </w:tcPr>
          <w:p>
            <w:r>
              <w:rPr>
                <w:sz w:val="16"/>
                <w:szCs w:val="16"/>
              </w:rPr>
              <w:t xml:space="preserve">P13, P21, A12, A17, A18</w:t>
            </w:r>
          </w:p>
        </w:tc>
        <w:tc>
          <w:tcPr>
            <w:tcW w:type="dxa" w:w="1500"/>
            <w:shd w:fill="F7F9FC" w:color="auto" w:val="clear"/>
            <w:tcMar>
              <w:top w:type="dxa" w:w="60"/>
              <w:left w:type="dxa" w:w="100"/>
              <w:bottom w:type="dxa" w:w="60"/>
              <w:right w:type="dxa" w:w="100"/>
            </w:tcMar>
            <w:vAlign w:val="top"/>
          </w:tcPr>
          <w:p>
            <w:r>
              <w:rPr>
                <w:sz w:val="16"/>
                <w:szCs w:val="16"/>
              </w:rPr>
              <w:t xml:space="preserve">79.9%</w:t>
            </w:r>
          </w:p>
        </w:tc>
        <w:tc>
          <w:tcPr>
            <w:tcW w:type="dxa" w:w="1450"/>
            <w:shd w:fill="F7F9FC" w:color="auto" w:val="clear"/>
            <w:tcMar>
              <w:top w:type="dxa" w:w="60"/>
              <w:left w:type="dxa" w:w="100"/>
              <w:bottom w:type="dxa" w:w="60"/>
              <w:right w:type="dxa" w:w="100"/>
            </w:tcMar>
            <w:vAlign w:val="top"/>
          </w:tcPr>
          <w:p>
            <w:r>
              <w:rPr>
                <w:sz w:val="16"/>
                <w:szCs w:val="16"/>
              </w:rPr>
              <w:t xml:space="preserve">88.7%</w:t>
            </w:r>
          </w:p>
        </w:tc>
        <w:tc>
          <w:tcPr>
            <w:tcW w:type="dxa" w:w="1450"/>
            <w:shd w:fill="F7F9FC" w:color="auto" w:val="clear"/>
            <w:tcMar>
              <w:top w:type="dxa" w:w="60"/>
              <w:left w:type="dxa" w:w="100"/>
              <w:bottom w:type="dxa" w:w="60"/>
              <w:right w:type="dxa" w:w="100"/>
            </w:tcMar>
            <w:vAlign w:val="top"/>
          </w:tcPr>
          <w:p>
            <w:r>
              <w:rPr>
                <w:sz w:val="16"/>
                <w:szCs w:val="16"/>
              </w:rPr>
              <w:t xml:space="preserve">100.0%</w:t>
            </w:r>
          </w:p>
        </w:tc>
      </w:tr>
      <w:tr>
        <w:trPr>
          <w:cantSplit/>
        </w:trPr>
        <w:tc>
          <w:tcPr>
            <w:tcW w:type="dxa" w:w="2638"/>
            <w:tcMar>
              <w:top w:type="dxa" w:w="60"/>
              <w:left w:type="dxa" w:w="100"/>
              <w:bottom w:type="dxa" w:w="60"/>
              <w:right w:type="dxa" w:w="100"/>
            </w:tcMar>
            <w:vAlign w:val="top"/>
          </w:tcPr>
          <w:p>
            <w:r>
              <w:rPr>
                <w:sz w:val="16"/>
                <w:szCs w:val="16"/>
              </w:rPr>
              <w:t xml:space="preserve">Greedy + swaps for “A or B”</w:t>
            </w:r>
          </w:p>
        </w:tc>
        <w:tc>
          <w:tcPr>
            <w:tcW w:type="dxa" w:w="2600"/>
            <w:tcMar>
              <w:top w:type="dxa" w:w="60"/>
              <w:left w:type="dxa" w:w="100"/>
              <w:bottom w:type="dxa" w:w="60"/>
              <w:right w:type="dxa" w:w="100"/>
            </w:tcMar>
            <w:vAlign w:val="top"/>
          </w:tcPr>
          <w:p>
            <w:r>
              <w:rPr>
                <w:sz w:val="16"/>
                <w:szCs w:val="16"/>
              </w:rPr>
              <w:t xml:space="preserve">P13, P19, P21, A12, A18</w:t>
            </w:r>
          </w:p>
        </w:tc>
        <w:tc>
          <w:tcPr>
            <w:tcW w:type="dxa" w:w="1500"/>
            <w:tcMar>
              <w:top w:type="dxa" w:w="60"/>
              <w:left w:type="dxa" w:w="100"/>
              <w:bottom w:type="dxa" w:w="60"/>
              <w:right w:type="dxa" w:w="100"/>
            </w:tcMar>
            <w:vAlign w:val="top"/>
          </w:tcPr>
          <w:p>
            <w:r>
              <w:rPr>
                <w:sz w:val="16"/>
                <w:szCs w:val="16"/>
              </w:rPr>
              <w:t xml:space="preserve">83.1%</w:t>
            </w:r>
          </w:p>
        </w:tc>
        <w:tc>
          <w:tcPr>
            <w:tcW w:type="dxa" w:w="1450"/>
            <w:tcMar>
              <w:top w:type="dxa" w:w="60"/>
              <w:left w:type="dxa" w:w="100"/>
              <w:bottom w:type="dxa" w:w="60"/>
              <w:right w:type="dxa" w:w="100"/>
            </w:tcMar>
            <w:vAlign w:val="top"/>
          </w:tcPr>
          <w:p>
            <w:r>
              <w:rPr>
                <w:sz w:val="16"/>
                <w:szCs w:val="16"/>
              </w:rPr>
              <w:t xml:space="preserve">90.5%</w:t>
            </w:r>
          </w:p>
        </w:tc>
        <w:tc>
          <w:tcPr>
            <w:tcW w:type="dxa" w:w="1450"/>
            <w:tcMar>
              <w:top w:type="dxa" w:w="60"/>
              <w:left w:type="dxa" w:w="100"/>
              <w:bottom w:type="dxa" w:w="60"/>
              <w:right w:type="dxa" w:w="100"/>
            </w:tcMar>
            <w:vAlign w:val="top"/>
          </w:tcPr>
          <w:p>
            <w:r>
              <w:rPr>
                <w:sz w:val="16"/>
                <w:szCs w:val="16"/>
              </w:rPr>
              <w:t xml:space="preserve">99.3%</w:t>
            </w:r>
          </w:p>
        </w:tc>
      </w:tr>
    </w:tbl>
    <w:p>
      <w:pPr>
        <w:spacing w:after="160"/>
      </w:pPr>
    </w:p>
    <w:p>
      <w:pPr>
        <w:spacing w:after="120"/>
        <w:jc w:val="both"/>
      </w:pPr>
      <w:r>
        <w:t xml:space="preserve">The published design loses 43.1% of the information for the risk at A23 and 18.1% for “A or B”. It also loses 13.8% for its own goal. This last loss comes not from the goal but from the heuristic: the wells are chosen one at a time by marginal EIG, with 6 km spacing and snapping to the nearest well. Joint optimization of Lemma 1 over the same wells closes this gap. PRAG-GO selects P13, P21, A12, A17, A18: P13, 2.2 km from A23, and four wells 0.5–5.3 km around R16, along the mixing zone. This is the best design we found for “A or B”, slightly above that of the greedy search (99.3%), at the cost of one formula evaluation per design.</w:t>
      </w:r>
    </w:p>
    <w:p>
      <w:pPr>
        <w:spacing w:after="120"/>
        <w:jc w:val="both"/>
      </w:pPr>
      <w:r>
        <w:rPr>
          <w:b/>
          <w:bCs/>
        </w:rPr>
        <w:t xml:space="preserve">Convergence check.</w:t>
      </w:r>
      <w:r>
        <w:t xml:space="preserve"> With 12 000 realizations, the percentages in the table were within 5 points of those with 48 000. The 3-well designs were re-estimated on two independent halves of the ensemble with fresh noise. The area design stayed at 31–35% for the risk at A and at 80–83% for “A or B”, while PRAG-GO stayed at 98–100%. The effective sample size for the reported designs is at least 200 with 48 000 realizations.</w:t>
      </w:r>
    </w:p>
    <w:p>
      <w:pPr>
        <w:spacing w:after="240"/>
      </w:pPr>
    </w:p>
    <w:p>
      <w:pPr>
        <w:pStyle w:val="Heading1"/>
      </w:pPr>
      <w:r>
        <w:rPr>
          <w:color w:val="1F3864"/>
        </w:rPr>
        <w:t xml:space="preserve">5. The second innovation: PRAG-MAR</w:t>
      </w:r>
    </w:p>
    <w:p>
      <w:pPr>
        <w:spacing w:after="120"/>
        <w:jc w:val="both"/>
      </w:pPr>
      <w:r>
        <w:t xml:space="preserve">The project selects the 3 MAR sites with the area adjoint: the cells where one m³/day of recharge reduces the intruded area the most. For protecting the supply wells, the right objective is their salinization probability. For fixed conductivity, the head is linear in a point source </w:t>
      </w:r>
      <m:oMath>
        <m:r>
          <m:t>Q</m:t>
        </m:r>
      </m:oMath>
      <w:r>
        <w:t xml:space="preserve"> in cell </w:t>
      </w:r>
      <m:oMath>
        <m:r>
          <m:t>k</m:t>
        </m:r>
      </m:oMath>
      <w:r>
        <w:t xml:space="preserve">:</w:t>
      </w:r>
    </w:p>
    <w:p>
      <w:pPr>
        <w:pStyle w:val="Equation"/>
      </w:pPr>
      <m:oMathPara>
        <m:oMathParaPr>
          <m:jc m:val="center"/>
        </m:oMathParaPr>
        <m:oMath>
          <m:r>
            <m:t>h</m:t>
          </m:r>
          <m:d>
            <m:dPr>
              <m:begChr m:val="("/>
              <m:sepChr m:val=""/>
              <m:endChr m:val=")"/>
              <m:grow/>
            </m:dPr>
            <m:e>
              <m:r>
                <m:t>θ</m:t>
              </m:r>
              <m:r>
                <m:rPr>
                  <m:sty m:val="p"/>
                </m:rPr>
                <m:t>,</m:t>
              </m:r>
              <m:r>
                <m:t>Q</m:t>
              </m:r>
            </m:e>
          </m:d>
          <m:r>
            <m:rPr>
              <m:sty m:val="p"/>
            </m:rPr>
            <m:t>=</m:t>
          </m:r>
          <m:r>
            <m:t>h</m:t>
          </m:r>
          <m:d>
            <m:dPr>
              <m:begChr m:val="("/>
              <m:sepChr m:val=""/>
              <m:endChr m:val=")"/>
              <m:grow/>
            </m:dPr>
            <m:e>
              <m:r>
                <m:t>θ</m:t>
              </m:r>
            </m:e>
          </m:d>
          <m:r>
            <m:rPr>
              <m:sty m:val="p"/>
            </m:rPr>
            <m:t>+</m:t>
          </m:r>
          <m:r>
            <m:t>Q</m:t>
          </m:r>
          <m:r>
            <m:t> </m:t>
          </m:r>
          <m:sSub>
            <m:e>
              <m:r>
                <m:t>g</m:t>
              </m:r>
            </m:e>
            <m:sub>
              <m:r>
                <m:t>k</m:t>
              </m:r>
            </m:sub>
          </m:sSub>
          <m:d>
            <m:dPr>
              <m:begChr m:val="("/>
              <m:sepChr m:val=""/>
              <m:endChr m:val=")"/>
              <m:grow/>
            </m:dPr>
            <m:e>
              <m:r>
                <m:t>θ</m:t>
              </m:r>
            </m:e>
          </m:d>
          <m:r>
            <m:rPr>
              <m:sty m:val="p"/>
            </m:rPr>
            <m:t>,</m:t>
          </m:r>
          <m:r>
            <m:t>  </m:t>
          </m:r>
          <m:sSub>
            <m:e>
              <m:r>
                <m:t>g</m:t>
              </m:r>
            </m:e>
            <m:sub>
              <m:r>
                <m:t>A</m:t>
              </m:r>
            </m:sub>
          </m:sSub>
          <m:r>
            <m:rPr>
              <m:sty m:val="p"/>
            </m:rPr>
            <m:t>=</m:t>
          </m:r>
          <m:r>
            <m:rPr>
              <m:sty m:val="p"/>
            </m:rPr>
            <m:t>−</m:t>
          </m:r>
          <m:sSubSup>
            <m:e>
              <m:r>
                <m:t>A</m:t>
              </m:r>
            </m:e>
            <m:sub>
              <m:r>
                <m:t>θ</m:t>
              </m:r>
            </m:sub>
            <m:sup>
              <m:r>
                <m:rPr>
                  <m:sty m:val="p"/>
                </m:rPr>
                <m:t>−</m:t>
              </m:r>
              <m:r>
                <m:rPr>
                  <m:sty m:val="p"/>
                </m:rPr>
                <m:t>T</m:t>
              </m:r>
            </m:sup>
          </m:sSubSup>
          <m:sSub>
            <m:e>
              <m:r>
                <m:t>e</m:t>
              </m:r>
            </m:e>
            <m:sub>
              <m:r>
                <m:t>A</m:t>
              </m:r>
            </m:sub>
          </m:sSub>
        </m:oMath>
      </m:oMathPara>
    </w:p>
    <w:p>
      <w:pPr>
        <w:spacing w:after="120"/>
        <w:jc w:val="both"/>
      </w:pPr>
      <w:r>
        <w:t xml:space="preserve">Thus one transposed solve per supply well gives the effect of recharge in every cell at once. With the linear moments of </w:t>
      </w:r>
      <m:oMath>
        <m:sSub>
          <m:e>
            <m:r>
              <m:t>h</m:t>
            </m:r>
          </m:e>
          <m:sub>
            <m:r>
              <m:t>A</m:t>
            </m:r>
          </m:sub>
        </m:sSub>
      </m:oMath>
      <w:r>
        <w:t xml:space="preserve"> and </w:t>
      </w:r>
      <m:oMath>
        <m:sSub>
          <m:e>
            <m:r>
              <m:t>h</m:t>
            </m:r>
          </m:e>
          <m:sub>
            <m:r>
              <m:t>B</m:t>
            </m:r>
          </m:sub>
        </m:sSub>
      </m:oMath>
      <w:r>
        <w:t xml:space="preserve">, the probability that either well is salinized is </w:t>
      </w:r>
      <m:oMath>
        <m:sSub>
          <m:e>
            <m:r>
              <m:t>P</m:t>
            </m:r>
          </m:e>
          <m:sub>
            <m:r>
              <m:t>A</m:t>
            </m:r>
            <m:r>
              <m:t>B</m:t>
            </m:r>
          </m:sub>
        </m:sSub>
        <m:r>
          <m:rPr>
            <m:sty m:val="p"/>
          </m:rPr>
          <m:t>=</m:t>
        </m:r>
        <m:r>
          <m:t>1</m:t>
        </m:r>
        <m:r>
          <m:rPr>
            <m:sty m:val="p"/>
          </m:rPr>
          <m:t>−</m:t>
        </m:r>
        <m:sSub>
          <m:e>
            <m:r>
              <m:t>Φ</m:t>
            </m:r>
          </m:e>
          <m:sub>
            <m:r>
              <m:t>2</m:t>
            </m:r>
          </m:sub>
        </m:sSub>
        <m:d>
          <m:dPr>
            <m:begChr m:val="("/>
            <m:sepChr m:val=""/>
            <m:endChr m:val=")"/>
            <m:grow/>
          </m:dPr>
          <m:e>
            <m:r>
              <m:t>a</m:t>
            </m:r>
            <m:r>
              <m:rPr>
                <m:sty m:val="p"/>
              </m:rPr>
              <m:t>,</m:t>
            </m:r>
            <m:r>
              <m:t>b</m:t>
            </m:r>
            <m:r>
              <m:rPr>
                <m:sty m:val="p"/>
              </m:rPr>
              <m:t>;</m:t>
            </m:r>
            <m:r>
              <m:t>r</m:t>
            </m:r>
          </m:e>
        </m:d>
      </m:oMath>
      <w:r>
        <w:t xml:space="preserve">, where </w:t>
      </w:r>
      <m:oMath>
        <m:r>
          <m:t>a</m:t>
        </m:r>
        <m:r>
          <m:rPr>
            <m:sty m:val="p"/>
          </m:rPr>
          <m:t>=</m:t>
        </m:r>
        <m:d>
          <m:dPr>
            <m:begChr m:val="("/>
            <m:sepChr m:val=""/>
            <m:endChr m:val=")"/>
            <m:grow/>
          </m:dPr>
          <m:e>
            <m:sSub>
              <m:e>
                <m:r>
                  <m:t>μ</m:t>
                </m:r>
              </m:e>
              <m:sub>
                <m:r>
                  <m:t>A</m:t>
                </m:r>
              </m:sub>
            </m:sSub>
            <m:r>
              <m:rPr>
                <m:sty m:val="p"/>
              </m:rPr>
              <m:t>−</m:t>
            </m:r>
            <m:sSub>
              <m:e>
                <m:r>
                  <m:t>h</m:t>
                </m:r>
              </m:e>
              <m:sub>
                <m:r>
                  <m:t>c</m:t>
                </m:r>
              </m:sub>
            </m:sSub>
          </m:e>
        </m:d>
        <m:r>
          <m:rPr>
            <m:sty m:val="p"/>
          </m:rPr>
          <m:t>/</m:t>
        </m:r>
        <m:sSub>
          <m:e>
            <m:r>
              <m:t>s</m:t>
            </m:r>
          </m:e>
          <m:sub>
            <m:r>
              <m:t>A</m:t>
            </m:r>
          </m:sub>
        </m:sSub>
      </m:oMath>
      <w:r>
        <w:t xml:space="preserve"> and </w:t>
      </w:r>
      <m:oMath>
        <m:r>
          <m:t>b</m:t>
        </m:r>
        <m:r>
          <m:rPr>
            <m:sty m:val="p"/>
          </m:rPr>
          <m:t>=</m:t>
        </m:r>
        <m:d>
          <m:dPr>
            <m:begChr m:val="("/>
            <m:sepChr m:val=""/>
            <m:endChr m:val=")"/>
            <m:grow/>
          </m:dPr>
          <m:e>
            <m:sSub>
              <m:e>
                <m:r>
                  <m:t>μ</m:t>
                </m:r>
              </m:e>
              <m:sub>
                <m:r>
                  <m:t>B</m:t>
                </m:r>
              </m:sub>
            </m:sSub>
            <m:r>
              <m:rPr>
                <m:sty m:val="p"/>
              </m:rPr>
              <m:t>−</m:t>
            </m:r>
            <m:sSub>
              <m:e>
                <m:r>
                  <m:t>h</m:t>
                </m:r>
              </m:e>
              <m:sub>
                <m:r>
                  <m:t>c</m:t>
                </m:r>
              </m:sub>
            </m:sSub>
          </m:e>
        </m:d>
        <m:r>
          <m:rPr>
            <m:sty m:val="p"/>
          </m:rPr>
          <m:t>/</m:t>
        </m:r>
        <m:sSub>
          <m:e>
            <m:r>
              <m:t>s</m:t>
            </m:r>
          </m:e>
          <m:sub>
            <m:r>
              <m:t>B</m:t>
            </m:r>
          </m:sub>
        </m:sSub>
      </m:oMath>
      <w:r>
        <w:t xml:space="preserve">. Its gradient has a closed form:</w:t>
      </w:r>
    </w:p>
    <w:p>
      <w:pPr>
        <w:pStyle w:val="Equation"/>
      </w:pPr>
      <m:oMathPara>
        <m:oMathParaPr>
          <m:jc m:val="center"/>
        </m:oMathParaPr>
        <m:oMath>
          <m:r>
            <m:rPr>
              <m:sty m:val="p"/>
            </m:rPr>
            <m:t>−</m:t>
          </m:r>
          <m:f>
            <m:fPr>
              <m:type m:val="bar"/>
            </m:fPr>
            <m:num>
              <m:r>
                <m:rPr>
                  <m:sty m:val="p"/>
                </m:rPr>
                <m:t>∂</m:t>
              </m:r>
              <m:sSub>
                <m:e>
                  <m:r>
                    <m:t>P</m:t>
                  </m:r>
                </m:e>
                <m:sub>
                  <m:r>
                    <m:t>A</m:t>
                  </m:r>
                  <m:r>
                    <m:t>B</m:t>
                  </m:r>
                </m:sub>
              </m:sSub>
            </m:num>
            <m:den>
              <m:r>
                <m:rPr>
                  <m:sty m:val="p"/>
                </m:rPr>
                <m:t>∂</m:t>
              </m:r>
              <m:sSub>
                <m:e>
                  <m:r>
                    <m:t>Q</m:t>
                  </m:r>
                </m:e>
                <m:sub>
                  <m:r>
                    <m:t>k</m:t>
                  </m:r>
                </m:sub>
              </m:sSub>
            </m:den>
          </m:f>
          <m:r>
            <m:rPr>
              <m:sty m:val="p"/>
            </m:rPr>
            <m:t>=</m:t>
          </m:r>
          <m:f>
            <m:fPr>
              <m:type m:val="bar"/>
            </m:fPr>
            <m:num>
              <m:r>
                <m:t>φ</m:t>
              </m:r>
              <m:d>
                <m:dPr>
                  <m:begChr m:val="("/>
                  <m:sepChr m:val=""/>
                  <m:endChr m:val=")"/>
                  <m:grow/>
                </m:dPr>
                <m:e>
                  <m:r>
                    <m:t>a</m:t>
                  </m:r>
                </m:e>
              </m:d>
            </m:num>
            <m:den>
              <m:sSub>
                <m:e>
                  <m:r>
                    <m:t>s</m:t>
                  </m:r>
                </m:e>
                <m:sub>
                  <m:r>
                    <m:t>A</m:t>
                  </m:r>
                </m:sub>
              </m:sSub>
            </m:den>
          </m:f>
          <m:r>
            <m:t>Φ</m:t>
          </m:r>
          <m:d>
            <m:dPr>
              <m:begChr m:val="("/>
              <m:sepChr m:val=""/>
              <m:endChr m:val=")"/>
              <m:grow/>
            </m:dPr>
            <m:e>
              <m:f>
                <m:fPr>
                  <m:type m:val="bar"/>
                </m:fPr>
                <m:num>
                  <m:r>
                    <m:t>b</m:t>
                  </m:r>
                  <m:r>
                    <m:rPr>
                      <m:sty m:val="p"/>
                    </m:rPr>
                    <m:t>−</m:t>
                  </m:r>
                  <m:r>
                    <m:t>r</m:t>
                  </m:r>
                  <m:r>
                    <m:t>a</m:t>
                  </m:r>
                </m:num>
                <m:den>
                  <m:rad>
                    <m:radPr>
                      <m:degHide m:val="on"/>
                    </m:radPr>
                    <m:deg/>
                    <m:e>
                      <m:r>
                        <m:t>1</m:t>
                      </m:r>
                      <m:r>
                        <m:rPr>
                          <m:sty m:val="p"/>
                        </m:rPr>
                        <m:t>−</m:t>
                      </m:r>
                      <m:sSup>
                        <m:e>
                          <m:r>
                            <m:t>r</m:t>
                          </m:r>
                        </m:e>
                        <m:sup>
                          <m:r>
                            <m:t>2</m:t>
                          </m:r>
                        </m:sup>
                      </m:sSup>
                    </m:e>
                  </m:rad>
                </m:den>
              </m:f>
            </m:e>
          </m:d>
          <m:sSub>
            <m:e>
              <m:r>
                <m:t>g</m:t>
              </m:r>
            </m:e>
            <m:sub>
              <m:r>
                <m:t>A</m:t>
              </m:r>
              <m:r>
                <m:rPr>
                  <m:sty m:val="p"/>
                </m:rPr>
                <m:t>,</m:t>
              </m:r>
              <m:r>
                <m:t>k</m:t>
              </m:r>
            </m:sub>
          </m:sSub>
          <m:r>
            <m:rPr>
              <m:sty m:val="p"/>
            </m:rPr>
            <m:t>+</m:t>
          </m:r>
          <m:f>
            <m:fPr>
              <m:type m:val="bar"/>
            </m:fPr>
            <m:num>
              <m:r>
                <m:t>φ</m:t>
              </m:r>
              <m:d>
                <m:dPr>
                  <m:begChr m:val="("/>
                  <m:sepChr m:val=""/>
                  <m:endChr m:val=")"/>
                  <m:grow/>
                </m:dPr>
                <m:e>
                  <m:r>
                    <m:t>b</m:t>
                  </m:r>
                </m:e>
              </m:d>
            </m:num>
            <m:den>
              <m:sSub>
                <m:e>
                  <m:r>
                    <m:t>s</m:t>
                  </m:r>
                </m:e>
                <m:sub>
                  <m:r>
                    <m:t>B</m:t>
                  </m:r>
                </m:sub>
              </m:sSub>
            </m:den>
          </m:f>
          <m:r>
            <m:t>Φ</m:t>
          </m:r>
          <m:d>
            <m:dPr>
              <m:begChr m:val="("/>
              <m:sepChr m:val=""/>
              <m:endChr m:val=")"/>
              <m:grow/>
            </m:dPr>
            <m:e>
              <m:f>
                <m:fPr>
                  <m:type m:val="bar"/>
                </m:fPr>
                <m:num>
                  <m:r>
                    <m:t>a</m:t>
                  </m:r>
                  <m:r>
                    <m:rPr>
                      <m:sty m:val="p"/>
                    </m:rPr>
                    <m:t>−</m:t>
                  </m:r>
                  <m:r>
                    <m:t>r</m:t>
                  </m:r>
                  <m:r>
                    <m:t>b</m:t>
                  </m:r>
                </m:num>
                <m:den>
                  <m:rad>
                    <m:radPr>
                      <m:degHide m:val="on"/>
                    </m:radPr>
                    <m:deg/>
                    <m:e>
                      <m:r>
                        <m:t>1</m:t>
                      </m:r>
                      <m:r>
                        <m:rPr>
                          <m:sty m:val="p"/>
                        </m:rPr>
                        <m:t>−</m:t>
                      </m:r>
                      <m:sSup>
                        <m:e>
                          <m:r>
                            <m:t>r</m:t>
                          </m:r>
                        </m:e>
                        <m:sup>
                          <m:r>
                            <m:t>2</m:t>
                          </m:r>
                        </m:sup>
                      </m:sSup>
                    </m:e>
                  </m:rad>
                </m:den>
              </m:f>
            </m:e>
          </m:d>
          <m:sSub>
            <m:e>
              <m:r>
                <m:t>g</m:t>
              </m:r>
            </m:e>
            <m:sub>
              <m:r>
                <m:t>B</m:t>
              </m:r>
              <m:r>
                <m:rPr>
                  <m:sty m:val="p"/>
                </m:rPr>
                <m:t>,</m:t>
              </m:r>
              <m:r>
                <m:t>k</m:t>
              </m:r>
            </m:sub>
          </m:sSub>
        </m:oMath>
      </m:oMathPara>
    </w:p>
    <w:p>
      <w:pPr>
        <w:spacing w:after="120"/>
        <w:jc w:val="both"/>
      </w:pPr>
      <w:r>
        <w:t xml:space="preserve">The weight of each well is the probability density of that well being exactly at the threshold. Under the prior, </w:t>
      </w:r>
      <m:oMath>
        <m:sSub>
          <m:e>
            <m:r>
              <m:t>μ</m:t>
            </m:r>
          </m:e>
          <m:sub>
            <m:r>
              <m:t>A</m:t>
            </m:r>
          </m:sub>
        </m:sSub>
        <m:r>
          <m:rPr>
            <m:sty m:val="p"/>
          </m:rPr>
          <m:t>=</m:t>
        </m:r>
        <m:r>
          <m:t>0.98</m:t>
        </m:r>
      </m:oMath>
      <w:r>
        <w:t xml:space="preserve"> m, </w:t>
      </w:r>
      <m:oMath>
        <m:sSub>
          <m:e>
            <m:r>
              <m:t>μ</m:t>
            </m:r>
          </m:e>
          <m:sub>
            <m:r>
              <m:t>B</m:t>
            </m:r>
          </m:sub>
        </m:sSub>
        <m:r>
          <m:rPr>
            <m:sty m:val="p"/>
          </m:rPr>
          <m:t>=</m:t>
        </m:r>
        <m:r>
          <m:t>0.88</m:t>
        </m:r>
      </m:oMath>
      <w:r>
        <w:t xml:space="preserve"> m, </w:t>
      </w:r>
      <m:oMath>
        <m:sSub>
          <m:e>
            <m:r>
              <m:t>s</m:t>
            </m:r>
          </m:e>
          <m:sub>
            <m:r>
              <m:t>A</m:t>
            </m:r>
          </m:sub>
        </m:sSub>
        <m:r>
          <m:rPr>
            <m:sty m:val="p"/>
          </m:rPr>
          <m:t>=</m:t>
        </m:r>
        <m:sSub>
          <m:e>
            <m:r>
              <m:t>s</m:t>
            </m:r>
          </m:e>
          <m:sub>
            <m:r>
              <m:t>B</m:t>
            </m:r>
          </m:sub>
        </m:sSub>
        <m:r>
          <m:rPr>
            <m:sty m:val="p"/>
          </m:rPr>
          <m:t>=</m:t>
        </m:r>
        <m:r>
          <m:t>0.32</m:t>
        </m:r>
      </m:oMath>
      <w:r>
        <w:t xml:space="preserve"> m and </w:t>
      </w:r>
      <m:oMath>
        <m:r>
          <m:t>r</m:t>
        </m:r>
        <m:r>
          <m:rPr>
            <m:sty m:val="p"/>
          </m:rPr>
          <m:t>=</m:t>
        </m:r>
        <m:r>
          <m:t>0.18</m:t>
        </m:r>
      </m:oMath>
      <w:r>
        <w:t xml:space="preserve">. PRAG-MAR uses the same selection rule as the project (3 sites, at least 6 km apart in the north–south direction). The selected sites were evaluated exactly over 2 000 prior realizations, with recharge of 5 000 m³/day per site, about 9% of the natural recharge of the polygon.</w:t>
      </w:r>
    </w:p>
    <w:p>
      <w:pPr>
        <w:keepNext/>
        <w:spacing w:after="60" w:before="120"/>
        <w:jc w:val="center"/>
      </w:pPr>
      <w:r>
        <w:drawing>
          <wp:inline distT="0" distB="0" distL="0" distR="0">
            <wp:extent cx="3781425" cy="3781425"/>
            <wp:effectExtent t="0" r="0" b="0" l="0"/>
            <wp:docPr id="1" name="Recharge-effect fields and the MAR sites" descr="Recharge-effect fields and the MAR sites" title="Recharge-effect fields and the MAR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81425" cy="3781425"/>
                    </a:xfrm>
                    <a:prstGeom prst="rect">
                      <a:avLst/>
                    </a:prstGeom>
                  </pic:spPr>
                </pic:pic>
              </a:graphicData>
            </a:graphic>
          </wp:inline>
        </w:drawing>
      </w:r>
    </w:p>
    <w:p>
      <w:pPr>
        <w:spacing w:after="200"/>
        <w:jc w:val="both"/>
      </w:pPr>
      <w:r>
        <w:rPr>
          <w:b/>
          <w:bCs/>
          <w:color w:val="3A4350"/>
          <w:sz w:val="18"/>
          <w:szCs w:val="18"/>
        </w:rPr>
        <w:t xml:space="preserve">Figure 3.</w:t>
      </w:r>
      <w:r>
        <w:rPr>
          <w:color w:val="3A4350"/>
          <w:sz w:val="18"/>
          <w:szCs w:val="18"/>
        </w:rPr>
        <w:t xml:space="preserve"> (a) The area adjoint field and the 3 published MAR sites (orange diamonds). (b) The PRAG-MAR field for the “A or B” risk and its 3 sites. The fields are normalized by their maximum and shown on a square-root scale. The probabilities in the titles are exact ensemble estimates, with 5 000 m³/day per site.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400"/>
        <w:gridCol w:w="1938"/>
        <w:gridCol w:w="1100"/>
        <w:gridCol w:w="1100"/>
        <w:gridCol w:w="1300"/>
        <w:gridCol w:w="1800"/>
      </w:tblGrid>
      <w:tr>
        <w:trPr>
          <w:cantSplit/>
          <w:tblHeader/>
        </w:trPr>
        <w:tc>
          <w:tcPr>
            <w:tcW w:type="dxa" w:w="2400"/>
            <w:shd w:fill="1B8A5A" w:color="auto" w:val="clear"/>
            <w:tcMar>
              <w:top w:type="dxa" w:w="60"/>
              <w:left w:type="dxa" w:w="100"/>
              <w:bottom w:type="dxa" w:w="60"/>
              <w:right w:type="dxa" w:w="100"/>
            </w:tcMar>
            <w:vAlign w:val="top"/>
          </w:tcPr>
          <w:p>
            <w:r>
              <w:rPr>
                <w:b/>
                <w:bCs/>
                <w:color w:val="FFFFFF"/>
                <w:sz w:val="17"/>
                <w:szCs w:val="17"/>
              </w:rPr>
              <w:t xml:space="preserve">MAR sites</w:t>
            </w:r>
          </w:p>
        </w:tc>
        <w:tc>
          <w:tcPr>
            <w:tcW w:type="dxa" w:w="1938"/>
            <w:shd w:fill="1B8A5A" w:color="auto" w:val="clear"/>
            <w:tcMar>
              <w:top w:type="dxa" w:w="60"/>
              <w:left w:type="dxa" w:w="100"/>
              <w:bottom w:type="dxa" w:w="60"/>
              <w:right w:type="dxa" w:w="100"/>
            </w:tcMar>
            <w:vAlign w:val="top"/>
          </w:tcPr>
          <w:p>
            <w:r>
              <w:rPr>
                <w:b/>
                <w:bCs/>
                <w:color w:val="FFFFFF"/>
                <w:sz w:val="17"/>
                <w:szCs w:val="17"/>
              </w:rPr>
              <w:t xml:space="preserve">Nearest wells</w:t>
            </w:r>
          </w:p>
        </w:tc>
        <w:tc>
          <w:tcPr>
            <w:tcW w:type="dxa" w:w="1100"/>
            <w:shd w:fill="1B8A5A" w:color="auto" w:val="clear"/>
            <w:tcMar>
              <w:top w:type="dxa" w:w="60"/>
              <w:left w:type="dxa" w:w="100"/>
              <w:bottom w:type="dxa" w:w="60"/>
              <w:right w:type="dxa" w:w="100"/>
            </w:tcMar>
            <w:vAlign w:val="top"/>
          </w:tcPr>
          <w:p>
            <w:r>
              <w:rPr>
                <w:b/>
                <w:bCs/>
                <w:color w:val="FFFFFF"/>
                <w:sz w:val="17"/>
                <w:szCs w:val="17"/>
              </w:rPr>
              <w:t xml:space="preserve">P(A)</w:t>
            </w:r>
          </w:p>
        </w:tc>
        <w:tc>
          <w:tcPr>
            <w:tcW w:type="dxa" w:w="1100"/>
            <w:shd w:fill="1B8A5A" w:color="auto" w:val="clear"/>
            <w:tcMar>
              <w:top w:type="dxa" w:w="60"/>
              <w:left w:type="dxa" w:w="100"/>
              <w:bottom w:type="dxa" w:w="60"/>
              <w:right w:type="dxa" w:w="100"/>
            </w:tcMar>
            <w:vAlign w:val="top"/>
          </w:tcPr>
          <w:p>
            <w:r>
              <w:rPr>
                <w:b/>
                <w:bCs/>
                <w:color w:val="FFFFFF"/>
                <w:sz w:val="17"/>
                <w:szCs w:val="17"/>
              </w:rPr>
              <w:t xml:space="preserve">P(B)</w:t>
            </w:r>
          </w:p>
        </w:tc>
        <w:tc>
          <w:tcPr>
            <w:tcW w:type="dxa" w:w="1300"/>
            <w:shd w:fill="1B8A5A" w:color="auto" w:val="clear"/>
            <w:tcMar>
              <w:top w:type="dxa" w:w="60"/>
              <w:left w:type="dxa" w:w="100"/>
              <w:bottom w:type="dxa" w:w="60"/>
              <w:right w:type="dxa" w:w="100"/>
            </w:tcMar>
            <w:vAlign w:val="top"/>
          </w:tcPr>
          <w:p>
            <w:r>
              <w:rPr>
                <w:b/>
                <w:bCs/>
                <w:color w:val="FFFFFF"/>
                <w:sz w:val="17"/>
                <w:szCs w:val="17"/>
              </w:rPr>
              <w:t xml:space="preserve">P(A or B)</w:t>
            </w:r>
          </w:p>
        </w:tc>
        <w:tc>
          <w:tcPr>
            <w:tcW w:type="dxa" w:w="1800"/>
            <w:shd w:fill="1B8A5A" w:color="auto" w:val="clear"/>
            <w:tcMar>
              <w:top w:type="dxa" w:w="60"/>
              <w:left w:type="dxa" w:w="100"/>
              <w:bottom w:type="dxa" w:w="60"/>
              <w:right w:type="dxa" w:w="100"/>
            </w:tcMar>
            <w:vAlign w:val="top"/>
          </w:tcPr>
          <w:p>
            <w:r>
              <w:rPr>
                <w:b/>
                <w:bCs/>
                <w:color w:val="FFFFFF"/>
                <w:sz w:val="17"/>
                <w:szCs w:val="17"/>
              </w:rPr>
              <w:t xml:space="preserve">Mean area</w:t>
            </w:r>
          </w:p>
        </w:tc>
      </w:tr>
      <w:tr>
        <w:trPr>
          <w:cantSplit/>
        </w:trPr>
        <w:tc>
          <w:tcPr>
            <w:tcW w:type="dxa" w:w="2400"/>
            <w:tcMar>
              <w:top w:type="dxa" w:w="60"/>
              <w:left w:type="dxa" w:w="100"/>
              <w:bottom w:type="dxa" w:w="60"/>
              <w:right w:type="dxa" w:w="100"/>
            </w:tcMar>
            <w:vAlign w:val="top"/>
          </w:tcPr>
          <w:p>
            <w:r>
              <w:rPr>
                <w:sz w:val="17"/>
                <w:szCs w:val="17"/>
              </w:rPr>
              <w:t xml:space="preserve">No MAR</w:t>
            </w:r>
          </w:p>
        </w:tc>
        <w:tc>
          <w:tcPr>
            <w:tcW w:type="dxa" w:w="1938"/>
            <w:tcMar>
              <w:top w:type="dxa" w:w="60"/>
              <w:left w:type="dxa" w:w="100"/>
              <w:bottom w:type="dxa" w:w="60"/>
              <w:right w:type="dxa" w:w="100"/>
            </w:tcMar>
            <w:vAlign w:val="top"/>
          </w:tcPr>
          <w:p>
            <w:r>
              <w:rPr>
                <w:sz w:val="17"/>
                <w:szCs w:val="17"/>
              </w:rPr>
              <w:t xml:space="preserve">–</w:t>
            </w:r>
          </w:p>
        </w:tc>
        <w:tc>
          <w:tcPr>
            <w:tcW w:type="dxa" w:w="1100"/>
            <w:tcMar>
              <w:top w:type="dxa" w:w="60"/>
              <w:left w:type="dxa" w:w="100"/>
              <w:bottom w:type="dxa" w:w="60"/>
              <w:right w:type="dxa" w:w="100"/>
            </w:tcMar>
            <w:vAlign w:val="top"/>
          </w:tcPr>
          <w:p>
            <w:r>
              <w:rPr>
                <w:sz w:val="17"/>
                <w:szCs w:val="17"/>
              </w:rPr>
              <w:t xml:space="preserve">0.51</w:t>
            </w:r>
          </w:p>
        </w:tc>
        <w:tc>
          <w:tcPr>
            <w:tcW w:type="dxa" w:w="1100"/>
            <w:tcMar>
              <w:top w:type="dxa" w:w="60"/>
              <w:left w:type="dxa" w:w="100"/>
              <w:bottom w:type="dxa" w:w="60"/>
              <w:right w:type="dxa" w:w="100"/>
            </w:tcMar>
            <w:vAlign w:val="top"/>
          </w:tcPr>
          <w:p>
            <w:r>
              <w:rPr>
                <w:sz w:val="17"/>
                <w:szCs w:val="17"/>
              </w:rPr>
              <w:t xml:space="preserve">0.63</w:t>
            </w:r>
          </w:p>
        </w:tc>
        <w:tc>
          <w:tcPr>
            <w:tcW w:type="dxa" w:w="1300"/>
            <w:tcMar>
              <w:top w:type="dxa" w:w="60"/>
              <w:left w:type="dxa" w:w="100"/>
              <w:bottom w:type="dxa" w:w="60"/>
              <w:right w:type="dxa" w:w="100"/>
            </w:tcMar>
            <w:vAlign w:val="top"/>
          </w:tcPr>
          <w:p>
            <w:r>
              <w:rPr>
                <w:sz w:val="17"/>
                <w:szCs w:val="17"/>
              </w:rPr>
              <w:t xml:space="preserve">0.79</w:t>
            </w:r>
          </w:p>
        </w:tc>
        <w:tc>
          <w:tcPr>
            <w:tcW w:type="dxa" w:w="1800"/>
            <w:tcMar>
              <w:top w:type="dxa" w:w="60"/>
              <w:left w:type="dxa" w:w="100"/>
              <w:bottom w:type="dxa" w:w="60"/>
              <w:right w:type="dxa" w:w="100"/>
            </w:tcMar>
            <w:vAlign w:val="top"/>
          </w:tcPr>
          <w:p>
            <w:r>
              <w:rPr>
                <w:sz w:val="17"/>
                <w:szCs w:val="17"/>
              </w:rPr>
              <w:t xml:space="preserve">98.4 km²</w:t>
            </w:r>
          </w:p>
        </w:tc>
      </w:tr>
      <w:tr>
        <w:trPr>
          <w:cantSplit/>
        </w:trPr>
        <w:tc>
          <w:tcPr>
            <w:tcW w:type="dxa" w:w="2400"/>
            <w:shd w:fill="F7F9FC" w:color="auto" w:val="clear"/>
            <w:tcMar>
              <w:top w:type="dxa" w:w="60"/>
              <w:left w:type="dxa" w:w="100"/>
              <w:bottom w:type="dxa" w:w="60"/>
              <w:right w:type="dxa" w:w="100"/>
            </w:tcMar>
            <w:vAlign w:val="top"/>
          </w:tcPr>
          <w:p>
            <w:r>
              <w:rPr>
                <w:sz w:val="17"/>
                <w:szCs w:val="17"/>
              </w:rPr>
              <w:t xml:space="preserve">Area adjoint (published)</w:t>
            </w:r>
          </w:p>
        </w:tc>
        <w:tc>
          <w:tcPr>
            <w:tcW w:type="dxa" w:w="1938"/>
            <w:shd w:fill="F7F9FC" w:color="auto" w:val="clear"/>
            <w:tcMar>
              <w:top w:type="dxa" w:w="60"/>
              <w:left w:type="dxa" w:w="100"/>
              <w:bottom w:type="dxa" w:w="60"/>
              <w:right w:type="dxa" w:w="100"/>
            </w:tcMar>
            <w:vAlign w:val="top"/>
          </w:tcPr>
          <w:p>
            <w:r>
              <w:rPr>
                <w:sz w:val="17"/>
                <w:szCs w:val="17"/>
              </w:rPr>
              <w:t xml:space="preserve">A18, P21, P16</w:t>
            </w:r>
          </w:p>
        </w:tc>
        <w:tc>
          <w:tcPr>
            <w:tcW w:type="dxa" w:w="1100"/>
            <w:shd w:fill="F7F9FC" w:color="auto" w:val="clear"/>
            <w:tcMar>
              <w:top w:type="dxa" w:w="60"/>
              <w:left w:type="dxa" w:w="100"/>
              <w:bottom w:type="dxa" w:w="60"/>
              <w:right w:type="dxa" w:w="100"/>
            </w:tcMar>
            <w:vAlign w:val="top"/>
          </w:tcPr>
          <w:p>
            <w:r>
              <w:rPr>
                <w:sz w:val="17"/>
                <w:szCs w:val="17"/>
              </w:rPr>
              <w:t xml:space="preserve">0.51</w:t>
            </w:r>
          </w:p>
        </w:tc>
        <w:tc>
          <w:tcPr>
            <w:tcW w:type="dxa" w:w="1100"/>
            <w:shd w:fill="F7F9FC" w:color="auto" w:val="clear"/>
            <w:tcMar>
              <w:top w:type="dxa" w:w="60"/>
              <w:left w:type="dxa" w:w="100"/>
              <w:bottom w:type="dxa" w:w="60"/>
              <w:right w:type="dxa" w:w="100"/>
            </w:tcMar>
            <w:vAlign w:val="top"/>
          </w:tcPr>
          <w:p>
            <w:r>
              <w:rPr>
                <w:sz w:val="17"/>
                <w:szCs w:val="17"/>
              </w:rPr>
              <w:t xml:space="preserve">0.28</w:t>
            </w:r>
          </w:p>
        </w:tc>
        <w:tc>
          <w:tcPr>
            <w:tcW w:type="dxa" w:w="1300"/>
            <w:shd w:fill="F7F9FC" w:color="auto" w:val="clear"/>
            <w:tcMar>
              <w:top w:type="dxa" w:w="60"/>
              <w:left w:type="dxa" w:w="100"/>
              <w:bottom w:type="dxa" w:w="60"/>
              <w:right w:type="dxa" w:w="100"/>
            </w:tcMar>
            <w:vAlign w:val="top"/>
          </w:tcPr>
          <w:p>
            <w:r>
              <w:rPr>
                <w:sz w:val="17"/>
                <w:szCs w:val="17"/>
              </w:rPr>
              <w:t xml:space="preserve">0.62</w:t>
            </w:r>
          </w:p>
        </w:tc>
        <w:tc>
          <w:tcPr>
            <w:tcW w:type="dxa" w:w="1800"/>
            <w:shd w:fill="F7F9FC" w:color="auto" w:val="clear"/>
            <w:tcMar>
              <w:top w:type="dxa" w:w="60"/>
              <w:left w:type="dxa" w:w="100"/>
              <w:bottom w:type="dxa" w:w="60"/>
              <w:right w:type="dxa" w:w="100"/>
            </w:tcMar>
            <w:vAlign w:val="top"/>
          </w:tcPr>
          <w:p>
            <w:r>
              <w:rPr>
                <w:sz w:val="17"/>
                <w:szCs w:val="17"/>
              </w:rPr>
              <w:t xml:space="preserve">87.2 km²</w:t>
            </w:r>
          </w:p>
        </w:tc>
      </w:tr>
      <w:tr>
        <w:trPr>
          <w:cantSplit/>
        </w:trPr>
        <w:tc>
          <w:tcPr>
            <w:tcW w:type="dxa" w:w="2400"/>
            <w:tcMar>
              <w:top w:type="dxa" w:w="60"/>
              <w:left w:type="dxa" w:w="100"/>
              <w:bottom w:type="dxa" w:w="60"/>
              <w:right w:type="dxa" w:w="100"/>
            </w:tcMar>
            <w:vAlign w:val="top"/>
          </w:tcPr>
          <w:p>
            <w:r>
              <w:rPr>
                <w:sz w:val="17"/>
                <w:szCs w:val="17"/>
              </w:rPr>
              <w:t xml:space="preserve">PRAG-MAR (closed form)</w:t>
            </w:r>
          </w:p>
        </w:tc>
        <w:tc>
          <w:tcPr>
            <w:tcW w:type="dxa" w:w="1938"/>
            <w:tcMar>
              <w:top w:type="dxa" w:w="60"/>
              <w:left w:type="dxa" w:w="100"/>
              <w:bottom w:type="dxa" w:w="60"/>
              <w:right w:type="dxa" w:w="100"/>
            </w:tcMar>
            <w:vAlign w:val="top"/>
          </w:tcPr>
          <w:p>
            <w:r>
              <w:rPr>
                <w:sz w:val="17"/>
                <w:szCs w:val="17"/>
              </w:rPr>
              <w:t xml:space="preserve">A23, R16, P21</w:t>
            </w:r>
          </w:p>
        </w:tc>
        <w:tc>
          <w:tcPr>
            <w:tcW w:type="dxa" w:w="1100"/>
            <w:tcMar>
              <w:top w:type="dxa" w:w="60"/>
              <w:left w:type="dxa" w:w="100"/>
              <w:bottom w:type="dxa" w:w="60"/>
              <w:right w:type="dxa" w:w="100"/>
            </w:tcMar>
            <w:vAlign w:val="top"/>
          </w:tcPr>
          <w:p>
            <w:r>
              <w:rPr>
                <w:sz w:val="17"/>
                <w:szCs w:val="17"/>
              </w:rPr>
              <w:t xml:space="preserve">0.01</w:t>
            </w:r>
          </w:p>
        </w:tc>
        <w:tc>
          <w:tcPr>
            <w:tcW w:type="dxa" w:w="1100"/>
            <w:tcMar>
              <w:top w:type="dxa" w:w="60"/>
              <w:left w:type="dxa" w:w="100"/>
              <w:bottom w:type="dxa" w:w="60"/>
              <w:right w:type="dxa" w:w="100"/>
            </w:tcMar>
            <w:vAlign w:val="top"/>
          </w:tcPr>
          <w:p>
            <w:r>
              <w:rPr>
                <w:sz w:val="17"/>
                <w:szCs w:val="17"/>
              </w:rPr>
              <w:t xml:space="preserve">0.03</w:t>
            </w:r>
          </w:p>
        </w:tc>
        <w:tc>
          <w:tcPr>
            <w:tcW w:type="dxa" w:w="1300"/>
            <w:tcMar>
              <w:top w:type="dxa" w:w="60"/>
              <w:left w:type="dxa" w:w="100"/>
              <w:bottom w:type="dxa" w:w="60"/>
              <w:right w:type="dxa" w:w="100"/>
            </w:tcMar>
            <w:vAlign w:val="top"/>
          </w:tcPr>
          <w:p>
            <w:r>
              <w:rPr>
                <w:sz w:val="17"/>
                <w:szCs w:val="17"/>
              </w:rPr>
              <w:t xml:space="preserve">0.04</w:t>
            </w:r>
          </w:p>
        </w:tc>
        <w:tc>
          <w:tcPr>
            <w:tcW w:type="dxa" w:w="1800"/>
            <w:tcMar>
              <w:top w:type="dxa" w:w="60"/>
              <w:left w:type="dxa" w:w="100"/>
              <w:bottom w:type="dxa" w:w="60"/>
              <w:right w:type="dxa" w:w="100"/>
            </w:tcMar>
            <w:vAlign w:val="top"/>
          </w:tcPr>
          <w:p>
            <w:r>
              <w:rPr>
                <w:sz w:val="17"/>
                <w:szCs w:val="17"/>
              </w:rPr>
              <w:t xml:space="preserve">89.5 km²</w:t>
            </w:r>
          </w:p>
        </w:tc>
      </w:tr>
    </w:tbl>
    <w:p>
      <w:pPr>
        <w:spacing w:after="160"/>
      </w:pPr>
    </w:p>
    <w:p>
      <w:pPr>
        <w:spacing w:after="120"/>
        <w:jc w:val="both"/>
      </w:pPr>
      <w:r>
        <w:t xml:space="preserve">With the same amount of water, PRAG-MAR lowers the probability that either well is salinized from 0.79 to 0.04, while the published sites lower it to 0.62. The published sites do not protect A23 at all (0.51 → 0.51), because none of them lies in its sector. The cost of PRAG-MAR is in the area: it reduces the intruded area by 8.9 km², versus 11.1 km² for the published sites, i.e., 80% of the reduction. A greedy search on the exact ensemble risk found the same three sites, so the closed-form formula loses nothing here. With 2 500 and 10 000 m³/day per site, P(A or B) becomes 0.20 and 0.002 with PRAG-MAR, versus 0.69 and 0.54 with the published sites. Physically, PRAG-MAR rediscovers the hydraulic barrier near the well fields, but now with a formula that weights the wells by their risk and with the exact price in area.</w:t>
      </w:r>
    </w:p>
    <w:p>
      <w:pPr>
        <w:spacing w:after="240"/>
      </w:pPr>
    </w:p>
    <w:p>
      <w:pPr>
        <w:pStyle w:val="Heading1"/>
      </w:pPr>
      <w:r>
        <w:rPr>
          <w:color w:val="1F3864"/>
        </w:rPr>
        <w:t xml:space="preserve">6. Other priors</w:t>
      </w:r>
    </w:p>
    <w:p>
      <w:pPr>
        <w:spacing w:after="120"/>
        <w:jc w:val="both"/>
      </w:pPr>
      <w:r>
        <w:t xml:space="preserve">We repeated the monitoring experiment with two other priors. The first uses </w:t>
      </w:r>
      <m:oMath>
        <m:sSub>
          <m:e>
            <m:r>
              <m:t>ρ</m:t>
            </m:r>
          </m:e>
          <m:sub>
            <m:r>
              <m:t>F</m:t>
            </m:r>
          </m:sub>
        </m:sSub>
        <m:r>
          <m:rPr>
            <m:sty m:val="p"/>
          </m:rPr>
          <m:t>=</m:t>
        </m:r>
        <m:r>
          <m:t>0.805</m:t>
        </m:r>
      </m:oMath>
      <w:r>
        <w:t xml:space="preserve">, the field estimate from the project's Gate 3, which lies above the threshold </w:t>
      </w:r>
      <m:oMath>
        <m:sSub>
          <m:e>
            <m:r>
              <m:t>ρ</m:t>
            </m:r>
          </m:e>
          <m:sub>
            <m:r>
              <m:t>c</m:t>
            </m:r>
          </m:sub>
        </m:sSub>
        <m:r>
          <m:rPr>
            <m:sty m:val="p"/>
          </m:rPr>
          <m:t>=</m:t>
        </m:r>
        <m:r>
          <m:t>0.762</m:t>
        </m:r>
      </m:oMath>
      <w:r>
        <w:t xml:space="preserve">. The second has 50 pilot zones (a 10 × 16 grid) and correlation length </w:t>
      </w:r>
      <m:oMath>
        <m:sSub>
          <m:e>
            <m:r>
              <m:t>L</m:t>
            </m:r>
          </m:e>
          <m:sub>
            <m:r>
              <m:t>c</m:t>
            </m:r>
          </m:sub>
        </m:sSub>
        <m:r>
          <m:rPr>
            <m:sty m:val="p"/>
          </m:rPr>
          <m:t>=</m:t>
        </m:r>
        <m:r>
          <m:t>3</m:t>
        </m:r>
      </m:oMath>
      <w:r>
        <w:t xml:space="preserve"> km, i.e., more local heterogeneity. The supply wells and the candidates remain the same. The 5-well percentages come from the ensemble with 48 000 realizations.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900"/>
        <w:gridCol w:w="1500"/>
        <w:gridCol w:w="1640"/>
        <w:gridCol w:w="1400"/>
        <w:gridCol w:w="1700"/>
        <w:gridCol w:w="1498"/>
      </w:tblGrid>
      <w:tr>
        <w:trPr>
          <w:cantSplit/>
          <w:tblHeader/>
        </w:trPr>
        <w:tc>
          <w:tcPr>
            <w:tcW w:type="dxa" w:w="1900"/>
            <w:shd w:fill="D97706" w:color="auto" w:val="clear"/>
            <w:tcMar>
              <w:top w:type="dxa" w:w="60"/>
              <w:left w:type="dxa" w:w="100"/>
              <w:bottom w:type="dxa" w:w="60"/>
              <w:right w:type="dxa" w:w="100"/>
            </w:tcMar>
            <w:vAlign w:val="top"/>
          </w:tcPr>
          <w:p>
            <w:r>
              <w:rPr>
                <w:b/>
                <w:bCs/>
                <w:color w:val="FFFFFF"/>
                <w:sz w:val="15"/>
                <w:szCs w:val="15"/>
              </w:rPr>
              <w:t xml:space="preserve">Prior</w:t>
            </w:r>
          </w:p>
        </w:tc>
        <w:tc>
          <w:tcPr>
            <w:tcW w:type="dxa" w:w="1500"/>
            <w:shd w:fill="D97706" w:color="auto" w:val="clear"/>
            <w:tcMar>
              <w:top w:type="dxa" w:w="60"/>
              <w:left w:type="dxa" w:w="100"/>
              <w:bottom w:type="dxa" w:w="60"/>
              <w:right w:type="dxa" w:w="100"/>
            </w:tcMar>
            <w:vAlign w:val="top"/>
          </w:tcPr>
          <w:p>
            <w:r>
              <w:rPr>
                <w:b/>
                <w:bCs/>
                <w:color w:val="FFFFFF"/>
                <w:sz w:val="15"/>
                <w:szCs w:val="15"/>
              </w:rPr>
              <w:t xml:space="preserve">P0: A / A or B / S</w:t>
            </w:r>
          </w:p>
        </w:tc>
        <w:tc>
          <w:tcPr>
            <w:tcW w:type="dxa" w:w="1640"/>
            <w:shd w:fill="D97706" w:color="auto" w:val="clear"/>
            <w:tcMar>
              <w:top w:type="dxa" w:w="60"/>
              <w:left w:type="dxa" w:w="100"/>
              <w:bottom w:type="dxa" w:w="60"/>
              <w:right w:type="dxa" w:w="100"/>
            </w:tcMar>
            <w:vAlign w:val="top"/>
          </w:tcPr>
          <w:p>
            <w:r>
              <w:rPr>
                <w:b/>
                <w:bCs/>
                <w:color w:val="FFFFFF"/>
                <w:sz w:val="15"/>
                <w:szCs w:val="15"/>
              </w:rPr>
              <w:t xml:space="preserve">3 wells, area → S / A or B</w:t>
            </w:r>
          </w:p>
        </w:tc>
        <w:tc>
          <w:tcPr>
            <w:tcW w:type="dxa" w:w="1400"/>
            <w:shd w:fill="D97706" w:color="auto" w:val="clear"/>
            <w:tcMar>
              <w:top w:type="dxa" w:w="60"/>
              <w:left w:type="dxa" w:w="100"/>
              <w:bottom w:type="dxa" w:w="60"/>
              <w:right w:type="dxa" w:w="100"/>
            </w:tcMar>
            <w:vAlign w:val="top"/>
          </w:tcPr>
          <w:p>
            <w:r>
              <w:rPr>
                <w:b/>
                <w:bCs/>
                <w:color w:val="FFFFFF"/>
                <w:sz w:val="15"/>
                <w:szCs w:val="15"/>
              </w:rPr>
              <w:t xml:space="preserve">3 wells, PRAG-GO → A or B</w:t>
            </w:r>
          </w:p>
        </w:tc>
        <w:tc>
          <w:tcPr>
            <w:tcW w:type="dxa" w:w="1700"/>
            <w:shd w:fill="D97706" w:color="auto" w:val="clear"/>
            <w:tcMar>
              <w:top w:type="dxa" w:w="60"/>
              <w:left w:type="dxa" w:w="100"/>
              <w:bottom w:type="dxa" w:w="60"/>
              <w:right w:type="dxa" w:w="100"/>
            </w:tcMar>
            <w:vAlign w:val="top"/>
          </w:tcPr>
          <w:p>
            <w:r>
              <w:rPr>
                <w:b/>
                <w:bCs/>
                <w:color w:val="FFFFFF"/>
                <w:sz w:val="15"/>
                <w:szCs w:val="15"/>
              </w:rPr>
              <w:t xml:space="preserve">5 wells, published → A / A or B</w:t>
            </w:r>
          </w:p>
        </w:tc>
        <w:tc>
          <w:tcPr>
            <w:tcW w:type="dxa" w:w="1498"/>
            <w:shd w:fill="D97706" w:color="auto" w:val="clear"/>
            <w:tcMar>
              <w:top w:type="dxa" w:w="60"/>
              <w:left w:type="dxa" w:w="100"/>
              <w:bottom w:type="dxa" w:w="60"/>
              <w:right w:type="dxa" w:w="100"/>
            </w:tcMar>
            <w:vAlign w:val="top"/>
          </w:tcPr>
          <w:p>
            <w:r>
              <w:rPr>
                <w:b/>
                <w:bCs/>
                <w:color w:val="FFFFFF"/>
                <w:sz w:val="15"/>
                <w:szCs w:val="15"/>
              </w:rPr>
              <w:t xml:space="preserve">5 wells, PRAG-GO → A or B</w:t>
            </w:r>
          </w:p>
        </w:tc>
      </w:tr>
      <w:tr>
        <w:trPr>
          <w:cantSplit/>
        </w:trPr>
        <w:tc>
          <w:tcPr>
            <w:tcW w:type="dxa" w:w="1900"/>
            <w:tcMar>
              <w:top w:type="dxa" w:w="60"/>
              <w:left w:type="dxa" w:w="100"/>
              <w:bottom w:type="dxa" w:w="60"/>
              <w:right w:type="dxa" w:w="100"/>
            </w:tcMar>
            <w:vAlign w:val="top"/>
          </w:tcPr>
          <w:p>
            <w:r>
              <w:rPr>
                <w:sz w:val="15"/>
                <w:szCs w:val="15"/>
              </w:rPr>
              <w:t xml:space="preserve">Published (12 zones, ρF = 0.6)</w:t>
            </w:r>
          </w:p>
        </w:tc>
        <w:tc>
          <w:tcPr>
            <w:tcW w:type="dxa" w:w="1500"/>
            <w:tcMar>
              <w:top w:type="dxa" w:w="60"/>
              <w:left w:type="dxa" w:w="100"/>
              <w:bottom w:type="dxa" w:w="60"/>
              <w:right w:type="dxa" w:w="100"/>
            </w:tcMar>
            <w:vAlign w:val="top"/>
          </w:tcPr>
          <w:p>
            <w:r>
              <w:rPr>
                <w:sz w:val="15"/>
                <w:szCs w:val="15"/>
              </w:rPr>
              <w:t xml:space="preserve">0.52 / 0.80 / 0.44</w:t>
            </w:r>
          </w:p>
        </w:tc>
        <w:tc>
          <w:tcPr>
            <w:tcW w:type="dxa" w:w="1640"/>
            <w:tcMar>
              <w:top w:type="dxa" w:w="60"/>
              <w:left w:type="dxa" w:w="100"/>
              <w:bottom w:type="dxa" w:w="60"/>
              <w:right w:type="dxa" w:w="100"/>
            </w:tcMar>
            <w:vAlign w:val="top"/>
          </w:tcPr>
          <w:p>
            <w:r>
              <w:rPr>
                <w:sz w:val="15"/>
                <w:szCs w:val="15"/>
              </w:rPr>
              <w:t xml:space="preserve">100% / 80%</w:t>
            </w:r>
          </w:p>
        </w:tc>
        <w:tc>
          <w:tcPr>
            <w:tcW w:type="dxa" w:w="1400"/>
            <w:tcMar>
              <w:top w:type="dxa" w:w="60"/>
              <w:left w:type="dxa" w:w="100"/>
              <w:bottom w:type="dxa" w:w="60"/>
              <w:right w:type="dxa" w:w="100"/>
            </w:tcMar>
            <w:vAlign w:val="top"/>
          </w:tcPr>
          <w:p>
            <w:r>
              <w:rPr>
                <w:sz w:val="15"/>
                <w:szCs w:val="15"/>
              </w:rPr>
              <w:t xml:space="preserve">98%</w:t>
            </w:r>
          </w:p>
        </w:tc>
        <w:tc>
          <w:tcPr>
            <w:tcW w:type="dxa" w:w="1700"/>
            <w:tcMar>
              <w:top w:type="dxa" w:w="60"/>
              <w:left w:type="dxa" w:w="100"/>
              <w:bottom w:type="dxa" w:w="60"/>
              <w:right w:type="dxa" w:w="100"/>
            </w:tcMar>
            <w:vAlign w:val="top"/>
          </w:tcPr>
          <w:p>
            <w:r>
              <w:rPr>
                <w:sz w:val="15"/>
                <w:szCs w:val="15"/>
              </w:rPr>
              <w:t xml:space="preserve">57% / 82%</w:t>
            </w:r>
          </w:p>
        </w:tc>
        <w:tc>
          <w:tcPr>
            <w:tcW w:type="dxa" w:w="1498"/>
            <w:tcMar>
              <w:top w:type="dxa" w:w="60"/>
              <w:left w:type="dxa" w:w="100"/>
              <w:bottom w:type="dxa" w:w="60"/>
              <w:right w:type="dxa" w:w="100"/>
            </w:tcMar>
            <w:vAlign w:val="top"/>
          </w:tcPr>
          <w:p>
            <w:r>
              <w:rPr>
                <w:sz w:val="15"/>
                <w:szCs w:val="15"/>
              </w:rPr>
              <w:t xml:space="preserve">100%</w:t>
            </w:r>
          </w:p>
        </w:tc>
      </w:tr>
      <w:tr>
        <w:trPr>
          <w:cantSplit/>
        </w:trPr>
        <w:tc>
          <w:tcPr>
            <w:tcW w:type="dxa" w:w="1900"/>
            <w:shd w:fill="F7F9FC" w:color="auto" w:val="clear"/>
            <w:tcMar>
              <w:top w:type="dxa" w:w="60"/>
              <w:left w:type="dxa" w:w="100"/>
              <w:bottom w:type="dxa" w:w="60"/>
              <w:right w:type="dxa" w:w="100"/>
            </w:tcMar>
            <w:vAlign w:val="top"/>
          </w:tcPr>
          <w:p>
            <w:r>
              <w:rPr>
                <w:sz w:val="15"/>
                <w:szCs w:val="15"/>
              </w:rPr>
              <w:t xml:space="preserve">ρF = 0.805 (field estimate)</w:t>
            </w:r>
          </w:p>
        </w:tc>
        <w:tc>
          <w:tcPr>
            <w:tcW w:type="dxa" w:w="1500"/>
            <w:shd w:fill="F7F9FC" w:color="auto" w:val="clear"/>
            <w:tcMar>
              <w:top w:type="dxa" w:w="60"/>
              <w:left w:type="dxa" w:w="100"/>
              <w:bottom w:type="dxa" w:w="60"/>
              <w:right w:type="dxa" w:w="100"/>
            </w:tcMar>
            <w:vAlign w:val="top"/>
          </w:tcPr>
          <w:p>
            <w:r>
              <w:rPr>
                <w:sz w:val="15"/>
                <w:szCs w:val="15"/>
              </w:rPr>
              <w:t xml:space="preserve">0.52 / 0.80 / 0.44</w:t>
            </w:r>
          </w:p>
        </w:tc>
        <w:tc>
          <w:tcPr>
            <w:tcW w:type="dxa" w:w="1640"/>
            <w:shd w:fill="F7F9FC" w:color="auto" w:val="clear"/>
            <w:tcMar>
              <w:top w:type="dxa" w:w="60"/>
              <w:left w:type="dxa" w:w="100"/>
              <w:bottom w:type="dxa" w:w="60"/>
              <w:right w:type="dxa" w:w="100"/>
            </w:tcMar>
            <w:vAlign w:val="top"/>
          </w:tcPr>
          <w:p>
            <w:r>
              <w:rPr>
                <w:sz w:val="15"/>
                <w:szCs w:val="15"/>
              </w:rPr>
              <w:t xml:space="preserve">100% / 81%</w:t>
            </w:r>
          </w:p>
        </w:tc>
        <w:tc>
          <w:tcPr>
            <w:tcW w:type="dxa" w:w="1400"/>
            <w:shd w:fill="F7F9FC" w:color="auto" w:val="clear"/>
            <w:tcMar>
              <w:top w:type="dxa" w:w="60"/>
              <w:left w:type="dxa" w:w="100"/>
              <w:bottom w:type="dxa" w:w="60"/>
              <w:right w:type="dxa" w:w="100"/>
            </w:tcMar>
            <w:vAlign w:val="top"/>
          </w:tcPr>
          <w:p>
            <w:r>
              <w:rPr>
                <w:sz w:val="15"/>
                <w:szCs w:val="15"/>
              </w:rPr>
              <w:t xml:space="preserve">98%</w:t>
            </w:r>
          </w:p>
        </w:tc>
        <w:tc>
          <w:tcPr>
            <w:tcW w:type="dxa" w:w="1700"/>
            <w:shd w:fill="F7F9FC" w:color="auto" w:val="clear"/>
            <w:tcMar>
              <w:top w:type="dxa" w:w="60"/>
              <w:left w:type="dxa" w:w="100"/>
              <w:bottom w:type="dxa" w:w="60"/>
              <w:right w:type="dxa" w:w="100"/>
            </w:tcMar>
            <w:vAlign w:val="top"/>
          </w:tcPr>
          <w:p>
            <w:r>
              <w:rPr>
                <w:sz w:val="15"/>
                <w:szCs w:val="15"/>
              </w:rPr>
              <w:t xml:space="preserve">60% / 83%</w:t>
            </w:r>
          </w:p>
        </w:tc>
        <w:tc>
          <w:tcPr>
            <w:tcW w:type="dxa" w:w="1498"/>
            <w:shd w:fill="F7F9FC" w:color="auto" w:val="clear"/>
            <w:tcMar>
              <w:top w:type="dxa" w:w="60"/>
              <w:left w:type="dxa" w:w="100"/>
              <w:bottom w:type="dxa" w:w="60"/>
              <w:right w:type="dxa" w:w="100"/>
            </w:tcMar>
            <w:vAlign w:val="top"/>
          </w:tcPr>
          <w:p>
            <w:r>
              <w:rPr>
                <w:sz w:val="15"/>
                <w:szCs w:val="15"/>
              </w:rPr>
              <w:t xml:space="preserve">100%</w:t>
            </w:r>
          </w:p>
        </w:tc>
      </w:tr>
      <w:tr>
        <w:trPr>
          <w:cantSplit/>
        </w:trPr>
        <w:tc>
          <w:tcPr>
            <w:tcW w:type="dxa" w:w="1900"/>
            <w:tcMar>
              <w:top w:type="dxa" w:w="60"/>
              <w:left w:type="dxa" w:w="100"/>
              <w:bottom w:type="dxa" w:w="60"/>
              <w:right w:type="dxa" w:w="100"/>
            </w:tcMar>
            <w:vAlign w:val="top"/>
          </w:tcPr>
          <w:p>
            <w:r>
              <w:rPr>
                <w:sz w:val="15"/>
                <w:szCs w:val="15"/>
              </w:rPr>
              <w:t xml:space="preserve">50 zones, Lc = 3 km</w:t>
            </w:r>
          </w:p>
        </w:tc>
        <w:tc>
          <w:tcPr>
            <w:tcW w:type="dxa" w:w="1500"/>
            <w:tcMar>
              <w:top w:type="dxa" w:w="60"/>
              <w:left w:type="dxa" w:w="100"/>
              <w:bottom w:type="dxa" w:w="60"/>
              <w:right w:type="dxa" w:w="100"/>
            </w:tcMar>
            <w:vAlign w:val="top"/>
          </w:tcPr>
          <w:p>
            <w:r>
              <w:rPr>
                <w:sz w:val="15"/>
                <w:szCs w:val="15"/>
              </w:rPr>
              <w:t xml:space="preserve">0.58 / 0.87 / 0.40</w:t>
            </w:r>
          </w:p>
        </w:tc>
        <w:tc>
          <w:tcPr>
            <w:tcW w:type="dxa" w:w="1640"/>
            <w:tcMar>
              <w:top w:type="dxa" w:w="60"/>
              <w:left w:type="dxa" w:w="100"/>
              <w:bottom w:type="dxa" w:w="60"/>
              <w:right w:type="dxa" w:w="100"/>
            </w:tcMar>
            <w:vAlign w:val="top"/>
          </w:tcPr>
          <w:p>
            <w:r>
              <w:rPr>
                <w:sz w:val="15"/>
                <w:szCs w:val="15"/>
              </w:rPr>
              <w:t xml:space="preserve">100% / 47%</w:t>
            </w:r>
          </w:p>
        </w:tc>
        <w:tc>
          <w:tcPr>
            <w:tcW w:type="dxa" w:w="1400"/>
            <w:tcMar>
              <w:top w:type="dxa" w:w="60"/>
              <w:left w:type="dxa" w:w="100"/>
              <w:bottom w:type="dxa" w:w="60"/>
              <w:right w:type="dxa" w:w="100"/>
            </w:tcMar>
            <w:vAlign w:val="top"/>
          </w:tcPr>
          <w:p>
            <w:r>
              <w:rPr>
                <w:sz w:val="15"/>
                <w:szCs w:val="15"/>
              </w:rPr>
              <w:t xml:space="preserve">100%</w:t>
            </w:r>
          </w:p>
        </w:tc>
        <w:tc>
          <w:tcPr>
            <w:tcW w:type="dxa" w:w="1700"/>
            <w:tcMar>
              <w:top w:type="dxa" w:w="60"/>
              <w:left w:type="dxa" w:w="100"/>
              <w:bottom w:type="dxa" w:w="60"/>
              <w:right w:type="dxa" w:w="100"/>
            </w:tcMar>
            <w:vAlign w:val="top"/>
          </w:tcPr>
          <w:p>
            <w:r>
              <w:rPr>
                <w:sz w:val="15"/>
                <w:szCs w:val="15"/>
              </w:rPr>
              <w:t xml:space="preserve">38% / 68%</w:t>
            </w:r>
          </w:p>
        </w:tc>
        <w:tc>
          <w:tcPr>
            <w:tcW w:type="dxa" w:w="1498"/>
            <w:tcMar>
              <w:top w:type="dxa" w:w="60"/>
              <w:left w:type="dxa" w:w="100"/>
              <w:bottom w:type="dxa" w:w="60"/>
              <w:right w:type="dxa" w:w="100"/>
            </w:tcMar>
            <w:vAlign w:val="top"/>
          </w:tcPr>
          <w:p>
            <w:r>
              <w:rPr>
                <w:sz w:val="15"/>
                <w:szCs w:val="15"/>
              </w:rPr>
              <w:t xml:space="preserve">100%</w:t>
            </w:r>
          </w:p>
        </w:tc>
      </w:tr>
    </w:tbl>
    <w:p>
      <w:pPr>
        <w:spacing w:after="160"/>
      </w:pPr>
    </w:p>
    <w:p>
      <w:pPr>
        <w:spacing w:after="120"/>
        <w:jc w:val="both"/>
      </w:pPr>
      <w:r>
        <w:t xml:space="preserve">With </w:t>
      </w:r>
      <m:oMath>
        <m:sSub>
          <m:e>
            <m:r>
              <m:t>ρ</m:t>
            </m:r>
          </m:e>
          <m:sub>
            <m:r>
              <m:t>F</m:t>
            </m:r>
          </m:sub>
        </m:sSub>
        <m:r>
          <m:rPr>
            <m:sty m:val="p"/>
          </m:rPr>
          <m:t>=</m:t>
        </m:r>
        <m:r>
          <m:t>0.805</m:t>
        </m:r>
      </m:oMath>
      <w:r>
        <w:t xml:space="preserve"> the results barely change. This was expected, because in the project's R2 log the correlation of the EIG fields between the two values of </w:t>
      </w:r>
      <m:oMath>
        <m:sSub>
          <m:e>
            <m:r>
              <m:t>ρ</m:t>
            </m:r>
          </m:e>
          <m:sub>
            <m:r>
              <m:t>F</m:t>
            </m:r>
          </m:sub>
        </m:sSub>
      </m:oMath>
      <w:r>
        <w:t xml:space="preserve"> is 0.998. With 50 zones, the head at the supply wells depends more on the local zones and the loss grows, as in the Henry problem with local heterogeneity. With 3 wells, the area design captures only 47% for “A or B” and 23% for the risk at A. With 5 wells, the published design captures 38% for A and 68% for “A or B”. PRAG-GO reaches 100% with 3 wells and 100% with 5. Theorem 1 holds under all three priors: the Lemma 1 design for the area is optimal for the area threshold. The design for the area and the design for the supply wells remain different designs, and the difference matters more when the heterogeneity is local.</w:t>
      </w:r>
    </w:p>
    <w:p>
      <w:pPr>
        <w:spacing w:after="240"/>
      </w:pPr>
    </w:p>
    <w:p>
      <w:pPr>
        <w:pStyle w:val="Heading1"/>
      </w:pPr>
      <w:r>
        <w:rPr>
          <w:color w:val="1F3864"/>
        </w:rPr>
        <w:t xml:space="preserve">7. What we learn</w:t>
      </w:r>
    </w:p>
    <w:p>
      <w:pPr>
        <w:pStyle w:val="ListParagraph"/>
        <w:numPr>
          <w:ilvl w:val="0"/>
          <w:numId w:val="2"/>
        </w:numPr>
        <w:spacing w:after="60"/>
        <w:jc w:val="both"/>
      </w:pPr>
      <w:r>
        <w:rPr>
          <w:b/>
          <w:bCs/>
        </w:rPr>
        <w:t xml:space="preserve">Theorem 1 holds in the field.</w:t>
      </w:r>
      <w:r>
        <w:t xml:space="preserve"> When the project goal is turned into a threshold, the Lemma 1 design for the area remains the exact optimum (100%, Spearman 0.995). The published pipeline needs no change for this question, apart from replacing the marginal heuristic with joint optimization.</w:t>
      </w:r>
    </w:p>
    <w:p>
      <w:pPr>
        <w:pStyle w:val="ListParagraph"/>
        <w:numPr>
          <w:ilvl w:val="0"/>
          <w:numId w:val="2"/>
        </w:numPr>
        <w:spacing w:after="60"/>
        <w:jc w:val="both"/>
      </w:pPr>
      <w:r>
        <w:rPr>
          <w:b/>
          <w:bCs/>
        </w:rPr>
        <w:t xml:space="preserve">Supply wells require a different design.</w:t>
      </w:r>
      <w:r>
        <w:t xml:space="preserve"> For the risk at A23, the published design captures 57%, and the 3-well design for the area 32%. With local heterogeneity these values drop to 38% and 23%. The information about a well comes from the wells 2–4 km around it, not from the whole coastal strip.</w:t>
      </w:r>
    </w:p>
    <w:p>
      <w:pPr>
        <w:pStyle w:val="ListParagraph"/>
        <w:numPr>
          <w:ilvl w:val="0"/>
          <w:numId w:val="2"/>
        </w:numPr>
        <w:spacing w:after="60"/>
        <w:jc w:val="both"/>
      </w:pPr>
      <w:r>
        <w:rPr>
          <w:b/>
          <w:bCs/>
        </w:rPr>
        <w:t xml:space="preserve">PRAG-GO finds the optimal design.</w:t>
      </w:r>
      <w:r>
        <w:t xml:space="preserve"> With the linear moments that the project already computes, PRAG-GO reaches 97.6% with 3 wells and the best design found with 5 wells, with Spearman 0.996.</w:t>
      </w:r>
    </w:p>
    <w:p>
      <w:pPr>
        <w:pStyle w:val="ListParagraph"/>
        <w:numPr>
          <w:ilvl w:val="0"/>
          <w:numId w:val="2"/>
        </w:numPr>
        <w:spacing w:after="60"/>
        <w:jc w:val="both"/>
      </w:pPr>
      <w:r>
        <w:rPr>
          <w:b/>
          <w:bCs/>
        </w:rPr>
        <w:t xml:space="preserve">Linearization suffices in the field.</w:t>
      </w:r>
      <w:r>
        <w:t xml:space="preserve"> Unlike in the Henry problem, the linear, ensemble and normal-score moments give almost the same choice. The head in a confined aquifer depends smoothly on log-K and does not saturate as salinity does.</w:t>
      </w:r>
    </w:p>
    <w:p>
      <w:pPr>
        <w:pStyle w:val="ListParagraph"/>
        <w:numPr>
          <w:ilvl w:val="0"/>
          <w:numId w:val="2"/>
        </w:numPr>
        <w:spacing w:after="60"/>
        <w:jc w:val="both"/>
      </w:pPr>
      <w:r>
        <w:rPr>
          <w:b/>
          <w:bCs/>
        </w:rPr>
        <w:t xml:space="preserve">PRAG-MAR changes where recharge goes.</w:t>
      </w:r>
      <w:r>
        <w:t xml:space="preserve"> With the same water, the risk to the wells drops from 0.79 to 0.04 instead of 0.62, with 80% of the area reduction. The formula requires two adjoint solves and matches the exact ensemble optimum.</w:t>
      </w:r>
    </w:p>
    <w:p>
      <w:pPr>
        <w:spacing w:after="240"/>
      </w:pPr>
    </w:p>
    <w:p>
      <w:pPr>
        <w:pStyle w:val="Heading1"/>
      </w:pPr>
      <w:r>
        <w:rPr>
          <w:color w:val="1F3864"/>
        </w:rPr>
        <w:t xml:space="preserve">8. Limitations and next steps</w:t>
      </w:r>
    </w:p>
    <w:p>
      <w:pPr>
        <w:pStyle w:val="ListParagraph"/>
        <w:numPr>
          <w:ilvl w:val="0"/>
          <w:numId w:val="4"/>
        </w:numPr>
        <w:spacing w:after="60"/>
        <w:jc w:val="both"/>
      </w:pPr>
      <w:r>
        <w:rPr>
          <w:b/>
          <w:bCs/>
        </w:rPr>
        <w:t xml:space="preserve">Coordinates of the pumping stations.</w:t>
      </w:r>
      <w:r>
        <w:t xml:space="preserve"> A23 and R16 are surrogates chosen by a rule. With the coordinates of the Gorre and Fushë-Kuqe stations, the code immediately gives the design for the real wells.</w:t>
      </w:r>
    </w:p>
    <w:p>
      <w:pPr>
        <w:pStyle w:val="ListParagraph"/>
        <w:numPr>
          <w:ilvl w:val="0"/>
          <w:numId w:val="4"/>
        </w:numPr>
        <w:spacing w:after="60"/>
        <w:jc w:val="both"/>
      </w:pPr>
      <w:r>
        <w:rPr>
          <w:b/>
          <w:bCs/>
        </w:rPr>
        <w:t xml:space="preserve">Calibration with the data.</w:t>
      </w:r>
      <w:r>
        <w:t xml:space="preserve"> Sheet 2_All_Wells contains piezometric levels for the wells, and Cenameri and Beqiraj (2016) give chloride for four wells. The prior should be conditioned on them before design, because the modeled area (26.6%) is above the published value of about 15%.</w:t>
      </w:r>
    </w:p>
    <w:p>
      <w:pPr>
        <w:pStyle w:val="ListParagraph"/>
        <w:numPr>
          <w:ilvl w:val="0"/>
          <w:numId w:val="4"/>
        </w:numPr>
        <w:spacing w:after="60"/>
        <w:jc w:val="both"/>
      </w:pPr>
      <w:r>
        <w:rPr>
          <w:b/>
          <w:bCs/>
        </w:rPr>
        <w:t xml:space="preserve">The 250 mg/L threshold.</w:t>
      </w:r>
      <w:r>
        <w:t xml:space="preserve"> The Ghyben–Herzberg criterion treats the interface as sharp. A variable-density cross-section along the A23 transect, with the Henry solver, would link the interface toe to the 250 mg/L isochlor.</w:t>
      </w:r>
    </w:p>
    <w:p>
      <w:pPr>
        <w:pStyle w:val="ListParagraph"/>
        <w:numPr>
          <w:ilvl w:val="0"/>
          <w:numId w:val="4"/>
        </w:numPr>
        <w:spacing w:after="60"/>
        <w:jc w:val="both"/>
      </w:pPr>
      <w:r>
        <w:rPr>
          <w:b/>
          <w:bCs/>
        </w:rPr>
        <w:t xml:space="preserve">Code in the project.</w:t>
      </w:r>
      <w:r>
        <w:t xml:space="preserve"> Two MATLAB functions in src/ are enough: prag_eig.m (the formula with </w:t>
      </w:r>
      <m:oMath>
        <m:sSub>
          <m:e>
            <m:r>
              <m:t>Φ</m:t>
            </m:r>
          </m:e>
          <m:sub>
            <m:r>
              <m:t>2</m:t>
            </m:r>
          </m:sub>
        </m:sSub>
      </m:oMath>
      <w:r>
        <w:t xml:space="preserve"> and Gauss–Hermite quadrature, on top of eig_operator.m) and prag_mar.m (two solves with </w:t>
      </w:r>
      <m:oMath>
        <m:sSup>
          <m:e>
            <m:r>
              <m:t>A</m:t>
            </m:r>
          </m:e>
          <m:sup>
            <m:r>
              <m:rPr>
                <m:sty m:val="p"/>
              </m:rPr>
              <m:t>T</m:t>
            </m:r>
          </m:sup>
        </m:sSup>
      </m:oMath>
      <w:r>
        <w:t xml:space="preserve">, like the adjoint solve the project already performs for the MAR field).</w:t>
      </w:r>
    </w:p>
    <w:p>
      <w:pPr>
        <w:pStyle w:val="ListParagraph"/>
        <w:numPr>
          <w:ilvl w:val="0"/>
          <w:numId w:val="4"/>
        </w:numPr>
        <w:spacing w:after="60"/>
        <w:jc w:val="both"/>
      </w:pPr>
      <w:r>
        <w:rPr>
          <w:b/>
          <w:bCs/>
        </w:rPr>
        <w:t xml:space="preserve">Joint design.</w:t>
      </w:r>
      <w:r>
        <w:t xml:space="preserve"> Monitoring and MAR can be chosen together, with the value of information for the recharge decision as the goal.</w:t>
      </w:r>
    </w:p>
    <w:p>
      <w:pPr>
        <w:spacing w:after="240"/>
      </w:pPr>
    </w:p>
    <w:p>
      <w:pPr>
        <w:pStyle w:val="Heading1"/>
      </w:pPr>
      <w:r>
        <w:rPr>
          <w:color w:val="1F3864"/>
        </w:rPr>
        <w:t xml:space="preserve">9. References</w:t>
      </w:r>
    </w:p>
    <w:p>
      <w:pPr>
        <w:tabs>
          <w:tab w:val="left" w:pos="567"/>
        </w:tabs>
        <w:spacing w:after="90"/>
        <w:ind w:left="567" w:hanging="567"/>
        <w:jc w:val="left"/>
      </w:pPr>
      <w:r>
        <w:rPr>
          <w:b/>
          <w:bCs/>
          <w:color w:val="1F3864"/>
          <w:sz w:val="19"/>
          <w:szCs w:val="19"/>
        </w:rPr>
        <w:t xml:space="preserve">[B1]	</w:t>
      </w:r>
      <w:r>
        <w:rPr>
          <w:sz w:val="19"/>
          <w:szCs w:val="19"/>
        </w:rPr>
        <w:t xml:space="preserve">Cenameri, S. &amp; Beqiraj, A. (2016). Assessment of seawater intrusion in Fushë Kuqe aquifer, Albania. </w:t>
      </w:r>
      <w:r>
        <w:rPr>
          <w:i/>
          <w:iCs/>
          <w:sz w:val="19"/>
          <w:szCs w:val="19"/>
        </w:rPr>
        <w:t xml:space="preserve">Bulletin of the Geological Society of Greece</w:t>
      </w:r>
      <w:r>
        <w:rPr>
          <w:sz w:val="19"/>
          <w:szCs w:val="19"/>
        </w:rPr>
        <w:t xml:space="preserve">, 50(2), 665–670.</w:t>
      </w:r>
      <w:r>
        <w:rPr>
          <w:sz w:val="19"/>
          <w:szCs w:val="19"/>
        </w:rPr>
        <w:t xml:space="preserve"> </w:t>
      </w:r>
      <w:hyperlink w:history="1" r:id="rIdwmwu21brtog4xsh9llqes">
        <w:r>
          <w:rPr>
            <w:color w:val="1D4ED8"/>
            <w:sz w:val="19"/>
            <w:szCs w:val="19"/>
            <w:u w:val="single"/>
          </w:rPr>
          <w:t xml:space="preserve">https://doi.org/10.12681/bgsg.11772</w:t>
        </w:r>
      </w:hyperlink>
    </w:p>
    <w:p>
      <w:pPr>
        <w:tabs>
          <w:tab w:val="left" w:pos="567"/>
        </w:tabs>
        <w:spacing w:after="90"/>
        <w:ind w:left="567" w:hanging="567"/>
        <w:jc w:val="left"/>
      </w:pPr>
      <w:r>
        <w:rPr>
          <w:b/>
          <w:bCs/>
          <w:color w:val="1F3864"/>
          <w:sz w:val="19"/>
          <w:szCs w:val="19"/>
        </w:rPr>
        <w:t xml:space="preserve">[B2]	</w:t>
      </w:r>
      <w:r>
        <w:rPr>
          <w:sz w:val="19"/>
          <w:szCs w:val="19"/>
        </w:rPr>
        <w:t xml:space="preserve">Albanian Geological Survey (2024). Fushë-Kuqe aquifer data: polygon, 43 wells with K, and piezometric levels. Used with permission; data/Fushe_Kuqe_All_Data.xlsx in the repository.</w:t>
      </w:r>
    </w:p>
    <w:p>
      <w:pPr>
        <w:tabs>
          <w:tab w:val="left" w:pos="567"/>
        </w:tabs>
        <w:spacing w:after="90"/>
        <w:ind w:left="567" w:hanging="567"/>
        <w:jc w:val="left"/>
      </w:pPr>
      <w:r>
        <w:rPr>
          <w:b/>
          <w:bCs/>
          <w:color w:val="1F3864"/>
          <w:sz w:val="19"/>
          <w:szCs w:val="19"/>
        </w:rPr>
        <w:t xml:space="preserve">[B3]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jfxmdd75jjmhf6cxylqir">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[B4]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wwjbrm69sdn4g82om_xro">
        <w:r>
          <w:rPr>
            <w:color w:val="1D4ED8"/>
            <w:sz w:val="19"/>
            <w:szCs w:val="19"/>
            <w:u w:val="single"/>
          </w:rPr>
          <w:t xml:space="preserve">https://doi.org/10.1016/j.advwatres.2012.03.004</w:t>
        </w:r>
      </w:hyperlink>
    </w:p>
    <w:p>
      <w:pPr>
        <w:tabs>
          <w:tab w:val="left" w:pos="567"/>
        </w:tabs>
        <w:spacing w:after="90"/>
        <w:ind w:left="567" w:hanging="567"/>
        <w:jc w:val="left"/>
      </w:pPr>
      <w:r>
        <w:rPr>
          <w:b/>
          <w:bCs/>
          <w:color w:val="1F3864"/>
          <w:sz w:val="19"/>
          <w:szCs w:val="19"/>
        </w:rPr>
        <w:t xml:space="preserve">[B5]	</w:t>
      </w:r>
      <w:r>
        <w:rPr>
          <w:sz w:val="19"/>
          <w:szCs w:val="19"/>
        </w:rPr>
        <w:t xml:space="preserve">Dillon, P. (2005). Future management of aquifer recharge. </w:t>
      </w:r>
      <w:r>
        <w:rPr>
          <w:i/>
          <w:iCs/>
          <w:sz w:val="19"/>
          <w:szCs w:val="19"/>
        </w:rPr>
        <w:t xml:space="preserve">Hydrogeology Journal</w:t>
      </w:r>
      <w:r>
        <w:rPr>
          <w:sz w:val="19"/>
          <w:szCs w:val="19"/>
        </w:rPr>
        <w:t xml:space="preserve">, 13(1), 313–316.</w:t>
      </w:r>
      <w:r>
        <w:rPr>
          <w:sz w:val="19"/>
          <w:szCs w:val="19"/>
        </w:rPr>
        <w:t xml:space="preserve"> </w:t>
      </w:r>
      <w:hyperlink w:history="1" r:id="rIdfsvpsrexnsnmqo2sbyyig">
        <w:r>
          <w:rPr>
            <w:color w:val="1D4ED8"/>
            <w:sz w:val="19"/>
            <w:szCs w:val="19"/>
            <w:u w:val="single"/>
          </w:rPr>
          <w:t xml:space="preserve">https://doi.org/10.1007/s10040-004-0413-6</w:t>
        </w:r>
      </w:hyperlink>
    </w:p>
    <w:p>
      <w:pPr>
        <w:tabs>
          <w:tab w:val="left" w:pos="567"/>
        </w:tabs>
        <w:spacing w:after="90"/>
        <w:ind w:left="567" w:hanging="567"/>
        <w:jc w:val="left"/>
      </w:pPr>
      <w:r>
        <w:rPr>
          <w:b/>
          <w:bCs/>
          <w:color w:val="1F3864"/>
          <w:sz w:val="19"/>
          <w:szCs w:val="19"/>
        </w:rPr>
        <w:t xml:space="preserve">[B6]	</w:t>
      </w:r>
      <w:r>
        <w:rPr>
          <w:sz w:val="19"/>
          <w:szCs w:val="19"/>
        </w:rPr>
        <w:t xml:space="preserve">Lindley, D. V. (1956). On a measure of the information provided by an experiment. </w:t>
      </w:r>
      <w:r>
        <w:rPr>
          <w:i/>
          <w:iCs/>
          <w:sz w:val="19"/>
          <w:szCs w:val="19"/>
        </w:rPr>
        <w:t xml:space="preserve">The Annals of Mathematical Statistics</w:t>
      </w:r>
      <w:r>
        <w:rPr>
          <w:sz w:val="19"/>
          <w:szCs w:val="19"/>
        </w:rPr>
        <w:t xml:space="preserve">, 27(4), 986–1005.</w:t>
      </w:r>
      <w:r>
        <w:rPr>
          <w:sz w:val="19"/>
          <w:szCs w:val="19"/>
        </w:rPr>
        <w:t xml:space="preserve"> </w:t>
      </w:r>
      <w:hyperlink w:history="1" r:id="rIdqdiy0sqsegbdaya0sev3j">
        <w:r>
          <w:rPr>
            <w:color w:val="1D4ED8"/>
            <w:sz w:val="19"/>
            <w:szCs w:val="19"/>
            <w:u w:val="single"/>
          </w:rPr>
          <w:t xml:space="preserve">https://doi.org/10.1214/aoms/1177728069</w:t>
        </w:r>
      </w:hyperlink>
    </w:p>
    <w:p>
      <w:pPr>
        <w:tabs>
          <w:tab w:val="left" w:pos="567"/>
        </w:tabs>
        <w:spacing w:after="90"/>
        <w:ind w:left="567" w:hanging="567"/>
        <w:jc w:val="left"/>
      </w:pPr>
      <w:r>
        <w:rPr>
          <w:b/>
          <w:bCs/>
          <w:color w:val="1F3864"/>
          <w:sz w:val="19"/>
          <w:szCs w:val="19"/>
        </w:rPr>
        <w:t xml:space="preserve">[B7]	</w:t>
      </w:r>
      <w:r>
        <w:rPr>
          <w:sz w:val="19"/>
          <w:szCs w:val="19"/>
        </w:rPr>
        <w:t xml:space="preserve">Zeqiraj, D. (2026). Goal-oriented Bayesian experimental design for variable-density seawater intrusion. Submitted to </w:t>
      </w:r>
      <w:r>
        <w:rPr>
          <w:i/>
          <w:iCs/>
          <w:sz w:val="19"/>
          <w:szCs w:val="19"/>
        </w:rPr>
        <w:t xml:space="preserve">Journal of Hydrology</w:t>
      </w:r>
      <w:r>
        <w:rPr>
          <w:sz w:val="19"/>
          <w:szCs w:val="19"/>
        </w:rPr>
        <w:t xml:space="preserve">; code: SWI-Goal-OED.</w:t>
      </w:r>
    </w:p>
    <w:p>
      <w:pPr>
        <w:spacing w:after="200"/>
      </w:pPr>
    </w:p>
    <w:p>
      <w:pPr>
        <w:spacing w:after="120"/>
      </w:pPr>
      <w:r>
        <w:rPr>
          <w:i/>
          <w:iCs/>
          <w:color w:val="5B6573"/>
          <w:sz w:val="18"/>
          <w:szCs w:val="18"/>
        </w:rPr>
        <w:t xml:space="preserve">Note on reliability: the geometry and the conductivity are real, while the thickness, base, recharge and coastline are the project's representative values. Intrusion comes from the Ghyben–Herzberg criterion in an uncalibrated model, so the absolute risk numbers are illustrative. The comparison between criteria and designs does not depend on this, because all of them are evaluated in the same model. The supply wells are surrogates chosen by a rule, and the recharge values of 2 500–10 000 m³/day per site are assumptions. The code and the full table of numbers are in experiments/prag_go_fushe_kuqe in the repository.</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Research note · PRAG-GO and PRAG-MAR at Fushë-Kuqe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wmwu21brtog4xsh9llqes" Type="http://schemas.openxmlformats.org/officeDocument/2006/relationships/hyperlink" Target="https://doi.org/10.12681/bgsg.11772" TargetMode="External"/><Relationship Id="rIdjfxmdd75jjmhf6cxylqir" Type="http://schemas.openxmlformats.org/officeDocument/2006/relationships/hyperlink" Target="https://doi.org/10.1029/WR012i006p01165" TargetMode="External"/><Relationship Id="rIdwwjbrm69sdn4g82om_xro" Type="http://schemas.openxmlformats.org/officeDocument/2006/relationships/hyperlink" Target="https://doi.org/10.1016/j.advwatres.2012.03.004" TargetMode="External"/><Relationship Id="rIdfsvpsrexnsnmqo2sbyyig" Type="http://schemas.openxmlformats.org/officeDocument/2006/relationships/hyperlink" Target="https://doi.org/10.1007/s10040-004-0413-6" TargetMode="External"/><Relationship Id="rIdqdiy0sqsegbdaya0sev3j" Type="http://schemas.openxmlformats.org/officeDocument/2006/relationships/hyperlink" Target="https://doi.org/10.1214/aoms/1177728069" TargetMode="External"/><Relationship Id="rId11" Type="http://schemas.openxmlformats.org/officeDocument/2006/relationships/image" Target="media/39e8f2eee969f7912333a58ddaf082a013e70713.png"/><Relationship Id="rId12" Type="http://schemas.openxmlformats.org/officeDocument/2006/relationships/image" Target="media/085b4a216213ae6ee71481a34d6589106c70dc6a.png"/><Relationship Id="rId13" Type="http://schemas.openxmlformats.org/officeDocument/2006/relationships/image" Target="media/7cd4f3f113cc42c52195e34e691815623c5c4d1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PRAG-GO and PRAG-MAR at Fushë-Kuqe</dc:title>
  <dc:creator>D. Zeqiraj</dc:creator>
  <dc:description>Monitoring and managed aquifer recharge oriented to the salinization risk of supply wells, tested in the field model of the SWI-Goal-OED project</dc:description>
  <cp:lastModifiedBy>Un-named</cp:lastModifiedBy>
  <cp:revision>1</cp:revision>
  <dcterms:created xsi:type="dcterms:W3CDTF">2026-10-19T13:30:13.960Z</dcterms:created>
  <dcterms:modified xsi:type="dcterms:W3CDTF">2026-10-19T13:30:13.960Z</dcterms:modified>
</cp:coreProperties>
</file>

<file path=docProps/custom.xml><?xml version="1.0" encoding="utf-8"?>
<Properties xmlns="http://schemas.openxmlformats.org/officeDocument/2006/custom-properties" xmlns:vt="http://schemas.openxmlformats.org/officeDocument/2006/docPropsVTypes"/>
</file>