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Is merging worth it? II. Which coalition of well-record holders, in what order, and who deserves what: twenty more papers from Oxford, Caltech, MIT, Princeton and Harvard</w:t>
      </w:r>
    </w:p>
    <w:p>
      <w:pPr>
        <w:spacing w:after="360"/>
      </w:pPr>
      <w:r>
        <w:rPr>
          <w:color w:val="3A4350"/>
          <w:sz w:val="26"/>
          <w:szCs w:val="26"/>
        </w:rPr>
        <w:t xml:space="preserve">Twenty further papers of 2020–2026 on the topic of the Oxford paper "Is merging worth it?" (AISTATS 2025), none used in review 55: sequential and adaptive data acquisition (5), robustly combining data sources for causal inference (5), privacy-preserving computation for statistical and causal inference (5) and incentives, cooperative games and collaborative learning (5), each with a key equation, why it is among the best and the question it leaves open; a theoretical introduction; and a numerically tested innovation, KOALICIONI-GO (</w:t>
      </w:r>
      <w:r>
        <w:rPr>
          <w:i/>
          <w:iCs/>
          <w:color w:val="3A4350"/>
          <w:sz w:val="26"/>
          <w:szCs w:val="26"/>
        </w:rPr>
        <w:t xml:space="preserve">koalicioni</w:t>
      </w:r>
      <w:r>
        <w:rPr>
          <w:color w:val="3A4350"/>
          <w:sz w:val="26"/>
          <w:szCs w:val="26"/>
        </w:rPr>
        <w:t xml:space="preserve">: the coalition), which tells the Fushë-Kuqe water utility, before any record is shared, which coalition of record holders to form, in what order to merge, when to stop and how to share the value fairly, with every coalition valued privately at the cost of one release per holder</w:t>
      </w:r>
    </w:p>
    <w:p>
      <w:pPr>
        <w:spacing w:after="360"/>
      </w:pPr>
      <w:r>
        <w:rPr>
          <w:b/>
          <w:bCs/>
          <w:color w:val="1E3A8A"/>
          <w:sz w:val="24"/>
          <w:szCs w:val="24"/>
        </w:rPr>
        <w:t xml:space="preserve">Sequential acquisition</w:t>
      </w:r>
      <w:r>
        <w:rPr>
          <w:color w:val="5B6573"/>
          <w:sz w:val="22"/>
          <w:szCs w:val="22"/>
        </w:rPr>
        <w:t xml:space="preserve">   ·   </w:t>
      </w:r>
      <w:r>
        <w:rPr>
          <w:b/>
          <w:bCs/>
          <w:color w:val="0F766E"/>
          <w:sz w:val="24"/>
          <w:szCs w:val="24"/>
        </w:rPr>
        <w:t xml:space="preserve">Robust combination</w:t>
      </w:r>
      <w:r>
        <w:rPr>
          <w:color w:val="5B6573"/>
          <w:sz w:val="22"/>
          <w:szCs w:val="22"/>
        </w:rPr>
        <w:t xml:space="preserve">   ·   </w:t>
      </w:r>
      <w:r>
        <w:rPr>
          <w:b/>
          <w:bCs/>
          <w:color w:val="9A3412"/>
          <w:sz w:val="24"/>
          <w:szCs w:val="24"/>
        </w:rPr>
        <w:t xml:space="preserve">Private computation</w:t>
      </w:r>
      <w:r>
        <w:rPr>
          <w:color w:val="5B6573"/>
          <w:sz w:val="22"/>
          <w:szCs w:val="22"/>
        </w:rPr>
        <w:t xml:space="preserve">   ·   </w:t>
      </w:r>
      <w:r>
        <w:rPr>
          <w:b/>
          <w:bCs/>
          <w:color w:val="5B21B6"/>
          <w:sz w:val="24"/>
          <w:szCs w:val="24"/>
        </w:rPr>
        <w:t xml:space="preserve">Incentives and games</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five short themes (sequential acquisition and stopping; combining sources that may disagree; private computation, composition and post-processing; cooperative games and fair shares; what is open), read on a coalition of Fushë-Kuqe well-record holders. </w:t>
      </w:r>
      <w:r>
        <w:rPr>
          <w:b/>
          <w:bCs/>
        </w:rPr>
        <w:t xml:space="preserve">Part II:</w:t>
      </w:r>
      <w:r>
        <w:t xml:space="preserve"> 20 further papers of 2020–2026 from Oxford, Caltech, MIT, Princeton and Harvard, none used in review 55, five per theme: sequential and adaptive data acquisition (S1–S5), robustly combining data sources for causal inference (R1–R5), privacy-preserving computation (C1–C5) and incentives, cooperative games and collaborative learning (G1–G5), each with a key equation in OMML, a box on </w:t>
      </w:r>
      <w:r>
        <w:rPr>
          <w:b/>
          <w:bCs/>
        </w:rPr>
        <w:t xml:space="preserve">why it is among the best</w:t>
      </w:r>
      <w:r>
        <w:t xml:space="preserve">, the </w:t>
      </w:r>
      <w:r>
        <w:rPr>
          <w:b/>
          <w:bCs/>
        </w:rPr>
        <w:t xml:space="preserve">open problem</w:t>
      </w:r>
      <w:r>
        <w:t xml:space="preserve"> it leaves and an innovation. </w:t>
      </w:r>
      <w:r>
        <w:rPr>
          <w:b/>
          <w:bCs/>
        </w:rPr>
        <w:t xml:space="preserve">Part III:</w:t>
      </w:r>
      <w:r>
        <w:t xml:space="preserve"> synthesis, a map of opportunities, further reading, and the KOALICIONI-GO innovation: which coalition of record holders to form, in what order, when to stop and how to share the value, with four propositions (all coalitions from Gram sums and one private release per holder; complementarity and its limit; fair shares with the utility as a veto player; adaptive merging), tested on 200 plausible aquifers with a physics-informed and a local statistical model.</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the Oxford, Caltech, MIT, Princeton or Harvard affiliation that was confirmed, topic and the rating of mathematical depth (★ 1–5).</w:t>
      </w:r>
    </w:p>
    <w:p>
      <w:pPr>
        <w:pStyle w:val="ListParagraph"/>
        <w:numPr>
          <w:ilvl w:val="0"/>
          <w:numId w:val="2"/>
        </w:numPr>
        <w:spacing w:after="60"/>
        <w:jc w:val="both"/>
      </w:pPr>
      <w:r>
        <w:rPr>
          <w:b/>
          <w:bCs/>
        </w:rPr>
        <w:t xml:space="preserve">Summary</w:t>
      </w:r>
      <w:r>
        <w:t xml:space="preserve"> of the problem, the method and the main theorems, and the </w:t>
      </w:r>
      <w:r>
        <w:rPr>
          <w:b/>
          <w:bCs/>
        </w:rPr>
        <w:t xml:space="preserve">key equation</w:t>
      </w:r>
      <w:r>
        <w:t xml:space="preserve"> as a Word equation (OMML); all are representative formulations unless the card says otherwise, since no full text was read.</w:t>
      </w:r>
    </w:p>
    <w:p>
      <w:pPr>
        <w:pStyle w:val="ListParagraph"/>
        <w:numPr>
          <w:ilvl w:val="0"/>
          <w:numId w:val="2"/>
        </w:numPr>
        <w:spacing w:after="60"/>
        <w:jc w:val="both"/>
      </w:pPr>
      <w:r>
        <w:rPr>
          <w:b/>
          <w:bCs/>
        </w:rPr>
        <w:t xml:space="preserve">Why it is among the best</w:t>
      </w:r>
      <w:r>
        <w:t xml:space="preserve">, the </w:t>
      </w:r>
      <w:r>
        <w:rPr>
          <w:b/>
          <w:bCs/>
        </w:rPr>
        <w:t xml:space="preserve">open problem</w:t>
      </w:r>
      <w:r>
        <w:t xml:space="preserve"> it leaves for a coalition of well-record holders, and a concrete </w:t>
      </w:r>
      <w:r>
        <w:rPr>
          <w:b/>
          <w:bCs/>
        </w:rPr>
        <w:t xml:space="preserve">innovation</w:t>
      </w:r>
      <w:r>
        <w:t xml:space="preserve"> for Fushë-Kuqe.</w:t>
      </w:r>
    </w:p>
    <w:p>
      <w:pPr>
        <w:spacing w:before="360"/>
      </w:pPr>
      <w:r>
        <w:rPr>
          <w:color w:val="5B6573"/>
          <w:sz w:val="20"/>
          <w:szCs w:val="20"/>
        </w:rPr>
        <w:t xml:space="preserve">Search date: 26 October 2026  ·  Period covered: 2020–2026</w:t>
      </w:r>
    </w:p>
    <w:p>
      <w:pPr>
        <w:pStyle w:val="Heading1"/>
        <w:pageBreakBefore/>
      </w:pPr>
      <w:r>
        <w:rPr>
          <w:color w:val="1F3864"/>
        </w:rPr>
        <w:t xml:space="preserve">1. Theoretical introduction: sequential acquisition, robust combination, private computation and cooperative games</w:t>
      </w:r>
    </w:p>
    <w:p>
      <w:pPr>
        <w:spacing w:after="120"/>
      </w:pPr>
      <w:r>
        <w:rPr>
          <w:i/>
          <w:iCs/>
          <w:color w:val="5B6573"/>
          <w:sz w:val="18"/>
          <w:szCs w:val="18"/>
        </w:rPr>
        <w:t xml:space="preserve">Theoretical introduction written for this document. Statements attributed to classical works [B…] are standard results; forms simplified for this document are marked as such.</w:t>
      </w:r>
    </w:p>
    <w:p>
      <w:pPr>
        <w:spacing w:after="120"/>
        <w:jc w:val="both"/>
      </w:pPr>
      <w:r>
        <w:rPr>
          <w:b/>
          <w:bCs/>
        </w:rPr>
        <w:t xml:space="preserve">From one merge to a coalition.</w:t>
      </w:r>
      <w:r>
        <w:t xml:space="preserve"> The Oxford paper "Is merging worth it?" [B1] values one candidate dataset, before any record is shared, by the expected information it adds about heterogeneous treatment effects, computed on secret shares. Review 55 replaced information by the value of the decision the records serve, at Fushë-Kuqe the choice of which wells may keep pumping hard in summer (BASHKIMI-GO). This second review asks what happens when there are several holders: the water utility, a monitoring agency, private irrigators, coastal hotels that always pump hard in summer, municipal coastal wells capped by law and a research campaign. Which of them should join, in what order, and when should the utility stop? If two holders are worth more together than apart, who deserves what? Can all this be computed without anyone showing a record? Part I sets out four bodies of theory for these questions, and Part II gives 20 new papers of 2020–2026 from Oxford, Caltech, MIT, Princeton and Harvard, none of them used in review 55.</w:t>
      </w:r>
    </w:p>
    <w:p>
      <w:pPr>
        <w:pStyle w:val="Heading3"/>
      </w:pPr>
      <w:r>
        <w:rPr>
          <w:color w:val="1F3864"/>
        </w:rPr>
        <w:t xml:space="preserve">1.1 Sequential acquisition: what to merge next and when to stop</w:t>
      </w:r>
    </w:p>
    <w:p>
      <w:pPr>
        <w:spacing w:after="120"/>
        <w:jc w:val="both"/>
      </w:pPr>
      <w:r>
        <w:t xml:space="preserve">When data are acquired one source at a time, two structures make simple rules good. If the value </w:t>
      </w:r>
      <m:oMath>
        <m:r>
          <m:t>f</m:t>
        </m:r>
        <m:d>
          <m:dPr>
            <m:begChr m:val="("/>
            <m:sepChr m:val=""/>
            <m:endChr m:val=")"/>
            <m:grow/>
          </m:dPr>
          <m:e>
            <m:r>
              <m:t>S</m:t>
            </m:r>
          </m:e>
        </m:d>
      </m:oMath>
      <w:r>
        <w:t xml:space="preserve"> of a set of sources is monotone and submodular (diminishing returns), the greedy rule that adds the source of largest marginal value reaches a constant fraction of the optimum [B2], and adaptive submodularity extends the guarantee to policies that observe each source before choosing the next [B3]:</w:t>
      </w:r>
    </w:p>
    <w:p>
      <w:pPr>
        <w:pStyle w:val="Equation"/>
      </w:pPr>
      <m:oMathPara>
        <m:oMathParaPr>
          <m:jc m:val="center"/>
        </m:oMathParaPr>
        <m:oMath>
          <m:r>
            <m:t>f</m:t>
          </m:r>
          <m:d>
            <m:dPr>
              <m:begChr m:val="("/>
              <m:sepChr m:val=""/>
              <m:endChr m:val=")"/>
              <m:grow/>
            </m:dPr>
            <m:e>
              <m:sSubSup>
                <m:e>
                  <m:r>
                    <m:t>S</m:t>
                  </m:r>
                </m:e>
                <m:sub>
                  <m:r>
                    <m:t>k</m:t>
                  </m:r>
                </m:sub>
                <m:sup>
                  <m:r>
                    <m:rPr>
                      <m:nor/>
                    </m:rPr>
                    <m:t>greedy</m:t>
                  </m:r>
                </m:sup>
              </m:sSubSup>
            </m:e>
          </m:d>
          <m:r>
            <m:rPr>
              <m:sty m:val="p"/>
            </m:rPr>
            <m:t>≥</m:t>
          </m:r>
          <m:d>
            <m:dPr>
              <m:begChr m:val="("/>
              <m:sepChr m:val=""/>
              <m:endChr m:val=")"/>
              <m:grow/>
            </m:dPr>
            <m:e>
              <m:r>
                <m:t>1</m:t>
              </m:r>
              <m:r>
                <m:rPr>
                  <m:sty m:val="p"/>
                </m:rPr>
                <m:t>−</m:t>
              </m:r>
              <m:sSup>
                <m:e>
                  <m:r>
                    <m:t>e</m:t>
                  </m:r>
                </m:e>
                <m:sup>
                  <m:r>
                    <m:rPr>
                      <m:sty m:val="p"/>
                    </m:rPr>
                    <m:t>−</m:t>
                  </m:r>
                  <m:r>
                    <m:t>1</m:t>
                  </m:r>
                </m:sup>
              </m:sSup>
            </m:e>
          </m:d>
          <m:limLow>
            <m:e>
              <m:r>
                <m:rPr>
                  <m:sty m:val="p"/>
                </m:rPr>
                <m:t>max</m:t>
              </m:r>
            </m:e>
            <m:lim>
              <m:d>
                <m:dPr>
                  <m:begChr m:val="|"/>
                  <m:sepChr m:val=""/>
                  <m:endChr m:val="|"/>
                  <m:grow/>
                </m:dPr>
                <m:e>
                  <m:r>
                    <m:t>S</m:t>
                  </m:r>
                </m:e>
              </m:d>
              <m:r>
                <m:rPr>
                  <m:sty m:val="p"/>
                </m:rPr>
                <m:t>≤</m:t>
              </m:r>
              <m:r>
                <m:t>k</m:t>
              </m:r>
            </m:lim>
          </m:limLow>
          <m:r>
            <m:t>f</m:t>
          </m:r>
          <m:d>
            <m:dPr>
              <m:begChr m:val="("/>
              <m:sepChr m:val=""/>
              <m:endChr m:val=")"/>
              <m:grow/>
            </m:dPr>
            <m:e>
              <m:r>
                <m:t>S</m:t>
              </m:r>
            </m:e>
          </m:d>
          <m:r>
            <m:rPr>
              <m:sty m:val="p"/>
            </m:rPr>
            <m:t>,</m:t>
          </m:r>
          <m:r>
            <m:t>  </m:t>
          </m:r>
          <m:r>
            <m:t>f</m:t>
          </m:r>
          <m:d>
            <m:dPr>
              <m:begChr m:val="("/>
              <m:sepChr m:val=""/>
              <m:endChr m:val=")"/>
              <m:grow/>
            </m:dPr>
            <m:e>
              <m:r>
                <m:t>S</m:t>
              </m:r>
              <m:r>
                <m:rPr>
                  <m:sty m:val="p"/>
                </m:rPr>
                <m:t>∪</m:t>
              </m:r>
              <m:r>
                <m:rPr>
                  <m:sty m:val="p"/>
                </m:rPr>
                <m:t>{</m:t>
              </m:r>
              <m:r>
                <m:t>j</m:t>
              </m:r>
              <m:r>
                <m:rPr>
                  <m:sty m:val="p"/>
                </m:rPr>
                <m:t>}</m:t>
              </m:r>
            </m:e>
          </m:d>
          <m:r>
            <m:rPr>
              <m:sty m:val="p"/>
            </m:rPr>
            <m:t>−</m:t>
          </m:r>
          <m:r>
            <m:t>f</m:t>
          </m:r>
          <m:d>
            <m:dPr>
              <m:begChr m:val="("/>
              <m:sepChr m:val=""/>
              <m:endChr m:val=")"/>
              <m:grow/>
            </m:dPr>
            <m:e>
              <m:r>
                <m:t>S</m:t>
              </m:r>
            </m:e>
          </m:d>
          <m:r>
            <m:rPr>
              <m:sty m:val="p"/>
            </m:rPr>
            <m:t>≥</m:t>
          </m:r>
          <m:r>
            <m:t>f</m:t>
          </m:r>
          <m:d>
            <m:dPr>
              <m:begChr m:val="("/>
              <m:sepChr m:val=""/>
              <m:endChr m:val=")"/>
              <m:grow/>
            </m:dPr>
            <m:e>
              <m:r>
                <m:t>T</m:t>
              </m:r>
              <m:r>
                <m:rPr>
                  <m:sty m:val="p"/>
                </m:rPr>
                <m:t>∪</m:t>
              </m:r>
              <m:r>
                <m:rPr>
                  <m:sty m:val="p"/>
                </m:rPr>
                <m:t>{</m:t>
              </m:r>
              <m:r>
                <m:t>j</m:t>
              </m:r>
              <m:r>
                <m:rPr>
                  <m:sty m:val="p"/>
                </m:rPr>
                <m:t>}</m:t>
              </m:r>
            </m:e>
          </m:d>
          <m:r>
            <m:rPr>
              <m:sty m:val="p"/>
            </m:rPr>
            <m:t>−</m:t>
          </m:r>
          <m:r>
            <m:t>f</m:t>
          </m:r>
          <m:d>
            <m:dPr>
              <m:begChr m:val="("/>
              <m:sepChr m:val=""/>
              <m:endChr m:val=")"/>
              <m:grow/>
            </m:dPr>
            <m:e>
              <m:r>
                <m:t>T</m:t>
              </m:r>
            </m:e>
          </m:d>
          <m:r>
            <m:t> </m:t>
          </m:r>
          <m:r>
            <m:t> </m:t>
          </m:r>
          <m:r>
            <m:rPr>
              <m:nor/>
            </m:rPr>
            <m:t>for all</m:t>
          </m:r>
          <m:r>
            <m:t> </m:t>
          </m:r>
          <m:r>
            <m:t>S</m:t>
          </m:r>
          <m:r>
            <m:rPr>
              <m:sty m:val="p"/>
            </m:rPr>
            <m:t>⊆</m:t>
          </m:r>
          <m:r>
            <m:t>T</m:t>
          </m:r>
          <m:r>
            <m:rPr>
              <m:sty m:val="p"/>
            </m:rPr>
            <m:t>,</m:t>
          </m:r>
          <m:r>
            <m:t> </m:t>
          </m:r>
          <m:r>
            <m:t>j</m:t>
          </m:r>
          <m:r>
            <m:rPr>
              <m:sty m:val="p"/>
            </m:rPr>
            <m:t>∉</m:t>
          </m:r>
          <m:r>
            <m:t>T</m:t>
          </m:r>
        </m:oMath>
      </m:oMathPara>
    </w:p>
    <w:p>
      <w:pPr>
        <w:spacing w:after="120"/>
        <w:jc w:val="both"/>
      </w:pPr>
      <w:r>
        <w:t xml:space="preserve">When inspecting a source costs money and the reward is the best option found, Weitzman's Pandora's box index rule is optimal [B4]. Both break down when sources are complements: if two holders are worthless alone but valuable together, the greedy rule never starts the pair. In Part II, greedy conditional selection by mutual information builds sparse factors of kernel matrices [S1], a learned Ising distribution over sensor sets captures interactions between sensors [S2], two-sided bounds on mutual information make sequential design cheap when evaluations have different costs [S3], active testing chooses which labels to buy for evaluating a model [S4], Pandora's problem with optional inspection is solved by a polynomial-time approximation scheme [S5], and complementary information sources can trap a community in slow learning [SR1].</w:t>
      </w:r>
    </w:p>
    <w:p>
      <w:pPr>
        <w:pStyle w:val="Heading3"/>
      </w:pPr>
      <w:r>
        <w:rPr>
          <w:color w:val="1F3864"/>
        </w:rPr>
        <w:t xml:space="preserve">1.2 Combining sources that may disagree</w:t>
      </w:r>
    </w:p>
    <w:p>
      <w:pPr>
        <w:spacing w:after="120"/>
        <w:jc w:val="both"/>
      </w:pPr>
      <w:r>
        <w:t xml:space="preserve">Merged sources need not measure the same thing: one may be confounded, another may come from a different population or a different regime. The simplest robust combination shrinks a small unbiased estimate towards a large possibly biased one, with weights chosen from an unbiased estimate of the risk [B9, RR1]:</w:t>
      </w:r>
    </w:p>
    <w:p>
      <w:pPr>
        <w:pStyle w:val="Equation"/>
      </w:pPr>
      <m:oMathPara>
        <m:oMathParaPr>
          <m:jc m:val="center"/>
        </m:oMathParaPr>
        <m:oMath>
          <m:sSub>
            <m:e>
              <m:acc>
                <m:accPr>
                  <m:chr m:val="̂"/>
                </m:accPr>
                <m:e>
                  <m:r>
                    <m:t>τ</m:t>
                  </m:r>
                </m:e>
              </m:acc>
            </m:e>
            <m:sub>
              <m:r>
                <m:t>λ</m:t>
              </m:r>
            </m:sub>
          </m:sSub>
          <m:r>
            <m:rPr>
              <m:sty m:val="p"/>
            </m:rPr>
            <m:t>=</m:t>
          </m:r>
          <m:sSub>
            <m:e>
              <m:acc>
                <m:accPr>
                  <m:chr m:val="̂"/>
                </m:accPr>
                <m:e>
                  <m:r>
                    <m:t>τ</m:t>
                  </m:r>
                </m:e>
              </m:acc>
            </m:e>
            <m:sub>
              <m:r>
                <m:rPr>
                  <m:nor/>
                </m:rPr>
                <m:t>e</m:t>
              </m:r>
            </m:sub>
          </m:sSub>
          <m:r>
            <m:rPr>
              <m:sty m:val="p"/>
            </m:rPr>
            <m:t>+</m:t>
          </m:r>
          <m:r>
            <m:t>λ</m:t>
          </m:r>
          <m:d>
            <m:dPr>
              <m:begChr m:val="("/>
              <m:sepChr m:val=""/>
              <m:endChr m:val=")"/>
              <m:grow/>
            </m:dPr>
            <m:e>
              <m:sSub>
                <m:e>
                  <m:acc>
                    <m:accPr>
                      <m:chr m:val="̂"/>
                    </m:accPr>
                    <m:e>
                      <m:r>
                        <m:t>τ</m:t>
                      </m:r>
                    </m:e>
                  </m:acc>
                </m:e>
                <m:sub>
                  <m:r>
                    <m:rPr>
                      <m:nor/>
                    </m:rPr>
                    <m:t>o</m:t>
                  </m:r>
                </m:sub>
              </m:sSub>
              <m:r>
                <m:rPr>
                  <m:sty m:val="p"/>
                </m:rPr>
                <m:t>−</m:t>
              </m:r>
              <m:sSub>
                <m:e>
                  <m:acc>
                    <m:accPr>
                      <m:chr m:val="̂"/>
                    </m:accPr>
                    <m:e>
                      <m:r>
                        <m:t>τ</m:t>
                      </m:r>
                    </m:e>
                  </m:acc>
                </m:e>
                <m:sub>
                  <m:r>
                    <m:rPr>
                      <m:nor/>
                    </m:rPr>
                    <m:t>e</m:t>
                  </m:r>
                </m:sub>
              </m:sSub>
            </m:e>
          </m:d>
          <m:r>
            <m:rPr>
              <m:sty m:val="p"/>
            </m:rPr>
            <m:t>,</m:t>
          </m:r>
          <m:r>
            <m:t>  </m:t>
          </m:r>
          <m:r>
            <m:rPr>
              <m:scr m:val="double-struck"/>
              <m:sty m:val="p"/>
            </m:rPr>
            <m:t>E</m:t>
          </m:r>
          <m:d>
            <m:dPr>
              <m:begChr m:val="["/>
              <m:sepChr m:val=""/>
              <m:endChr m:val="]"/>
              <m:grow/>
            </m:dPr>
            <m:e>
              <m:sSup>
                <m:e>
                  <m:d>
                    <m:dPr>
                      <m:begChr m:val="("/>
                      <m:sepChr m:val=""/>
                      <m:endChr m:val=")"/>
                      <m:grow/>
                    </m:dPr>
                    <m:e>
                      <m:sSub>
                        <m:e>
                          <m:acc>
                            <m:accPr>
                              <m:chr m:val="̂"/>
                            </m:accPr>
                            <m:e>
                              <m:r>
                                <m:t>τ</m:t>
                              </m:r>
                            </m:e>
                          </m:acc>
                        </m:e>
                        <m:sub>
                          <m:r>
                            <m:t>λ</m:t>
                          </m:r>
                        </m:sub>
                      </m:sSub>
                      <m:r>
                        <m:rPr>
                          <m:sty m:val="p"/>
                        </m:rPr>
                        <m:t>−</m:t>
                      </m:r>
                      <m:r>
                        <m:t>τ</m:t>
                      </m:r>
                    </m:e>
                  </m:d>
                </m:e>
                <m:sup>
                  <m:r>
                    <m:t>2</m:t>
                  </m:r>
                </m:sup>
              </m:sSup>
            </m:e>
          </m:d>
          <m:r>
            <m:rPr>
              <m:sty m:val="p"/>
            </m:rPr>
            <m:t>=</m:t>
          </m:r>
          <m:sSup>
            <m:e>
              <m:d>
                <m:dPr>
                  <m:begChr m:val="("/>
                  <m:sepChr m:val=""/>
                  <m:endChr m:val=")"/>
                  <m:grow/>
                </m:dPr>
                <m:e>
                  <m:r>
                    <m:t>1</m:t>
                  </m:r>
                  <m:r>
                    <m:rPr>
                      <m:sty m:val="p"/>
                    </m:rPr>
                    <m:t>−</m:t>
                  </m:r>
                  <m:r>
                    <m:t>λ</m:t>
                  </m:r>
                </m:e>
              </m:d>
            </m:e>
            <m:sup>
              <m:r>
                <m:t>2</m:t>
              </m:r>
            </m:sup>
          </m:sSup>
          <m:sSubSup>
            <m:e>
              <m:r>
                <m:t>σ</m:t>
              </m:r>
            </m:e>
            <m:sub>
              <m:r>
                <m:rPr>
                  <m:nor/>
                </m:rPr>
                <m:t>e</m:t>
              </m:r>
            </m:sub>
            <m:sup>
              <m:r>
                <m:t>2</m:t>
              </m:r>
            </m:sup>
          </m:sSubSup>
          <m:r>
            <m:rPr>
              <m:sty m:val="p"/>
            </m:rPr>
            <m:t>+</m:t>
          </m:r>
          <m:sSup>
            <m:e>
              <m:r>
                <m:t>λ</m:t>
              </m:r>
            </m:e>
            <m:sup>
              <m:r>
                <m:t>2</m:t>
              </m:r>
            </m:sup>
          </m:sSup>
          <m:d>
            <m:dPr>
              <m:begChr m:val="("/>
              <m:sepChr m:val=""/>
              <m:endChr m:val=")"/>
              <m:grow/>
            </m:dPr>
            <m:e>
              <m:sSubSup>
                <m:e>
                  <m:r>
                    <m:t>σ</m:t>
                  </m:r>
                </m:e>
                <m:sub>
                  <m:r>
                    <m:rPr>
                      <m:nor/>
                    </m:rPr>
                    <m:t>o</m:t>
                  </m:r>
                </m:sub>
                <m:sup>
                  <m:r>
                    <m:t>2</m:t>
                  </m:r>
                </m:sup>
              </m:sSubSup>
              <m:r>
                <m:rPr>
                  <m:sty m:val="p"/>
                </m:rPr>
                <m:t>+</m:t>
              </m:r>
              <m:sSup>
                <m:e>
                  <m:r>
                    <m:t>b</m:t>
                  </m:r>
                </m:e>
                <m:sup>
                  <m:r>
                    <m:t>2</m:t>
                  </m:r>
                </m:sup>
              </m:sSup>
            </m:e>
          </m:d>
          <m:r>
            <m:t> </m:t>
          </m:r>
          <m:d>
            <m:dPr>
              <m:begChr m:val="("/>
              <m:sepChr m:val=""/>
              <m:endChr m:val=")"/>
              <m:grow/>
            </m:dPr>
            <m:e>
              <m:r>
                <m:rPr>
                  <m:nor/>
                </m:rPr>
                <m:t>independent sources</m:t>
              </m:r>
            </m:e>
          </m:d>
        </m:oMath>
      </m:oMathPara>
    </w:p>
    <w:p>
      <w:pPr>
        <w:spacing w:after="120"/>
        <w:jc w:val="both"/>
      </w:pPr>
      <w:r>
        <w:t xml:space="preserve">with </w:t>
      </w:r>
      <m:oMath>
        <m:r>
          <m:t>b</m:t>
        </m:r>
      </m:oMath>
      <w:r>
        <w:t xml:space="preserve"> the bias of the large source; the best </w:t>
      </w:r>
      <m:oMath>
        <m:r>
          <m:t>λ</m:t>
        </m:r>
      </m:oMath>
      <w:r>
        <w:t xml:space="preserve"> falls to zero as </w:t>
      </w:r>
      <m:oMath>
        <m:r>
          <m:t>b</m:t>
        </m:r>
      </m:oMath>
      <w:r>
        <w:t xml:space="preserve"> grows. In Part II, surrogate outcomes join a short experiment to long observational follow-up with semiparametric efficiency [R1], outcomes already observed in a target population sharpen the generalisation of an experiment [R2], trial-based validation effects falsify observational studies before they are used to extrapolate [R3], an ambiguity level measures when transfer from a source helps or harms with minimax rates [R4], a causal model of who gets tested debiases mass-testing data with a small random survey [R5], and generalisation bounds link the error of estimated effects to the distance between treated and control populations [RR2]. For well records the lesson is that a holder who observes only one pumping regime, or whose wells sit in a different hydrochemical setting, can mislead as well as inform.</w:t>
      </w:r>
    </w:p>
    <w:p>
      <w:pPr>
        <w:pStyle w:val="Heading3"/>
      </w:pPr>
      <w:r>
        <w:rPr>
          <w:color w:val="1F3864"/>
        </w:rPr>
        <w:t xml:space="preserve">1.3 Private computation: what composition costs and what post-processing saves</w:t>
      </w:r>
    </w:p>
    <w:p>
      <w:pPr>
        <w:spacing w:after="120"/>
        <w:jc w:val="both"/>
      </w:pPr>
      <w:r>
        <w:t xml:space="preserve">Differential privacy has two rules that decide how expensive a coalition analysis is [B8]. Post-processing is free: any function of an </w:t>
      </w:r>
      <m:oMath>
        <m:d>
          <m:dPr>
            <m:begChr m:val="("/>
            <m:sepChr m:val=""/>
            <m:endChr m:val=")"/>
            <m:grow/>
          </m:dPr>
          <m:e>
            <m:r>
              <m:t>ε</m:t>
            </m:r>
            <m:r>
              <m:rPr>
                <m:sty m:val="p"/>
              </m:rPr>
              <m:t>,</m:t>
            </m:r>
            <m:r>
              <m:t>δ</m:t>
            </m:r>
          </m:e>
        </m:d>
      </m:oMath>
      <w:r>
        <w:t xml:space="preserve">-private output is private with the same parameters. Composition is not: releasing </w:t>
      </w:r>
      <m:oMath>
        <m:r>
          <m:t>k</m:t>
        </m:r>
      </m:oMath>
      <w:r>
        <w:t xml:space="preserve"> statistics that each use the same record costs, in the simplest bound, </w:t>
      </w:r>
      <m:oMath>
        <m:r>
          <m:t>k</m:t>
        </m:r>
      </m:oMath>
      <w:r>
        <w:t xml:space="preserve"> times the budget, and the Gaussian mechanism adds noise in proportion to the joint </w:t>
      </w:r>
      <m:oMath>
        <m:sSub>
          <m:e>
            <m:r>
              <m:rPr>
                <m:sty m:val="p"/>
              </m:rPr>
              <m:t>ℓ</m:t>
            </m:r>
          </m:e>
          <m:sub>
            <m:r>
              <m:t>2</m:t>
            </m:r>
          </m:sub>
        </m:sSub>
      </m:oMath>
      <w:r>
        <w:t xml:space="preserve"> sensitivity:</w:t>
      </w:r>
    </w:p>
    <w:p>
      <w:pPr>
        <w:pStyle w:val="Equation"/>
      </w:pPr>
      <m:oMathPara>
        <m:oMathParaPr>
          <m:jc m:val="center"/>
        </m:oMathParaPr>
        <m:oMath>
          <m:r>
            <m:t>M</m:t>
          </m:r>
          <m:d>
            <m:dPr>
              <m:begChr m:val="("/>
              <m:sepChr m:val=""/>
              <m:endChr m:val=")"/>
              <m:grow/>
            </m:dPr>
            <m:e>
              <m:r>
                <m:rPr>
                  <m:scr m:val="script"/>
                  <m:sty m:val="p"/>
                </m:rPr>
                <m:t>D</m:t>
              </m:r>
            </m:e>
          </m:d>
          <m:r>
            <m:t> </m:t>
          </m:r>
          <m:r>
            <m:rPr>
              <m:nor/>
            </m:rPr>
            <m:t>is</m:t>
          </m:r>
          <m:r>
            <m:t> </m:t>
          </m:r>
          <m:d>
            <m:dPr>
              <m:begChr m:val="("/>
              <m:sepChr m:val=""/>
              <m:endChr m:val=")"/>
              <m:grow/>
            </m:dPr>
            <m:e>
              <m:r>
                <m:t>ε</m:t>
              </m:r>
              <m:r>
                <m:rPr>
                  <m:sty m:val="p"/>
                </m:rPr>
                <m:t>,</m:t>
              </m:r>
              <m:r>
                <m:t>δ</m:t>
              </m:r>
            </m:e>
          </m:d>
          <m:r>
            <m:rPr>
              <m:nor/>
            </m:rPr>
            <m:t>-DP</m:t>
          </m:r>
          <m:r>
            <m:t> </m:t>
          </m:r>
          <m:r>
            <m:rPr>
              <m:sty m:val="p"/>
            </m:rPr>
            <m:t>⇒</m:t>
          </m:r>
          <m:r>
            <m:t> </m:t>
          </m:r>
          <m:r>
            <m:t>g</m:t>
          </m:r>
          <m:d>
            <m:dPr>
              <m:begChr m:val="("/>
              <m:sepChr m:val=""/>
              <m:endChr m:val=")"/>
              <m:grow/>
            </m:dPr>
            <m:e>
              <m:r>
                <m:t>M</m:t>
              </m:r>
              <m:d>
                <m:dPr>
                  <m:begChr m:val="("/>
                  <m:sepChr m:val=""/>
                  <m:endChr m:val=")"/>
                  <m:grow/>
                </m:dPr>
                <m:e>
                  <m:r>
                    <m:rPr>
                      <m:scr m:val="script"/>
                      <m:sty m:val="p"/>
                    </m:rPr>
                    <m:t>D</m:t>
                  </m:r>
                </m:e>
              </m:d>
            </m:e>
          </m:d>
          <m:r>
            <m:t> </m:t>
          </m:r>
          <m:r>
            <m:rPr>
              <m:nor/>
            </m:rPr>
            <m:t>is</m:t>
          </m:r>
          <m:r>
            <m:t> </m:t>
          </m:r>
          <m:d>
            <m:dPr>
              <m:begChr m:val="("/>
              <m:sepChr m:val=""/>
              <m:endChr m:val=")"/>
              <m:grow/>
            </m:dPr>
            <m:e>
              <m:r>
                <m:t>ε</m:t>
              </m:r>
              <m:r>
                <m:rPr>
                  <m:sty m:val="p"/>
                </m:rPr>
                <m:t>,</m:t>
              </m:r>
              <m:r>
                <m:t>δ</m:t>
              </m:r>
            </m:e>
          </m:d>
          <m:r>
            <m:rPr>
              <m:nor/>
            </m:rPr>
            <m:t>-DP</m:t>
          </m:r>
          <m:r>
            <m:rPr>
              <m:sty m:val="p"/>
            </m:rPr>
            <m:t>;</m:t>
          </m:r>
          <m:r>
            <m:t>  </m:t>
          </m:r>
          <m:d>
            <m:dPr>
              <m:begChr m:val="("/>
              <m:sepChr m:val=""/>
              <m:endChr m:val=")"/>
              <m:grow/>
            </m:dPr>
            <m:e>
              <m:sSub>
                <m:e>
                  <m:r>
                    <m:t>M</m:t>
                  </m:r>
                </m:e>
                <m:sub>
                  <m:r>
                    <m:t>1</m:t>
                  </m:r>
                </m:sub>
              </m:sSub>
              <m:r>
                <m:rPr>
                  <m:sty m:val="p"/>
                </m:rPr>
                <m:t>,</m:t>
              </m:r>
              <m:r>
                <m:rPr>
                  <m:sty m:val="p"/>
                </m:rPr>
                <m:t>…</m:t>
              </m:r>
              <m:r>
                <m:rPr>
                  <m:sty m:val="p"/>
                </m:rPr>
                <m:t>,</m:t>
              </m:r>
              <m:sSub>
                <m:e>
                  <m:r>
                    <m:t>M</m:t>
                  </m:r>
                </m:e>
                <m:sub>
                  <m:r>
                    <m:t>k</m:t>
                  </m:r>
                </m:sub>
              </m:sSub>
            </m:e>
          </m:d>
          <m:r>
            <m:t> </m:t>
          </m:r>
          <m:r>
            <m:rPr>
              <m:nor/>
            </m:rPr>
            <m:t>is</m:t>
          </m:r>
          <m:r>
            <m:t> </m:t>
          </m:r>
          <m:d>
            <m:dPr>
              <m:begChr m:val="("/>
              <m:sepChr m:val=""/>
              <m:endChr m:val=")"/>
              <m:grow/>
            </m:dPr>
            <m:e>
              <m:nary>
                <m:naryPr>
                  <m:chr m:val="∑"/>
                  <m:limLoc m:val="undOvr"/>
                  <m:subHide m:val="off"/>
                  <m:supHide m:val="on"/>
                </m:naryPr>
                <m:sub>
                  <m:r>
                    <m:t>i</m:t>
                  </m:r>
                </m:sub>
                <m:sup>
                  <m:r>
                    <m:t>​</m:t>
                  </m:r>
                </m:sup>
                <m:e>
                  <m:sSub>
                    <m:e>
                      <m:r>
                        <m:t>ε</m:t>
                      </m:r>
                    </m:e>
                    <m:sub>
                      <m:r>
                        <m:t>i</m:t>
                      </m:r>
                    </m:sub>
                  </m:sSub>
                </m:e>
              </m:nary>
              <m:r>
                <m:rPr>
                  <m:sty m:val="p"/>
                </m:rPr>
                <m:t>,</m:t>
              </m:r>
              <m:r>
                <m:t> </m:t>
              </m:r>
              <m:nary>
                <m:naryPr>
                  <m:chr m:val="∑"/>
                  <m:limLoc m:val="undOvr"/>
                  <m:subHide m:val="off"/>
                  <m:supHide m:val="on"/>
                </m:naryPr>
                <m:sub>
                  <m:r>
                    <m:t>i</m:t>
                  </m:r>
                </m:sub>
                <m:sup>
                  <m:r>
                    <m:t>​</m:t>
                  </m:r>
                </m:sup>
                <m:e>
                  <m:sSub>
                    <m:e>
                      <m:r>
                        <m:t>δ</m:t>
                      </m:r>
                    </m:e>
                    <m:sub>
                      <m:r>
                        <m:t>i</m:t>
                      </m:r>
                    </m:sub>
                  </m:sSub>
                </m:e>
              </m:nary>
            </m:e>
          </m:d>
          <m:r>
            <m:rPr>
              <m:nor/>
            </m:rPr>
            <m:t>-DP</m:t>
          </m:r>
        </m:oMath>
      </m:oMathPara>
    </w:p>
    <w:p>
      <w:pPr>
        <w:spacing w:after="120"/>
        <w:jc w:val="both"/>
      </w:pPr>
      <w:r>
        <w:t xml:space="preserve">A coalition analysis of </w:t>
      </w:r>
      <m:oMath>
        <m:r>
          <m:t>m</m:t>
        </m:r>
      </m:oMath>
      <w:r>
        <w:t xml:space="preserve"> holders values </w:t>
      </w:r>
      <m:oMath>
        <m:sSup>
          <m:e>
            <m:r>
              <m:t>2</m:t>
            </m:r>
          </m:e>
          <m:sup>
            <m:r>
              <m:t>m</m:t>
            </m:r>
          </m:sup>
        </m:sSup>
        <m:r>
          <m:rPr>
            <m:sty m:val="p"/>
          </m:rPr>
          <m:t>−</m:t>
        </m:r>
        <m:r>
          <m:t>1</m:t>
        </m:r>
      </m:oMath>
      <w:r>
        <w:t xml:space="preserve"> coalitions, and each record enters </w:t>
      </w:r>
      <m:oMath>
        <m:sSup>
          <m:e>
            <m:r>
              <m:t>2</m:t>
            </m:r>
          </m:e>
          <m:sup>
            <m:r>
              <m:t>m</m:t>
            </m:r>
            <m:r>
              <m:rPr>
                <m:sty m:val="p"/>
              </m:rPr>
              <m:t>−</m:t>
            </m:r>
            <m:r>
              <m:t>1</m:t>
            </m:r>
          </m:sup>
        </m:sSup>
      </m:oMath>
      <w:r>
        <w:t xml:space="preserve"> of them, so privatising coalition values one by one is costly, while privatising each holder's summary once and computing every coalition from the noisy summaries is post-processing. In Part II, private hypothesis tests for linear regression keep power with a small privacy cost [C1], private least squares can avoid the error that perturbing sufficient statistics incurs when the design is ill-conditioned [C2], one draw from a β-divergence generalised posterior gives private Bayesian inference with bounded sensitivity [C3], randomised accounting makes composed guarantees tight [C4], noise before aggregation makes federated learning private with a characterised accuracy cost [C5], false discovery rates can be controlled privately [CR1], and multiparty homomorphic encryption runs federated analytics without exposing intermediate results [CR2].</w:t>
      </w:r>
    </w:p>
    <w:p>
      <w:pPr>
        <w:pStyle w:val="Heading3"/>
      </w:pPr>
      <w:r>
        <w:rPr>
          <w:color w:val="1F3864"/>
        </w:rPr>
        <w:t xml:space="preserve">1.4 Cooperative games: who deserves what</w:t>
      </w:r>
    </w:p>
    <w:p>
      <w:pPr>
        <w:spacing w:after="120"/>
        <w:jc w:val="both"/>
      </w:pPr>
      <w:r>
        <w:t xml:space="preserve">If </w:t>
      </w:r>
      <m:oMath>
        <m:r>
          <m:t>v</m:t>
        </m:r>
        <m:d>
          <m:dPr>
            <m:begChr m:val="("/>
            <m:sepChr m:val=""/>
            <m:endChr m:val=")"/>
            <m:grow/>
          </m:dPr>
          <m:e>
            <m:r>
              <m:t>S</m:t>
            </m:r>
          </m:e>
        </m:d>
      </m:oMath>
      <w:r>
        <w:t xml:space="preserve"> is the value a coalition </w:t>
      </w:r>
      <m:oMath>
        <m:r>
          <m:t>S</m:t>
        </m:r>
      </m:oMath>
      <w:r>
        <w:t xml:space="preserve"> of holders creates, the Shapley value pays each holder its average marginal contribution over all orders of arrival [B5], and the Banzhaf value its average over all coalitions with equal weight [B7]:</w:t>
      </w:r>
    </w:p>
    <w:p>
      <w:pPr>
        <w:pStyle w:val="Equation"/>
      </w:pPr>
      <m:oMathPara>
        <m:oMathParaPr>
          <m:jc m:val="center"/>
        </m:oMathParaPr>
        <m:oMath>
          <m:sSub>
            <m:e>
              <m:r>
                <m:t>ϕ</m:t>
              </m:r>
            </m:e>
            <m:sub>
              <m:r>
                <m:t>k</m:t>
              </m:r>
            </m:sub>
          </m:sSub>
          <m:d>
            <m:dPr>
              <m:begChr m:val="("/>
              <m:sepChr m:val=""/>
              <m:endChr m:val=")"/>
              <m:grow/>
            </m:dPr>
            <m:e>
              <m:r>
                <m:t>v</m:t>
              </m:r>
            </m:e>
          </m:d>
          <m:r>
            <m:rPr>
              <m:sty m:val="p"/>
            </m:rPr>
            <m:t>=</m:t>
          </m:r>
          <m:nary>
            <m:naryPr>
              <m:chr m:val="∑"/>
              <m:limLoc m:val="undOvr"/>
              <m:subHide m:val="off"/>
              <m:supHide m:val="on"/>
            </m:naryPr>
            <m:sub>
              <m:r>
                <m:t>S</m:t>
              </m:r>
              <m:r>
                <m:rPr>
                  <m:sty m:val="p"/>
                </m:rPr>
                <m:t>⊆</m:t>
              </m:r>
              <m:r>
                <m:t>N</m:t>
              </m:r>
              <m:r>
                <m:rPr>
                  <m:sty m:val="p"/>
                </m:rPr>
                <m:t>∖</m:t>
              </m:r>
              <m:r>
                <m:rPr>
                  <m:sty m:val="p"/>
                </m:rPr>
                <m:t>{</m:t>
              </m:r>
              <m:r>
                <m:t>k</m:t>
              </m:r>
              <m:r>
                <m:rPr>
                  <m:sty m:val="p"/>
                </m:rPr>
                <m:t>}</m:t>
              </m:r>
            </m:sub>
            <m:sup>
              <m:r>
                <m:t>​</m:t>
              </m:r>
            </m:sup>
            <m:e>
              <m:f>
                <m:fPr>
                  <m:type m:val="bar"/>
                </m:fPr>
                <m:num>
                  <m:d>
                    <m:dPr>
                      <m:begChr m:val="|"/>
                      <m:sepChr m:val=""/>
                      <m:endChr m:val="|"/>
                      <m:grow/>
                    </m:dPr>
                    <m:e>
                      <m:r>
                        <m:t>S</m:t>
                      </m:r>
                    </m:e>
                  </m:d>
                  <m:r>
                    <m:rPr>
                      <m:sty m:val="p"/>
                    </m:rPr>
                    <m:t>!</m:t>
                  </m:r>
                  <m:r>
                    <m:t> </m:t>
                  </m:r>
                  <m:d>
                    <m:dPr>
                      <m:begChr m:val="("/>
                      <m:sepChr m:val=""/>
                      <m:endChr m:val=")"/>
                      <m:grow/>
                    </m:dPr>
                    <m:e>
                      <m:r>
                        <m:t>n</m:t>
                      </m:r>
                      <m:r>
                        <m:rPr>
                          <m:sty m:val="p"/>
                        </m:rPr>
                        <m:t>−</m:t>
                      </m:r>
                      <m:d>
                        <m:dPr>
                          <m:begChr m:val="|"/>
                          <m:sepChr m:val=""/>
                          <m:endChr m:val="|"/>
                          <m:grow/>
                        </m:dPr>
                        <m:e>
                          <m:r>
                            <m:t>S</m:t>
                          </m:r>
                        </m:e>
                      </m:d>
                      <m:r>
                        <m:rPr>
                          <m:sty m:val="p"/>
                        </m:rPr>
                        <m:t>−</m:t>
                      </m:r>
                      <m:r>
                        <m:t>1</m:t>
                      </m:r>
                    </m:e>
                  </m:d>
                  <m:r>
                    <m:rPr>
                      <m:sty m:val="p"/>
                    </m:rPr>
                    <m:t>!</m:t>
                  </m:r>
                </m:num>
                <m:den>
                  <m:r>
                    <m:t>n</m:t>
                  </m:r>
                  <m:r>
                    <m:rPr>
                      <m:sty m:val="p"/>
                    </m:rPr>
                    <m:t>!</m:t>
                  </m:r>
                </m:den>
              </m:f>
            </m:e>
          </m:nary>
          <m:d>
            <m:dPr>
              <m:begChr m:val="["/>
              <m:sepChr m:val=""/>
              <m:endChr m:val="]"/>
              <m:grow/>
            </m:dPr>
            <m:e>
              <m:r>
                <m:t>v</m:t>
              </m:r>
              <m:d>
                <m:dPr>
                  <m:begChr m:val="("/>
                  <m:sepChr m:val=""/>
                  <m:endChr m:val=")"/>
                  <m:grow/>
                </m:dPr>
                <m:e>
                  <m:r>
                    <m:t>S</m:t>
                  </m:r>
                  <m:r>
                    <m:rPr>
                      <m:sty m:val="p"/>
                    </m:rPr>
                    <m:t>∪</m:t>
                  </m:r>
                  <m:r>
                    <m:rPr>
                      <m:sty m:val="p"/>
                    </m:rPr>
                    <m:t>{</m:t>
                  </m:r>
                  <m:r>
                    <m:t>k</m:t>
                  </m:r>
                  <m:r>
                    <m:rPr>
                      <m:sty m:val="p"/>
                    </m:rPr>
                    <m:t>}</m:t>
                  </m:r>
                </m:e>
              </m:d>
              <m:r>
                <m:rPr>
                  <m:sty m:val="p"/>
                </m:rPr>
                <m:t>−</m:t>
              </m:r>
              <m:r>
                <m:t>v</m:t>
              </m:r>
              <m:d>
                <m:dPr>
                  <m:begChr m:val="("/>
                  <m:sepChr m:val=""/>
                  <m:endChr m:val=")"/>
                  <m:grow/>
                </m:dPr>
                <m:e>
                  <m:r>
                    <m:t>S</m:t>
                  </m:r>
                </m:e>
              </m:d>
            </m:e>
          </m:d>
          <m:r>
            <m:rPr>
              <m:sty m:val="p"/>
            </m:rPr>
            <m:t>,</m:t>
          </m:r>
          <m:r>
            <m:t>  </m:t>
          </m:r>
          <m:sSub>
            <m:e>
              <m:r>
                <m:t>β</m:t>
              </m:r>
            </m:e>
            <m:sub>
              <m:r>
                <m:t>k</m:t>
              </m:r>
            </m:sub>
          </m:sSub>
          <m:d>
            <m:dPr>
              <m:begChr m:val="("/>
              <m:sepChr m:val=""/>
              <m:endChr m:val=")"/>
              <m:grow/>
            </m:dPr>
            <m:e>
              <m:r>
                <m:t>v</m:t>
              </m:r>
            </m:e>
          </m:d>
          <m:r>
            <m:rPr>
              <m:sty m:val="p"/>
            </m:rPr>
            <m:t>=</m:t>
          </m:r>
          <m:f>
            <m:fPr>
              <m:type m:val="bar"/>
            </m:fPr>
            <m:num>
              <m:r>
                <m:t>1</m:t>
              </m:r>
            </m:num>
            <m:den>
              <m:sSup>
                <m:e>
                  <m:r>
                    <m:t>2</m:t>
                  </m:r>
                </m:e>
                <m:sup>
                  <m:r>
                    <m:t>n</m:t>
                  </m:r>
                  <m:r>
                    <m:rPr>
                      <m:sty m:val="p"/>
                    </m:rPr>
                    <m:t>−</m:t>
                  </m:r>
                  <m:r>
                    <m:t>1</m:t>
                  </m:r>
                </m:sup>
              </m:sSup>
            </m:den>
          </m:f>
          <m:nary>
            <m:naryPr>
              <m:chr m:val="∑"/>
              <m:limLoc m:val="undOvr"/>
              <m:subHide m:val="off"/>
              <m:supHide m:val="on"/>
            </m:naryPr>
            <m:sub>
              <m:r>
                <m:t>S</m:t>
              </m:r>
              <m:r>
                <m:rPr>
                  <m:sty m:val="p"/>
                </m:rPr>
                <m:t>⊆</m:t>
              </m:r>
              <m:r>
                <m:t>N</m:t>
              </m:r>
              <m:r>
                <m:rPr>
                  <m:sty m:val="p"/>
                </m:rPr>
                <m:t>∖</m:t>
              </m:r>
              <m:r>
                <m:rPr>
                  <m:sty m:val="p"/>
                </m:rPr>
                <m:t>{</m:t>
              </m:r>
              <m:r>
                <m:t>k</m:t>
              </m:r>
              <m:r>
                <m:rPr>
                  <m:sty m:val="p"/>
                </m:rPr>
                <m:t>}</m:t>
              </m:r>
            </m:sub>
            <m:sup>
              <m:r>
                <m:t>​</m:t>
              </m:r>
            </m:sup>
            <m:e>
              <m:d>
                <m:dPr>
                  <m:begChr m:val="["/>
                  <m:sepChr m:val=""/>
                  <m:endChr m:val="]"/>
                  <m:grow/>
                </m:dPr>
                <m:e>
                  <m:r>
                    <m:t>v</m:t>
                  </m:r>
                  <m:d>
                    <m:dPr>
                      <m:begChr m:val="("/>
                      <m:sepChr m:val=""/>
                      <m:endChr m:val=")"/>
                      <m:grow/>
                    </m:dPr>
                    <m:e>
                      <m:r>
                        <m:t>S</m:t>
                      </m:r>
                      <m:r>
                        <m:rPr>
                          <m:sty m:val="p"/>
                        </m:rPr>
                        <m:t>∪</m:t>
                      </m:r>
                      <m:r>
                        <m:rPr>
                          <m:sty m:val="p"/>
                        </m:rPr>
                        <m:t>{</m:t>
                      </m:r>
                      <m:r>
                        <m:t>k</m:t>
                      </m:r>
                      <m:r>
                        <m:rPr>
                          <m:sty m:val="p"/>
                        </m:rPr>
                        <m:t>}</m:t>
                      </m:r>
                    </m:e>
                  </m:d>
                  <m:r>
                    <m:rPr>
                      <m:sty m:val="p"/>
                    </m:rPr>
                    <m:t>−</m:t>
                  </m:r>
                  <m:r>
                    <m:t>v</m:t>
                  </m:r>
                  <m:d>
                    <m:dPr>
                      <m:begChr m:val="("/>
                      <m:sepChr m:val=""/>
                      <m:endChr m:val=")"/>
                      <m:grow/>
                    </m:dPr>
                    <m:e>
                      <m:r>
                        <m:t>S</m:t>
                      </m:r>
                    </m:e>
                  </m:d>
                </m:e>
              </m:d>
            </m:e>
          </m:nary>
        </m:oMath>
      </m:oMathPara>
    </w:p>
    <w:p>
      <w:pPr>
        <w:spacing w:after="120"/>
        <w:jc w:val="both"/>
      </w:pPr>
      <w:r>
        <w:t xml:space="preserve">The Shapley value is the only allocation that is efficient, symmetric, additive and gives nothing to a holder who adds nothing [B5]; when the game is convex (supermodular), it lies in the core, so no group of players would rather leave [B6]. Data games are rarely that simple. In Part II, selecting data by Shapley values is shown to be no better than random unless the utility has the right structure [G1], data auctions must account for buyers who lose when rivals also buy [G2], collectives can steer what a platform learns by coordinating their data [G3], who leads and who follows depends on how fast each side updates [G4], learning when agents misreport within a radius has a characterised Stackelberg regret [G5], social data lower what each person is paid because others' data reveal theirs [GR1], and data-market menus can be learned with deep networks [GR2].</w:t>
      </w:r>
    </w:p>
    <w:p>
      <w:pPr>
        <w:pStyle w:val="Heading3"/>
      </w:pPr>
      <w:r>
        <w:rPr>
          <w:color w:val="1F3864"/>
        </w:rPr>
        <w:t xml:space="preserve">1.5 What is open for the Fushë-Kuqe well-record holders</w:t>
      </w:r>
    </w:p>
    <w:p>
      <w:pPr>
        <w:spacing w:after="120"/>
        <w:jc w:val="both"/>
      </w:pPr>
      <w:r>
        <w:t xml:space="preserve">Four questions remain. Is the decision value of merging well records submodular, so that greedy merging is enough, or are there complementary holders whose value appears only together? Does an adaptive policy, which merges, updates and re-values the rest, beat choosing the coalition in advance once merges cost something? How should the gain be shared among holders, and is the sharing stable? And can every coalition be valued privately without paying for each one? Section 9 (KOALICIONI-GO) answers them for Fushë-Kuqe with the physics-informed model of review 55 and with a local statistical model without the groundwater physics.</w:t>
      </w:r>
    </w:p>
    <w:p>
      <w:pPr>
        <w:spacing w:after="200"/>
      </w:pPr>
    </w:p>
    <w:p>
      <w:pPr>
        <w:pStyle w:val="Heading1"/>
      </w:pPr>
      <w:r>
        <w:rPr>
          <w:color w:val="1F3864"/>
        </w:rPr>
        <w:t xml:space="preserve">2. Search methodology</w:t>
      </w:r>
    </w:p>
    <w:p>
      <w:pPr>
        <w:pStyle w:val="ListParagraph"/>
        <w:numPr>
          <w:ilvl w:val="0"/>
          <w:numId w:val="2"/>
        </w:numPr>
        <w:spacing w:after="60"/>
        <w:jc w:val="both"/>
      </w:pPr>
      <w:r>
        <w:rPr>
          <w:b/>
          <w:bCs/>
        </w:rPr>
        <w:t xml:space="preserve">Request and themes:</w:t>
      </w:r>
      <w:r>
        <w:t xml:space="preserve"> 20 more papers of 2020–2026 from Oxford, Caltech, MIT, Princeton and Harvard on the topic of the Oxford paper "Is merging worth it?" [B1], in four themes new to this series: sequential and adaptive data acquisition (S), robustly combining data sources for causal inference (R), privacy-preserving computation for statistical and causal inference (C) and incentives, cooperative games and collaborative learning (G); five papers per theme and two reserves each. Every paper has at least one author at one of the five institutions at the time of the work, confirmed from a search result (3 cards name Oxford, 4 Caltech, 4 MIT, 5 Princeton and 5 Harvard).</w:t>
      </w:r>
    </w:p>
    <w:p>
      <w:pPr>
        <w:pStyle w:val="ListParagraph"/>
        <w:numPr>
          <w:ilvl w:val="0"/>
          <w:numId w:val="2"/>
        </w:numPr>
        <w:spacing w:after="60"/>
        <w:jc w:val="both"/>
      </w:pPr>
      <w:r>
        <w:rPr>
          <w:b/>
          <w:bCs/>
        </w:rPr>
        <w:t xml:space="preserve">What "best" means, in this order:</w:t>
      </w:r>
      <w:r>
        <w:t xml:space="preserve"> mathematical depth (approximation guarantees, minimax and efficiency results, privacy guarantees with utility bounds, regret bounds, with proofs); recognition (Annals of Statistics, SIAM/ASA Journal on Uncertainty Quantification, Journal of Econometrics, JMLR, Games and Economic Behavior, STOC, COLT, main-track NeurIPS and ICML); and usefulness for a coalition of well-record holders.</w:t>
      </w:r>
    </w:p>
    <w:p>
      <w:pPr>
        <w:pStyle w:val="ListParagraph"/>
        <w:numPr>
          <w:ilvl w:val="0"/>
          <w:numId w:val="2"/>
        </w:numPr>
        <w:spacing w:after="60"/>
        <w:jc w:val="both"/>
      </w:pPr>
      <w:r>
        <w:rPr>
          <w:b/>
          <w:bCs/>
        </w:rPr>
        <w:t xml:space="preserve">No repetition, peer review, verification:</w:t>
      </w:r>
      <w:r>
        <w:t xml:space="preserve"> every candidate was checked against the 1,170 papers already reviewed as cards in the series (including the 30 of review 55), the 1,247 DOIs of earlier documents and the classical references cited earlier; preprints were not eligible. Four agents searched the four themes in parallel (at most 30 searches each), each told the others' themes, and no paper was found twice. Sources were publisher and proceedings pages, institutional repositories (CaltechAUTHORS, Harvard and Princeton portals, Oxford ORA) and arXiv author blocks seen through search summaries; no full text was read, so key equations are </w:t>
      </w:r>
      <w:r>
        <w:rPr>
          <w:i/>
          <w:iCs/>
        </w:rPr>
        <w:t xml:space="preserve">representative formulations</w:t>
      </w:r>
      <w:r>
        <w:t xml:space="preserve"> unless a card says otherwise, and unverified fields are marked "(not verified)". ★ rates mathematical depth (★★★★★ new theorems with research-level proofs; ★★ a method or a system whose analysis is mainly empirical).</w:t>
      </w:r>
    </w:p>
    <w:p>
      <w:pPr>
        <w:pStyle w:val="ListParagraph"/>
        <w:numPr>
          <w:ilvl w:val="0"/>
          <w:numId w:val="2"/>
        </w:numPr>
        <w:spacing w:after="60"/>
        <w:jc w:val="both"/>
      </w:pPr>
      <w:r>
        <w:rPr>
          <w:b/>
          <w:bCs/>
        </w:rPr>
        <w:t xml:space="preserve">Recency:</w:t>
      </w:r>
      <w:r>
        <w:t xml:space="preserve"> four from 2020, two from 2021, two from 2022, seven from 2023, three from 2024, and two from 2025; twelve of the 20 are from 2023 or later.</w:t>
      </w:r>
    </w:p>
    <w:p>
      <w:pPr>
        <w:pStyle w:val="Heading1"/>
      </w:pPr>
      <w:r>
        <w:rPr>
          <w:color w:val="1F3864"/>
        </w:rPr>
        <w:t xml:space="preserve">3. The 20 articles at a glance</w:t>
      </w:r>
    </w:p>
    <w:p>
      <w:pPr>
        <w:spacing w:after="120"/>
        <w:jc w:val="both"/>
      </w:pPr>
      <w:r>
        <w:t xml:space="preserve">The table is ordered by theme (S = sequential acquisition, R = robust combination, C = private computation, G = incentives and games) and, within each theme, by the order of the cards; the last column names the groups where the work was done.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00"/>
        <w:gridCol w:w="3300"/>
        <w:gridCol w:w="3900"/>
        <w:gridCol w:w="1838"/>
      </w:tblGrid>
      <w:tr>
        <w:trPr>
          <w:cantSplit/>
          <w:tblHeader/>
        </w:trPr>
        <w:tc>
          <w:tcPr>
            <w:tcW w:type="dxa" w:w="600"/>
            <w:shd w:fill="1F3864" w:color="auto" w:val="clear"/>
            <w:tcMar>
              <w:top w:type="dxa" w:w="15"/>
              <w:left w:type="dxa" w:w="80"/>
              <w:bottom w:type="dxa" w:w="15"/>
              <w:right w:type="dxa" w:w="80"/>
            </w:tcMar>
            <w:vAlign w:val="top"/>
          </w:tcPr>
          <w:p>
            <w:r>
              <w:rPr>
                <w:b/>
                <w:bCs/>
                <w:color w:val="FFFFFF"/>
                <w:sz w:val="15"/>
                <w:szCs w:val="15"/>
              </w:rPr>
              <w:t xml:space="preserve">Code</w:t>
            </w:r>
          </w:p>
        </w:tc>
        <w:tc>
          <w:tcPr>
            <w:tcW w:type="dxa" w:w="3300"/>
            <w:shd w:fill="1F3864" w:color="auto" w:val="clear"/>
            <w:tcMar>
              <w:top w:type="dxa" w:w="15"/>
              <w:left w:type="dxa" w:w="80"/>
              <w:bottom w:type="dxa" w:w="15"/>
              <w:right w:type="dxa" w:w="80"/>
            </w:tcMar>
            <w:vAlign w:val="top"/>
          </w:tcPr>
          <w:p>
            <w:r>
              <w:rPr>
                <w:b/>
                <w:bCs/>
                <w:color w:val="FFFFFF"/>
                <w:sz w:val="15"/>
                <w:szCs w:val="15"/>
              </w:rPr>
              <w:t xml:space="preserve">Authors (year)</w:t>
            </w:r>
          </w:p>
        </w:tc>
        <w:tc>
          <w:tcPr>
            <w:tcW w:type="dxa" w:w="3900"/>
            <w:shd w:fill="1F3864" w:color="auto" w:val="clear"/>
            <w:tcMar>
              <w:top w:type="dxa" w:w="15"/>
              <w:left w:type="dxa" w:w="80"/>
              <w:bottom w:type="dxa" w:w="15"/>
              <w:right w:type="dxa" w:w="80"/>
            </w:tcMar>
            <w:vAlign w:val="top"/>
          </w:tcPr>
          <w:p>
            <w:r>
              <w:rPr>
                <w:b/>
                <w:bCs/>
                <w:color w:val="FFFFFF"/>
                <w:sz w:val="15"/>
                <w:szCs w:val="15"/>
              </w:rPr>
              <w:t xml:space="preserve">Venue</w:t>
            </w:r>
          </w:p>
        </w:tc>
        <w:tc>
          <w:tcPr>
            <w:tcW w:type="dxa" w:w="1838"/>
            <w:shd w:fill="1F3864" w:color="auto" w:val="clear"/>
            <w:tcMar>
              <w:top w:type="dxa" w:w="15"/>
              <w:left w:type="dxa" w:w="80"/>
              <w:bottom w:type="dxa" w:w="15"/>
              <w:right w:type="dxa" w:w="80"/>
            </w:tcMar>
            <w:vAlign w:val="top"/>
          </w:tcPr>
          <w:p>
            <w:r>
              <w:rPr>
                <w:b/>
                <w:bCs/>
                <w:color w:val="FFFFFF"/>
                <w:sz w:val="15"/>
                <w:szCs w:val="15"/>
              </w:rPr>
              <w:t xml:space="preserve">Groups</w:t>
            </w:r>
          </w:p>
        </w:tc>
      </w:tr>
      <w:tr>
        <w:trPr>
          <w:cantSplit/>
        </w:trPr>
        <w:tc>
          <w:tcPr>
            <w:tcW w:type="dxa" w:w="600"/>
            <w:tcMar>
              <w:top w:type="dxa" w:w="15"/>
              <w:left w:type="dxa" w:w="80"/>
              <w:bottom w:type="dxa" w:w="15"/>
              <w:right w:type="dxa" w:w="80"/>
            </w:tcMar>
            <w:vAlign w:val="top"/>
          </w:tcPr>
          <w:p>
            <w:r>
              <w:rPr>
                <w:b/>
                <w:bCs/>
                <w:color w:val="1E3A8A"/>
                <w:sz w:val="15"/>
                <w:szCs w:val="15"/>
              </w:rPr>
              <w:t xml:space="preserve">S1</w:t>
            </w:r>
          </w:p>
        </w:tc>
        <w:tc>
          <w:tcPr>
            <w:tcW w:type="dxa" w:w="3300"/>
            <w:tcMar>
              <w:top w:type="dxa" w:w="15"/>
              <w:left w:type="dxa" w:w="80"/>
              <w:bottom w:type="dxa" w:w="15"/>
              <w:right w:type="dxa" w:w="80"/>
            </w:tcMar>
            <w:vAlign w:val="top"/>
          </w:tcPr>
          <w:p>
            <w:r>
              <w:rPr>
                <w:sz w:val="15"/>
                <w:szCs w:val="15"/>
              </w:rPr>
              <w:t xml:space="preserve">Huan, Guinness, Katzfuss, Owhadi &amp; Schäfer (2025)</w:t>
            </w:r>
          </w:p>
        </w:tc>
        <w:tc>
          <w:tcPr>
            <w:tcW w:type="dxa" w:w="3900"/>
            <w:tcMar>
              <w:top w:type="dxa" w:w="15"/>
              <w:left w:type="dxa" w:w="80"/>
              <w:bottom w:type="dxa" w:w="15"/>
              <w:right w:type="dxa" w:w="80"/>
            </w:tcMar>
            <w:vAlign w:val="top"/>
          </w:tcPr>
          <w:p>
            <w:r>
              <w:rPr>
                <w:sz w:val="15"/>
                <w:szCs w:val="15"/>
              </w:rPr>
              <w:t xml:space="preserve">SIAM/ASA J. Uncertain. Quantif. 2025</w:t>
            </w:r>
          </w:p>
        </w:tc>
        <w:tc>
          <w:tcPr>
            <w:tcW w:type="dxa" w:w="1838"/>
            <w:tcMar>
              <w:top w:type="dxa" w:w="15"/>
              <w:left w:type="dxa" w:w="80"/>
              <w:bottom w:type="dxa" w:w="15"/>
              <w:right w:type="dxa" w:w="80"/>
            </w:tcMar>
            <w:vAlign w:val="top"/>
          </w:tcPr>
          <w:p>
            <w:r>
              <w:rPr>
                <w:b/>
                <w:bCs/>
                <w:color w:val="1E3A8A"/>
                <w:sz w:val="15"/>
                <w:szCs w:val="15"/>
              </w:rPr>
              <w:t xml:space="preserve">Caltech · Georgia Tech</w:t>
            </w:r>
          </w:p>
        </w:tc>
      </w:tr>
      <w:tr>
        <w:trPr>
          <w:cantSplit/>
        </w:trPr>
        <w:tc>
          <w:tcPr>
            <w:tcW w:type="dxa" w:w="600"/>
            <w:shd w:fill="F7F9FC" w:color="auto" w:val="clear"/>
            <w:tcMar>
              <w:top w:type="dxa" w:w="15"/>
              <w:left w:type="dxa" w:w="80"/>
              <w:bottom w:type="dxa" w:w="15"/>
              <w:right w:type="dxa" w:w="80"/>
            </w:tcMar>
            <w:vAlign w:val="top"/>
          </w:tcPr>
          <w:p>
            <w:r>
              <w:rPr>
                <w:b/>
                <w:bCs/>
                <w:color w:val="1E3A8A"/>
                <w:sz w:val="15"/>
                <w:szCs w:val="15"/>
              </w:rPr>
              <w:t xml:space="preserve">S2</w:t>
            </w:r>
          </w:p>
        </w:tc>
        <w:tc>
          <w:tcPr>
            <w:tcW w:type="dxa" w:w="3300"/>
            <w:shd w:fill="F7F9FC" w:color="auto" w:val="clear"/>
            <w:tcMar>
              <w:top w:type="dxa" w:w="15"/>
              <w:left w:type="dxa" w:w="80"/>
              <w:bottom w:type="dxa" w:w="15"/>
              <w:right w:type="dxa" w:w="80"/>
            </w:tcMar>
            <w:vAlign w:val="top"/>
          </w:tcPr>
          <w:p>
            <w:r>
              <w:rPr>
                <w:sz w:val="15"/>
                <w:szCs w:val="15"/>
              </w:rPr>
              <w:t xml:space="preserve">Sun, Dalca &amp; Bouman (2020)</w:t>
            </w:r>
          </w:p>
        </w:tc>
        <w:tc>
          <w:tcPr>
            <w:tcW w:type="dxa" w:w="3900"/>
            <w:shd w:fill="F7F9FC" w:color="auto" w:val="clear"/>
            <w:tcMar>
              <w:top w:type="dxa" w:w="15"/>
              <w:left w:type="dxa" w:w="80"/>
              <w:bottom w:type="dxa" w:w="15"/>
              <w:right w:type="dxa" w:w="80"/>
            </w:tcMar>
            <w:vAlign w:val="top"/>
          </w:tcPr>
          <w:p>
            <w:r>
              <w:rPr>
                <w:sz w:val="15"/>
                <w:szCs w:val="15"/>
              </w:rPr>
              <w:t xml:space="preserve">ICCP 2020</w:t>
            </w:r>
          </w:p>
        </w:tc>
        <w:tc>
          <w:tcPr>
            <w:tcW w:type="dxa" w:w="1838"/>
            <w:shd w:fill="F7F9FC" w:color="auto" w:val="clear"/>
            <w:tcMar>
              <w:top w:type="dxa" w:w="15"/>
              <w:left w:type="dxa" w:w="80"/>
              <w:bottom w:type="dxa" w:w="15"/>
              <w:right w:type="dxa" w:w="80"/>
            </w:tcMar>
            <w:vAlign w:val="top"/>
          </w:tcPr>
          <w:p>
            <w:r>
              <w:rPr>
                <w:b/>
                <w:bCs/>
                <w:color w:val="1E3A8A"/>
                <w:sz w:val="15"/>
                <w:szCs w:val="15"/>
              </w:rPr>
              <w:t xml:space="preserve">Caltech</w:t>
            </w:r>
          </w:p>
        </w:tc>
      </w:tr>
      <w:tr>
        <w:trPr>
          <w:cantSplit/>
        </w:trPr>
        <w:tc>
          <w:tcPr>
            <w:tcW w:type="dxa" w:w="600"/>
            <w:tcMar>
              <w:top w:type="dxa" w:w="15"/>
              <w:left w:type="dxa" w:w="80"/>
              <w:bottom w:type="dxa" w:w="15"/>
              <w:right w:type="dxa" w:w="80"/>
            </w:tcMar>
            <w:vAlign w:val="top"/>
          </w:tcPr>
          <w:p>
            <w:r>
              <w:rPr>
                <w:b/>
                <w:bCs/>
                <w:color w:val="1E3A8A"/>
                <w:sz w:val="15"/>
                <w:szCs w:val="15"/>
              </w:rPr>
              <w:t xml:space="preserve">S3</w:t>
            </w:r>
          </w:p>
        </w:tc>
        <w:tc>
          <w:tcPr>
            <w:tcW w:type="dxa" w:w="3300"/>
            <w:tcMar>
              <w:top w:type="dxa" w:w="15"/>
              <w:left w:type="dxa" w:w="80"/>
              <w:bottom w:type="dxa" w:w="15"/>
              <w:right w:type="dxa" w:w="80"/>
            </w:tcMar>
            <w:vAlign w:val="top"/>
          </w:tcPr>
          <w:p>
            <w:r>
              <w:rPr>
                <w:sz w:val="15"/>
                <w:szCs w:val="15"/>
              </w:rPr>
              <w:t xml:space="preserve">Zheng, Hayden, Pacheco &amp; Fisher (2020)</w:t>
            </w:r>
          </w:p>
        </w:tc>
        <w:tc>
          <w:tcPr>
            <w:tcW w:type="dxa" w:w="3900"/>
            <w:tcMar>
              <w:top w:type="dxa" w:w="15"/>
              <w:left w:type="dxa" w:w="80"/>
              <w:bottom w:type="dxa" w:w="15"/>
              <w:right w:type="dxa" w:w="80"/>
            </w:tcMar>
            <w:vAlign w:val="top"/>
          </w:tcPr>
          <w:p>
            <w:r>
              <w:rPr>
                <w:sz w:val="15"/>
                <w:szCs w:val="15"/>
              </w:rPr>
              <w:t xml:space="preserve">NeurIPS 2020</w:t>
            </w:r>
          </w:p>
        </w:tc>
        <w:tc>
          <w:tcPr>
            <w:tcW w:type="dxa" w:w="1838"/>
            <w:tcMar>
              <w:top w:type="dxa" w:w="15"/>
              <w:left w:type="dxa" w:w="80"/>
              <w:bottom w:type="dxa" w:w="15"/>
              <w:right w:type="dxa" w:w="80"/>
            </w:tcMar>
            <w:vAlign w:val="top"/>
          </w:tcPr>
          <w:p>
            <w:r>
              <w:rPr>
                <w:b/>
                <w:bCs/>
                <w:color w:val="1E3A8A"/>
                <w:sz w:val="15"/>
                <w:szCs w:val="15"/>
              </w:rPr>
              <w:t xml:space="preserve">MIT · Arizona</w:t>
            </w:r>
          </w:p>
        </w:tc>
      </w:tr>
      <w:tr>
        <w:trPr>
          <w:cantSplit/>
        </w:trPr>
        <w:tc>
          <w:tcPr>
            <w:tcW w:type="dxa" w:w="600"/>
            <w:shd w:fill="F7F9FC" w:color="auto" w:val="clear"/>
            <w:tcMar>
              <w:top w:type="dxa" w:w="15"/>
              <w:left w:type="dxa" w:w="80"/>
              <w:bottom w:type="dxa" w:w="15"/>
              <w:right w:type="dxa" w:w="80"/>
            </w:tcMar>
            <w:vAlign w:val="top"/>
          </w:tcPr>
          <w:p>
            <w:r>
              <w:rPr>
                <w:b/>
                <w:bCs/>
                <w:color w:val="1E3A8A"/>
                <w:sz w:val="15"/>
                <w:szCs w:val="15"/>
              </w:rPr>
              <w:t xml:space="preserve">S4</w:t>
            </w:r>
          </w:p>
        </w:tc>
        <w:tc>
          <w:tcPr>
            <w:tcW w:type="dxa" w:w="3300"/>
            <w:shd w:fill="F7F9FC" w:color="auto" w:val="clear"/>
            <w:tcMar>
              <w:top w:type="dxa" w:w="15"/>
              <w:left w:type="dxa" w:w="80"/>
              <w:bottom w:type="dxa" w:w="15"/>
              <w:right w:type="dxa" w:w="80"/>
            </w:tcMar>
            <w:vAlign w:val="top"/>
          </w:tcPr>
          <w:p>
            <w:r>
              <w:rPr>
                <w:sz w:val="15"/>
                <w:szCs w:val="15"/>
              </w:rPr>
              <w:t xml:space="preserve">Kossen, Farquhar, Gal &amp; Rainforth (2021)</w:t>
            </w:r>
          </w:p>
        </w:tc>
        <w:tc>
          <w:tcPr>
            <w:tcW w:type="dxa" w:w="3900"/>
            <w:shd w:fill="F7F9FC" w:color="auto" w:val="clear"/>
            <w:tcMar>
              <w:top w:type="dxa" w:w="15"/>
              <w:left w:type="dxa" w:w="80"/>
              <w:bottom w:type="dxa" w:w="15"/>
              <w:right w:type="dxa" w:w="80"/>
            </w:tcMar>
            <w:vAlign w:val="top"/>
          </w:tcPr>
          <w:p>
            <w:r>
              <w:rPr>
                <w:sz w:val="15"/>
                <w:szCs w:val="15"/>
              </w:rPr>
              <w:t xml:space="preserve">ICML 2021</w:t>
            </w:r>
          </w:p>
        </w:tc>
        <w:tc>
          <w:tcPr>
            <w:tcW w:type="dxa" w:w="1838"/>
            <w:shd w:fill="F7F9FC" w:color="auto" w:val="clear"/>
            <w:tcMar>
              <w:top w:type="dxa" w:w="15"/>
              <w:left w:type="dxa" w:w="80"/>
              <w:bottom w:type="dxa" w:w="15"/>
              <w:right w:type="dxa" w:w="80"/>
            </w:tcMar>
            <w:vAlign w:val="top"/>
          </w:tcPr>
          <w:p>
            <w:r>
              <w:rPr>
                <w:b/>
                <w:bCs/>
                <w:color w:val="1E3A8A"/>
                <w:sz w:val="15"/>
                <w:szCs w:val="15"/>
              </w:rPr>
              <w:t xml:space="preserve">Oxford</w:t>
            </w:r>
          </w:p>
        </w:tc>
      </w:tr>
      <w:tr>
        <w:trPr>
          <w:cantSplit/>
        </w:trPr>
        <w:tc>
          <w:tcPr>
            <w:tcW w:type="dxa" w:w="600"/>
            <w:tcMar>
              <w:top w:type="dxa" w:w="15"/>
              <w:left w:type="dxa" w:w="80"/>
              <w:bottom w:type="dxa" w:w="15"/>
              <w:right w:type="dxa" w:w="80"/>
            </w:tcMar>
            <w:vAlign w:val="top"/>
          </w:tcPr>
          <w:p>
            <w:r>
              <w:rPr>
                <w:b/>
                <w:bCs/>
                <w:color w:val="1E3A8A"/>
                <w:sz w:val="15"/>
                <w:szCs w:val="15"/>
              </w:rPr>
              <w:t xml:space="preserve">S5</w:t>
            </w:r>
          </w:p>
        </w:tc>
        <w:tc>
          <w:tcPr>
            <w:tcW w:type="dxa" w:w="3300"/>
            <w:tcMar>
              <w:top w:type="dxa" w:w="15"/>
              <w:left w:type="dxa" w:w="80"/>
              <w:bottom w:type="dxa" w:w="15"/>
              <w:right w:type="dxa" w:w="80"/>
            </w:tcMar>
            <w:vAlign w:val="top"/>
          </w:tcPr>
          <w:p>
            <w:r>
              <w:rPr>
                <w:sz w:val="15"/>
                <w:szCs w:val="15"/>
              </w:rPr>
              <w:t xml:space="preserve">Beyhaghi &amp; Cai (2023)</w:t>
            </w:r>
          </w:p>
        </w:tc>
        <w:tc>
          <w:tcPr>
            <w:tcW w:type="dxa" w:w="3900"/>
            <w:tcMar>
              <w:top w:type="dxa" w:w="15"/>
              <w:left w:type="dxa" w:w="80"/>
              <w:bottom w:type="dxa" w:w="15"/>
              <w:right w:type="dxa" w:w="80"/>
            </w:tcMar>
            <w:vAlign w:val="top"/>
          </w:tcPr>
          <w:p>
            <w:r>
              <w:rPr>
                <w:sz w:val="15"/>
                <w:szCs w:val="15"/>
              </w:rPr>
              <w:t xml:space="preserve">STOC 2023</w:t>
            </w:r>
          </w:p>
        </w:tc>
        <w:tc>
          <w:tcPr>
            <w:tcW w:type="dxa" w:w="1838"/>
            <w:tcMar>
              <w:top w:type="dxa" w:w="15"/>
              <w:left w:type="dxa" w:w="80"/>
              <w:bottom w:type="dxa" w:w="15"/>
              <w:right w:type="dxa" w:w="80"/>
            </w:tcMar>
            <w:vAlign w:val="top"/>
          </w:tcPr>
          <w:p>
            <w:r>
              <w:rPr>
                <w:b/>
                <w:bCs/>
                <w:color w:val="1E3A8A"/>
                <w:sz w:val="15"/>
                <w:szCs w:val="15"/>
              </w:rPr>
              <w:t xml:space="preserve">Princeton</w:t>
            </w:r>
          </w:p>
        </w:tc>
      </w:tr>
      <w:tr>
        <w:trPr>
          <w:cantSplit/>
        </w:trPr>
        <w:tc>
          <w:tcPr>
            <w:tcW w:type="dxa" w:w="600"/>
            <w:shd w:fill="F7F9FC" w:color="auto" w:val="clear"/>
            <w:tcMar>
              <w:top w:type="dxa" w:w="15"/>
              <w:left w:type="dxa" w:w="80"/>
              <w:bottom w:type="dxa" w:w="15"/>
              <w:right w:type="dxa" w:w="80"/>
            </w:tcMar>
            <w:vAlign w:val="top"/>
          </w:tcPr>
          <w:p>
            <w:r>
              <w:rPr>
                <w:b/>
                <w:bCs/>
                <w:color w:val="0F766E"/>
                <w:sz w:val="15"/>
                <w:szCs w:val="15"/>
              </w:rPr>
              <w:t xml:space="preserve">R1</w:t>
            </w:r>
          </w:p>
        </w:tc>
        <w:tc>
          <w:tcPr>
            <w:tcW w:type="dxa" w:w="3300"/>
            <w:shd w:fill="F7F9FC" w:color="auto" w:val="clear"/>
            <w:tcMar>
              <w:top w:type="dxa" w:w="15"/>
              <w:left w:type="dxa" w:w="80"/>
              <w:bottom w:type="dxa" w:w="15"/>
              <w:right w:type="dxa" w:w="80"/>
            </w:tcMar>
            <w:vAlign w:val="top"/>
          </w:tcPr>
          <w:p>
            <w:r>
              <w:rPr>
                <w:sz w:val="15"/>
                <w:szCs w:val="15"/>
              </w:rPr>
              <w:t xml:space="preserve">Chen &amp; Ritzwoller (2023)</w:t>
            </w:r>
          </w:p>
        </w:tc>
        <w:tc>
          <w:tcPr>
            <w:tcW w:type="dxa" w:w="3900"/>
            <w:shd w:fill="F7F9FC" w:color="auto" w:val="clear"/>
            <w:tcMar>
              <w:top w:type="dxa" w:w="15"/>
              <w:left w:type="dxa" w:w="80"/>
              <w:bottom w:type="dxa" w:w="15"/>
              <w:right w:type="dxa" w:w="80"/>
            </w:tcMar>
            <w:vAlign w:val="top"/>
          </w:tcPr>
          <w:p>
            <w:r>
              <w:rPr>
                <w:sz w:val="15"/>
                <w:szCs w:val="15"/>
              </w:rPr>
              <w:t xml:space="preserve">J. Econometrics 2023</w:t>
            </w:r>
          </w:p>
        </w:tc>
        <w:tc>
          <w:tcPr>
            <w:tcW w:type="dxa" w:w="1838"/>
            <w:shd w:fill="F7F9FC" w:color="auto" w:val="clear"/>
            <w:tcMar>
              <w:top w:type="dxa" w:w="15"/>
              <w:left w:type="dxa" w:w="80"/>
              <w:bottom w:type="dxa" w:w="15"/>
              <w:right w:type="dxa" w:w="80"/>
            </w:tcMar>
            <w:vAlign w:val="top"/>
          </w:tcPr>
          <w:p>
            <w:r>
              <w:rPr>
                <w:b/>
                <w:bCs/>
                <w:color w:val="0F766E"/>
                <w:sz w:val="15"/>
                <w:szCs w:val="15"/>
              </w:rPr>
              <w:t xml:space="preserve">Harvard · Stanford</w:t>
            </w:r>
          </w:p>
        </w:tc>
      </w:tr>
      <w:tr>
        <w:trPr>
          <w:cantSplit/>
        </w:trPr>
        <w:tc>
          <w:tcPr>
            <w:tcW w:type="dxa" w:w="600"/>
            <w:tcMar>
              <w:top w:type="dxa" w:w="15"/>
              <w:left w:type="dxa" w:w="80"/>
              <w:bottom w:type="dxa" w:w="15"/>
              <w:right w:type="dxa" w:w="80"/>
            </w:tcMar>
            <w:vAlign w:val="top"/>
          </w:tcPr>
          <w:p>
            <w:r>
              <w:rPr>
                <w:b/>
                <w:bCs/>
                <w:color w:val="0F766E"/>
                <w:sz w:val="15"/>
                <w:szCs w:val="15"/>
              </w:rPr>
              <w:t xml:space="preserve">R2</w:t>
            </w:r>
          </w:p>
        </w:tc>
        <w:tc>
          <w:tcPr>
            <w:tcW w:type="dxa" w:w="3300"/>
            <w:tcMar>
              <w:top w:type="dxa" w:w="15"/>
              <w:left w:type="dxa" w:w="80"/>
              <w:bottom w:type="dxa" w:w="15"/>
              <w:right w:type="dxa" w:w="80"/>
            </w:tcMar>
            <w:vAlign w:val="top"/>
          </w:tcPr>
          <w:p>
            <w:r>
              <w:rPr>
                <w:sz w:val="15"/>
                <w:szCs w:val="15"/>
              </w:rPr>
              <w:t xml:space="preserve">Huang, Egami, Hartman &amp; Miratrix (2023)</w:t>
            </w:r>
          </w:p>
        </w:tc>
        <w:tc>
          <w:tcPr>
            <w:tcW w:type="dxa" w:w="3900"/>
            <w:tcMar>
              <w:top w:type="dxa" w:w="15"/>
              <w:left w:type="dxa" w:w="80"/>
              <w:bottom w:type="dxa" w:w="15"/>
              <w:right w:type="dxa" w:w="80"/>
            </w:tcMar>
            <w:vAlign w:val="top"/>
          </w:tcPr>
          <w:p>
            <w:r>
              <w:rPr>
                <w:sz w:val="15"/>
                <w:szCs w:val="15"/>
              </w:rPr>
              <w:t xml:space="preserve">Ann. Appl. Stat. 2023</w:t>
            </w:r>
          </w:p>
        </w:tc>
        <w:tc>
          <w:tcPr>
            <w:tcW w:type="dxa" w:w="1838"/>
            <w:tcMar>
              <w:top w:type="dxa" w:w="15"/>
              <w:left w:type="dxa" w:w="80"/>
              <w:bottom w:type="dxa" w:w="15"/>
              <w:right w:type="dxa" w:w="80"/>
            </w:tcMar>
            <w:vAlign w:val="top"/>
          </w:tcPr>
          <w:p>
            <w:r>
              <w:rPr>
                <w:b/>
                <w:bCs/>
                <w:color w:val="0F766E"/>
                <w:sz w:val="15"/>
                <w:szCs w:val="15"/>
              </w:rPr>
              <w:t xml:space="preserve">Harvard</w:t>
            </w:r>
          </w:p>
        </w:tc>
      </w:tr>
      <w:tr>
        <w:trPr>
          <w:cantSplit/>
        </w:trPr>
        <w:tc>
          <w:tcPr>
            <w:tcW w:type="dxa" w:w="600"/>
            <w:shd w:fill="F7F9FC" w:color="auto" w:val="clear"/>
            <w:tcMar>
              <w:top w:type="dxa" w:w="15"/>
              <w:left w:type="dxa" w:w="80"/>
              <w:bottom w:type="dxa" w:w="15"/>
              <w:right w:type="dxa" w:w="80"/>
            </w:tcMar>
            <w:vAlign w:val="top"/>
          </w:tcPr>
          <w:p>
            <w:r>
              <w:rPr>
                <w:b/>
                <w:bCs/>
                <w:color w:val="0F766E"/>
                <w:sz w:val="15"/>
                <w:szCs w:val="15"/>
              </w:rPr>
              <w:t xml:space="preserve">R3</w:t>
            </w:r>
          </w:p>
        </w:tc>
        <w:tc>
          <w:tcPr>
            <w:tcW w:type="dxa" w:w="3300"/>
            <w:shd w:fill="F7F9FC" w:color="auto" w:val="clear"/>
            <w:tcMar>
              <w:top w:type="dxa" w:w="15"/>
              <w:left w:type="dxa" w:w="80"/>
              <w:bottom w:type="dxa" w:w="15"/>
              <w:right w:type="dxa" w:w="80"/>
            </w:tcMar>
            <w:vAlign w:val="top"/>
          </w:tcPr>
          <w:p>
            <w:r>
              <w:rPr>
                <w:sz w:val="15"/>
                <w:szCs w:val="15"/>
              </w:rPr>
              <w:t xml:space="preserve">Hussain, Oberst, Shih &amp; Sontag (2022)</w:t>
            </w:r>
          </w:p>
        </w:tc>
        <w:tc>
          <w:tcPr>
            <w:tcW w:type="dxa" w:w="3900"/>
            <w:shd w:fill="F7F9FC" w:color="auto" w:val="clear"/>
            <w:tcMar>
              <w:top w:type="dxa" w:w="15"/>
              <w:left w:type="dxa" w:w="80"/>
              <w:bottom w:type="dxa" w:w="15"/>
              <w:right w:type="dxa" w:w="80"/>
            </w:tcMar>
            <w:vAlign w:val="top"/>
          </w:tcPr>
          <w:p>
            <w:r>
              <w:rPr>
                <w:sz w:val="15"/>
                <w:szCs w:val="15"/>
              </w:rPr>
              <w:t xml:space="preserve">NeurIPS 2022</w:t>
            </w:r>
          </w:p>
        </w:tc>
        <w:tc>
          <w:tcPr>
            <w:tcW w:type="dxa" w:w="1838"/>
            <w:shd w:fill="F7F9FC" w:color="auto" w:val="clear"/>
            <w:tcMar>
              <w:top w:type="dxa" w:w="15"/>
              <w:left w:type="dxa" w:w="80"/>
              <w:bottom w:type="dxa" w:w="15"/>
              <w:right w:type="dxa" w:w="80"/>
            </w:tcMar>
            <w:vAlign w:val="top"/>
          </w:tcPr>
          <w:p>
            <w:r>
              <w:rPr>
                <w:b/>
                <w:bCs/>
                <w:color w:val="0F766E"/>
                <w:sz w:val="15"/>
                <w:szCs w:val="15"/>
              </w:rPr>
              <w:t xml:space="preserve">MIT</w:t>
            </w:r>
          </w:p>
        </w:tc>
      </w:tr>
      <w:tr>
        <w:trPr>
          <w:cantSplit/>
        </w:trPr>
        <w:tc>
          <w:tcPr>
            <w:tcW w:type="dxa" w:w="600"/>
            <w:tcMar>
              <w:top w:type="dxa" w:w="15"/>
              <w:left w:type="dxa" w:w="80"/>
              <w:bottom w:type="dxa" w:w="15"/>
              <w:right w:type="dxa" w:w="80"/>
            </w:tcMar>
            <w:vAlign w:val="top"/>
          </w:tcPr>
          <w:p>
            <w:r>
              <w:rPr>
                <w:b/>
                <w:bCs/>
                <w:color w:val="0F766E"/>
                <w:sz w:val="15"/>
                <w:szCs w:val="15"/>
              </w:rPr>
              <w:t xml:space="preserve">R4</w:t>
            </w:r>
          </w:p>
        </w:tc>
        <w:tc>
          <w:tcPr>
            <w:tcW w:type="dxa" w:w="3300"/>
            <w:tcMar>
              <w:top w:type="dxa" w:w="15"/>
              <w:left w:type="dxa" w:w="80"/>
              <w:bottom w:type="dxa" w:w="15"/>
              <w:right w:type="dxa" w:w="80"/>
            </w:tcMar>
            <w:vAlign w:val="top"/>
          </w:tcPr>
          <w:p>
            <w:r>
              <w:rPr>
                <w:sz w:val="15"/>
                <w:szCs w:val="15"/>
              </w:rPr>
              <w:t xml:space="preserve">Fan, Gao &amp; Klusowski (2025)</w:t>
            </w:r>
          </w:p>
        </w:tc>
        <w:tc>
          <w:tcPr>
            <w:tcW w:type="dxa" w:w="3900"/>
            <w:tcMar>
              <w:top w:type="dxa" w:w="15"/>
              <w:left w:type="dxa" w:w="80"/>
              <w:bottom w:type="dxa" w:w="15"/>
              <w:right w:type="dxa" w:w="80"/>
            </w:tcMar>
            <w:vAlign w:val="top"/>
          </w:tcPr>
          <w:p>
            <w:r>
              <w:rPr>
                <w:sz w:val="15"/>
                <w:szCs w:val="15"/>
              </w:rPr>
              <w:t xml:space="preserve">Ann. Statist. 2025</w:t>
            </w:r>
          </w:p>
        </w:tc>
        <w:tc>
          <w:tcPr>
            <w:tcW w:type="dxa" w:w="1838"/>
            <w:tcMar>
              <w:top w:type="dxa" w:w="15"/>
              <w:left w:type="dxa" w:w="80"/>
              <w:bottom w:type="dxa" w:w="15"/>
              <w:right w:type="dxa" w:w="80"/>
            </w:tcMar>
            <w:vAlign w:val="top"/>
          </w:tcPr>
          <w:p>
            <w:r>
              <w:rPr>
                <w:b/>
                <w:bCs/>
                <w:color w:val="0F766E"/>
                <w:sz w:val="15"/>
                <w:szCs w:val="15"/>
              </w:rPr>
              <w:t xml:space="preserve">Princeton</w:t>
            </w:r>
          </w:p>
        </w:tc>
      </w:tr>
      <w:tr>
        <w:trPr>
          <w:cantSplit/>
        </w:trPr>
        <w:tc>
          <w:tcPr>
            <w:tcW w:type="dxa" w:w="600"/>
            <w:shd w:fill="F7F9FC" w:color="auto" w:val="clear"/>
            <w:tcMar>
              <w:top w:type="dxa" w:w="15"/>
              <w:left w:type="dxa" w:w="80"/>
              <w:bottom w:type="dxa" w:w="15"/>
              <w:right w:type="dxa" w:w="80"/>
            </w:tcMar>
            <w:vAlign w:val="top"/>
          </w:tcPr>
          <w:p>
            <w:r>
              <w:rPr>
                <w:b/>
                <w:bCs/>
                <w:color w:val="0F766E"/>
                <w:sz w:val="15"/>
                <w:szCs w:val="15"/>
              </w:rPr>
              <w:t xml:space="preserve">R5</w:t>
            </w:r>
          </w:p>
        </w:tc>
        <w:tc>
          <w:tcPr>
            <w:tcW w:type="dxa" w:w="3300"/>
            <w:shd w:fill="F7F9FC" w:color="auto" w:val="clear"/>
            <w:tcMar>
              <w:top w:type="dxa" w:w="15"/>
              <w:left w:type="dxa" w:w="80"/>
              <w:bottom w:type="dxa" w:w="15"/>
              <w:right w:type="dxa" w:w="80"/>
            </w:tcMar>
            <w:vAlign w:val="top"/>
          </w:tcPr>
          <w:p>
            <w:r>
              <w:rPr>
                <w:sz w:val="15"/>
                <w:szCs w:val="15"/>
              </w:rPr>
              <w:t xml:space="preserve">Nicholson, Lehmann, Padellini, … &amp; Holmes (2022)</w:t>
            </w:r>
          </w:p>
        </w:tc>
        <w:tc>
          <w:tcPr>
            <w:tcW w:type="dxa" w:w="3900"/>
            <w:shd w:fill="F7F9FC" w:color="auto" w:val="clear"/>
            <w:tcMar>
              <w:top w:type="dxa" w:w="15"/>
              <w:left w:type="dxa" w:w="80"/>
              <w:bottom w:type="dxa" w:w="15"/>
              <w:right w:type="dxa" w:w="80"/>
            </w:tcMar>
            <w:vAlign w:val="top"/>
          </w:tcPr>
          <w:p>
            <w:r>
              <w:rPr>
                <w:sz w:val="15"/>
                <w:szCs w:val="15"/>
              </w:rPr>
              <w:t xml:space="preserve">Nat. Microbiol. 2022</w:t>
            </w:r>
          </w:p>
        </w:tc>
        <w:tc>
          <w:tcPr>
            <w:tcW w:type="dxa" w:w="1838"/>
            <w:shd w:fill="F7F9FC" w:color="auto" w:val="clear"/>
            <w:tcMar>
              <w:top w:type="dxa" w:w="15"/>
              <w:left w:type="dxa" w:w="80"/>
              <w:bottom w:type="dxa" w:w="15"/>
              <w:right w:type="dxa" w:w="80"/>
            </w:tcMar>
            <w:vAlign w:val="top"/>
          </w:tcPr>
          <w:p>
            <w:r>
              <w:rPr>
                <w:b/>
                <w:bCs/>
                <w:color w:val="0F766E"/>
                <w:sz w:val="15"/>
                <w:szCs w:val="15"/>
              </w:rPr>
              <w:t xml:space="preserve">Oxford · Turing · Imperial</w:t>
            </w:r>
          </w:p>
        </w:tc>
      </w:tr>
      <w:tr>
        <w:trPr>
          <w:cantSplit/>
        </w:trPr>
        <w:tc>
          <w:tcPr>
            <w:tcW w:type="dxa" w:w="600"/>
            <w:tcMar>
              <w:top w:type="dxa" w:w="15"/>
              <w:left w:type="dxa" w:w="80"/>
              <w:bottom w:type="dxa" w:w="15"/>
              <w:right w:type="dxa" w:w="80"/>
            </w:tcMar>
            <w:vAlign w:val="top"/>
          </w:tcPr>
          <w:p>
            <w:r>
              <w:rPr>
                <w:b/>
                <w:bCs/>
                <w:color w:val="9A3412"/>
                <w:sz w:val="15"/>
                <w:szCs w:val="15"/>
              </w:rPr>
              <w:t xml:space="preserve">C1</w:t>
            </w:r>
          </w:p>
        </w:tc>
        <w:tc>
          <w:tcPr>
            <w:tcW w:type="dxa" w:w="3300"/>
            <w:tcMar>
              <w:top w:type="dxa" w:w="15"/>
              <w:left w:type="dxa" w:w="80"/>
              <w:bottom w:type="dxa" w:w="15"/>
              <w:right w:type="dxa" w:w="80"/>
            </w:tcMar>
            <w:vAlign w:val="top"/>
          </w:tcPr>
          <w:p>
            <w:r>
              <w:rPr>
                <w:sz w:val="15"/>
                <w:szCs w:val="15"/>
              </w:rPr>
              <w:t xml:space="preserve">Alabi &amp; Vadhan (2023)</w:t>
            </w:r>
          </w:p>
        </w:tc>
        <w:tc>
          <w:tcPr>
            <w:tcW w:type="dxa" w:w="3900"/>
            <w:tcMar>
              <w:top w:type="dxa" w:w="15"/>
              <w:left w:type="dxa" w:w="80"/>
              <w:bottom w:type="dxa" w:w="15"/>
              <w:right w:type="dxa" w:w="80"/>
            </w:tcMar>
            <w:vAlign w:val="top"/>
          </w:tcPr>
          <w:p>
            <w:r>
              <w:rPr>
                <w:sz w:val="15"/>
                <w:szCs w:val="15"/>
              </w:rPr>
              <w:t xml:space="preserve">JMLR 2023</w:t>
            </w:r>
          </w:p>
        </w:tc>
        <w:tc>
          <w:tcPr>
            <w:tcW w:type="dxa" w:w="1838"/>
            <w:tcMar>
              <w:top w:type="dxa" w:w="15"/>
              <w:left w:type="dxa" w:w="80"/>
              <w:bottom w:type="dxa" w:w="15"/>
              <w:right w:type="dxa" w:w="80"/>
            </w:tcMar>
            <w:vAlign w:val="top"/>
          </w:tcPr>
          <w:p>
            <w:r>
              <w:rPr>
                <w:b/>
                <w:bCs/>
                <w:color w:val="9A3412"/>
                <w:sz w:val="15"/>
                <w:szCs w:val="15"/>
              </w:rPr>
              <w:t xml:space="preserve">Harvard</w:t>
            </w:r>
          </w:p>
        </w:tc>
      </w:tr>
      <w:tr>
        <w:trPr>
          <w:cantSplit/>
        </w:trPr>
        <w:tc>
          <w:tcPr>
            <w:tcW w:type="dxa" w:w="600"/>
            <w:shd w:fill="F7F9FC" w:color="auto" w:val="clear"/>
            <w:tcMar>
              <w:top w:type="dxa" w:w="15"/>
              <w:left w:type="dxa" w:w="80"/>
              <w:bottom w:type="dxa" w:w="15"/>
              <w:right w:type="dxa" w:w="80"/>
            </w:tcMar>
            <w:vAlign w:val="top"/>
          </w:tcPr>
          <w:p>
            <w:r>
              <w:rPr>
                <w:b/>
                <w:bCs/>
                <w:color w:val="9A3412"/>
                <w:sz w:val="15"/>
                <w:szCs w:val="15"/>
              </w:rPr>
              <w:t xml:space="preserve">C2</w:t>
            </w:r>
          </w:p>
        </w:tc>
        <w:tc>
          <w:tcPr>
            <w:tcW w:type="dxa" w:w="3300"/>
            <w:shd w:fill="F7F9FC" w:color="auto" w:val="clear"/>
            <w:tcMar>
              <w:top w:type="dxa" w:w="15"/>
              <w:left w:type="dxa" w:w="80"/>
              <w:bottom w:type="dxa" w:w="15"/>
              <w:right w:type="dxa" w:w="80"/>
            </w:tcMar>
            <w:vAlign w:val="top"/>
          </w:tcPr>
          <w:p>
            <w:r>
              <w:rPr>
                <w:sz w:val="15"/>
                <w:szCs w:val="15"/>
              </w:rPr>
              <w:t xml:space="preserve">Brown, Hayase, Hopkins, Kong, Liu, Oh, Perdomo &amp; Smith (2024)</w:t>
            </w:r>
          </w:p>
        </w:tc>
        <w:tc>
          <w:tcPr>
            <w:tcW w:type="dxa" w:w="3900"/>
            <w:shd w:fill="F7F9FC" w:color="auto" w:val="clear"/>
            <w:tcMar>
              <w:top w:type="dxa" w:w="15"/>
              <w:left w:type="dxa" w:w="80"/>
              <w:bottom w:type="dxa" w:w="15"/>
              <w:right w:type="dxa" w:w="80"/>
            </w:tcMar>
            <w:vAlign w:val="top"/>
          </w:tcPr>
          <w:p>
            <w:r>
              <w:rPr>
                <w:sz w:val="15"/>
                <w:szCs w:val="15"/>
              </w:rPr>
              <w:t xml:space="preserve">COLT 2024</w:t>
            </w:r>
          </w:p>
        </w:tc>
        <w:tc>
          <w:tcPr>
            <w:tcW w:type="dxa" w:w="1838"/>
            <w:shd w:fill="F7F9FC" w:color="auto" w:val="clear"/>
            <w:tcMar>
              <w:top w:type="dxa" w:w="15"/>
              <w:left w:type="dxa" w:w="80"/>
              <w:bottom w:type="dxa" w:w="15"/>
              <w:right w:type="dxa" w:w="80"/>
            </w:tcMar>
            <w:vAlign w:val="top"/>
          </w:tcPr>
          <w:p>
            <w:r>
              <w:rPr>
                <w:b/>
                <w:bCs/>
                <w:color w:val="9A3412"/>
                <w:sz w:val="15"/>
                <w:szCs w:val="15"/>
              </w:rPr>
              <w:t xml:space="preserve">MIT · Harvard · UW · BU</w:t>
            </w:r>
          </w:p>
        </w:tc>
      </w:tr>
      <w:tr>
        <w:trPr>
          <w:cantSplit/>
        </w:trPr>
        <w:tc>
          <w:tcPr>
            <w:tcW w:type="dxa" w:w="600"/>
            <w:tcMar>
              <w:top w:type="dxa" w:w="15"/>
              <w:left w:type="dxa" w:w="80"/>
              <w:bottom w:type="dxa" w:w="15"/>
              <w:right w:type="dxa" w:w="80"/>
            </w:tcMar>
            <w:vAlign w:val="top"/>
          </w:tcPr>
          <w:p>
            <w:r>
              <w:rPr>
                <w:b/>
                <w:bCs/>
                <w:color w:val="9A3412"/>
                <w:sz w:val="15"/>
                <w:szCs w:val="15"/>
              </w:rPr>
              <w:t xml:space="preserve">C3</w:t>
            </w:r>
          </w:p>
        </w:tc>
        <w:tc>
          <w:tcPr>
            <w:tcW w:type="dxa" w:w="3300"/>
            <w:tcMar>
              <w:top w:type="dxa" w:w="15"/>
              <w:left w:type="dxa" w:w="80"/>
              <w:bottom w:type="dxa" w:w="15"/>
              <w:right w:type="dxa" w:w="80"/>
            </w:tcMar>
            <w:vAlign w:val="top"/>
          </w:tcPr>
          <w:p>
            <w:r>
              <w:rPr>
                <w:sz w:val="15"/>
                <w:szCs w:val="15"/>
              </w:rPr>
              <w:t xml:space="preserve">Jewson, Ghalebikesabi &amp; Holmes (2023)</w:t>
            </w:r>
          </w:p>
        </w:tc>
        <w:tc>
          <w:tcPr>
            <w:tcW w:type="dxa" w:w="3900"/>
            <w:tcMar>
              <w:top w:type="dxa" w:w="15"/>
              <w:left w:type="dxa" w:w="80"/>
              <w:bottom w:type="dxa" w:w="15"/>
              <w:right w:type="dxa" w:w="80"/>
            </w:tcMar>
            <w:vAlign w:val="top"/>
          </w:tcPr>
          <w:p>
            <w:r>
              <w:rPr>
                <w:sz w:val="15"/>
                <w:szCs w:val="15"/>
              </w:rPr>
              <w:t xml:space="preserve">NeurIPS 2023</w:t>
            </w:r>
          </w:p>
        </w:tc>
        <w:tc>
          <w:tcPr>
            <w:tcW w:type="dxa" w:w="1838"/>
            <w:tcMar>
              <w:top w:type="dxa" w:w="15"/>
              <w:left w:type="dxa" w:w="80"/>
              <w:bottom w:type="dxa" w:w="15"/>
              <w:right w:type="dxa" w:w="80"/>
            </w:tcMar>
            <w:vAlign w:val="top"/>
          </w:tcPr>
          <w:p>
            <w:r>
              <w:rPr>
                <w:b/>
                <w:bCs/>
                <w:color w:val="9A3412"/>
                <w:sz w:val="15"/>
                <w:szCs w:val="15"/>
              </w:rPr>
              <w:t xml:space="preserve">Oxford · Turing</w:t>
            </w:r>
          </w:p>
        </w:tc>
      </w:tr>
      <w:tr>
        <w:trPr>
          <w:cantSplit/>
        </w:trPr>
        <w:tc>
          <w:tcPr>
            <w:tcW w:type="dxa" w:w="600"/>
            <w:shd w:fill="F7F9FC" w:color="auto" w:val="clear"/>
            <w:tcMar>
              <w:top w:type="dxa" w:w="15"/>
              <w:left w:type="dxa" w:w="80"/>
              <w:bottom w:type="dxa" w:w="15"/>
              <w:right w:type="dxa" w:w="80"/>
            </w:tcMar>
            <w:vAlign w:val="top"/>
          </w:tcPr>
          <w:p>
            <w:r>
              <w:rPr>
                <w:b/>
                <w:bCs/>
                <w:color w:val="9A3412"/>
                <w:sz w:val="15"/>
                <w:szCs w:val="15"/>
              </w:rPr>
              <w:t xml:space="preserve">C4</w:t>
            </w:r>
          </w:p>
        </w:tc>
        <w:tc>
          <w:tcPr>
            <w:tcW w:type="dxa" w:w="3300"/>
            <w:shd w:fill="F7F9FC" w:color="auto" w:val="clear"/>
            <w:tcMar>
              <w:top w:type="dxa" w:w="15"/>
              <w:left w:type="dxa" w:w="80"/>
              <w:bottom w:type="dxa" w:w="15"/>
              <w:right w:type="dxa" w:w="80"/>
            </w:tcMar>
            <w:vAlign w:val="top"/>
          </w:tcPr>
          <w:p>
            <w:r>
              <w:rPr>
                <w:sz w:val="15"/>
                <w:szCs w:val="15"/>
              </w:rPr>
              <w:t xml:space="preserve">Wang, Mahloujifar, Wu, Jia &amp; Mittal (2023)</w:t>
            </w:r>
          </w:p>
        </w:tc>
        <w:tc>
          <w:tcPr>
            <w:tcW w:type="dxa" w:w="3900"/>
            <w:shd w:fill="F7F9FC" w:color="auto" w:val="clear"/>
            <w:tcMar>
              <w:top w:type="dxa" w:w="15"/>
              <w:left w:type="dxa" w:w="80"/>
              <w:bottom w:type="dxa" w:w="15"/>
              <w:right w:type="dxa" w:w="80"/>
            </w:tcMar>
            <w:vAlign w:val="top"/>
          </w:tcPr>
          <w:p>
            <w:r>
              <w:rPr>
                <w:sz w:val="15"/>
                <w:szCs w:val="15"/>
              </w:rPr>
              <w:t xml:space="preserve">NeurIPS 2023</w:t>
            </w:r>
          </w:p>
        </w:tc>
        <w:tc>
          <w:tcPr>
            <w:tcW w:type="dxa" w:w="1838"/>
            <w:shd w:fill="F7F9FC" w:color="auto" w:val="clear"/>
            <w:tcMar>
              <w:top w:type="dxa" w:w="15"/>
              <w:left w:type="dxa" w:w="80"/>
              <w:bottom w:type="dxa" w:w="15"/>
              <w:right w:type="dxa" w:w="80"/>
            </w:tcMar>
            <w:vAlign w:val="top"/>
          </w:tcPr>
          <w:p>
            <w:r>
              <w:rPr>
                <w:b/>
                <w:bCs/>
                <w:color w:val="9A3412"/>
                <w:sz w:val="15"/>
                <w:szCs w:val="15"/>
              </w:rPr>
              <w:t xml:space="preserve">Princeton · Virginia Tech</w:t>
            </w:r>
          </w:p>
        </w:tc>
      </w:tr>
      <w:tr>
        <w:trPr>
          <w:cantSplit/>
        </w:trPr>
        <w:tc>
          <w:tcPr>
            <w:tcW w:type="dxa" w:w="600"/>
            <w:tcMar>
              <w:top w:type="dxa" w:w="15"/>
              <w:left w:type="dxa" w:w="80"/>
              <w:bottom w:type="dxa" w:w="15"/>
              <w:right w:type="dxa" w:w="80"/>
            </w:tcMar>
            <w:vAlign w:val="top"/>
          </w:tcPr>
          <w:p>
            <w:r>
              <w:rPr>
                <w:b/>
                <w:bCs/>
                <w:color w:val="9A3412"/>
                <w:sz w:val="15"/>
                <w:szCs w:val="15"/>
              </w:rPr>
              <w:t xml:space="preserve">C5</w:t>
            </w:r>
          </w:p>
        </w:tc>
        <w:tc>
          <w:tcPr>
            <w:tcW w:type="dxa" w:w="3300"/>
            <w:tcMar>
              <w:top w:type="dxa" w:w="15"/>
              <w:left w:type="dxa" w:w="80"/>
              <w:bottom w:type="dxa" w:w="15"/>
              <w:right w:type="dxa" w:w="80"/>
            </w:tcMar>
            <w:vAlign w:val="top"/>
          </w:tcPr>
          <w:p>
            <w:r>
              <w:rPr>
                <w:sz w:val="15"/>
                <w:szCs w:val="15"/>
              </w:rPr>
              <w:t xml:space="preserve">Wei, Li, Ding, …, Quek &amp; Poor (2020)</w:t>
            </w:r>
          </w:p>
        </w:tc>
        <w:tc>
          <w:tcPr>
            <w:tcW w:type="dxa" w:w="3900"/>
            <w:tcMar>
              <w:top w:type="dxa" w:w="15"/>
              <w:left w:type="dxa" w:w="80"/>
              <w:bottom w:type="dxa" w:w="15"/>
              <w:right w:type="dxa" w:w="80"/>
            </w:tcMar>
            <w:vAlign w:val="top"/>
          </w:tcPr>
          <w:p>
            <w:r>
              <w:rPr>
                <w:sz w:val="15"/>
                <w:szCs w:val="15"/>
              </w:rPr>
              <w:t xml:space="preserve">IEEE Trans. Inf. Forensics Secur. 2020</w:t>
            </w:r>
          </w:p>
        </w:tc>
        <w:tc>
          <w:tcPr>
            <w:tcW w:type="dxa" w:w="1838"/>
            <w:tcMar>
              <w:top w:type="dxa" w:w="15"/>
              <w:left w:type="dxa" w:w="80"/>
              <w:bottom w:type="dxa" w:w="15"/>
              <w:right w:type="dxa" w:w="80"/>
            </w:tcMar>
            <w:vAlign w:val="top"/>
          </w:tcPr>
          <w:p>
            <w:r>
              <w:rPr>
                <w:b/>
                <w:bCs/>
                <w:color w:val="9A3412"/>
                <w:sz w:val="15"/>
                <w:szCs w:val="15"/>
              </w:rPr>
              <w:t xml:space="preserve">Princeton · CSIRO · SUTD</w:t>
            </w:r>
          </w:p>
        </w:tc>
      </w:tr>
      <w:tr>
        <w:trPr>
          <w:cantSplit/>
        </w:trPr>
        <w:tc>
          <w:tcPr>
            <w:tcW w:type="dxa" w:w="600"/>
            <w:shd w:fill="F7F9FC" w:color="auto" w:val="clear"/>
            <w:tcMar>
              <w:top w:type="dxa" w:w="15"/>
              <w:left w:type="dxa" w:w="80"/>
              <w:bottom w:type="dxa" w:w="15"/>
              <w:right w:type="dxa" w:w="80"/>
            </w:tcMar>
            <w:vAlign w:val="top"/>
          </w:tcPr>
          <w:p>
            <w:r>
              <w:rPr>
                <w:b/>
                <w:bCs/>
                <w:color w:val="5B21B6"/>
                <w:sz w:val="15"/>
                <w:szCs w:val="15"/>
              </w:rPr>
              <w:t xml:space="preserve">G1</w:t>
            </w:r>
          </w:p>
        </w:tc>
        <w:tc>
          <w:tcPr>
            <w:tcW w:type="dxa" w:w="3300"/>
            <w:shd w:fill="F7F9FC" w:color="auto" w:val="clear"/>
            <w:tcMar>
              <w:top w:type="dxa" w:w="15"/>
              <w:left w:type="dxa" w:w="80"/>
              <w:bottom w:type="dxa" w:w="15"/>
              <w:right w:type="dxa" w:w="80"/>
            </w:tcMar>
            <w:vAlign w:val="top"/>
          </w:tcPr>
          <w:p>
            <w:r>
              <w:rPr>
                <w:sz w:val="15"/>
                <w:szCs w:val="15"/>
              </w:rPr>
              <w:t xml:space="preserve">Wang, Yang, Zou, Kwon &amp; Jia (2024)</w:t>
            </w:r>
          </w:p>
        </w:tc>
        <w:tc>
          <w:tcPr>
            <w:tcW w:type="dxa" w:w="3900"/>
            <w:shd w:fill="F7F9FC" w:color="auto" w:val="clear"/>
            <w:tcMar>
              <w:top w:type="dxa" w:w="15"/>
              <w:left w:type="dxa" w:w="80"/>
              <w:bottom w:type="dxa" w:w="15"/>
              <w:right w:type="dxa" w:w="80"/>
            </w:tcMar>
            <w:vAlign w:val="top"/>
          </w:tcPr>
          <w:p>
            <w:r>
              <w:rPr>
                <w:sz w:val="15"/>
                <w:szCs w:val="15"/>
              </w:rPr>
              <w:t xml:space="preserve">ICML 2024</w:t>
            </w:r>
          </w:p>
        </w:tc>
        <w:tc>
          <w:tcPr>
            <w:tcW w:type="dxa" w:w="1838"/>
            <w:shd w:fill="F7F9FC" w:color="auto" w:val="clear"/>
            <w:tcMar>
              <w:top w:type="dxa" w:w="15"/>
              <w:left w:type="dxa" w:w="80"/>
              <w:bottom w:type="dxa" w:w="15"/>
              <w:right w:type="dxa" w:w="80"/>
            </w:tcMar>
            <w:vAlign w:val="top"/>
          </w:tcPr>
          <w:p>
            <w:r>
              <w:rPr>
                <w:b/>
                <w:bCs/>
                <w:color w:val="5B21B6"/>
                <w:sz w:val="15"/>
                <w:szCs w:val="15"/>
              </w:rPr>
              <w:t xml:space="preserve">Princeton · Stanford · Columbia · Virginia Tech · ECNU</w:t>
            </w:r>
          </w:p>
        </w:tc>
      </w:tr>
      <w:tr>
        <w:trPr>
          <w:cantSplit/>
        </w:trPr>
        <w:tc>
          <w:tcPr>
            <w:tcW w:type="dxa" w:w="600"/>
            <w:tcMar>
              <w:top w:type="dxa" w:w="15"/>
              <w:left w:type="dxa" w:w="80"/>
              <w:bottom w:type="dxa" w:w="15"/>
              <w:right w:type="dxa" w:w="80"/>
            </w:tcMar>
            <w:vAlign w:val="top"/>
          </w:tcPr>
          <w:p>
            <w:r>
              <w:rPr>
                <w:b/>
                <w:bCs/>
                <w:color w:val="5B21B6"/>
                <w:sz w:val="15"/>
                <w:szCs w:val="15"/>
              </w:rPr>
              <w:t xml:space="preserve">G2</w:t>
            </w:r>
          </w:p>
        </w:tc>
        <w:tc>
          <w:tcPr>
            <w:tcW w:type="dxa" w:w="3300"/>
            <w:tcMar>
              <w:top w:type="dxa" w:w="15"/>
              <w:left w:type="dxa" w:w="80"/>
              <w:bottom w:type="dxa" w:w="15"/>
              <w:right w:type="dxa" w:w="80"/>
            </w:tcMar>
            <w:vAlign w:val="top"/>
          </w:tcPr>
          <w:p>
            <w:r>
              <w:rPr>
                <w:sz w:val="15"/>
                <w:szCs w:val="15"/>
              </w:rPr>
              <w:t xml:space="preserve">Agarwal, Dahleh, Horel &amp; Rui (2024)</w:t>
            </w:r>
          </w:p>
        </w:tc>
        <w:tc>
          <w:tcPr>
            <w:tcW w:type="dxa" w:w="3900"/>
            <w:tcMar>
              <w:top w:type="dxa" w:w="15"/>
              <w:left w:type="dxa" w:w="80"/>
              <w:bottom w:type="dxa" w:w="15"/>
              <w:right w:type="dxa" w:w="80"/>
            </w:tcMar>
            <w:vAlign w:val="top"/>
          </w:tcPr>
          <w:p>
            <w:r>
              <w:rPr>
                <w:sz w:val="15"/>
                <w:szCs w:val="15"/>
              </w:rPr>
              <w:t xml:space="preserve">Games Econ. Behav. 2024</w:t>
            </w:r>
          </w:p>
        </w:tc>
        <w:tc>
          <w:tcPr>
            <w:tcW w:type="dxa" w:w="1838"/>
            <w:tcMar>
              <w:top w:type="dxa" w:w="15"/>
              <w:left w:type="dxa" w:w="80"/>
              <w:bottom w:type="dxa" w:w="15"/>
              <w:right w:type="dxa" w:w="80"/>
            </w:tcMar>
            <w:vAlign w:val="top"/>
          </w:tcPr>
          <w:p>
            <w:r>
              <w:rPr>
                <w:b/>
                <w:bCs/>
                <w:color w:val="5B21B6"/>
                <w:sz w:val="15"/>
                <w:szCs w:val="15"/>
              </w:rPr>
              <w:t xml:space="preserve">MIT</w:t>
            </w:r>
          </w:p>
        </w:tc>
      </w:tr>
      <w:tr>
        <w:trPr>
          <w:cantSplit/>
        </w:trPr>
        <w:tc>
          <w:tcPr>
            <w:tcW w:type="dxa" w:w="600"/>
            <w:shd w:fill="F7F9FC" w:color="auto" w:val="clear"/>
            <w:tcMar>
              <w:top w:type="dxa" w:w="15"/>
              <w:left w:type="dxa" w:w="80"/>
              <w:bottom w:type="dxa" w:w="15"/>
              <w:right w:type="dxa" w:w="80"/>
            </w:tcMar>
            <w:vAlign w:val="top"/>
          </w:tcPr>
          <w:p>
            <w:r>
              <w:rPr>
                <w:b/>
                <w:bCs/>
                <w:color w:val="5B21B6"/>
                <w:sz w:val="15"/>
                <w:szCs w:val="15"/>
              </w:rPr>
              <w:t xml:space="preserve">G3</w:t>
            </w:r>
          </w:p>
        </w:tc>
        <w:tc>
          <w:tcPr>
            <w:tcW w:type="dxa" w:w="3300"/>
            <w:shd w:fill="F7F9FC" w:color="auto" w:val="clear"/>
            <w:tcMar>
              <w:top w:type="dxa" w:w="15"/>
              <w:left w:type="dxa" w:w="80"/>
              <w:bottom w:type="dxa" w:w="15"/>
              <w:right w:type="dxa" w:w="80"/>
            </w:tcMar>
            <w:vAlign w:val="top"/>
          </w:tcPr>
          <w:p>
            <w:r>
              <w:rPr>
                <w:sz w:val="15"/>
                <w:szCs w:val="15"/>
              </w:rPr>
              <w:t xml:space="preserve">Hardt, Mazumdar, Mendler-Dünner &amp; Zrnic (2023)</w:t>
            </w:r>
          </w:p>
        </w:tc>
        <w:tc>
          <w:tcPr>
            <w:tcW w:type="dxa" w:w="3900"/>
            <w:shd w:fill="F7F9FC" w:color="auto" w:val="clear"/>
            <w:tcMar>
              <w:top w:type="dxa" w:w="15"/>
              <w:left w:type="dxa" w:w="80"/>
              <w:bottom w:type="dxa" w:w="15"/>
              <w:right w:type="dxa" w:w="80"/>
            </w:tcMar>
            <w:vAlign w:val="top"/>
          </w:tcPr>
          <w:p>
            <w:r>
              <w:rPr>
                <w:sz w:val="15"/>
                <w:szCs w:val="15"/>
              </w:rPr>
              <w:t xml:space="preserve">ICML 2023</w:t>
            </w:r>
          </w:p>
        </w:tc>
        <w:tc>
          <w:tcPr>
            <w:tcW w:type="dxa" w:w="1838"/>
            <w:shd w:fill="F7F9FC" w:color="auto" w:val="clear"/>
            <w:tcMar>
              <w:top w:type="dxa" w:w="15"/>
              <w:left w:type="dxa" w:w="80"/>
              <w:bottom w:type="dxa" w:w="15"/>
              <w:right w:type="dxa" w:w="80"/>
            </w:tcMar>
            <w:vAlign w:val="top"/>
          </w:tcPr>
          <w:p>
            <w:r>
              <w:rPr>
                <w:b/>
                <w:bCs/>
                <w:color w:val="5B21B6"/>
                <w:sz w:val="15"/>
                <w:szCs w:val="15"/>
              </w:rPr>
              <w:t xml:space="preserve">Caltech · MPI-IS Tübingen</w:t>
            </w:r>
          </w:p>
        </w:tc>
      </w:tr>
      <w:tr>
        <w:trPr>
          <w:cantSplit/>
        </w:trPr>
        <w:tc>
          <w:tcPr>
            <w:tcW w:type="dxa" w:w="600"/>
            <w:tcMar>
              <w:top w:type="dxa" w:w="15"/>
              <w:left w:type="dxa" w:w="80"/>
              <w:bottom w:type="dxa" w:w="15"/>
              <w:right w:type="dxa" w:w="80"/>
            </w:tcMar>
            <w:vAlign w:val="top"/>
          </w:tcPr>
          <w:p>
            <w:r>
              <w:rPr>
                <w:b/>
                <w:bCs/>
                <w:color w:val="5B21B6"/>
                <w:sz w:val="15"/>
                <w:szCs w:val="15"/>
              </w:rPr>
              <w:t xml:space="preserve">G4</w:t>
            </w:r>
          </w:p>
        </w:tc>
        <w:tc>
          <w:tcPr>
            <w:tcW w:type="dxa" w:w="3300"/>
            <w:tcMar>
              <w:top w:type="dxa" w:w="15"/>
              <w:left w:type="dxa" w:w="80"/>
              <w:bottom w:type="dxa" w:w="15"/>
              <w:right w:type="dxa" w:w="80"/>
            </w:tcMar>
            <w:vAlign w:val="top"/>
          </w:tcPr>
          <w:p>
            <w:r>
              <w:rPr>
                <w:sz w:val="15"/>
                <w:szCs w:val="15"/>
              </w:rPr>
              <w:t xml:space="preserve">Zrnic, Mazumdar, Sastry &amp; Jordan (2021)</w:t>
            </w:r>
          </w:p>
        </w:tc>
        <w:tc>
          <w:tcPr>
            <w:tcW w:type="dxa" w:w="3900"/>
            <w:tcMar>
              <w:top w:type="dxa" w:w="15"/>
              <w:left w:type="dxa" w:w="80"/>
              <w:bottom w:type="dxa" w:w="15"/>
              <w:right w:type="dxa" w:w="80"/>
            </w:tcMar>
            <w:vAlign w:val="top"/>
          </w:tcPr>
          <w:p>
            <w:r>
              <w:rPr>
                <w:sz w:val="15"/>
                <w:szCs w:val="15"/>
              </w:rPr>
              <w:t xml:space="preserve">NeurIPS 2021</w:t>
            </w:r>
          </w:p>
        </w:tc>
        <w:tc>
          <w:tcPr>
            <w:tcW w:type="dxa" w:w="1838"/>
            <w:tcMar>
              <w:top w:type="dxa" w:w="15"/>
              <w:left w:type="dxa" w:w="80"/>
              <w:bottom w:type="dxa" w:w="15"/>
              <w:right w:type="dxa" w:w="80"/>
            </w:tcMar>
            <w:vAlign w:val="top"/>
          </w:tcPr>
          <w:p>
            <w:r>
              <w:rPr>
                <w:b/>
                <w:bCs/>
                <w:color w:val="5B21B6"/>
                <w:sz w:val="15"/>
                <w:szCs w:val="15"/>
              </w:rPr>
              <w:t xml:space="preserve">Caltech · UC Berkeley</w:t>
            </w:r>
          </w:p>
        </w:tc>
      </w:tr>
      <w:tr>
        <w:trPr>
          <w:cantSplit/>
        </w:trPr>
        <w:tc>
          <w:tcPr>
            <w:tcW w:type="dxa" w:w="600"/>
            <w:shd w:fill="F7F9FC" w:color="auto" w:val="clear"/>
            <w:tcMar>
              <w:top w:type="dxa" w:w="15"/>
              <w:left w:type="dxa" w:w="80"/>
              <w:bottom w:type="dxa" w:w="15"/>
              <w:right w:type="dxa" w:w="80"/>
            </w:tcMar>
            <w:vAlign w:val="top"/>
          </w:tcPr>
          <w:p>
            <w:r>
              <w:rPr>
                <w:b/>
                <w:bCs/>
                <w:color w:val="5B21B6"/>
                <w:sz w:val="15"/>
                <w:szCs w:val="15"/>
              </w:rPr>
              <w:t xml:space="preserve">G5</w:t>
            </w:r>
          </w:p>
        </w:tc>
        <w:tc>
          <w:tcPr>
            <w:tcW w:type="dxa" w:w="3300"/>
            <w:shd w:fill="F7F9FC" w:color="auto" w:val="clear"/>
            <w:tcMar>
              <w:top w:type="dxa" w:w="15"/>
              <w:left w:type="dxa" w:w="80"/>
              <w:bottom w:type="dxa" w:w="15"/>
              <w:right w:type="dxa" w:w="80"/>
            </w:tcMar>
            <w:vAlign w:val="top"/>
          </w:tcPr>
          <w:p>
            <w:r>
              <w:rPr>
                <w:sz w:val="15"/>
                <w:szCs w:val="15"/>
              </w:rPr>
              <w:t xml:space="preserve">Chen, Liu &amp; Podimata (2020)</w:t>
            </w:r>
          </w:p>
        </w:tc>
        <w:tc>
          <w:tcPr>
            <w:tcW w:type="dxa" w:w="3900"/>
            <w:shd w:fill="F7F9FC" w:color="auto" w:val="clear"/>
            <w:tcMar>
              <w:top w:type="dxa" w:w="15"/>
              <w:left w:type="dxa" w:w="80"/>
              <w:bottom w:type="dxa" w:w="15"/>
              <w:right w:type="dxa" w:w="80"/>
            </w:tcMar>
            <w:vAlign w:val="top"/>
          </w:tcPr>
          <w:p>
            <w:r>
              <w:rPr>
                <w:sz w:val="15"/>
                <w:szCs w:val="15"/>
              </w:rPr>
              <w:t xml:space="preserve">NeurIPS 2020</w:t>
            </w:r>
          </w:p>
        </w:tc>
        <w:tc>
          <w:tcPr>
            <w:tcW w:type="dxa" w:w="1838"/>
            <w:shd w:fill="F7F9FC" w:color="auto" w:val="clear"/>
            <w:tcMar>
              <w:top w:type="dxa" w:w="15"/>
              <w:left w:type="dxa" w:w="80"/>
              <w:bottom w:type="dxa" w:w="15"/>
              <w:right w:type="dxa" w:w="80"/>
            </w:tcMar>
            <w:vAlign w:val="top"/>
          </w:tcPr>
          <w:p>
            <w:r>
              <w:rPr>
                <w:b/>
                <w:bCs/>
                <w:color w:val="5B21B6"/>
                <w:sz w:val="15"/>
                <w:szCs w:val="15"/>
              </w:rPr>
              <w:t xml:space="preserve">Harvard · UC Santa Cruz</w:t>
            </w:r>
          </w:p>
        </w:tc>
      </w:tr>
    </w:tbl>
    <w:p>
      <w:pPr>
        <w:spacing w:after="160"/>
      </w:pPr>
    </w:p>
    <w:p>
      <w:pPr>
        <w:pStyle w:val="Heading1"/>
      </w:pPr>
      <w:r>
        <w:rPr>
          <w:color w:val="1E3A8A"/>
        </w:rPr>
        <w:t xml:space="preserve">4. Sequential and adaptive data acquisition</w:t>
      </w:r>
    </w:p>
    <w:p>
      <w:pPr>
        <w:spacing w:after="120"/>
        <w:jc w:val="both"/>
      </w:pPr>
      <w:r>
        <w:t xml:space="preserve">Five groups ask what to acquire next. Stephen Huan, Joseph Guinness, Matthias Katzfuss, Houman Owhadi and Florian Schäfer select conditioning points greedily by mutual information [S1]; He Sun, Adrian Dalca and Katherine Bouman learn a probabilistic strategy over sets of sensors [S2]; Sue Zheng, David Hayden, Jason Pacheco and John Fisher bound mutual information from both sides to design sequential experiments cheaply [S3]; Jannik Kossen, Sebastian Farquhar, Yarin Gal and Tom Rainforth choose which test labels to buy [S4]; and Hedyeh Beyhaghi and Linda Cai solve Pandora's problem with optional inspection [S5].</w:t>
      </w:r>
    </w:p>
    <w:p>
      <w:pPr>
        <w:keepNext/>
        <w:pBdr>
          <w:top w:val="single" w:color="1E3A8A" w:sz="6" w:space="4"/>
        </w:pBdr>
        <w:spacing w:after="60" w:before="220"/>
      </w:pPr>
      <w:r>
        <w:rPr>
          <w:b/>
          <w:bCs/>
          <w:color w:val="1E3A8A"/>
          <w:sz w:val="23"/>
          <w:szCs w:val="23"/>
        </w:rPr>
        <w:t xml:space="preserve">S1  </w:t>
      </w:r>
      <w:r>
        <w:rPr>
          <w:b/>
          <w:bCs/>
          <w:color w:val="1F3864"/>
          <w:sz w:val="23"/>
          <w:szCs w:val="23"/>
        </w:rPr>
        <w:t xml:space="preserve">Sparse Inverse Cholesky Factorization of Dense Kernel Matrices by Greedy Conditional Selection</w:t>
      </w:r>
    </w:p>
    <w:p>
      <w:pPr>
        <w:keepNext/>
        <w:spacing w:after="60" w:line="240" w:lineRule="auto"/>
      </w:pPr>
      <w:r>
        <w:rPr>
          <w:b/>
          <w:bCs/>
          <w:color w:val="333B47"/>
          <w:sz w:val="15"/>
          <w:szCs w:val="15"/>
        </w:rPr>
        <w:t xml:space="preserve">Authors: </w:t>
      </w:r>
      <w:r>
        <w:rPr>
          <w:sz w:val="15"/>
          <w:szCs w:val="15"/>
        </w:rPr>
        <w:t xml:space="preserve">Stephen Huan, Joseph Guinness, Matthias Katzfuss, Houman Owhadi, Florian Schäfer</w:t>
      </w:r>
      <w:r>
        <w:rPr>
          <w:sz w:val="15"/>
          <w:szCs w:val="15"/>
        </w:rPr>
        <w:t xml:space="preserve">   </w:t>
      </w:r>
      <w:r>
        <w:rPr>
          <w:b/>
          <w:bCs/>
          <w:color w:val="333B47"/>
          <w:sz w:val="15"/>
          <w:szCs w:val="15"/>
        </w:rPr>
        <w:t xml:space="preserve">Published in: </w:t>
      </w:r>
      <w:r>
        <w:rPr>
          <w:sz w:val="15"/>
          <w:szCs w:val="15"/>
        </w:rPr>
        <w:t xml:space="preserve">SIAM/ASA Journal on Uncertainty Quantification, 13(3), 1649–1679 (2025)</w:t>
      </w:r>
      <w:r>
        <w:rPr>
          <w:sz w:val="15"/>
          <w:szCs w:val="15"/>
        </w:rPr>
        <w:t xml:space="preserve">   </w:t>
      </w:r>
      <w:r>
        <w:rPr>
          <w:b/>
          <w:bCs/>
          <w:color w:val="333B47"/>
          <w:sz w:val="15"/>
          <w:szCs w:val="15"/>
        </w:rPr>
        <w:t xml:space="preserve">Link: </w:t>
      </w:r>
      <w:hyperlink w:history="1" r:id="rIdf52tfh0a_on7alrgvh-ga">
        <w:r>
          <w:rPr>
            <w:color w:val="1D4ED8"/>
            <w:sz w:val="15"/>
            <w:szCs w:val="15"/>
            <w:u w:val="single"/>
          </w:rPr>
          <w:t xml:space="preserve">https://doi.org/10.1137/23M1606253</w:t>
        </w:r>
      </w:hyperlink>
    </w:p>
    <w:p>
      <w:pPr>
        <w:keepNext/>
        <w:spacing w:after="80" w:line="240" w:lineRule="auto"/>
      </w:pPr>
      <w:r>
        <w:rPr>
          <w:b/>
          <w:bCs/>
          <w:color w:val="333B47"/>
          <w:sz w:val="15"/>
          <w:szCs w:val="15"/>
        </w:rPr>
        <w:t xml:space="preserve">Affiliation: </w:t>
      </w:r>
      <w:r>
        <w:rPr>
          <w:color w:val="3A4350"/>
          <w:sz w:val="15"/>
          <w:szCs w:val="15"/>
        </w:rPr>
        <w:t xml:space="preserve">Houman Owhadi, Professor of Applied and Computational Mathematics, California Institute of Technology (his Wikipedia entry and the Caltech Library people feed, seen in searches); Stephen Huan, Georgia Tech (B.S. 2024, Krell CSGF profile); the paper is also listed on the Washington University in St. Louis profile of Guinness. The paper's own affiliation block was not seen. Volume, issue and pages from the WashU profile and dblp; DOI from the SIAM listing. The arXiv version (2307.11648) was titled "Sparse Cholesky factorization by greedy conditional selection".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1E3A8A"/>
          <w:sz w:val="17"/>
          <w:szCs w:val="17"/>
        </w:rPr>
        <w:t xml:space="preserve">Summary. </w:t>
      </w:r>
      <w:r>
        <w:rPr>
          <w:sz w:val="17"/>
          <w:szCs w:val="17"/>
        </w:rPr>
        <w:t xml:space="preserve">A sparse approximate inverse Cholesky factor of a kernel matrix needs, for each column, a small set of points to condition on; earlier Vecchia-type methods pick them by geometry (nearest neighbours). The paper picks them greedily: each step adds the point that maximises the mutual information with the target point(s), conditional on all points already selected; for one Gaussian target this is the point that most reduces the target's conditional variance. Keeping a partial Cholesky factor cuts the cost of selecting </w:t>
      </w:r>
      <m:oMath>
        <m:r>
          <m:t>k</m:t>
        </m:r>
      </m:oMath>
      <w:r>
        <w:rPr>
          <w:sz w:val="17"/>
          <w:szCs w:val="17"/>
        </w:rPr>
        <w:t xml:space="preserve"> of </w:t>
      </w:r>
      <m:oMath>
        <m:r>
          <m:t>N</m:t>
        </m:r>
      </m:oMath>
      <w:r>
        <w:rPr>
          <w:sz w:val="17"/>
          <w:szCs w:val="17"/>
        </w:rPr>
        <w:t xml:space="preserve"> points from </w:t>
      </w:r>
      <m:oMath>
        <m:r>
          <m:t>O</m:t>
        </m:r>
        <m:d>
          <m:dPr>
            <m:begChr m:val="("/>
            <m:sepChr m:val=""/>
            <m:endChr m:val=")"/>
            <m:grow/>
          </m:dPr>
          <m:e>
            <m:r>
              <m:t>N</m:t>
            </m:r>
            <m:sSup>
              <m:e>
                <m:r>
                  <m:t>k</m:t>
                </m:r>
              </m:e>
              <m:sup>
                <m:r>
                  <m:t>4</m:t>
                </m:r>
              </m:sup>
            </m:sSup>
          </m:e>
        </m:d>
      </m:oMath>
      <w:r>
        <w:rPr>
          <w:sz w:val="17"/>
          <w:szCs w:val="17"/>
        </w:rPr>
        <w:t xml:space="preserve"> to </w:t>
      </w:r>
      <m:oMath>
        <m:r>
          <m:t>O</m:t>
        </m:r>
        <m:d>
          <m:dPr>
            <m:begChr m:val="("/>
            <m:sepChr m:val=""/>
            <m:endChr m:val=")"/>
            <m:grow/>
          </m:dPr>
          <m:e>
            <m:r>
              <m:t>N</m:t>
            </m:r>
            <m:sSup>
              <m:e>
                <m:r>
                  <m:t>k</m:t>
                </m:r>
              </m:e>
              <m:sup>
                <m:r>
                  <m:t>2</m:t>
                </m:r>
              </m:sup>
            </m:sSup>
          </m:e>
        </m:d>
      </m:oMath>
      <w:r>
        <w:rPr>
          <w:sz w:val="17"/>
          <w:szCs w:val="17"/>
        </w:rPr>
        <w:t xml:space="preserve">. On Cholesky factorisation, Gaussian-process regression and preconditioned conjugate gradients it improves on </w:t>
      </w:r>
      <m:oMath>
        <m:r>
          <m:t>k</m:t>
        </m:r>
      </m:oMath>
      <w:r>
        <w:rPr>
          <w:sz w:val="17"/>
          <w:szCs w:val="17"/>
        </w:rPr>
        <w:t xml:space="preserve">-nearest-neighbour selection.</w:t>
      </w:r>
    </w:p>
    <w:p>
      <w:pPr>
        <w:keepNext/>
        <w:spacing w:after="20" w:before="40"/>
      </w:pPr>
      <w:r>
        <w:rPr>
          <w:b/>
          <w:bCs/>
          <w:color w:val="1E3A8A"/>
          <w:sz w:val="17"/>
          <w:szCs w:val="17"/>
        </w:rPr>
        <w:t xml:space="preserve">Key equation.</w:t>
      </w:r>
      <w:r>
        <w:rPr>
          <w:i/>
          <w:iCs/>
          <w:color w:val="5B6573"/>
          <w:sz w:val="15"/>
          <w:szCs w:val="15"/>
        </w:rPr>
        <w:t xml:space="preserve">  Greedy conditional selection: the next point maximises the conditional mutual information with the target, i.e. the reduction of its conditional variance (representative formulation)</w:t>
      </w:r>
    </w:p>
    <w:p>
      <w:pPr>
        <w:pStyle w:val="Equation"/>
      </w:pPr>
      <m:oMathPara>
        <m:oMathParaPr>
          <m:jc m:val="center"/>
        </m:oMathParaPr>
        <m:oMath>
          <m:sSub>
            <m:e>
              <m:r>
                <m:t>j</m:t>
              </m:r>
            </m:e>
            <m:sub>
              <m:r>
                <m:t>k</m:t>
              </m:r>
              <m:r>
                <m:rPr>
                  <m:sty m:val="p"/>
                </m:rPr>
                <m:t>+</m:t>
              </m:r>
              <m:r>
                <m:t>1</m:t>
              </m:r>
            </m:sub>
          </m:sSub>
          <m:r>
            <m:rPr>
              <m:sty m:val="p"/>
            </m:rPr>
            <m:t>=</m:t>
          </m:r>
          <m:r>
            <m:rPr>
              <m:sty m:val="p"/>
            </m:rPr>
            <m:t>arg</m:t>
          </m:r>
          <m:limLow>
            <m:e>
              <m:r>
                <m:rPr>
                  <m:sty m:val="p"/>
                </m:rPr>
                <m:t>max</m:t>
              </m:r>
            </m:e>
            <m:lim>
              <m:r>
                <m:t>j</m:t>
              </m:r>
              <m:r>
                <m:rPr>
                  <m:sty m:val="p"/>
                </m:rPr>
                <m:t>∉</m:t>
              </m:r>
              <m:sSub>
                <m:e>
                  <m:r>
                    <m:t>S</m:t>
                  </m:r>
                </m:e>
                <m:sub>
                  <m:r>
                    <m:t>k</m:t>
                  </m:r>
                </m:sub>
              </m:sSub>
            </m:lim>
          </m:limLow>
          <m:r>
            <m:t>I</m:t>
          </m:r>
          <m:d>
            <m:dPr>
              <m:begChr m:val="("/>
              <m:sepChr m:val=""/>
              <m:endChr m:val=")"/>
              <m:grow/>
            </m:dPr>
            <m:e>
              <m:sSub>
                <m:e>
                  <m:r>
                    <m:t>y</m:t>
                  </m:r>
                </m:e>
                <m:sub>
                  <m:r>
                    <m:t>t</m:t>
                  </m:r>
                </m:sub>
              </m:sSub>
              <m:r>
                <m:rPr>
                  <m:sty m:val="p"/>
                </m:rPr>
                <m:t>;</m:t>
              </m:r>
              <m:sSub>
                <m:e>
                  <m:r>
                    <m:t>y</m:t>
                  </m:r>
                </m:e>
                <m:sub>
                  <m:r>
                    <m:t>j</m:t>
                  </m:r>
                </m:sub>
              </m:sSub>
              <m:r>
                <m:rPr>
                  <m:sty m:val="p"/>
                </m:rPr>
                <m:t>∣</m:t>
              </m:r>
              <m:sSub>
                <m:e>
                  <m:r>
                    <m:t>y</m:t>
                  </m:r>
                </m:e>
                <m:sub>
                  <m:sSub>
                    <m:e>
                      <m:r>
                        <m:t>S</m:t>
                      </m:r>
                    </m:e>
                    <m:sub>
                      <m:r>
                        <m:t>k</m:t>
                      </m:r>
                    </m:sub>
                  </m:sSub>
                </m:sub>
              </m:sSub>
            </m:e>
          </m:d>
          <m:r>
            <m:rPr>
              <m:sty m:val="p"/>
            </m:rPr>
            <m:t>=</m:t>
          </m:r>
          <m:r>
            <m:rPr>
              <m:sty m:val="p"/>
            </m:rPr>
            <m:t>arg</m:t>
          </m:r>
          <m:limLow>
            <m:e>
              <m:r>
                <m:rPr>
                  <m:sty m:val="p"/>
                </m:rPr>
                <m:t>max</m:t>
              </m:r>
            </m:e>
            <m:lim>
              <m:r>
                <m:t>j</m:t>
              </m:r>
              <m:r>
                <m:rPr>
                  <m:sty m:val="p"/>
                </m:rPr>
                <m:t>∉</m:t>
              </m:r>
              <m:sSub>
                <m:e>
                  <m:r>
                    <m:t>S</m:t>
                  </m:r>
                </m:e>
                <m:sub>
                  <m:r>
                    <m:t>k</m:t>
                  </m:r>
                </m:sub>
              </m:sSub>
            </m:lim>
          </m:limLow>
          <m:f>
            <m:fPr>
              <m:type m:val="bar"/>
            </m:fPr>
            <m:num>
              <m:sSubSup>
                <m:e>
                  <m:r>
                    <m:t>Θ</m:t>
                  </m:r>
                </m:e>
                <m:sub>
                  <m:r>
                    <m:t>t</m:t>
                  </m:r>
                  <m:r>
                    <m:t>j</m:t>
                  </m:r>
                  <m:r>
                    <m:rPr>
                      <m:sty m:val="p"/>
                    </m:rPr>
                    <m:t>∣</m:t>
                  </m:r>
                  <m:sSub>
                    <m:e>
                      <m:r>
                        <m:t>S</m:t>
                      </m:r>
                    </m:e>
                    <m:sub>
                      <m:r>
                        <m:t>k</m:t>
                      </m:r>
                    </m:sub>
                  </m:sSub>
                </m:sub>
                <m:sup>
                  <m:r>
                    <m:t>2</m:t>
                  </m:r>
                </m:sup>
              </m:sSubSup>
            </m:num>
            <m:den>
              <m:sSub>
                <m:e>
                  <m:r>
                    <m:t>Θ</m:t>
                  </m:r>
                </m:e>
                <m:sub>
                  <m:r>
                    <m:t>j</m:t>
                  </m:r>
                  <m:r>
                    <m:t>j</m:t>
                  </m:r>
                  <m:r>
                    <m:rPr>
                      <m:sty m:val="p"/>
                    </m:rPr>
                    <m:t>∣</m:t>
                  </m:r>
                  <m:sSub>
                    <m:e>
                      <m:r>
                        <m:t>S</m:t>
                      </m:r>
                    </m:e>
                    <m:sub>
                      <m:r>
                        <m:t>k</m:t>
                      </m:r>
                    </m:sub>
                  </m:sSub>
                </m:sub>
              </m:sSub>
            </m:den>
          </m:f>
        </m:oMath>
      </m:oMathPara>
    </w:p>
    <w:p>
      <w:pPr>
        <w:spacing w:after="60"/>
        <w:jc w:val="both"/>
      </w:pPr>
      <m:oMath>
        <m:r>
          <m:t>y</m:t>
        </m:r>
      </m:oMath>
      <w:r>
        <w:rPr>
          <w:color w:val="3A4350"/>
          <w:sz w:val="15"/>
          <w:szCs w:val="15"/>
        </w:rPr>
        <w:t xml:space="preserve"> is a Gaussian process whose kernel (Gram) matrix is </w:t>
      </w:r>
      <m:oMath>
        <m:r>
          <m:t>Θ</m:t>
        </m:r>
      </m:oMath>
      <w:r>
        <w:rPr>
          <w:color w:val="3A4350"/>
          <w:sz w:val="15"/>
          <w:szCs w:val="15"/>
        </w:rPr>
        <w:t xml:space="preserve">, </w:t>
      </w:r>
      <m:oMath>
        <m:r>
          <m:t>t</m:t>
        </m:r>
      </m:oMath>
      <w:r>
        <w:rPr>
          <w:color w:val="3A4350"/>
          <w:sz w:val="15"/>
          <w:szCs w:val="15"/>
        </w:rPr>
        <w:t xml:space="preserve"> is the target point, </w:t>
      </w:r>
      <m:oMath>
        <m:sSub>
          <m:e>
            <m:r>
              <m:t>S</m:t>
            </m:r>
          </m:e>
          <m:sub>
            <m:r>
              <m:t>k</m:t>
            </m:r>
          </m:sub>
        </m:sSub>
      </m:oMath>
      <w:r>
        <w:rPr>
          <w:color w:val="3A4350"/>
          <w:sz w:val="15"/>
          <w:szCs w:val="15"/>
        </w:rPr>
        <w:t xml:space="preserve"> the </w:t>
      </w:r>
      <m:oMath>
        <m:r>
          <m:t>k</m:t>
        </m:r>
      </m:oMath>
      <w:r>
        <w:rPr>
          <w:color w:val="3A4350"/>
          <w:sz w:val="15"/>
          <w:szCs w:val="15"/>
        </w:rPr>
        <w:t xml:space="preserve"> points already selected and </w:t>
      </w:r>
      <m:oMath>
        <m:sSub>
          <m:e>
            <m:r>
              <m:t>Θ</m:t>
            </m:r>
          </m:e>
          <m:sub>
            <m:r>
              <m:t>a</m:t>
            </m:r>
            <m:r>
              <m:t>b</m:t>
            </m:r>
            <m:r>
              <m:rPr>
                <m:sty m:val="p"/>
              </m:rPr>
              <m:t>∣</m:t>
            </m:r>
            <m:sSub>
              <m:e>
                <m:r>
                  <m:t>S</m:t>
                </m:r>
              </m:e>
              <m:sub>
                <m:r>
                  <m:t>k</m:t>
                </m:r>
              </m:sub>
            </m:sSub>
          </m:sub>
        </m:sSub>
      </m:oMath>
      <w:r>
        <w:rPr>
          <w:color w:val="3A4350"/>
          <w:sz w:val="15"/>
          <w:szCs w:val="15"/>
        </w:rPr>
        <w:t xml:space="preserve"> the covariance of </w:t>
      </w:r>
      <m:oMath>
        <m:sSub>
          <m:e>
            <m:r>
              <m:t>y</m:t>
            </m:r>
          </m:e>
          <m:sub>
            <m:r>
              <m:t>a</m:t>
            </m:r>
          </m:sub>
        </m:sSub>
      </m:oMath>
      <w:r>
        <w:rPr>
          <w:color w:val="3A4350"/>
          <w:sz w:val="15"/>
          <w:szCs w:val="15"/>
        </w:rPr>
        <w:t xml:space="preserve"> and </w:t>
      </w:r>
      <m:oMath>
        <m:sSub>
          <m:e>
            <m:r>
              <m:t>y</m:t>
            </m:r>
          </m:e>
          <m:sub>
            <m:r>
              <m:t>b</m:t>
            </m:r>
          </m:sub>
        </m:sSub>
      </m:oMath>
      <w:r>
        <w:rPr>
          <w:color w:val="3A4350"/>
          <w:sz w:val="15"/>
          <w:szCs w:val="15"/>
        </w:rPr>
        <w:t xml:space="preserve"> conditional on </w:t>
      </w:r>
      <m:oMath>
        <m:sSub>
          <m:e>
            <m:r>
              <m:t>y</m:t>
            </m:r>
          </m:e>
          <m:sub>
            <m:sSub>
              <m:e>
                <m:r>
                  <m:t>S</m:t>
                </m:r>
              </m:e>
              <m:sub>
                <m:r>
                  <m:t>k</m:t>
                </m:r>
              </m:sub>
            </m:sSub>
          </m:sub>
        </m:sSub>
      </m:oMath>
      <w:r>
        <w:rPr>
          <w:color w:val="3A4350"/>
          <w:sz w:val="15"/>
          <w:szCs w:val="15"/>
        </w:rPr>
        <w:t xml:space="preserve">, read off a partial Cholesky factor.</w:t>
      </w:r>
    </w:p>
    <w:p>
      <w:pPr>
        <w:spacing w:after="60"/>
        <w:jc w:val="both"/>
      </w:pPr>
      <w:r>
        <w:rPr>
          <w:b/>
          <w:bCs/>
          <w:color w:val="1E3A8A"/>
          <w:sz w:val="17"/>
          <w:szCs w:val="17"/>
        </w:rPr>
        <w:t xml:space="preserve">Link to the Fushë-Kuqe record holders. </w:t>
      </w:r>
      <w:r>
        <w:rPr>
          <w:sz w:val="17"/>
          <w:szCs w:val="17"/>
        </w:rPr>
        <w:t xml:space="preserve">Belongs to theme S (sequential and adaptive data acquisition). The rule needs only the kernel Gram matrix, which the companion innovation keeps in secret shares. With coastal wells near the saltwater toe as targets and other holders' wells as candidates, it picks the next record to merge given those already merged, so a well that repeats merged information scores low.</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choice of which points to condition on into greedy Bayesian experimental design with an exact </w:t>
      </w:r>
      <m:oMath>
        <m:r>
          <m:t>O</m:t>
        </m:r>
        <m:d>
          <m:dPr>
            <m:begChr m:val="("/>
            <m:sepChr m:val=""/>
            <m:endChr m:val=")"/>
            <m:grow/>
          </m:dPr>
          <m:e>
            <m:r>
              <m:t>N</m:t>
            </m:r>
            <m:sSup>
              <m:e>
                <m:r>
                  <m:t>k</m:t>
                </m:r>
              </m:e>
              <m:sup>
                <m:r>
                  <m:t>2</m:t>
                </m:r>
              </m:sup>
            </m:sSup>
          </m:e>
        </m:d>
      </m:oMath>
      <w:r>
        <w:rPr>
          <w:sz w:val="17"/>
          <w:szCs w:val="17"/>
        </w:rPr>
        <w:t xml:space="preserve"> update, replacing geometric nearest-neighbour rules. It extends the KL-optimal sparse Cholesky framework of Schäfer, Katzfuss and Owhadi and appeared in the SIAM/ASA uncertainty-quantification journal.</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selection is greedy and myopic on a fixed Gaussian model, with no bound against the best set and no cost or privacy. Whether it keeps its value when candidates come in holder-sized blocks, under secret sharing and differential-privacy noise,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greedy selection by conditional mutual information with targets, with a partial-Cholesky update that cuts selection from </w:t>
      </w:r>
      <m:oMath>
        <m:r>
          <m:t>O</m:t>
        </m:r>
        <m:d>
          <m:dPr>
            <m:begChr m:val="("/>
            <m:sepChr m:val=""/>
            <m:endChr m:val=")"/>
            <m:grow/>
          </m:dPr>
          <m:e>
            <m:r>
              <m:t>N</m:t>
            </m:r>
            <m:sSup>
              <m:e>
                <m:r>
                  <m:t>k</m:t>
                </m:r>
              </m:e>
              <m:sup>
                <m:r>
                  <m:t>4</m:t>
                </m:r>
              </m:sup>
            </m:sSup>
          </m:e>
        </m:d>
      </m:oMath>
      <w:r>
        <w:rPr>
          <w:sz w:val="17"/>
          <w:szCs w:val="17"/>
        </w:rPr>
        <w:t xml:space="preserve"> to </w:t>
      </w:r>
      <m:oMath>
        <m:r>
          <m:t>O</m:t>
        </m:r>
        <m:d>
          <m:dPr>
            <m:begChr m:val="("/>
            <m:sepChr m:val=""/>
            <m:endChr m:val=")"/>
            <m:grow/>
          </m:dPr>
          <m:e>
            <m:r>
              <m:t>N</m:t>
            </m:r>
            <m:sSup>
              <m:e>
                <m:r>
                  <m:t>k</m:t>
                </m:r>
              </m:e>
              <m:sup>
                <m:r>
                  <m:t>2</m:t>
                </m:r>
              </m:sup>
            </m:sSup>
          </m:e>
        </m:d>
      </m:oMath>
      <w:r>
        <w:rPr>
          <w:sz w:val="17"/>
          <w:szCs w:val="17"/>
        </w:rPr>
        <w:t xml:space="preserve">. Proposed extension: run block-greedy conditional selection in which each candidate is one holder's whole well set, the targets are coastal wells near the toe and the Gram matrices are secret-shared; test on synthetic Fushë-Kuqe data whether the resulting merge order matches the order of exact EIG gains about the CATE.</w:t>
      </w:r>
    </w:p>
    <w:p>
      <w:pPr>
        <w:keepNext/>
        <w:pBdr>
          <w:top w:val="single" w:color="1E3A8A" w:sz="6" w:space="4"/>
        </w:pBdr>
        <w:spacing w:after="60" w:before="220"/>
      </w:pPr>
      <w:r>
        <w:rPr>
          <w:b/>
          <w:bCs/>
          <w:color w:val="1E3A8A"/>
          <w:sz w:val="23"/>
          <w:szCs w:val="23"/>
        </w:rPr>
        <w:t xml:space="preserve">S2  </w:t>
      </w:r>
      <w:r>
        <w:rPr>
          <w:b/>
          <w:bCs/>
          <w:color w:val="1F3864"/>
          <w:sz w:val="23"/>
          <w:szCs w:val="23"/>
        </w:rPr>
        <w:t xml:space="preserve">Learning a Probabilistic Strategy for Computational Imaging Sensor Selection</w:t>
      </w:r>
    </w:p>
    <w:p>
      <w:pPr>
        <w:keepNext/>
        <w:spacing w:after="60" w:line="240" w:lineRule="auto"/>
      </w:pPr>
      <w:r>
        <w:rPr>
          <w:b/>
          <w:bCs/>
          <w:color w:val="333B47"/>
          <w:sz w:val="15"/>
          <w:szCs w:val="15"/>
        </w:rPr>
        <w:t xml:space="preserve">Authors: </w:t>
      </w:r>
      <w:r>
        <w:rPr>
          <w:sz w:val="15"/>
          <w:szCs w:val="15"/>
        </w:rPr>
        <w:t xml:space="preserve">He Sun, Adrian V. Dalca, Katherine L. Bouman</w:t>
      </w:r>
      <w:r>
        <w:rPr>
          <w:sz w:val="15"/>
          <w:szCs w:val="15"/>
        </w:rPr>
        <w:t xml:space="preserve">   </w:t>
      </w:r>
      <w:r>
        <w:rPr>
          <w:b/>
          <w:bCs/>
          <w:color w:val="333B47"/>
          <w:sz w:val="15"/>
          <w:szCs w:val="15"/>
        </w:rPr>
        <w:t xml:space="preserve">Published in: </w:t>
      </w:r>
      <w:r>
        <w:rPr>
          <w:sz w:val="15"/>
          <w:szCs w:val="15"/>
        </w:rPr>
        <w:t xml:space="preserve">2020 IEEE International Conference on Computational Photography (ICCP), Session 1.C, April 2020 (pages not verified)</w:t>
      </w:r>
      <w:r>
        <w:rPr>
          <w:sz w:val="15"/>
          <w:szCs w:val="15"/>
        </w:rPr>
        <w:t xml:space="preserve">   </w:t>
      </w:r>
      <w:r>
        <w:rPr>
          <w:b/>
          <w:bCs/>
          <w:color w:val="333B47"/>
          <w:sz w:val="15"/>
          <w:szCs w:val="15"/>
        </w:rPr>
        <w:t xml:space="preserve">Link: </w:t>
      </w:r>
      <w:hyperlink w:history="1" r:id="rIde0wa0isv-bzfkfebfrhwg">
        <w:r>
          <w:rPr>
            <w:color w:val="1D4ED8"/>
            <w:sz w:val="15"/>
            <w:szCs w:val="15"/>
            <w:u w:val="single"/>
          </w:rPr>
          <w:t xml:space="preserve">https://authors.library.caltech.edu/records/r5pjt-ezf04</w:t>
        </w:r>
      </w:hyperlink>
    </w:p>
    <w:p>
      <w:pPr>
        <w:keepNext/>
        <w:spacing w:after="80" w:line="240" w:lineRule="auto"/>
      </w:pPr>
      <w:r>
        <w:rPr>
          <w:b/>
          <w:bCs/>
          <w:color w:val="333B47"/>
          <w:sz w:val="15"/>
          <w:szCs w:val="15"/>
        </w:rPr>
        <w:t xml:space="preserve">Affiliation: </w:t>
      </w:r>
      <w:r>
        <w:rPr>
          <w:color w:val="3A4350"/>
          <w:sz w:val="15"/>
          <w:szCs w:val="15"/>
        </w:rPr>
        <w:t xml:space="preserve">California Institute of Technology: the CaltechAUTHORS record, the project page cosense.cms.caltech.edu (Computing + Mathematical Sciences) and Bouman's Caltech publications page list the paper (seen in searches). Dalca's affiliation not verified. The IEEE Xplore DOI and pages were not seen, so the CaltechAUTHORS record is given; arXiv 2003.10424.</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1E3A8A"/>
          <w:sz w:val="17"/>
          <w:szCs w:val="17"/>
        </w:rPr>
        <w:t xml:space="preserve">Summary. </w:t>
      </w:r>
      <w:r>
        <w:rPr>
          <w:sz w:val="17"/>
          <w:szCs w:val="17"/>
        </w:rPr>
        <w:t xml:space="preserve">Choosing which sensors to use is usually posed as a deterministic combinatorial search. The paper instead learns a probability distribution over binary sensor-inclusion masks, modelled as a fully connected Ising model so that pairwise interactions between sensors are represented. Masks are drawn by a differentiable sampler built from Gibbs-sampling-like layers, and sampler and reconstruction network are trained end-to-end as a physics-constrained autoencoder. On a very-long-baseline interferometry (VLBI) array design task, where sensor correlations and atmospheric noise matter, the learned distribution agrees with expectations and reveals preferred structures in the telescope geometry that can guide array expansion. There are no theorems; the contribution is the formulation.</w:t>
      </w:r>
    </w:p>
    <w:p>
      <w:pPr>
        <w:keepNext/>
        <w:spacing w:after="20" w:before="40"/>
      </w:pPr>
      <w:r>
        <w:rPr>
          <w:b/>
          <w:bCs/>
          <w:color w:val="1E3A8A"/>
          <w:sz w:val="17"/>
          <w:szCs w:val="17"/>
        </w:rPr>
        <w:t xml:space="preserve">Key equation.</w:t>
      </w:r>
      <w:r>
        <w:rPr>
          <w:i/>
          <w:iCs/>
          <w:color w:val="5B6573"/>
          <w:sz w:val="15"/>
          <w:szCs w:val="15"/>
        </w:rPr>
        <w:t xml:space="preserve">  Fully connected Ising model over sensor-inclusion masks (representative formulation)</w:t>
      </w:r>
    </w:p>
    <w:p>
      <w:pPr>
        <w:pStyle w:val="Equation"/>
      </w:pPr>
      <m:oMathPara>
        <m:oMathParaPr>
          <m:jc m:val="center"/>
        </m:oMathParaPr>
        <m:oMath>
          <m:sSub>
            <m:e>
              <m:r>
                <m:t>p</m:t>
              </m:r>
            </m:e>
            <m:sub>
              <m:r>
                <m:t>θ</m:t>
              </m:r>
            </m:sub>
          </m:sSub>
          <m:d>
            <m:dPr>
              <m:begChr m:val="("/>
              <m:sepChr m:val=""/>
              <m:endChr m:val=")"/>
              <m:grow/>
            </m:dPr>
            <m:e>
              <m:r>
                <m:t>s</m:t>
              </m:r>
            </m:e>
          </m:d>
          <m:r>
            <m:rPr>
              <m:sty m:val="p"/>
            </m:rPr>
            <m:t>=</m:t>
          </m:r>
          <m:f>
            <m:fPr>
              <m:type m:val="bar"/>
            </m:fPr>
            <m:num>
              <m:r>
                <m:t>1</m:t>
              </m:r>
            </m:num>
            <m:den>
              <m:r>
                <m:t>Z</m:t>
              </m:r>
              <m:d>
                <m:dPr>
                  <m:begChr m:val="("/>
                  <m:sepChr m:val=""/>
                  <m:endChr m:val=")"/>
                  <m:grow/>
                </m:dPr>
                <m:e>
                  <m:r>
                    <m:t>θ</m:t>
                  </m:r>
                </m:e>
              </m:d>
            </m:den>
          </m:f>
          <m:r>
            <m:rPr>
              <m:sty m:val="p"/>
            </m:rPr>
            <m:t>exp</m:t>
          </m:r>
          <m:d>
            <m:dPr>
              <m:begChr m:val="("/>
              <m:sepChr m:val=""/>
              <m:endChr m:val=")"/>
              <m:grow/>
            </m:dPr>
            <m:e>
              <m:nary>
                <m:naryPr>
                  <m:chr m:val="∑"/>
                  <m:limLoc m:val="undOvr"/>
                  <m:subHide m:val="off"/>
                  <m:supHide m:val="on"/>
                </m:naryPr>
                <m:sub>
                  <m:r>
                    <m:t>i</m:t>
                  </m:r>
                </m:sub>
                <m:sup>
                  <m:r>
                    <m:t>​</m:t>
                  </m:r>
                </m:sup>
                <m:e>
                  <m:sSub>
                    <m:e>
                      <m:r>
                        <m:t>a</m:t>
                      </m:r>
                    </m:e>
                    <m:sub>
                      <m:r>
                        <m:t>i</m:t>
                      </m:r>
                    </m:sub>
                  </m:sSub>
                </m:e>
              </m:nary>
              <m:sSub>
                <m:e>
                  <m:r>
                    <m:t>s</m:t>
                  </m:r>
                </m:e>
                <m:sub>
                  <m:r>
                    <m:t>i</m:t>
                  </m:r>
                </m:sub>
              </m:sSub>
              <m:r>
                <m:rPr>
                  <m:sty m:val="p"/>
                </m:rPr>
                <m:t>+</m:t>
              </m:r>
              <m:nary>
                <m:naryPr>
                  <m:chr m:val="∑"/>
                  <m:limLoc m:val="undOvr"/>
                  <m:subHide m:val="off"/>
                  <m:supHide m:val="on"/>
                </m:naryPr>
                <m:sub>
                  <m:r>
                    <m:t>i</m:t>
                  </m:r>
                  <m:r>
                    <m:rPr>
                      <m:sty m:val="p"/>
                    </m:rPr>
                    <m:t>&lt;</m:t>
                  </m:r>
                  <m:r>
                    <m:t>j</m:t>
                  </m:r>
                </m:sub>
                <m:sup>
                  <m:r>
                    <m:t>​</m:t>
                  </m:r>
                </m:sup>
                <m:e>
                  <m:sSub>
                    <m:e>
                      <m:r>
                        <m:t>b</m:t>
                      </m:r>
                    </m:e>
                    <m:sub>
                      <m:r>
                        <m:t>i</m:t>
                      </m:r>
                      <m:r>
                        <m:t>j</m:t>
                      </m:r>
                    </m:sub>
                  </m:sSub>
                </m:e>
              </m:nary>
              <m:sSub>
                <m:e>
                  <m:r>
                    <m:t>s</m:t>
                  </m:r>
                </m:e>
                <m:sub>
                  <m:r>
                    <m:t>i</m:t>
                  </m:r>
                </m:sub>
              </m:sSub>
              <m:sSub>
                <m:e>
                  <m:r>
                    <m:t>s</m:t>
                  </m:r>
                </m:e>
                <m:sub>
                  <m:r>
                    <m:t>j</m:t>
                  </m:r>
                </m:sub>
              </m:sSub>
            </m:e>
          </m:d>
          <m:r>
            <m:rPr>
              <m:sty m:val="p"/>
            </m:rPr>
            <m:t>,</m:t>
          </m:r>
          <m:r>
            <m:t> </m:t>
          </m:r>
          <m:r>
            <m:t>s</m:t>
          </m:r>
          <m:r>
            <m:rPr>
              <m:sty m:val="p"/>
            </m:rPr>
            <m:t>∈</m:t>
          </m:r>
          <m:sSup>
            <m:e>
              <m:d>
                <m:dPr>
                  <m:begChr m:val="{"/>
                  <m:sepChr m:val=""/>
                  <m:endChr m:val="}"/>
                  <m:grow/>
                </m:dPr>
                <m:e>
                  <m:r>
                    <m:t>0</m:t>
                  </m:r>
                  <m:r>
                    <m:rPr>
                      <m:sty m:val="p"/>
                    </m:rPr>
                    <m:t>,</m:t>
                  </m:r>
                  <m:r>
                    <m:t>1</m:t>
                  </m:r>
                </m:e>
              </m:d>
            </m:e>
            <m:sup>
              <m:r>
                <m:t>M</m:t>
              </m:r>
            </m:sup>
          </m:sSup>
        </m:oMath>
      </m:oMathPara>
    </w:p>
    <w:p>
      <w:pPr>
        <w:spacing w:after="60"/>
        <w:jc w:val="both"/>
      </w:pPr>
      <m:oMath>
        <m:sSub>
          <m:e>
            <m:r>
              <m:t>s</m:t>
            </m:r>
          </m:e>
          <m:sub>
            <m:r>
              <m:t>i</m:t>
            </m:r>
          </m:sub>
        </m:sSub>
        <m:r>
          <m:rPr>
            <m:sty m:val="p"/>
          </m:rPr>
          <m:t>=</m:t>
        </m:r>
        <m:r>
          <m:t>1</m:t>
        </m:r>
      </m:oMath>
      <w:r>
        <w:rPr>
          <w:color w:val="3A4350"/>
          <w:sz w:val="15"/>
          <w:szCs w:val="15"/>
        </w:rPr>
        <w:t xml:space="preserve"> when sensor (telescope) </w:t>
      </w:r>
      <m:oMath>
        <m:r>
          <m:t>i</m:t>
        </m:r>
      </m:oMath>
      <w:r>
        <w:rPr>
          <w:color w:val="3A4350"/>
          <w:sz w:val="15"/>
          <w:szCs w:val="15"/>
        </w:rPr>
        <w:t xml:space="preserve"> is used, </w:t>
      </w:r>
      <m:oMath>
        <m:sSub>
          <m:e>
            <m:r>
              <m:t>a</m:t>
            </m:r>
          </m:e>
          <m:sub>
            <m:r>
              <m:t>i</m:t>
            </m:r>
          </m:sub>
        </m:sSub>
      </m:oMath>
      <w:r>
        <w:rPr>
          <w:color w:val="3A4350"/>
          <w:sz w:val="15"/>
          <w:szCs w:val="15"/>
        </w:rPr>
        <w:t xml:space="preserve"> scores single sensors, </w:t>
      </w:r>
      <m:oMath>
        <m:sSub>
          <m:e>
            <m:r>
              <m:t>b</m:t>
            </m:r>
          </m:e>
          <m:sub>
            <m:r>
              <m:t>i</m:t>
            </m:r>
            <m:r>
              <m:t>j</m:t>
            </m:r>
          </m:sub>
        </m:sSub>
      </m:oMath>
      <w:r>
        <w:rPr>
          <w:color w:val="3A4350"/>
          <w:sz w:val="15"/>
          <w:szCs w:val="15"/>
        </w:rPr>
        <w:t xml:space="preserve"> scores a pair jointly (in VLBI a pair of telescopes forms one baseline), </w:t>
      </w:r>
      <m:oMath>
        <m:r>
          <m:t>θ</m:t>
        </m:r>
        <m:r>
          <m:rPr>
            <m:sty m:val="p"/>
          </m:rPr>
          <m:t>=</m:t>
        </m:r>
        <m:d>
          <m:dPr>
            <m:begChr m:val="("/>
            <m:sepChr m:val=""/>
            <m:endChr m:val=")"/>
            <m:grow/>
          </m:dPr>
          <m:e>
            <m:r>
              <m:t>a</m:t>
            </m:r>
            <m:r>
              <m:rPr>
                <m:sty m:val="p"/>
              </m:rPr>
              <m:t>,</m:t>
            </m:r>
            <m:r>
              <m:t>b</m:t>
            </m:r>
          </m:e>
        </m:d>
      </m:oMath>
      <w:r>
        <w:rPr>
          <w:color w:val="3A4350"/>
          <w:sz w:val="15"/>
          <w:szCs w:val="15"/>
        </w:rPr>
        <w:t xml:space="preserve"> and </w:t>
      </w:r>
      <m:oMath>
        <m:r>
          <m:t>Z</m:t>
        </m:r>
        <m:d>
          <m:dPr>
            <m:begChr m:val="("/>
            <m:sepChr m:val=""/>
            <m:endChr m:val=")"/>
            <m:grow/>
          </m:dPr>
          <m:e>
            <m:r>
              <m:t>θ</m:t>
            </m:r>
          </m:e>
        </m:d>
      </m:oMath>
      <w:r>
        <w:rPr>
          <w:color w:val="3A4350"/>
          <w:sz w:val="15"/>
          <w:szCs w:val="15"/>
        </w:rPr>
        <w:t xml:space="preserve"> normalises over the </w:t>
      </w:r>
      <m:oMath>
        <m:sSup>
          <m:e>
            <m:r>
              <m:t>2</m:t>
            </m:r>
          </m:e>
          <m:sup>
            <m:r>
              <m:t>M</m:t>
            </m:r>
          </m:sup>
        </m:sSup>
      </m:oMath>
      <w:r>
        <w:rPr>
          <w:color w:val="3A4350"/>
          <w:sz w:val="15"/>
          <w:szCs w:val="15"/>
        </w:rPr>
        <w:t xml:space="preserve"> masks.</w:t>
      </w:r>
    </w:p>
    <w:p>
      <w:pPr>
        <w:spacing w:after="60"/>
        <w:jc w:val="both"/>
      </w:pPr>
      <w:r>
        <w:rPr>
          <w:b/>
          <w:bCs/>
          <w:color w:val="1E3A8A"/>
          <w:sz w:val="17"/>
          <w:szCs w:val="17"/>
        </w:rPr>
        <w:t xml:space="preserve">Link to the Fushë-Kuqe record holders. </w:t>
      </w:r>
      <w:r>
        <w:rPr>
          <w:sz w:val="17"/>
          <w:szCs w:val="17"/>
        </w:rPr>
        <w:t xml:space="preserve">Belongs to theme S (sequential and adaptive data acquisition). In VLBI one telescope gives no baseline; only pairs do, just as coastal hotels (always pumped hard) and municipal coastal wells (always pumped low) identify the pumping effect only together. An Ising distribution over which Fushë-Kuqe holders join the coalition encodes such pairwise complementarity in </w:t>
      </w:r>
      <m:oMath>
        <m:sSub>
          <m:e>
            <m:r>
              <m:t>b</m:t>
            </m:r>
          </m:e>
          <m:sub>
            <m:r>
              <m:t>i</m:t>
            </m:r>
            <m:r>
              <m:t>j</m:t>
            </m:r>
          </m:sub>
        </m:sSub>
      </m:oMath>
      <w:r>
        <w:rPr>
          <w:sz w:val="17"/>
          <w:szCs w:val="17"/>
        </w:rPr>
        <w:t xml:space="preserv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treats subset selection as learning a distribution with explicit pairwise interaction terms, trained jointly with the downstream reconstruction, instead of adding sensors greedily one at a time. Peer reviewed at IEEE ICCP 2020; included for its direct fit to coalition choice, not for depth (no theorems).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strategy is learned from many simulated scenes and carries no optimality or calibration guarantee. Learning such a distribution when each evaluation is a secret-shared EIG about a CATE, with six holders and no training set,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learned, differentiable Ising distribution over sensor subsets with pairwise terms, trained end-to-end with the reconstruction. Proposed extension: fit an Ising model over the six Fushë-Kuqe holders whose pair terms </w:t>
      </w:r>
      <m:oMath>
        <m:sSub>
          <m:e>
            <m:r>
              <m:t>b</m:t>
            </m:r>
          </m:e>
          <m:sub>
            <m:r>
              <m:t>i</m:t>
            </m:r>
            <m:r>
              <m:t>j</m:t>
            </m:r>
          </m:sub>
        </m:sSub>
      </m:oMath>
      <w:r>
        <w:rPr>
          <w:sz w:val="17"/>
          <w:szCs w:val="17"/>
        </w:rPr>
        <w:t xml:space="preserve"> are the secret-shared interaction information of each pair about the CATE (joint EIG minus the two single EIGs), sample coalitions from it, and test on synthetic data whether its most probable coalition beats holder-by-holder greedy merging at equal disclosure.</w:t>
      </w:r>
    </w:p>
    <w:p>
      <w:pPr>
        <w:keepNext/>
        <w:pBdr>
          <w:top w:val="single" w:color="1E3A8A" w:sz="6" w:space="4"/>
        </w:pBdr>
        <w:spacing w:after="60" w:before="220"/>
      </w:pPr>
      <w:r>
        <w:rPr>
          <w:b/>
          <w:bCs/>
          <w:color w:val="1E3A8A"/>
          <w:sz w:val="23"/>
          <w:szCs w:val="23"/>
        </w:rPr>
        <w:t xml:space="preserve">S3  </w:t>
      </w:r>
      <w:r>
        <w:rPr>
          <w:b/>
          <w:bCs/>
          <w:color w:val="1F3864"/>
          <w:sz w:val="23"/>
          <w:szCs w:val="23"/>
        </w:rPr>
        <w:t xml:space="preserve">Sequential Bayesian Experimental Design with Variable Cost Structure</w:t>
      </w:r>
    </w:p>
    <w:p>
      <w:pPr>
        <w:keepNext/>
        <w:spacing w:after="60" w:line="240" w:lineRule="auto"/>
      </w:pPr>
      <w:r>
        <w:rPr>
          <w:b/>
          <w:bCs/>
          <w:color w:val="333B47"/>
          <w:sz w:val="15"/>
          <w:szCs w:val="15"/>
        </w:rPr>
        <w:t xml:space="preserve">Authors: </w:t>
      </w:r>
      <w:r>
        <w:rPr>
          <w:sz w:val="15"/>
          <w:szCs w:val="15"/>
        </w:rPr>
        <w:t xml:space="preserve">Sue Zheng, David Hayden, Jason Pacheco, John W. Fisher III</w:t>
      </w:r>
      <w:r>
        <w:rPr>
          <w:sz w:val="15"/>
          <w:szCs w:val="15"/>
        </w:rPr>
        <w:t xml:space="preserve">   </w:t>
      </w:r>
      <w:r>
        <w:rPr>
          <w:b/>
          <w:bCs/>
          <w:color w:val="333B47"/>
          <w:sz w:val="15"/>
          <w:szCs w:val="15"/>
        </w:rPr>
        <w:t xml:space="preserve">Published in: </w:t>
      </w:r>
      <w:r>
        <w:rPr>
          <w:sz w:val="15"/>
          <w:szCs w:val="15"/>
        </w:rPr>
        <w:t xml:space="preserve">Advances in Neural Information Processing Systems 33 (NeurIPS 2020) (pages not verified)</w:t>
      </w:r>
      <w:r>
        <w:rPr>
          <w:sz w:val="15"/>
          <w:szCs w:val="15"/>
        </w:rPr>
        <w:t xml:space="preserve">   </w:t>
      </w:r>
      <w:r>
        <w:rPr>
          <w:b/>
          <w:bCs/>
          <w:color w:val="333B47"/>
          <w:sz w:val="15"/>
          <w:szCs w:val="15"/>
        </w:rPr>
        <w:t xml:space="preserve">Link: </w:t>
      </w:r>
      <w:hyperlink w:history="1" r:id="rIdgavoz9cl9jv7yusoubxvy">
        <w:r>
          <w:rPr>
            <w:color w:val="1D4ED8"/>
            <w:sz w:val="15"/>
            <w:szCs w:val="15"/>
            <w:u w:val="single"/>
          </w:rPr>
          <w:t xml:space="preserve">https://papers.nips.cc/paper/2020/hash/2adee8815dd939548ee6b2772524b6f2-Abstract.html</w:t>
        </w:r>
      </w:hyperlink>
    </w:p>
    <w:p>
      <w:pPr>
        <w:keepNext/>
        <w:spacing w:after="80" w:line="240" w:lineRule="auto"/>
      </w:pPr>
      <w:r>
        <w:rPr>
          <w:b/>
          <w:bCs/>
          <w:color w:val="333B47"/>
          <w:sz w:val="15"/>
          <w:szCs w:val="15"/>
        </w:rPr>
        <w:t xml:space="preserve">Affiliation: </w:t>
      </w:r>
      <w:r>
        <w:rPr>
          <w:color w:val="3A4350"/>
          <w:sz w:val="15"/>
          <w:szCs w:val="15"/>
        </w:rPr>
        <w:t xml:space="preserve">Zheng, Hayden and Fisher, Computer Science and Artificial Intelligence Laboratory (CSAIL), Massachusetts Institute of Technology; Pacheco, University of Arizona (author block of the paper PDF and the MIT CSAIL group page, per a search summary).</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1E3A8A"/>
          <w:sz w:val="17"/>
          <w:szCs w:val="17"/>
        </w:rPr>
        <w:t xml:space="preserve">Summary. </w:t>
      </w:r>
      <w:r>
        <w:rPr>
          <w:sz w:val="17"/>
          <w:szCs w:val="17"/>
        </w:rPr>
        <w:t xml:space="preserve">In sequential Bayesian experimental design the utility of each candidate experiment, its mutual information with the unknowns, is itself expensive to compute. The paper keeps two-sided (lower and upper) bounds on the mutual information of every candidate and refines them adaptively, spending computation only where it can change the decision, until a target guarantee on the chosen experiment holds. Unlike earlier best-arm-identification methods, it handles variable costs: shared costs that serve several candidates and per-candidate costs that change as refinement proceeds, through a knapsack-style allocation. It reaches the same guarantee as existing methods with fewer evaluations of the costly reward.</w:t>
      </w:r>
    </w:p>
    <w:p>
      <w:pPr>
        <w:keepNext/>
        <w:spacing w:after="20" w:before="40"/>
      </w:pPr>
      <w:r>
        <w:rPr>
          <w:b/>
          <w:bCs/>
          <w:color w:val="1E3A8A"/>
          <w:sz w:val="17"/>
          <w:szCs w:val="17"/>
        </w:rPr>
        <w:t xml:space="preserve">Key equation.</w:t>
      </w:r>
      <w:r>
        <w:rPr>
          <w:i/>
          <w:iCs/>
          <w:color w:val="5B6573"/>
          <w:sz w:val="15"/>
          <w:szCs w:val="15"/>
        </w:rPr>
        <w:t xml:space="preserve">  Stopping rule for refinement: stop once the chosen design's lower bound clears every rival's upper bound up to ε (representative formulation)</w:t>
      </w:r>
    </w:p>
    <w:p>
      <w:pPr>
        <w:pStyle w:val="Equation"/>
      </w:pPr>
      <m:oMathPara>
        <m:oMathParaPr>
          <m:jc m:val="center"/>
        </m:oMathParaPr>
        <m:oMath>
          <m:sSub>
            <m:e>
              <m:r>
                <m:t>L</m:t>
              </m:r>
            </m:e>
            <m:sub>
              <m:acc>
                <m:accPr>
                  <m:chr m:val="̂"/>
                </m:accPr>
                <m:e>
                  <m:r>
                    <m:t>d</m:t>
                  </m:r>
                </m:e>
              </m:acc>
            </m:sub>
          </m:sSub>
          <m:r>
            <m:rPr>
              <m:sty m:val="p"/>
            </m:rPr>
            <m:t>≥</m:t>
          </m:r>
          <m:limLow>
            <m:e>
              <m:r>
                <m:rPr>
                  <m:sty m:val="p"/>
                </m:rPr>
                <m:t>max</m:t>
              </m:r>
            </m:e>
            <m:lim>
              <m:r>
                <m:t>d</m:t>
              </m:r>
              <m:r>
                <m:rPr>
                  <m:sty m:val="p"/>
                </m:rPr>
                <m:t>≠</m:t>
              </m:r>
              <m:acc>
                <m:accPr>
                  <m:chr m:val="̂"/>
                </m:accPr>
                <m:e>
                  <m:r>
                    <m:t>d</m:t>
                  </m:r>
                </m:e>
              </m:acc>
            </m:lim>
          </m:limLow>
          <m:sSub>
            <m:e>
              <m:r>
                <m:t>U</m:t>
              </m:r>
            </m:e>
            <m:sub>
              <m:r>
                <m:t>d</m:t>
              </m:r>
            </m:sub>
          </m:sSub>
          <m:r>
            <m:rPr>
              <m:sty m:val="p"/>
            </m:rPr>
            <m:t>−</m:t>
          </m:r>
          <m:r>
            <m:t>ε</m:t>
          </m:r>
          <m:r>
            <m:t> </m:t>
          </m:r>
          <m:r>
            <m:rPr>
              <m:sty m:val="p"/>
            </m:rPr>
            <m:t>⇒</m:t>
          </m:r>
          <m:r>
            <m:t> </m:t>
          </m:r>
          <m:r>
            <m:t>I</m:t>
          </m:r>
          <m:d>
            <m:dPr>
              <m:begChr m:val="("/>
              <m:sepChr m:val=""/>
              <m:endChr m:val=")"/>
              <m:grow/>
            </m:dPr>
            <m:e>
              <m:r>
                <m:t>θ</m:t>
              </m:r>
              <m:r>
                <m:rPr>
                  <m:sty m:val="p"/>
                </m:rPr>
                <m:t>;</m:t>
              </m:r>
              <m:sSub>
                <m:e>
                  <m:r>
                    <m:t>Y</m:t>
                  </m:r>
                </m:e>
                <m:sub>
                  <m:acc>
                    <m:accPr>
                      <m:chr m:val="̂"/>
                    </m:accPr>
                    <m:e>
                      <m:r>
                        <m:t>d</m:t>
                      </m:r>
                    </m:e>
                  </m:acc>
                </m:sub>
              </m:sSub>
            </m:e>
          </m:d>
          <m:r>
            <m:rPr>
              <m:sty m:val="p"/>
            </m:rPr>
            <m:t>≥</m:t>
          </m:r>
          <m:limLow>
            <m:e>
              <m:r>
                <m:rPr>
                  <m:sty m:val="p"/>
                </m:rPr>
                <m:t>max</m:t>
              </m:r>
            </m:e>
            <m:lim>
              <m:r>
                <m:t>d</m:t>
              </m:r>
            </m:lim>
          </m:limLow>
          <m:r>
            <m:t>I</m:t>
          </m:r>
          <m:d>
            <m:dPr>
              <m:begChr m:val="("/>
              <m:sepChr m:val=""/>
              <m:endChr m:val=")"/>
              <m:grow/>
            </m:dPr>
            <m:e>
              <m:r>
                <m:t>θ</m:t>
              </m:r>
              <m:r>
                <m:rPr>
                  <m:sty m:val="p"/>
                </m:rPr>
                <m:t>;</m:t>
              </m:r>
              <m:sSub>
                <m:e>
                  <m:r>
                    <m:t>Y</m:t>
                  </m:r>
                </m:e>
                <m:sub>
                  <m:r>
                    <m:t>d</m:t>
                  </m:r>
                </m:sub>
              </m:sSub>
            </m:e>
          </m:d>
          <m:r>
            <m:rPr>
              <m:sty m:val="p"/>
            </m:rPr>
            <m:t>−</m:t>
          </m:r>
          <m:r>
            <m:t>ε</m:t>
          </m:r>
        </m:oMath>
      </m:oMathPara>
    </w:p>
    <w:p>
      <w:pPr>
        <w:spacing w:after="60"/>
        <w:jc w:val="both"/>
      </w:pPr>
      <m:oMath>
        <m:sSub>
          <m:e>
            <m:r>
              <m:t>L</m:t>
            </m:r>
          </m:e>
          <m:sub>
            <m:r>
              <m:t>d</m:t>
            </m:r>
          </m:sub>
        </m:sSub>
        <m:r>
          <m:rPr>
            <m:sty m:val="p"/>
          </m:rPr>
          <m:t>≤</m:t>
        </m:r>
        <m:r>
          <m:t>I</m:t>
        </m:r>
        <m:d>
          <m:dPr>
            <m:begChr m:val="("/>
            <m:sepChr m:val=""/>
            <m:endChr m:val=")"/>
            <m:grow/>
          </m:dPr>
          <m:e>
            <m:r>
              <m:t>θ</m:t>
            </m:r>
            <m:r>
              <m:rPr>
                <m:sty m:val="p"/>
              </m:rPr>
              <m:t>;</m:t>
            </m:r>
            <m:sSub>
              <m:e>
                <m:r>
                  <m:t>Y</m:t>
                </m:r>
              </m:e>
              <m:sub>
                <m:r>
                  <m:t>d</m:t>
                </m:r>
              </m:sub>
            </m:sSub>
          </m:e>
        </m:d>
        <m:r>
          <m:rPr>
            <m:sty m:val="p"/>
          </m:rPr>
          <m:t>≤</m:t>
        </m:r>
        <m:sSub>
          <m:e>
            <m:r>
              <m:t>U</m:t>
            </m:r>
          </m:e>
          <m:sub>
            <m:r>
              <m:t>d</m:t>
            </m:r>
          </m:sub>
        </m:sSub>
      </m:oMath>
      <w:r>
        <w:rPr>
          <w:color w:val="3A4350"/>
          <w:sz w:val="15"/>
          <w:szCs w:val="15"/>
        </w:rPr>
        <w:t xml:space="preserve"> are the current bounds on the mutual information between the unknowns </w:t>
      </w:r>
      <m:oMath>
        <m:r>
          <m:t>θ</m:t>
        </m:r>
      </m:oMath>
      <w:r>
        <w:rPr>
          <w:color w:val="3A4350"/>
          <w:sz w:val="15"/>
          <w:szCs w:val="15"/>
        </w:rPr>
        <w:t xml:space="preserve"> and the outcome </w:t>
      </w:r>
      <m:oMath>
        <m:sSub>
          <m:e>
            <m:r>
              <m:t>Y</m:t>
            </m:r>
          </m:e>
          <m:sub>
            <m:r>
              <m:t>d</m:t>
            </m:r>
          </m:sub>
        </m:sSub>
      </m:oMath>
      <w:r>
        <w:rPr>
          <w:color w:val="3A4350"/>
          <w:sz w:val="15"/>
          <w:szCs w:val="15"/>
        </w:rPr>
        <w:t xml:space="preserve"> of design </w:t>
      </w:r>
      <m:oMath>
        <m:r>
          <m:t>d</m:t>
        </m:r>
      </m:oMath>
      <w:r>
        <w:rPr>
          <w:color w:val="3A4350"/>
          <w:sz w:val="15"/>
          <w:szCs w:val="15"/>
        </w:rPr>
        <w:t xml:space="preserve">, </w:t>
      </w:r>
      <m:oMath>
        <m:acc>
          <m:accPr>
            <m:chr m:val="̂"/>
          </m:accPr>
          <m:e>
            <m:r>
              <m:t>d</m:t>
            </m:r>
          </m:e>
        </m:acc>
      </m:oMath>
      <w:r>
        <w:rPr>
          <w:color w:val="3A4350"/>
          <w:sz w:val="15"/>
          <w:szCs w:val="15"/>
        </w:rPr>
        <w:t xml:space="preserve"> is the design with the largest lower bound and </w:t>
      </w:r>
      <m:oMath>
        <m:r>
          <m:t>ε</m:t>
        </m:r>
      </m:oMath>
      <w:r>
        <w:rPr>
          <w:color w:val="3A4350"/>
          <w:sz w:val="15"/>
          <w:szCs w:val="15"/>
        </w:rPr>
        <w:t xml:space="preserve"> the tolerated loss; until the rule holds, the algorithm chooses which bounds to tighten given their costs.</w:t>
      </w:r>
    </w:p>
    <w:p>
      <w:pPr>
        <w:spacing w:after="60"/>
        <w:jc w:val="both"/>
      </w:pPr>
      <w:r>
        <w:rPr>
          <w:b/>
          <w:bCs/>
          <w:color w:val="1E3A8A"/>
          <w:sz w:val="17"/>
          <w:szCs w:val="17"/>
        </w:rPr>
        <w:t xml:space="preserve">Link to the Fushë-Kuqe record holders. </w:t>
      </w:r>
      <w:r>
        <w:rPr>
          <w:sz w:val="17"/>
          <w:szCs w:val="17"/>
        </w:rPr>
        <w:t xml:space="preserve">Belongs to theme S (sequential and adaptive data acquisition). Each candidate Fushë-Kuqe merge has an EIG that is costly to compute on secret shares, and costs are shared: one secret-shared Gram block of the utility serves every merge containing the utility. The method says which merge's EIG bounds to tighten next, and when to stop computing and choose.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is one of the few design methods that treats the cost of computing the information gain itself as part of the design problem and certifies the chosen experiment, not merely the estimate. Main-track NeurIPS 2020, from MIT CSAIL.</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 is for one design step and treats candidates as separate arms. Whether bound refinement can be ordered across nested coalitions, which share holders and whose bounds all widen under differential-privacy noise, is open and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adaptive refinement of two-sided mutual-information bounds under shared and per-experiment costs, with an </w:t>
      </w:r>
      <m:oMath>
        <m:r>
          <m:t>ε</m:t>
        </m:r>
      </m:oMath>
      <w:r>
        <w:rPr>
          <w:sz w:val="17"/>
          <w:szCs w:val="17"/>
        </w:rPr>
        <w:t xml:space="preserve">-guarantee on the chosen design. Proposed extension: give each coalition of Fushë-Kuqe holders a DP-noised lower and upper bound on its EIG about the CATE, count reused secret-shared Gram blocks as shared costs, and measure on synthetic data how many MPC operations are saved before an </w:t>
      </w:r>
      <m:oMath>
        <m:r>
          <m:t>ε</m:t>
        </m:r>
      </m:oMath>
      <w:r>
        <w:rPr>
          <w:sz w:val="17"/>
          <w:szCs w:val="17"/>
        </w:rPr>
        <w:t xml:space="preserve">-best merge is certified.</w:t>
      </w:r>
    </w:p>
    <w:p>
      <w:pPr>
        <w:keepNext/>
        <w:pBdr>
          <w:top w:val="single" w:color="1E3A8A" w:sz="6" w:space="4"/>
        </w:pBdr>
        <w:spacing w:after="60" w:before="220"/>
      </w:pPr>
      <w:r>
        <w:rPr>
          <w:b/>
          <w:bCs/>
          <w:color w:val="1E3A8A"/>
          <w:sz w:val="23"/>
          <w:szCs w:val="23"/>
        </w:rPr>
        <w:t xml:space="preserve">S4  </w:t>
      </w:r>
      <w:r>
        <w:rPr>
          <w:b/>
          <w:bCs/>
          <w:color w:val="1F3864"/>
          <w:sz w:val="23"/>
          <w:szCs w:val="23"/>
        </w:rPr>
        <w:t xml:space="preserve">Active Testing: Sample-Efficient Model Evaluation</w:t>
      </w:r>
    </w:p>
    <w:p>
      <w:pPr>
        <w:keepNext/>
        <w:spacing w:after="60" w:line="240" w:lineRule="auto"/>
      </w:pPr>
      <w:r>
        <w:rPr>
          <w:b/>
          <w:bCs/>
          <w:color w:val="333B47"/>
          <w:sz w:val="15"/>
          <w:szCs w:val="15"/>
        </w:rPr>
        <w:t xml:space="preserve">Authors: </w:t>
      </w:r>
      <w:r>
        <w:rPr>
          <w:sz w:val="15"/>
          <w:szCs w:val="15"/>
        </w:rPr>
        <w:t xml:space="preserve">Jannik Kossen, Sebastian Farquhar, Yarin Gal, Tom Rainforth</w:t>
      </w:r>
      <w:r>
        <w:rPr>
          <w:sz w:val="15"/>
          <w:szCs w:val="15"/>
        </w:rPr>
        <w:t xml:space="preserve">   </w:t>
      </w:r>
      <w:r>
        <w:rPr>
          <w:b/>
          <w:bCs/>
          <w:color w:val="333B47"/>
          <w:sz w:val="15"/>
          <w:szCs w:val="15"/>
        </w:rPr>
        <w:t xml:space="preserve">Published in: </w:t>
      </w:r>
      <w:r>
        <w:rPr>
          <w:sz w:val="15"/>
          <w:szCs w:val="15"/>
        </w:rPr>
        <w:t xml:space="preserve">Proceedings of the 38th International Conference on Machine Learning (ICML), PMLR 139, 5753–5763 (2021)</w:t>
      </w:r>
      <w:r>
        <w:rPr>
          <w:sz w:val="15"/>
          <w:szCs w:val="15"/>
        </w:rPr>
        <w:t xml:space="preserve">   </w:t>
      </w:r>
      <w:r>
        <w:rPr>
          <w:b/>
          <w:bCs/>
          <w:color w:val="333B47"/>
          <w:sz w:val="15"/>
          <w:szCs w:val="15"/>
        </w:rPr>
        <w:t xml:space="preserve">Link: </w:t>
      </w:r>
      <w:hyperlink w:history="1" r:id="rIdrkm5xu69wgybzlo9jg6tv">
        <w:r>
          <w:rPr>
            <w:color w:val="1D4ED8"/>
            <w:sz w:val="15"/>
            <w:szCs w:val="15"/>
            <w:u w:val="single"/>
          </w:rPr>
          <w:t xml:space="preserve">https://proceedings.mlr.press/v139/kossen21a.html</w:t>
        </w:r>
      </w:hyperlink>
    </w:p>
    <w:p>
      <w:pPr>
        <w:keepNext/>
        <w:spacing w:after="80" w:line="240" w:lineRule="auto"/>
      </w:pPr>
      <w:r>
        <w:rPr>
          <w:b/>
          <w:bCs/>
          <w:color w:val="333B47"/>
          <w:sz w:val="15"/>
          <w:szCs w:val="15"/>
        </w:rPr>
        <w:t xml:space="preserve">Affiliation: </w:t>
      </w:r>
      <w:r>
        <w:rPr>
          <w:color w:val="3A4350"/>
          <w:sz w:val="15"/>
          <w:szCs w:val="15"/>
        </w:rPr>
        <w:t xml:space="preserve">All four at the University of Oxford: OATML group, Department of Computer Science (OATML publications page); Rainforth, Department of Statistics (author footnotes, per a search summary). Pages from the PMLR listing; ICML 2021 spotlight (icml.cc virtual page).</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1E3A8A"/>
          <w:sz w:val="17"/>
          <w:szCs w:val="17"/>
        </w:rPr>
        <w:t xml:space="preserve">Summary. </w:t>
      </w:r>
      <w:r>
        <w:rPr>
          <w:sz w:val="17"/>
          <w:szCs w:val="17"/>
        </w:rPr>
        <w:t xml:space="preserve">Labels for testing a model are as costly as labels for training it, yet active learning had ignored them. The paper chooses which test points to label so that a model's test risk is estimated from few labels. Because actively chosen points bias the plain average, it uses the levelled unbiased risk estimator (LURE), which reweights each acquired loss by its acquisition probability, and shows how to remove the bias while also reducing the variance, using a proposal driven by the expected loss as predicted by a surrogate model. Experiments with Gaussian processes and wide residual networks (Fashion-MNIST, CIFAR-100) show large label savings.</w:t>
      </w:r>
    </w:p>
    <w:p>
      <w:pPr>
        <w:keepNext/>
        <w:spacing w:after="20" w:before="40"/>
      </w:pPr>
      <w:r>
        <w:rPr>
          <w:b/>
          <w:bCs/>
          <w:color w:val="1E3A8A"/>
          <w:sz w:val="17"/>
          <w:szCs w:val="17"/>
        </w:rPr>
        <w:t xml:space="preserve">Key equation.</w:t>
      </w:r>
      <w:r>
        <w:rPr>
          <w:i/>
          <w:iCs/>
          <w:color w:val="5B6573"/>
          <w:sz w:val="15"/>
          <w:szCs w:val="15"/>
        </w:rPr>
        <w:t xml:space="preserve">  The levelled unbiased risk estimator applied to actively selected test points (representative formulation)</w:t>
      </w:r>
    </w:p>
    <w:p>
      <w:pPr>
        <w:pStyle w:val="Equation"/>
      </w:pPr>
      <m:oMathPara>
        <m:oMathParaPr>
          <m:jc m:val="center"/>
        </m:oMathParaPr>
        <m:oMath>
          <m:sSub>
            <m:e>
              <m:acc>
                <m:accPr>
                  <m:chr m:val="̃"/>
                </m:accPr>
                <m:e>
                  <m:r>
                    <m:t>R</m:t>
                  </m:r>
                </m:e>
              </m:acc>
            </m:e>
            <m:sub>
              <m:r>
                <m:rPr>
                  <m:nor/>
                </m:rPr>
                <m:t>LURE</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v</m:t>
                  </m:r>
                </m:e>
                <m:sub>
                  <m:r>
                    <m:t>m</m:t>
                  </m:r>
                </m:sub>
              </m:sSub>
            </m:e>
          </m:nary>
          <m:r>
            <m:t>L</m:t>
          </m:r>
          <m:d>
            <m:dPr>
              <m:begChr m:val="("/>
              <m:sepChr m:val=""/>
              <m:endChr m:val=")"/>
              <m:grow/>
            </m:dPr>
            <m:e>
              <m:r>
                <m:t>f</m:t>
              </m:r>
              <m:d>
                <m:dPr>
                  <m:begChr m:val="("/>
                  <m:sepChr m:val=""/>
                  <m:endChr m:val=")"/>
                  <m:grow/>
                </m:dPr>
                <m:e>
                  <m:sSub>
                    <m:e>
                      <m:r>
                        <m:t>x</m:t>
                      </m:r>
                    </m:e>
                    <m:sub>
                      <m:sSub>
                        <m:e>
                          <m:r>
                            <m:t>i</m:t>
                          </m:r>
                        </m:e>
                        <m:sub>
                          <m:r>
                            <m:t>m</m:t>
                          </m:r>
                        </m:sub>
                      </m:sSub>
                    </m:sub>
                  </m:sSub>
                </m:e>
              </m:d>
              <m:r>
                <m:rPr>
                  <m:sty m:val="p"/>
                </m:rPr>
                <m:t>,</m:t>
              </m:r>
              <m:sSub>
                <m:e>
                  <m:r>
                    <m:t>y</m:t>
                  </m:r>
                </m:e>
                <m:sub>
                  <m:sSub>
                    <m:e>
                      <m:r>
                        <m:t>i</m:t>
                      </m:r>
                    </m:e>
                    <m:sub>
                      <m:r>
                        <m:t>m</m:t>
                      </m:r>
                    </m:sub>
                  </m:sSub>
                </m:sub>
              </m:sSub>
            </m:e>
          </m:d>
          <m:r>
            <m:rPr>
              <m:sty m:val="p"/>
            </m:rPr>
            <m:t>,</m:t>
          </m:r>
          <m:r>
            <m:t> </m:t>
          </m:r>
          <m:sSub>
            <m:e>
              <m:r>
                <m:t>v</m:t>
              </m:r>
            </m:e>
            <m:sub>
              <m:r>
                <m:t>m</m:t>
              </m:r>
            </m:sub>
          </m:sSub>
          <m:r>
            <m:rPr>
              <m:sty m:val="p"/>
            </m:rPr>
            <m:t>=</m:t>
          </m:r>
          <m:r>
            <m:t>1</m:t>
          </m:r>
          <m:r>
            <m:rPr>
              <m:sty m:val="p"/>
            </m:rPr>
            <m:t>+</m:t>
          </m:r>
          <m:f>
            <m:fPr>
              <m:type m:val="bar"/>
            </m:fPr>
            <m:num>
              <m:r>
                <m:t>N</m:t>
              </m:r>
              <m:r>
                <m:rPr>
                  <m:sty m:val="p"/>
                </m:rPr>
                <m:t>−</m:t>
              </m:r>
              <m:r>
                <m:t>M</m:t>
              </m:r>
            </m:num>
            <m:den>
              <m:r>
                <m:t>N</m:t>
              </m:r>
              <m:r>
                <m:rPr>
                  <m:sty m:val="p"/>
                </m:rPr>
                <m:t>−</m:t>
              </m:r>
              <m:r>
                <m:t>m</m:t>
              </m:r>
            </m:den>
          </m:f>
          <m:d>
            <m:dPr>
              <m:begChr m:val="("/>
              <m:sepChr m:val=""/>
              <m:endChr m:val=")"/>
              <m:grow/>
            </m:dPr>
            <m:e>
              <m:f>
                <m:fPr>
                  <m:type m:val="bar"/>
                </m:fPr>
                <m:num>
                  <m:r>
                    <m:t>1</m:t>
                  </m:r>
                </m:num>
                <m:den>
                  <m:d>
                    <m:dPr>
                      <m:begChr m:val="("/>
                      <m:sepChr m:val=""/>
                      <m:endChr m:val=")"/>
                      <m:grow/>
                    </m:dPr>
                    <m:e>
                      <m:r>
                        <m:t>N</m:t>
                      </m:r>
                      <m:r>
                        <m:rPr>
                          <m:sty m:val="p"/>
                        </m:rPr>
                        <m:t>−</m:t>
                      </m:r>
                      <m:r>
                        <m:t>m</m:t>
                      </m:r>
                      <m:r>
                        <m:rPr>
                          <m:sty m:val="p"/>
                        </m:rPr>
                        <m:t>+</m:t>
                      </m:r>
                      <m:r>
                        <m:t>1</m:t>
                      </m:r>
                    </m:e>
                  </m:d>
                  <m:r>
                    <m:t> </m:t>
                  </m:r>
                  <m:r>
                    <m:t>q</m:t>
                  </m:r>
                  <m:d>
                    <m:dPr>
                      <m:begChr m:val="("/>
                      <m:sepChr m:val=""/>
                      <m:endChr m:val=")"/>
                      <m:grow/>
                    </m:dPr>
                    <m:e>
                      <m:sSub>
                        <m:e>
                          <m:r>
                            <m:t>i</m:t>
                          </m:r>
                        </m:e>
                        <m:sub>
                          <m:r>
                            <m:t>m</m:t>
                          </m:r>
                        </m:sub>
                      </m:sSub>
                    </m:e>
                  </m:d>
                </m:den>
              </m:f>
              <m:r>
                <m:rPr>
                  <m:sty m:val="p"/>
                </m:rPr>
                <m:t>−</m:t>
              </m:r>
              <m:r>
                <m:t>1</m:t>
              </m:r>
            </m:e>
          </m:d>
        </m:oMath>
      </m:oMathPara>
    </w:p>
    <w:p>
      <w:pPr>
        <w:spacing w:after="60"/>
        <w:jc w:val="both"/>
      </w:pPr>
      <m:oMath>
        <m:r>
          <m:t>N</m:t>
        </m:r>
      </m:oMath>
      <w:r>
        <w:rPr>
          <w:color w:val="3A4350"/>
          <w:sz w:val="15"/>
          <w:szCs w:val="15"/>
        </w:rPr>
        <w:t xml:space="preserve"> is the pool size, </w:t>
      </w:r>
      <m:oMath>
        <m:r>
          <m:t>M</m:t>
        </m:r>
      </m:oMath>
      <w:r>
        <w:rPr>
          <w:color w:val="3A4350"/>
          <w:sz w:val="15"/>
          <w:szCs w:val="15"/>
        </w:rPr>
        <w:t xml:space="preserve"> the number of labelled test points, </w:t>
      </w:r>
      <m:oMath>
        <m:sSub>
          <m:e>
            <m:r>
              <m:t>i</m:t>
            </m:r>
          </m:e>
          <m:sub>
            <m:r>
              <m:t>m</m:t>
            </m:r>
          </m:sub>
        </m:sSub>
      </m:oMath>
      <w:r>
        <w:rPr>
          <w:color w:val="3A4350"/>
          <w:sz w:val="15"/>
          <w:szCs w:val="15"/>
        </w:rPr>
        <w:t xml:space="preserve"> the </w:t>
      </w:r>
      <m:oMath>
        <m:r>
          <m:t>m</m:t>
        </m:r>
      </m:oMath>
      <w:r>
        <w:rPr>
          <w:color w:val="3A4350"/>
          <w:sz w:val="15"/>
          <w:szCs w:val="15"/>
        </w:rPr>
        <w:t xml:space="preserve">-th index, drawn with probability </w:t>
      </w:r>
      <m:oMath>
        <m:r>
          <m:t>q</m:t>
        </m:r>
        <m:d>
          <m:dPr>
            <m:begChr m:val="("/>
            <m:sepChr m:val=""/>
            <m:endChr m:val=")"/>
            <m:grow/>
          </m:dPr>
          <m:e>
            <m:sSub>
              <m:e>
                <m:r>
                  <m:t>i</m:t>
                </m:r>
              </m:e>
              <m:sub>
                <m:r>
                  <m:t>m</m:t>
                </m:r>
              </m:sub>
            </m:sSub>
          </m:e>
        </m:d>
      </m:oMath>
      <w:r>
        <w:rPr>
          <w:color w:val="3A4350"/>
          <w:sz w:val="15"/>
          <w:szCs w:val="15"/>
        </w:rPr>
        <w:t xml:space="preserve"> from the points not yet chosen, </w:t>
      </w:r>
      <m:oMath>
        <m:r>
          <m:t>L</m:t>
        </m:r>
      </m:oMath>
      <w:r>
        <w:rPr>
          <w:color w:val="3A4350"/>
          <w:sz w:val="15"/>
          <w:szCs w:val="15"/>
        </w:rPr>
        <w:t xml:space="preserve"> the loss and </w:t>
      </w:r>
      <m:oMath>
        <m:r>
          <m:t>f</m:t>
        </m:r>
      </m:oMath>
      <w:r>
        <w:rPr>
          <w:color w:val="3A4350"/>
          <w:sz w:val="15"/>
          <w:szCs w:val="15"/>
        </w:rPr>
        <w:t xml:space="preserve"> the model; the weights </w:t>
      </w:r>
      <m:oMath>
        <m:sSub>
          <m:e>
            <m:r>
              <m:t>v</m:t>
            </m:r>
          </m:e>
          <m:sub>
            <m:r>
              <m:t>m</m:t>
            </m:r>
          </m:sub>
        </m:sSub>
      </m:oMath>
      <w:r>
        <w:rPr>
          <w:color w:val="3A4350"/>
          <w:sz w:val="15"/>
          <w:szCs w:val="15"/>
        </w:rPr>
        <w:t xml:space="preserve"> make </w:t>
      </w:r>
      <m:oMath>
        <m:sSub>
          <m:e>
            <m:acc>
              <m:accPr>
                <m:chr m:val="̃"/>
              </m:accPr>
              <m:e>
                <m:r>
                  <m:t>R</m:t>
                </m:r>
              </m:e>
            </m:acc>
          </m:e>
          <m:sub>
            <m:r>
              <m:rPr>
                <m:nor/>
              </m:rPr>
              <m:t>LURE</m:t>
            </m:r>
          </m:sub>
        </m:sSub>
      </m:oMath>
      <w:r>
        <w:rPr>
          <w:color w:val="3A4350"/>
          <w:sz w:val="15"/>
          <w:szCs w:val="15"/>
        </w:rPr>
        <w:t xml:space="preserve"> unbiased for the pool risk.</w:t>
      </w:r>
    </w:p>
    <w:p>
      <w:pPr>
        <w:spacing w:after="60"/>
        <w:jc w:val="both"/>
      </w:pPr>
      <w:r>
        <w:rPr>
          <w:b/>
          <w:bCs/>
          <w:color w:val="1E3A8A"/>
          <w:sz w:val="17"/>
          <w:szCs w:val="17"/>
        </w:rPr>
        <w:t xml:space="preserve">Link to the Fushë-Kuqe record holders. </w:t>
      </w:r>
      <w:r>
        <w:rPr>
          <w:sz w:val="17"/>
          <w:szCs w:val="17"/>
        </w:rPr>
        <w:t xml:space="preserve">Belongs to theme S (sequential and adaptive data acquisition). Before a coalition commits, the holders may want to check a merged outcome model against a few costly new chloride analyses. Active testing chooses which wells to sample and reweights them so that the estimated error stays unbiased, letting the monitoring agency audit a utility–hotel merge with few new samples.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made label-efficient evaluation a principled active-acquisition problem with an unbiased estimator, and started the active-testing line that later Oxford work on active surrogate estimators builds on. ICML 2021 spotlight.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estimator assumes labels are bought one point at a time from a single pool and that the target is an average loss. Unbiased evaluation of a CATE model when labels arrive in holder-sized blocks and are noised for privacy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acquisition-weighted risk estimator that stays unbiased under active selection, with a surrogate-driven proposal that also cuts variance. Proposed extension: choose actively which Fushë-Kuqe wells receive new chloride analyses to test a merged outcome model, with </w:t>
      </w:r>
      <m:oMath>
        <m:r>
          <m:t>q</m:t>
        </m:r>
      </m:oMath>
      <w:r>
        <w:rPr>
          <w:sz w:val="17"/>
          <w:szCs w:val="17"/>
        </w:rPr>
        <w:t xml:space="preserve"> proportional to the surrogate's expected error near the toe, and check on synthetic data that the LURE-weighted error is unbiased and needs fewer analyses than random sampling.</w:t>
      </w:r>
    </w:p>
    <w:p>
      <w:pPr>
        <w:keepNext/>
        <w:pBdr>
          <w:top w:val="single" w:color="1E3A8A" w:sz="6" w:space="4"/>
        </w:pBdr>
        <w:spacing w:after="60" w:before="220"/>
      </w:pPr>
      <w:r>
        <w:rPr>
          <w:b/>
          <w:bCs/>
          <w:color w:val="1E3A8A"/>
          <w:sz w:val="23"/>
          <w:szCs w:val="23"/>
        </w:rPr>
        <w:t xml:space="preserve">S5  </w:t>
      </w:r>
      <w:r>
        <w:rPr>
          <w:b/>
          <w:bCs/>
          <w:color w:val="1F3864"/>
          <w:sz w:val="23"/>
          <w:szCs w:val="23"/>
        </w:rPr>
        <w:t xml:space="preserve">Pandora's Problem with Nonobligatory Inspection: Optimal Structure and a PTAS</w:t>
      </w:r>
    </w:p>
    <w:p>
      <w:pPr>
        <w:keepNext/>
        <w:spacing w:after="60" w:line="240" w:lineRule="auto"/>
      </w:pPr>
      <w:r>
        <w:rPr>
          <w:b/>
          <w:bCs/>
          <w:color w:val="333B47"/>
          <w:sz w:val="15"/>
          <w:szCs w:val="15"/>
        </w:rPr>
        <w:t xml:space="preserve">Authors: </w:t>
      </w:r>
      <w:r>
        <w:rPr>
          <w:sz w:val="15"/>
          <w:szCs w:val="15"/>
        </w:rPr>
        <w:t xml:space="preserve">Hedyeh Beyhaghi, Linda Cai</w:t>
      </w:r>
      <w:r>
        <w:rPr>
          <w:sz w:val="15"/>
          <w:szCs w:val="15"/>
        </w:rPr>
        <w:t xml:space="preserve">   </w:t>
      </w:r>
      <w:r>
        <w:rPr>
          <w:b/>
          <w:bCs/>
          <w:color w:val="333B47"/>
          <w:sz w:val="15"/>
          <w:szCs w:val="15"/>
        </w:rPr>
        <w:t xml:space="preserve">Published in: </w:t>
      </w:r>
      <w:r>
        <w:rPr>
          <w:sz w:val="15"/>
          <w:szCs w:val="15"/>
        </w:rPr>
        <w:t xml:space="preserve">Proceedings of the 55th Annual ACM Symposium on Theory of Computing (STOC 2023), 803–816 (2023)</w:t>
      </w:r>
      <w:r>
        <w:rPr>
          <w:sz w:val="15"/>
          <w:szCs w:val="15"/>
        </w:rPr>
        <w:t xml:space="preserve">   </w:t>
      </w:r>
      <w:r>
        <w:rPr>
          <w:b/>
          <w:bCs/>
          <w:color w:val="333B47"/>
          <w:sz w:val="15"/>
          <w:szCs w:val="15"/>
        </w:rPr>
        <w:t xml:space="preserve">Link: </w:t>
      </w:r>
      <w:hyperlink w:history="1" r:id="rIdiuhokxbf1soheb5ogs8zs">
        <w:r>
          <w:rPr>
            <w:color w:val="1D4ED8"/>
            <w:sz w:val="15"/>
            <w:szCs w:val="15"/>
            <w:u w:val="single"/>
          </w:rPr>
          <w:t xml:space="preserve">https://arxiv.org/abs/2212.01524</w:t>
        </w:r>
      </w:hyperlink>
    </w:p>
    <w:p>
      <w:pPr>
        <w:keepNext/>
        <w:spacing w:after="80" w:line="240" w:lineRule="auto"/>
      </w:pPr>
      <w:r>
        <w:rPr>
          <w:b/>
          <w:bCs/>
          <w:color w:val="333B47"/>
          <w:sz w:val="15"/>
          <w:szCs w:val="15"/>
        </w:rPr>
        <w:t xml:space="preserve">Affiliation: </w:t>
      </w:r>
      <w:r>
        <w:rPr>
          <w:color w:val="3A4350"/>
          <w:sz w:val="15"/>
          <w:szCs w:val="15"/>
        </w:rPr>
        <w:t xml:space="preserve">Linda Cai, Princeton University (listed as Princeton in the Rutgers DIMACS seminar announcement of this paper, seen in a search); Beyhaghi's affiliation not verified. Venue and pages from dblp and the reference list of a 2023 survey; the ACM DOI and proceedings page were not seen, so the arXiv record (2212.01524) is given.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1E3A8A"/>
          <w:sz w:val="17"/>
          <w:szCs w:val="17"/>
        </w:rPr>
        <w:t xml:space="preserve">Summary. </w:t>
      </w:r>
      <w:r>
        <w:rPr>
          <w:sz w:val="17"/>
          <w:szCs w:val="17"/>
        </w:rPr>
        <w:t xml:space="preserve">In Weitzman's Pandora's box problem an agent pays to inspect boxes of random value and must inspect a box before taking it; an index rule is then optimal. Here the agent may also take a box uninspected, which breaks the index rule, and computing an optimal policy is NP-hard (Fu, Li and Liu, independently). The paper proves that some optimal policy uses only two predetermined inspection orders and switches from one to the other at most once, and it gives a polynomial-time approximation scheme (PTAS) through a reduction to a framework of Fu, Li and Xu. With the hardness result, this pins down the problem's complexity.</w:t>
      </w:r>
    </w:p>
    <w:p>
      <w:pPr>
        <w:keepNext/>
        <w:spacing w:after="20" w:before="40"/>
      </w:pPr>
      <w:r>
        <w:rPr>
          <w:b/>
          <w:bCs/>
          <w:color w:val="1E3A8A"/>
          <w:sz w:val="17"/>
          <w:szCs w:val="17"/>
        </w:rPr>
        <w:t xml:space="preserve">Key equation.</w:t>
      </w:r>
      <w:r>
        <w:rPr>
          <w:i/>
          <w:iCs/>
          <w:color w:val="5B6573"/>
          <w:sz w:val="15"/>
          <w:szCs w:val="15"/>
        </w:rPr>
        <w:t xml:space="preserve">  The nonobligatory Pandora objective, with Weitzman's reservation value of a box (representative formulation)</w:t>
      </w:r>
    </w:p>
    <w:p>
      <w:pPr>
        <w:pStyle w:val="Equation"/>
      </w:pPr>
      <m:oMathPara>
        <m:oMathParaPr>
          <m:jc m:val="center"/>
        </m:oMathParaPr>
        <m:oMath>
          <m:limLow>
            <m:e>
              <m:r>
                <m:rPr>
                  <m:sty m:val="p"/>
                </m:rPr>
                <m:t>max</m:t>
              </m:r>
            </m:e>
            <m:lim>
              <m:r>
                <m:t>π</m:t>
              </m:r>
            </m:lim>
          </m:limLow>
          <m:r>
            <m:t> </m:t>
          </m:r>
          <m:r>
            <m:rPr>
              <m:scr m:val="double-struck"/>
              <m:sty m:val="p"/>
            </m:rPr>
            <m:t>E</m:t>
          </m:r>
          <m:d>
            <m:dPr>
              <m:begChr m:val="["/>
              <m:sepChr m:val=""/>
              <m:endChr m:val="]"/>
              <m:grow/>
            </m:dPr>
            <m:e>
              <m:sSub>
                <m:e>
                  <m:r>
                    <m:t>X</m:t>
                  </m:r>
                </m:e>
                <m:sub>
                  <m:sSub>
                    <m:e>
                      <m:r>
                        <m:t>j</m:t>
                      </m:r>
                    </m:e>
                    <m:sub>
                      <m:r>
                        <m:t>π</m:t>
                      </m:r>
                    </m:sub>
                  </m:sSub>
                </m:sub>
              </m:sSub>
              <m:r>
                <m:rPr>
                  <m:sty m:val="p"/>
                </m:rPr>
                <m:t>−</m:t>
              </m:r>
              <m:nary>
                <m:naryPr>
                  <m:chr m:val="∑"/>
                  <m:limLoc m:val="undOvr"/>
                  <m:subHide m:val="off"/>
                  <m:supHide m:val="on"/>
                </m:naryPr>
                <m:sub>
                  <m:r>
                    <m:t>i</m:t>
                  </m:r>
                  <m:r>
                    <m:rPr>
                      <m:sty m:val="p"/>
                    </m:rPr>
                    <m:t>∈</m:t>
                  </m:r>
                  <m:sSub>
                    <m:e>
                      <m:r>
                        <m:t>I</m:t>
                      </m:r>
                    </m:e>
                    <m:sub>
                      <m:r>
                        <m:t>π</m:t>
                      </m:r>
                    </m:sub>
                  </m:sSub>
                </m:sub>
                <m:sup>
                  <m:r>
                    <m:t>​</m:t>
                  </m:r>
                </m:sup>
                <m:e>
                  <m:sSub>
                    <m:e>
                      <m:r>
                        <m:t>c</m:t>
                      </m:r>
                    </m:e>
                    <m:sub>
                      <m:r>
                        <m:t>i</m:t>
                      </m:r>
                    </m:sub>
                  </m:sSub>
                </m:e>
              </m:nary>
            </m:e>
          </m:d>
          <m:r>
            <m:rPr>
              <m:sty m:val="p"/>
            </m:rPr>
            <m:t>,</m:t>
          </m:r>
          <m:r>
            <m:t>  </m:t>
          </m:r>
          <m:r>
            <m:rPr>
              <m:scr m:val="double-struck"/>
              <m:sty m:val="p"/>
            </m:rPr>
            <m:t>E</m:t>
          </m:r>
          <m:d>
            <m:dPr>
              <m:begChr m:val="["/>
              <m:sepChr m:val=""/>
              <m:endChr m:val="]"/>
              <m:grow/>
            </m:dPr>
            <m:e>
              <m:sSup>
                <m:e>
                  <m:d>
                    <m:dPr>
                      <m:begChr m:val="("/>
                      <m:sepChr m:val=""/>
                      <m:endChr m:val=")"/>
                      <m:grow/>
                    </m:dPr>
                    <m:e>
                      <m:sSub>
                        <m:e>
                          <m:r>
                            <m:t>X</m:t>
                          </m:r>
                        </m:e>
                        <m:sub>
                          <m:r>
                            <m:t>i</m:t>
                          </m:r>
                        </m:sub>
                      </m:sSub>
                      <m:r>
                        <m:rPr>
                          <m:sty m:val="p"/>
                        </m:rPr>
                        <m:t>−</m:t>
                      </m:r>
                      <m:sSub>
                        <m:e>
                          <m:r>
                            <m:t>σ</m:t>
                          </m:r>
                        </m:e>
                        <m:sub>
                          <m:r>
                            <m:t>i</m:t>
                          </m:r>
                        </m:sub>
                      </m:sSub>
                    </m:e>
                  </m:d>
                </m:e>
                <m:sup>
                  <m:r>
                    <m:rPr>
                      <m:nor/>
                    </m:rPr>
                    <m:t>+</m:t>
                  </m:r>
                </m:sup>
              </m:sSup>
            </m:e>
          </m:d>
          <m:r>
            <m:rPr>
              <m:sty m:val="p"/>
            </m:rPr>
            <m:t>=</m:t>
          </m:r>
          <m:sSub>
            <m:e>
              <m:r>
                <m:t>c</m:t>
              </m:r>
            </m:e>
            <m:sub>
              <m:r>
                <m:t>i</m:t>
              </m:r>
            </m:sub>
          </m:sSub>
        </m:oMath>
      </m:oMathPara>
    </w:p>
    <w:p>
      <w:pPr>
        <w:spacing w:after="60"/>
        <w:jc w:val="both"/>
      </w:pPr>
      <w:r>
        <w:rPr>
          <w:color w:val="3A4350"/>
          <w:sz w:val="15"/>
          <w:szCs w:val="15"/>
        </w:rPr>
        <w:t xml:space="preserve">A policy </w:t>
      </w:r>
      <m:oMath>
        <m:r>
          <m:t>π</m:t>
        </m:r>
      </m:oMath>
      <w:r>
        <w:rPr>
          <w:color w:val="3A4350"/>
          <w:sz w:val="15"/>
          <w:szCs w:val="15"/>
        </w:rPr>
        <w:t xml:space="preserve"> inspects the boxes in </w:t>
      </w:r>
      <m:oMath>
        <m:sSub>
          <m:e>
            <m:r>
              <m:t>I</m:t>
            </m:r>
          </m:e>
          <m:sub>
            <m:r>
              <m:t>π</m:t>
            </m:r>
          </m:sub>
        </m:sSub>
      </m:oMath>
      <w:r>
        <w:rPr>
          <w:color w:val="3A4350"/>
          <w:sz w:val="15"/>
          <w:szCs w:val="15"/>
        </w:rPr>
        <w:t xml:space="preserve"> one at a time, paying </w:t>
      </w:r>
      <m:oMath>
        <m:sSub>
          <m:e>
            <m:r>
              <m:t>c</m:t>
            </m:r>
          </m:e>
          <m:sub>
            <m:r>
              <m:t>i</m:t>
            </m:r>
          </m:sub>
        </m:sSub>
      </m:oMath>
      <w:r>
        <w:rPr>
          <w:color w:val="3A4350"/>
          <w:sz w:val="15"/>
          <w:szCs w:val="15"/>
        </w:rPr>
        <w:t xml:space="preserve"> to see the independent value </w:t>
      </w:r>
      <m:oMath>
        <m:sSub>
          <m:e>
            <m:r>
              <m:t>X</m:t>
            </m:r>
          </m:e>
          <m:sub>
            <m:r>
              <m:t>i</m:t>
            </m:r>
          </m:sub>
        </m:sSub>
      </m:oMath>
      <w:r>
        <w:rPr>
          <w:color w:val="3A4350"/>
          <w:sz w:val="15"/>
          <w:szCs w:val="15"/>
        </w:rPr>
        <w:t xml:space="preserve"> of box </w:t>
      </w:r>
      <m:oMath>
        <m:r>
          <m:t>i</m:t>
        </m:r>
      </m:oMath>
      <w:r>
        <w:rPr>
          <w:color w:val="3A4350"/>
          <w:sz w:val="15"/>
          <w:szCs w:val="15"/>
        </w:rPr>
        <w:t xml:space="preserve">, and finally takes one box </w:t>
      </w:r>
      <m:oMath>
        <m:sSub>
          <m:e>
            <m:r>
              <m:t>j</m:t>
            </m:r>
          </m:e>
          <m:sub>
            <m:r>
              <m:t>π</m:t>
            </m:r>
          </m:sub>
        </m:sSub>
      </m:oMath>
      <w:r>
        <w:rPr>
          <w:color w:val="3A4350"/>
          <w:sz w:val="15"/>
          <w:szCs w:val="15"/>
        </w:rPr>
        <w:t xml:space="preserve">, inspected or not; </w:t>
      </w:r>
      <m:oMath>
        <m:sSub>
          <m:e>
            <m:r>
              <m:t>σ</m:t>
            </m:r>
          </m:e>
          <m:sub>
            <m:r>
              <m:t>i</m:t>
            </m:r>
          </m:sub>
        </m:sSub>
      </m:oMath>
      <w:r>
        <w:rPr>
          <w:color w:val="3A4350"/>
          <w:sz w:val="15"/>
          <w:szCs w:val="15"/>
        </w:rPr>
        <w:t xml:space="preserve"> is Weitzman's reservation value, whose ordering is optimal only when inspection is obligatory.</w:t>
      </w:r>
    </w:p>
    <w:p>
      <w:pPr>
        <w:spacing w:after="60"/>
        <w:jc w:val="both"/>
      </w:pPr>
      <w:r>
        <w:rPr>
          <w:b/>
          <w:bCs/>
          <w:color w:val="1E3A8A"/>
          <w:sz w:val="17"/>
          <w:szCs w:val="17"/>
        </w:rPr>
        <w:t xml:space="preserve">Link to the Fushë-Kuqe record holders. </w:t>
      </w:r>
      <w:r>
        <w:rPr>
          <w:sz w:val="17"/>
          <w:szCs w:val="17"/>
        </w:rPr>
        <w:t xml:space="preserve">Belongs to theme S (sequential and adaptive data acquisition). Each Fushë-Kuqe holder is a box: computing its merge value on secret shares is a costly inspection, but the coalition may also admit a holder blind, such as the research campaigns whose designed pumping tests are surely informative. The result guides the order of inspections and when to stop computing.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settles the structure of a basic cost-aware stopping problem that index rules cannot solve: an optimal policy needs at most two inspection orders and one switch, and a PTAS exists although exact optimisation is NP-hard. Published at STOC 2023, the premier theory-of-computing venue.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Boxes are independent and a single box is finally taken. When the value of admitting a holder depends on who is already in (hotel and municipal records complement each other), the structure of optimal inspect-or-admit policies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optimal policy for optional inspection that needs only two fixed orders and one switch, and a PTAS. Proposed extension: treat each Fushë-Kuqe holder as a box whose inspection is a secret-shared EIG computation with a known MPC cost, allow blind or inspected admission, and test on synthetic data whether a two-order policy loses less EIG per unit of MPC cost than inspecting every holder.</w:t>
      </w:r>
    </w:p>
    <w:p>
      <w:pPr>
        <w:pStyle w:val="Heading1"/>
      </w:pPr>
      <w:r>
        <w:rPr>
          <w:color w:val="0F766E"/>
        </w:rPr>
        <w:t xml:space="preserve">5. Robustly combining data sources for causal inference</w:t>
      </w:r>
    </w:p>
    <w:p>
      <w:pPr>
        <w:spacing w:after="120"/>
        <w:jc w:val="both"/>
      </w:pPr>
      <w:r>
        <w:t xml:space="preserve">Five groups combine sources that may disagree. Jiafeng Chen and David Ritzwoller estimate long-term effects by combining an experiment with observational data [R1]; Melody Huang, Naoki Egami, Erin Hartman and Luke Miratrix use population outcomes to generalise an experiment [R2]; Zeshan Hussain, Michael Oberst, Ming-Chieh Shih and David Sontag falsify observational studies against a trial before extrapolating [R3]; Jianqing Fan, Cheng Gao and Jason Klusowski transfer robustly from unreliable sources [R4]; and George Nicholson, Chris Holmes and colleagues debias mass-testing data with a small random survey [R5].</w:t>
      </w:r>
    </w:p>
    <w:p>
      <w:pPr>
        <w:keepNext/>
        <w:pBdr>
          <w:top w:val="single" w:color="0F766E" w:sz="6" w:space="4"/>
        </w:pBdr>
        <w:spacing w:after="60" w:before="220"/>
      </w:pPr>
      <w:r>
        <w:rPr>
          <w:b/>
          <w:bCs/>
          <w:color w:val="0F766E"/>
          <w:sz w:val="23"/>
          <w:szCs w:val="23"/>
        </w:rPr>
        <w:t xml:space="preserve">R1  </w:t>
      </w:r>
      <w:r>
        <w:rPr>
          <w:b/>
          <w:bCs/>
          <w:color w:val="1F3864"/>
          <w:sz w:val="23"/>
          <w:szCs w:val="23"/>
        </w:rPr>
        <w:t xml:space="preserve">Semiparametric Estimation of Long-Term Treatment Effects</w:t>
      </w:r>
    </w:p>
    <w:p>
      <w:pPr>
        <w:keepNext/>
        <w:spacing w:after="60" w:line="240" w:lineRule="auto"/>
      </w:pPr>
      <w:r>
        <w:rPr>
          <w:b/>
          <w:bCs/>
          <w:color w:val="333B47"/>
          <w:sz w:val="15"/>
          <w:szCs w:val="15"/>
        </w:rPr>
        <w:t xml:space="preserve">Authors: </w:t>
      </w:r>
      <w:r>
        <w:rPr>
          <w:sz w:val="15"/>
          <w:szCs w:val="15"/>
        </w:rPr>
        <w:t xml:space="preserve">Jiafeng Chen, David M. Ritzwoller</w:t>
      </w:r>
      <w:r>
        <w:rPr>
          <w:sz w:val="15"/>
          <w:szCs w:val="15"/>
        </w:rPr>
        <w:t xml:space="preserve">   </w:t>
      </w:r>
      <w:r>
        <w:rPr>
          <w:b/>
          <w:bCs/>
          <w:color w:val="333B47"/>
          <w:sz w:val="15"/>
          <w:szCs w:val="15"/>
        </w:rPr>
        <w:t xml:space="preserve">Published in: </w:t>
      </w:r>
      <w:r>
        <w:rPr>
          <w:sz w:val="15"/>
          <w:szCs w:val="15"/>
        </w:rPr>
        <w:t xml:space="preserve">Journal of Econometrics, 237(2) (2023; article number and month not verified); arXiv 2107.14405</w:t>
      </w:r>
      <w:r>
        <w:rPr>
          <w:sz w:val="15"/>
          <w:szCs w:val="15"/>
        </w:rPr>
        <w:t xml:space="preserve">   </w:t>
      </w:r>
      <w:r>
        <w:rPr>
          <w:b/>
          <w:bCs/>
          <w:color w:val="333B47"/>
          <w:sz w:val="15"/>
          <w:szCs w:val="15"/>
        </w:rPr>
        <w:t xml:space="preserve">Link: </w:t>
      </w:r>
      <w:hyperlink w:history="1" r:id="rIdwti0bdmt9xvmqic416i2z">
        <w:r>
          <w:rPr>
            <w:color w:val="1D4ED8"/>
            <w:sz w:val="15"/>
            <w:szCs w:val="15"/>
            <w:u w:val="single"/>
          </w:rPr>
          <w:t xml:space="preserve">https://ideas.repec.org/a/eee/econom/v237y2023i2s0304407623002610.html</w:t>
        </w:r>
      </w:hyperlink>
    </w:p>
    <w:p>
      <w:pPr>
        <w:keepNext/>
        <w:spacing w:after="80" w:line="240" w:lineRule="auto"/>
      </w:pPr>
      <w:r>
        <w:rPr>
          <w:b/>
          <w:bCs/>
          <w:color w:val="333B47"/>
          <w:sz w:val="15"/>
          <w:szCs w:val="15"/>
        </w:rPr>
        <w:t xml:space="preserve">Affiliation: </w:t>
      </w:r>
      <w:r>
        <w:rPr>
          <w:color w:val="3A4350"/>
          <w:sz w:val="15"/>
          <w:szCs w:val="15"/>
        </w:rPr>
        <w:t xml:space="preserve">Jiafeng Chen, Harvard Business School (Harvard University); David M. Ritzwoller, Stanford Graduate School of Business — from a search summary of the arXiv record. Journal, volume and issue from the IDEAS/RePEc record; the DOI and the publisher page were not seen.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F766E"/>
          <w:sz w:val="17"/>
          <w:szCs w:val="17"/>
        </w:rPr>
        <w:t xml:space="preserve">Summary. </w:t>
      </w:r>
      <w:r>
        <w:rPr>
          <w:sz w:val="17"/>
          <w:szCs w:val="17"/>
        </w:rPr>
        <w:t xml:space="preserve">An experiment records only short-term outcomes </w:t>
      </w:r>
      <m:oMath>
        <m:r>
          <m:t>S</m:t>
        </m:r>
      </m:oMath>
      <w:r>
        <w:rPr>
          <w:sz w:val="17"/>
          <w:szCs w:val="17"/>
        </w:rPr>
        <w:t xml:space="preserve">; an observational sample records </w:t>
      </w:r>
      <m:oMath>
        <m:r>
          <m:t>S</m:t>
        </m:r>
      </m:oMath>
      <w:r>
        <w:rPr>
          <w:sz w:val="17"/>
          <w:szCs w:val="17"/>
        </w:rPr>
        <w:t xml:space="preserve"> and long-term outcomes </w:t>
      </w:r>
      <m:oMath>
        <m:r>
          <m:t>Y</m:t>
        </m:r>
      </m:oMath>
      <w:r>
        <w:rPr>
          <w:sz w:val="17"/>
          <w:szCs w:val="17"/>
        </w:rPr>
        <w:t xml:space="preserve">, but its treatment may be confounded. The paper studies the long-term average treatment effect in two data-combination models: statistical surrogacy, where the experiment identifies the effect on </w:t>
      </w:r>
      <m:oMath>
        <m:r>
          <m:t>S</m:t>
        </m:r>
      </m:oMath>
      <w:r>
        <w:rPr>
          <w:sz w:val="17"/>
          <w:szCs w:val="17"/>
        </w:rPr>
        <w:t xml:space="preserve"> and the observational sample links </w:t>
      </w:r>
      <m:oMath>
        <m:r>
          <m:t>S</m:t>
        </m:r>
      </m:oMath>
      <w:r>
        <w:rPr>
          <w:sz w:val="17"/>
          <w:szCs w:val="17"/>
        </w:rPr>
        <w:t xml:space="preserve"> to </w:t>
      </w:r>
      <m:oMath>
        <m:r>
          <m:t>Y</m:t>
        </m:r>
      </m:oMath>
      <w:r>
        <w:rPr>
          <w:sz w:val="17"/>
          <w:szCs w:val="17"/>
        </w:rPr>
        <w:t xml:space="preserve">, and latent unconfoundedness, where the experiment's short-term effects are used to correct the confounded observational sample. For these instances it characterises the semiparametric efficiency bounds and uses the calculations to construct several estimators based on the efficient influence function with flexibly estimated nuisance functions. A simulation calibrated to a poverty-alleviation programme assesses them.</w:t>
      </w:r>
    </w:p>
    <w:p>
      <w:pPr>
        <w:keepNext/>
        <w:spacing w:after="20" w:before="40"/>
      </w:pPr>
      <w:r>
        <w:rPr>
          <w:b/>
          <w:bCs/>
          <w:color w:val="0F766E"/>
          <w:sz w:val="17"/>
          <w:szCs w:val="17"/>
        </w:rPr>
        <w:t xml:space="preserve">Key equation.</w:t>
      </w:r>
      <w:r>
        <w:rPr>
          <w:i/>
          <w:iCs/>
          <w:color w:val="5B6573"/>
          <w:sz w:val="15"/>
          <w:szCs w:val="15"/>
        </w:rPr>
        <w:t xml:space="preserve">  Identification of the long-term mean outcome under statistical surrogacy: a surrogate index learnt in the observational sample is averaged over one experimental arm (representative formulation)</w:t>
      </w:r>
    </w:p>
    <w:p>
      <w:pPr>
        <w:pStyle w:val="Equation"/>
      </w:pPr>
      <m:oMathPara>
        <m:oMathParaPr>
          <m:jc m:val="center"/>
        </m:oMathParaPr>
        <m:oMath>
          <m:sSub>
            <m:e>
              <m:r>
                <m:t>μ</m:t>
              </m:r>
            </m:e>
            <m:sub>
              <m:r>
                <m:t>a</m:t>
              </m:r>
            </m:sub>
          </m:sSub>
          <m:r>
            <m:rPr>
              <m:sty m:val="p"/>
            </m:rPr>
            <m:t>=</m:t>
          </m:r>
          <m:r>
            <m:rPr>
              <m:scr m:val="double-struck"/>
              <m:sty m:val="p"/>
            </m:rPr>
            <m:t>E</m:t>
          </m:r>
          <m:d>
            <m:dPr>
              <m:begChr m:val="{"/>
              <m:sepChr m:val=""/>
              <m:endChr m:val="}"/>
              <m:grow/>
            </m:dPr>
            <m:e>
              <m:bar>
                <m:barPr>
                  <m:pos m:val="top"/>
                </m:barPr>
                <m:e>
                  <m:r>
                    <m:t>μ</m:t>
                  </m:r>
                </m:e>
              </m:bar>
              <m:d>
                <m:dPr>
                  <m:begChr m:val="("/>
                  <m:sepChr m:val=""/>
                  <m:endChr m:val=")"/>
                  <m:grow/>
                </m:dPr>
                <m:e>
                  <m:r>
                    <m:t>S</m:t>
                  </m:r>
                  <m:r>
                    <m:rPr>
                      <m:sty m:val="p"/>
                    </m:rPr>
                    <m:t>,</m:t>
                  </m:r>
                  <m:r>
                    <m:t>X</m:t>
                  </m:r>
                </m:e>
              </m:d>
              <m:r>
                <m:rPr>
                  <m:sty m:val="p"/>
                </m:rPr>
                <m:t>∣</m:t>
              </m:r>
              <m:r>
                <m:t>W</m:t>
              </m:r>
              <m:r>
                <m:rPr>
                  <m:sty m:val="p"/>
                </m:rPr>
                <m:t>=</m:t>
              </m:r>
              <m:r>
                <m:t>a</m:t>
              </m:r>
              <m:r>
                <m:rPr>
                  <m:sty m:val="p"/>
                </m:rPr>
                <m:t>,</m:t>
              </m:r>
              <m:r>
                <m:t> </m:t>
              </m:r>
              <m:r>
                <m:t>G</m:t>
              </m:r>
              <m:r>
                <m:rPr>
                  <m:sty m:val="p"/>
                </m:rPr>
                <m:t>=</m:t>
              </m:r>
              <m:r>
                <m:t>E</m:t>
              </m:r>
            </m:e>
          </m:d>
          <m:r>
            <m:rPr>
              <m:sty m:val="p"/>
            </m:rPr>
            <m:t>,</m:t>
          </m:r>
          <m:r>
            <m:t>  </m:t>
          </m:r>
          <m:bar>
            <m:barPr>
              <m:pos m:val="top"/>
            </m:barPr>
            <m:e>
              <m:r>
                <m:t>μ</m:t>
              </m:r>
            </m:e>
          </m:bar>
          <m:d>
            <m:dPr>
              <m:begChr m:val="("/>
              <m:sepChr m:val=""/>
              <m:endChr m:val=")"/>
              <m:grow/>
            </m:dPr>
            <m:e>
              <m:r>
                <m:t>s</m:t>
              </m:r>
              <m:r>
                <m:rPr>
                  <m:sty m:val="p"/>
                </m:rPr>
                <m:t>,</m:t>
              </m:r>
              <m:r>
                <m:t>x</m:t>
              </m:r>
            </m:e>
          </m:d>
          <m:r>
            <m:rPr>
              <m:sty m:val="p"/>
            </m:rPr>
            <m:t>=</m:t>
          </m:r>
          <m:r>
            <m:rPr>
              <m:scr m:val="double-struck"/>
              <m:sty m:val="p"/>
            </m:rPr>
            <m:t>E</m:t>
          </m:r>
          <m:d>
            <m:dPr>
              <m:begChr m:val="["/>
              <m:sepChr m:val=""/>
              <m:endChr m:val="]"/>
              <m:grow/>
            </m:dPr>
            <m:e>
              <m:r>
                <m:t>Y</m:t>
              </m:r>
              <m:r>
                <m:rPr>
                  <m:sty m:val="p"/>
                </m:rPr>
                <m:t>∣</m:t>
              </m:r>
              <m:r>
                <m:t>S</m:t>
              </m:r>
              <m:r>
                <m:rPr>
                  <m:sty m:val="p"/>
                </m:rPr>
                <m:t>=</m:t>
              </m:r>
              <m:r>
                <m:t>s</m:t>
              </m:r>
              <m:r>
                <m:rPr>
                  <m:sty m:val="p"/>
                </m:rPr>
                <m:t>,</m:t>
              </m:r>
              <m:r>
                <m:t> </m:t>
              </m:r>
              <m:r>
                <m:t>X</m:t>
              </m:r>
              <m:r>
                <m:rPr>
                  <m:sty m:val="p"/>
                </m:rPr>
                <m:t>=</m:t>
              </m:r>
              <m:r>
                <m:t>x</m:t>
              </m:r>
              <m:r>
                <m:rPr>
                  <m:sty m:val="p"/>
                </m:rPr>
                <m:t>,</m:t>
              </m:r>
              <m:r>
                <m:t> </m:t>
              </m:r>
              <m:r>
                <m:t>G</m:t>
              </m:r>
              <m:r>
                <m:rPr>
                  <m:sty m:val="p"/>
                </m:rPr>
                <m:t>=</m:t>
              </m:r>
              <m:r>
                <m:t>O</m:t>
              </m:r>
            </m:e>
          </m:d>
        </m:oMath>
      </m:oMathPara>
    </w:p>
    <w:p>
      <w:pPr>
        <w:spacing w:after="60"/>
        <w:jc w:val="both"/>
      </w:pPr>
      <m:oMath>
        <m:r>
          <m:t>G</m:t>
        </m:r>
        <m:r>
          <m:rPr>
            <m:sty m:val="p"/>
          </m:rPr>
          <m:t>=</m:t>
        </m:r>
        <m:r>
          <m:t>E</m:t>
        </m:r>
      </m:oMath>
      <w:r>
        <w:rPr>
          <w:color w:val="3A4350"/>
          <w:sz w:val="15"/>
          <w:szCs w:val="15"/>
        </w:rPr>
        <w:t xml:space="preserve"> marks the experimental and </w:t>
      </w:r>
      <m:oMath>
        <m:r>
          <m:t>G</m:t>
        </m:r>
        <m:r>
          <m:rPr>
            <m:sty m:val="p"/>
          </m:rPr>
          <m:t>=</m:t>
        </m:r>
        <m:r>
          <m:t>O</m:t>
        </m:r>
      </m:oMath>
      <w:r>
        <w:rPr>
          <w:color w:val="3A4350"/>
          <w:sz w:val="15"/>
          <w:szCs w:val="15"/>
        </w:rPr>
        <w:t xml:space="preserve"> the observational sample, </w:t>
      </w:r>
      <m:oMath>
        <m:r>
          <m:t>W</m:t>
        </m:r>
      </m:oMath>
      <w:r>
        <w:rPr>
          <w:color w:val="3A4350"/>
          <w:sz w:val="15"/>
          <w:szCs w:val="15"/>
        </w:rPr>
        <w:t xml:space="preserve"> the randomised treatment, </w:t>
      </w:r>
      <m:oMath>
        <m:r>
          <m:t>S</m:t>
        </m:r>
      </m:oMath>
      <w:r>
        <w:rPr>
          <w:color w:val="3A4350"/>
          <w:sz w:val="15"/>
          <w:szCs w:val="15"/>
        </w:rPr>
        <w:t xml:space="preserve"> the short-term and </w:t>
      </w:r>
      <m:oMath>
        <m:r>
          <m:t>Y</m:t>
        </m:r>
      </m:oMath>
      <w:r>
        <w:rPr>
          <w:color w:val="3A4350"/>
          <w:sz w:val="15"/>
          <w:szCs w:val="15"/>
        </w:rPr>
        <w:t xml:space="preserve"> the long-term outcome, </w:t>
      </w:r>
      <m:oMath>
        <m:r>
          <m:t>X</m:t>
        </m:r>
      </m:oMath>
      <w:r>
        <w:rPr>
          <w:color w:val="3A4350"/>
          <w:sz w:val="15"/>
          <w:szCs w:val="15"/>
        </w:rPr>
        <w:t xml:space="preserve"> covariates, and </w:t>
      </w:r>
      <m:oMath>
        <m:bar>
          <m:barPr>
            <m:pos m:val="top"/>
          </m:barPr>
          <m:e>
            <m:r>
              <m:t>μ</m:t>
            </m:r>
          </m:e>
        </m:bar>
      </m:oMath>
      <w:r>
        <w:rPr>
          <w:color w:val="3A4350"/>
          <w:sz w:val="15"/>
          <w:szCs w:val="15"/>
        </w:rPr>
        <w:t xml:space="preserve"> the surrogate index learnt where </w:t>
      </w:r>
      <m:oMath>
        <m:r>
          <m:t>Y</m:t>
        </m:r>
      </m:oMath>
      <w:r>
        <w:rPr>
          <w:color w:val="3A4350"/>
          <w:sz w:val="15"/>
          <w:szCs w:val="15"/>
        </w:rPr>
        <w:t xml:space="preserve"> is observed.</w:t>
      </w:r>
    </w:p>
    <w:p>
      <w:pPr>
        <w:spacing w:after="60"/>
        <w:jc w:val="both"/>
      </w:pPr>
      <w:r>
        <w:rPr>
          <w:b/>
          <w:bCs/>
          <w:color w:val="0F766E"/>
          <w:sz w:val="17"/>
          <w:szCs w:val="17"/>
        </w:rPr>
        <w:t xml:space="preserve">Link to the Fushë-Kuqe record holders. </w:t>
      </w:r>
      <w:r>
        <w:rPr>
          <w:sz w:val="17"/>
          <w:szCs w:val="17"/>
        </w:rPr>
        <w:t xml:space="preserve">Belongs to theme R (robustly combining data sources for causal inference). The research campaigns' designed pumping tests are the short experiment (chloride change within one season); the utility and the monitoring agency hold long chloride series under confounded pumping. The paper says how efficiently that coalition can estimate the multi-year salinisation effect, and which surrogacy assumption the merge rests 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supplies the efficiency theory for the two standard ways of joining a short experiment to long observational records, so any combined estimator now has a benchmark to meet and a clear statement of what each sample contributes. Published in the Journal of Econometrics (2023) from Harvard Business School and Stanford GSB.</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Both samples are assumed to come from one population and to be pooled freely. Whether the efficiency bound can be computed from shared summaries before merging, to rank which long-record holder should join the designed campaign,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efficiency bounds and efficient-influence-function estimators for long-term effects under two data-combination models, separating what the experiment and the observational sample each contribute. Proposed extension: use the drop in the efficiency bound as the value of a merge; for each candidate Fushë-Kuqe holder, estimate the bound's variance terms from Gram matrices on secret shares, and test on synthetic data from the zonal flow model whether this ranking agrees with the EIG ranking.</w:t>
      </w:r>
    </w:p>
    <w:p>
      <w:pPr>
        <w:keepNext/>
        <w:pBdr>
          <w:top w:val="single" w:color="0F766E" w:sz="6" w:space="4"/>
        </w:pBdr>
        <w:spacing w:after="60" w:before="220"/>
      </w:pPr>
      <w:r>
        <w:rPr>
          <w:b/>
          <w:bCs/>
          <w:color w:val="0F766E"/>
          <w:sz w:val="23"/>
          <w:szCs w:val="23"/>
        </w:rPr>
        <w:t xml:space="preserve">R2  </w:t>
      </w:r>
      <w:r>
        <w:rPr>
          <w:b/>
          <w:bCs/>
          <w:color w:val="1F3864"/>
          <w:sz w:val="23"/>
          <w:szCs w:val="23"/>
        </w:rPr>
        <w:t xml:space="preserve">Leveraging Population Outcomes to Improve the Generalization of Experimental Results: Application to the JTPA Study</w:t>
      </w:r>
    </w:p>
    <w:p>
      <w:pPr>
        <w:keepNext/>
        <w:spacing w:after="60" w:line="240" w:lineRule="auto"/>
      </w:pPr>
      <w:r>
        <w:rPr>
          <w:b/>
          <w:bCs/>
          <w:color w:val="333B47"/>
          <w:sz w:val="15"/>
          <w:szCs w:val="15"/>
        </w:rPr>
        <w:t xml:space="preserve">Authors: </w:t>
      </w:r>
      <w:r>
        <w:rPr>
          <w:sz w:val="15"/>
          <w:szCs w:val="15"/>
        </w:rPr>
        <w:t xml:space="preserve">Melody Huang, Naoki Egami, Erin Hartman, Luke Miratrix</w:t>
      </w:r>
      <w:r>
        <w:rPr>
          <w:sz w:val="15"/>
          <w:szCs w:val="15"/>
        </w:rPr>
        <w:t xml:space="preserve">   </w:t>
      </w:r>
      <w:r>
        <w:rPr>
          <w:b/>
          <w:bCs/>
          <w:color w:val="333B47"/>
          <w:sz w:val="15"/>
          <w:szCs w:val="15"/>
        </w:rPr>
        <w:t xml:space="preserve">Published in: </w:t>
      </w:r>
      <w:r>
        <w:rPr>
          <w:sz w:val="15"/>
          <w:szCs w:val="15"/>
        </w:rPr>
        <w:t xml:space="preserve">Annals of Applied Statistics, 17(3), 2139–2164 (September 2023); arXiv 2111.01357</w:t>
      </w:r>
      <w:r>
        <w:rPr>
          <w:sz w:val="15"/>
          <w:szCs w:val="15"/>
        </w:rPr>
        <w:t xml:space="preserve">   </w:t>
      </w:r>
      <w:r>
        <w:rPr>
          <w:b/>
          <w:bCs/>
          <w:color w:val="333B47"/>
          <w:sz w:val="15"/>
          <w:szCs w:val="15"/>
        </w:rPr>
        <w:t xml:space="preserve">Link: </w:t>
      </w:r>
      <w:hyperlink w:history="1" r:id="rIdtjugz1r5ivkr2307mfnx-">
        <w:r>
          <w:rPr>
            <w:color w:val="1D4ED8"/>
            <w:sz w:val="15"/>
            <w:szCs w:val="15"/>
            <w:u w:val="single"/>
          </w:rPr>
          <w:t xml:space="preserve">https://doi.org/10.1214/22-AOAS1712</w:t>
        </w:r>
      </w:hyperlink>
    </w:p>
    <w:p>
      <w:pPr>
        <w:keepNext/>
        <w:spacing w:after="80" w:line="240" w:lineRule="auto"/>
      </w:pPr>
      <w:r>
        <w:rPr>
          <w:b/>
          <w:bCs/>
          <w:color w:val="333B47"/>
          <w:sz w:val="15"/>
          <w:szCs w:val="15"/>
        </w:rPr>
        <w:t xml:space="preserve">Affiliation: </w:t>
      </w:r>
      <w:r>
        <w:rPr>
          <w:color w:val="3A4350"/>
          <w:sz w:val="15"/>
          <w:szCs w:val="15"/>
        </w:rPr>
        <w:t xml:space="preserve">Listed among the publications of the Harvard Graduate School of Education CARES centre (Luke Miratrix’s group) and of the Harvard Kennedy School Center for International Development — search results; DOI, volume, issue and pages from the Project Euclid record. The other authors’ affiliations were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F766E"/>
          <w:sz w:val="17"/>
          <w:szCs w:val="17"/>
        </w:rPr>
        <w:t xml:space="preserve">Summary. </w:t>
      </w:r>
      <w:r>
        <w:rPr>
          <w:sz w:val="17"/>
          <w:szCs w:val="17"/>
        </w:rPr>
        <w:t xml:space="preserve">Weighting estimators carry an experiment's average effect to a target population under sampling ignorability, but when the sample differs strongly from the population the weights become extreme and the variance large. The paper exploits outcome data that already exist in the observational population: a flexible predictive model of the outcome (for example a machine-learning fit) is trained there, and the experimental outcomes are residualised with it before conventional weighting. The authors show that the resulting population average treatment effect estimator is consistent under the same assumptions as existing weighting methods, without requiring the predictive model to be correctly specified, with efficiency gains in simulations and job-training experiments.</w:t>
      </w:r>
    </w:p>
    <w:p>
      <w:pPr>
        <w:keepNext/>
        <w:spacing w:after="20" w:before="40"/>
      </w:pPr>
      <w:r>
        <w:rPr>
          <w:b/>
          <w:bCs/>
          <w:color w:val="0F766E"/>
          <w:sz w:val="17"/>
          <w:szCs w:val="17"/>
        </w:rPr>
        <w:t xml:space="preserve">Key equation.</w:t>
      </w:r>
      <w:r>
        <w:rPr>
          <w:i/>
          <w:iCs/>
          <w:color w:val="5B6573"/>
          <w:sz w:val="15"/>
          <w:szCs w:val="15"/>
        </w:rPr>
        <w:t xml:space="preserve">  Weighted difference in means of experimental outcomes residualised by a model trained on population outcome data (representative formulation)</w:t>
      </w:r>
    </w:p>
    <w:p>
      <w:pPr>
        <w:pStyle w:val="Equation"/>
      </w:pPr>
      <m:oMathPara>
        <m:oMathParaPr>
          <m:jc m:val="center"/>
        </m:oMathParaPr>
        <m:oMath>
          <m:acc>
            <m:accPr>
              <m:chr m:val="̂"/>
            </m:accPr>
            <m:e>
              <m:r>
                <m:t>τ</m:t>
              </m:r>
            </m:e>
          </m:acc>
          <m:r>
            <m:rPr>
              <m:sty m:val="p"/>
            </m:rPr>
            <m:t>=</m:t>
          </m:r>
          <m:f>
            <m:fPr>
              <m:type m:val="bar"/>
            </m:fPr>
            <m:num>
              <m:nary>
                <m:naryPr>
                  <m:chr m:val="∑"/>
                  <m:limLoc m:val="undOvr"/>
                  <m:subHide m:val="off"/>
                  <m:supHide m:val="on"/>
                </m:naryPr>
                <m:sub>
                  <m:r>
                    <m:t>i</m:t>
                  </m:r>
                  <m:r>
                    <m:rPr>
                      <m:sty m:val="p"/>
                    </m:rPr>
                    <m:t>∈</m:t>
                  </m:r>
                  <m:r>
                    <m:rPr>
                      <m:scr m:val="script"/>
                      <m:sty m:val="p"/>
                    </m:rPr>
                    <m:t>S</m:t>
                  </m:r>
                </m:sub>
                <m:sup>
                  <m:r>
                    <m:t>​</m:t>
                  </m:r>
                </m:sup>
                <m:e>
                  <m:sSub>
                    <m:e>
                      <m:r>
                        <m:t>w</m:t>
                      </m:r>
                    </m:e>
                    <m:sub>
                      <m:r>
                        <m:t>i</m:t>
                      </m:r>
                    </m:sub>
                  </m:sSub>
                </m:e>
              </m:nary>
              <m:sSub>
                <m:e>
                  <m:r>
                    <m:t>T</m:t>
                  </m:r>
                </m:e>
                <m:sub>
                  <m:r>
                    <m:t>i</m:t>
                  </m:r>
                </m:sub>
              </m:sSub>
              <m:d>
                <m:dPr>
                  <m:begChr m:val="("/>
                  <m:sepChr m:val=""/>
                  <m:endChr m:val=")"/>
                  <m:grow/>
                </m:dPr>
                <m:e>
                  <m:sSub>
                    <m:e>
                      <m:r>
                        <m:t>Y</m:t>
                      </m:r>
                    </m:e>
                    <m:sub>
                      <m:r>
                        <m:t>i</m:t>
                      </m:r>
                    </m:sub>
                  </m:sSub>
                  <m:r>
                    <m:rPr>
                      <m:sty m:val="p"/>
                    </m:rPr>
                    <m:t>−</m:t>
                  </m:r>
                  <m:acc>
                    <m:accPr>
                      <m:chr m:val="̂"/>
                    </m:accPr>
                    <m:e>
                      <m:r>
                        <m:t>g</m:t>
                      </m:r>
                    </m:e>
                  </m:acc>
                  <m:d>
                    <m:dPr>
                      <m:begChr m:val="("/>
                      <m:sepChr m:val=""/>
                      <m:endChr m:val=")"/>
                      <m:grow/>
                    </m:dPr>
                    <m:e>
                      <m:sSub>
                        <m:e>
                          <m:r>
                            <m:t>X</m:t>
                          </m:r>
                        </m:e>
                        <m:sub>
                          <m:r>
                            <m:t>i</m:t>
                          </m:r>
                        </m:sub>
                      </m:sSub>
                    </m:e>
                  </m:d>
                </m:e>
              </m:d>
            </m:num>
            <m:den>
              <m:nary>
                <m:naryPr>
                  <m:chr m:val="∑"/>
                  <m:limLoc m:val="undOvr"/>
                  <m:subHide m:val="off"/>
                  <m:supHide m:val="on"/>
                </m:naryPr>
                <m:sub>
                  <m:r>
                    <m:t>i</m:t>
                  </m:r>
                  <m:r>
                    <m:rPr>
                      <m:sty m:val="p"/>
                    </m:rPr>
                    <m:t>∈</m:t>
                  </m:r>
                  <m:r>
                    <m:rPr>
                      <m:scr m:val="script"/>
                      <m:sty m:val="p"/>
                    </m:rPr>
                    <m:t>S</m:t>
                  </m:r>
                </m:sub>
                <m:sup>
                  <m:r>
                    <m:t>​</m:t>
                  </m:r>
                </m:sup>
                <m:e>
                  <m:sSub>
                    <m:e>
                      <m:r>
                        <m:t>w</m:t>
                      </m:r>
                    </m:e>
                    <m:sub>
                      <m:r>
                        <m:t>i</m:t>
                      </m:r>
                    </m:sub>
                  </m:sSub>
                </m:e>
              </m:nary>
              <m:sSub>
                <m:e>
                  <m:r>
                    <m:t>T</m:t>
                  </m:r>
                </m:e>
                <m:sub>
                  <m:r>
                    <m:t>i</m:t>
                  </m:r>
                </m:sub>
              </m:sSub>
            </m:den>
          </m:f>
          <m:r>
            <m:rPr>
              <m:sty m:val="p"/>
            </m:rPr>
            <m:t>−</m:t>
          </m:r>
          <m:f>
            <m:fPr>
              <m:type m:val="bar"/>
            </m:fPr>
            <m:num>
              <m:nary>
                <m:naryPr>
                  <m:chr m:val="∑"/>
                  <m:limLoc m:val="undOvr"/>
                  <m:subHide m:val="off"/>
                  <m:supHide m:val="on"/>
                </m:naryPr>
                <m:sub>
                  <m:r>
                    <m:t>i</m:t>
                  </m:r>
                  <m:r>
                    <m:rPr>
                      <m:sty m:val="p"/>
                    </m:rPr>
                    <m:t>∈</m:t>
                  </m:r>
                  <m:r>
                    <m:rPr>
                      <m:scr m:val="script"/>
                      <m:sty m:val="p"/>
                    </m:rPr>
                    <m:t>S</m:t>
                  </m:r>
                </m:sub>
                <m:sup>
                  <m:r>
                    <m:t>​</m:t>
                  </m:r>
                </m:sup>
                <m:e>
                  <m:sSub>
                    <m:e>
                      <m:r>
                        <m:t>w</m:t>
                      </m:r>
                    </m:e>
                    <m:sub>
                      <m:r>
                        <m:t>i</m:t>
                      </m:r>
                    </m:sub>
                  </m:sSub>
                </m:e>
              </m:nary>
              <m:d>
                <m:dPr>
                  <m:begChr m:val="("/>
                  <m:sepChr m:val=""/>
                  <m:endChr m:val=")"/>
                  <m:grow/>
                </m:dPr>
                <m:e>
                  <m:r>
                    <m:t>1</m:t>
                  </m:r>
                  <m:r>
                    <m:rPr>
                      <m:sty m:val="p"/>
                    </m:rPr>
                    <m:t>−</m:t>
                  </m:r>
                  <m:sSub>
                    <m:e>
                      <m:r>
                        <m:t>T</m:t>
                      </m:r>
                    </m:e>
                    <m:sub>
                      <m:r>
                        <m:t>i</m:t>
                      </m:r>
                    </m:sub>
                  </m:sSub>
                </m:e>
              </m:d>
              <m:d>
                <m:dPr>
                  <m:begChr m:val="("/>
                  <m:sepChr m:val=""/>
                  <m:endChr m:val=")"/>
                  <m:grow/>
                </m:dPr>
                <m:e>
                  <m:sSub>
                    <m:e>
                      <m:r>
                        <m:t>Y</m:t>
                      </m:r>
                    </m:e>
                    <m:sub>
                      <m:r>
                        <m:t>i</m:t>
                      </m:r>
                    </m:sub>
                  </m:sSub>
                  <m:r>
                    <m:rPr>
                      <m:sty m:val="p"/>
                    </m:rPr>
                    <m:t>−</m:t>
                  </m:r>
                  <m:acc>
                    <m:accPr>
                      <m:chr m:val="̂"/>
                    </m:accPr>
                    <m:e>
                      <m:r>
                        <m:t>g</m:t>
                      </m:r>
                    </m:e>
                  </m:acc>
                  <m:d>
                    <m:dPr>
                      <m:begChr m:val="("/>
                      <m:sepChr m:val=""/>
                      <m:endChr m:val=")"/>
                      <m:grow/>
                    </m:dPr>
                    <m:e>
                      <m:sSub>
                        <m:e>
                          <m:r>
                            <m:t>X</m:t>
                          </m:r>
                        </m:e>
                        <m:sub>
                          <m:r>
                            <m:t>i</m:t>
                          </m:r>
                        </m:sub>
                      </m:sSub>
                    </m:e>
                  </m:d>
                </m:e>
              </m:d>
            </m:num>
            <m:den>
              <m:nary>
                <m:naryPr>
                  <m:chr m:val="∑"/>
                  <m:limLoc m:val="undOvr"/>
                  <m:subHide m:val="off"/>
                  <m:supHide m:val="on"/>
                </m:naryPr>
                <m:sub>
                  <m:r>
                    <m:t>i</m:t>
                  </m:r>
                  <m:r>
                    <m:rPr>
                      <m:sty m:val="p"/>
                    </m:rPr>
                    <m:t>∈</m:t>
                  </m:r>
                  <m:r>
                    <m:rPr>
                      <m:scr m:val="script"/>
                      <m:sty m:val="p"/>
                    </m:rPr>
                    <m:t>S</m:t>
                  </m:r>
                </m:sub>
                <m:sup>
                  <m:r>
                    <m:t>​</m:t>
                  </m:r>
                </m:sup>
                <m:e>
                  <m:sSub>
                    <m:e>
                      <m:r>
                        <m:t>w</m:t>
                      </m:r>
                    </m:e>
                    <m:sub>
                      <m:r>
                        <m:t>i</m:t>
                      </m:r>
                    </m:sub>
                  </m:sSub>
                </m:e>
              </m:nary>
              <m:d>
                <m:dPr>
                  <m:begChr m:val="("/>
                  <m:sepChr m:val=""/>
                  <m:endChr m:val=")"/>
                  <m:grow/>
                </m:dPr>
                <m:e>
                  <m:r>
                    <m:t>1</m:t>
                  </m:r>
                  <m:r>
                    <m:rPr>
                      <m:sty m:val="p"/>
                    </m:rPr>
                    <m:t>−</m:t>
                  </m:r>
                  <m:sSub>
                    <m:e>
                      <m:r>
                        <m:t>T</m:t>
                      </m:r>
                    </m:e>
                    <m:sub>
                      <m:r>
                        <m:t>i</m:t>
                      </m:r>
                    </m:sub>
                  </m:sSub>
                </m:e>
              </m:d>
            </m:den>
          </m:f>
        </m:oMath>
      </m:oMathPara>
    </w:p>
    <w:p>
      <w:pPr>
        <w:spacing w:after="60"/>
        <w:jc w:val="both"/>
      </w:pPr>
      <m:oMath>
        <m:r>
          <m:rPr>
            <m:scr m:val="script"/>
            <m:sty m:val="p"/>
          </m:rPr>
          <m:t>S</m:t>
        </m:r>
      </m:oMath>
      <w:r>
        <w:rPr>
          <w:color w:val="3A4350"/>
          <w:sz w:val="15"/>
          <w:szCs w:val="15"/>
        </w:rPr>
        <w:t xml:space="preserve"> is the experimental sample, </w:t>
      </w:r>
      <m:oMath>
        <m:sSub>
          <m:e>
            <m:r>
              <m:t>T</m:t>
            </m:r>
          </m:e>
          <m:sub>
            <m:r>
              <m:t>i</m:t>
            </m:r>
          </m:sub>
        </m:sSub>
      </m:oMath>
      <w:r>
        <w:rPr>
          <w:color w:val="3A4350"/>
          <w:sz w:val="15"/>
          <w:szCs w:val="15"/>
        </w:rPr>
        <w:t xml:space="preserve"> the randomised treatment, </w:t>
      </w:r>
      <m:oMath>
        <m:sSub>
          <m:e>
            <m:r>
              <m:t>w</m:t>
            </m:r>
          </m:e>
          <m:sub>
            <m:r>
              <m:t>i</m:t>
            </m:r>
          </m:sub>
        </m:sSub>
      </m:oMath>
      <w:r>
        <w:rPr>
          <w:color w:val="3A4350"/>
          <w:sz w:val="15"/>
          <w:szCs w:val="15"/>
        </w:rPr>
        <w:t xml:space="preserve"> sampling weights that make </w:t>
      </w:r>
      <m:oMath>
        <m:r>
          <m:rPr>
            <m:scr m:val="script"/>
            <m:sty m:val="p"/>
          </m:rPr>
          <m:t>S</m:t>
        </m:r>
      </m:oMath>
      <w:r>
        <w:rPr>
          <w:color w:val="3A4350"/>
          <w:sz w:val="15"/>
          <w:szCs w:val="15"/>
        </w:rPr>
        <w:t xml:space="preserve"> resemble the target population, and </w:t>
      </w:r>
      <m:oMath>
        <m:acc>
          <m:accPr>
            <m:chr m:val="̂"/>
          </m:accPr>
          <m:e>
            <m:r>
              <m:t>g</m:t>
            </m:r>
          </m:e>
        </m:acc>
      </m:oMath>
      <w:r>
        <w:rPr>
          <w:color w:val="3A4350"/>
          <w:sz w:val="15"/>
          <w:szCs w:val="15"/>
        </w:rPr>
        <w:t xml:space="preserve"> an outcome model trained on the population's own outcome records.</w:t>
      </w:r>
    </w:p>
    <w:p>
      <w:pPr>
        <w:spacing w:after="60"/>
        <w:jc w:val="both"/>
      </w:pPr>
      <w:r>
        <w:rPr>
          <w:b/>
          <w:bCs/>
          <w:color w:val="0F766E"/>
          <w:sz w:val="17"/>
          <w:szCs w:val="17"/>
        </w:rPr>
        <w:t xml:space="preserve">Link to the Fushë-Kuqe record holders. </w:t>
      </w:r>
      <w:r>
        <w:rPr>
          <w:sz w:val="17"/>
          <w:szCs w:val="17"/>
        </w:rPr>
        <w:t xml:space="preserve">Belongs to theme R (robustly combining data sources for causal inference). The research campaigns' designed pumping tests are the small experiment; the monitoring agency's inland wells are the population with outcome records. A chloride model fitted on the agency's wells, used to residualise the campaign data, carries the test results to the whole sector with lower variance.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a cheap and honest way to make external data pay: population outcomes cut the variance of transported effects without adding any identification assumption, a form of borrowing that leaves consistency intact. Published in the Annals of Applied Statistics (2023) from Luke Miratrix's Harvard group.</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Consistency needs the experiment to cover the population's covariate range. Near the saltwater toe there are few designed tests, so how much residualisation helps when the campaigns overlap poorly with the agency's inland wells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residualising experimental outcomes with a population-trained predictor keeps consistency under misspecification while shrinking the variance of weighted transport estimators. Proposed extension: let the agency train </w:t>
      </w:r>
      <m:oMath>
        <m:acc>
          <m:accPr>
            <m:chr m:val="̂"/>
          </m:accPr>
          <m:e>
            <m:r>
              <m:t>g</m:t>
            </m:r>
          </m:e>
        </m:acc>
      </m:oMath>
      <w:r>
        <w:rPr>
          <w:sz w:val="17"/>
          <w:szCs w:val="17"/>
        </w:rPr>
        <w:t xml:space="preserve"> on its own wells and release only predictions at the campaign wells, computed on secret shares; take the variance reduction of the coastal CATE as the value of adding the agency, and compare it with the EIG criterion on synthetic data from the zonal flow model.</w:t>
      </w:r>
    </w:p>
    <w:p>
      <w:pPr>
        <w:keepNext/>
        <w:pBdr>
          <w:top w:val="single" w:color="0F766E" w:sz="6" w:space="4"/>
        </w:pBdr>
        <w:spacing w:after="60" w:before="220"/>
      </w:pPr>
      <w:r>
        <w:rPr>
          <w:b/>
          <w:bCs/>
          <w:color w:val="0F766E"/>
          <w:sz w:val="23"/>
          <w:szCs w:val="23"/>
        </w:rPr>
        <w:t xml:space="preserve">R3  </w:t>
      </w:r>
      <w:r>
        <w:rPr>
          <w:b/>
          <w:bCs/>
          <w:color w:val="1F3864"/>
          <w:sz w:val="23"/>
          <w:szCs w:val="23"/>
        </w:rPr>
        <w:t xml:space="preserve">Falsification before Extrapolation in Causal Effect Estimation</w:t>
      </w:r>
    </w:p>
    <w:p>
      <w:pPr>
        <w:keepNext/>
        <w:spacing w:after="60" w:line="240" w:lineRule="auto"/>
      </w:pPr>
      <w:r>
        <w:rPr>
          <w:b/>
          <w:bCs/>
          <w:color w:val="333B47"/>
          <w:sz w:val="15"/>
          <w:szCs w:val="15"/>
        </w:rPr>
        <w:t xml:space="preserve">Authors: </w:t>
      </w:r>
      <w:r>
        <w:rPr>
          <w:sz w:val="15"/>
          <w:szCs w:val="15"/>
        </w:rPr>
        <w:t xml:space="preserve">Zeshan M. Hussain, Michael Oberst, Ming-Chieh Shih, David Sontag</w:t>
      </w:r>
      <w:r>
        <w:rPr>
          <w:sz w:val="15"/>
          <w:szCs w:val="15"/>
        </w:rPr>
        <w:t xml:space="preserve">   </w:t>
      </w:r>
      <w:r>
        <w:rPr>
          <w:b/>
          <w:bCs/>
          <w:color w:val="333B47"/>
          <w:sz w:val="15"/>
          <w:szCs w:val="15"/>
        </w:rPr>
        <w:t xml:space="preserve">Published in: </w:t>
      </w:r>
      <w:r>
        <w:rPr>
          <w:sz w:val="15"/>
          <w:szCs w:val="15"/>
        </w:rPr>
        <w:t xml:space="preserve">Advances in Neural Information Processing Systems 35 (NeurIPS 2022), main conference (poster); arXiv 2209.13708</w:t>
      </w:r>
      <w:r>
        <w:rPr>
          <w:sz w:val="15"/>
          <w:szCs w:val="15"/>
        </w:rPr>
        <w:t xml:space="preserve">   </w:t>
      </w:r>
      <w:r>
        <w:rPr>
          <w:b/>
          <w:bCs/>
          <w:color w:val="333B47"/>
          <w:sz w:val="15"/>
          <w:szCs w:val="15"/>
        </w:rPr>
        <w:t xml:space="preserve">Link: </w:t>
      </w:r>
      <w:hyperlink w:history="1" r:id="rIdpat2nucdguxfjgr6yccah">
        <w:r>
          <w:rPr>
            <w:color w:val="1D4ED8"/>
            <w:sz w:val="15"/>
            <w:szCs w:val="15"/>
            <w:u w:val="single"/>
          </w:rPr>
          <w:t xml:space="preserve">https://papers.neurips.cc/paper_files/paper/2022/file/28b5dfc51e5ae12d84fb7c6172a00df4-Paper-Conference.pdf</w:t>
        </w:r>
      </w:hyperlink>
    </w:p>
    <w:p>
      <w:pPr>
        <w:keepNext/>
        <w:spacing w:after="80" w:line="240" w:lineRule="auto"/>
      </w:pPr>
      <w:r>
        <w:rPr>
          <w:b/>
          <w:bCs/>
          <w:color w:val="333B47"/>
          <w:sz w:val="15"/>
          <w:szCs w:val="15"/>
        </w:rPr>
        <w:t xml:space="preserve">Affiliation: </w:t>
      </w:r>
      <w:r>
        <w:rPr>
          <w:color w:val="3A4350"/>
          <w:sz w:val="15"/>
          <w:szCs w:val="15"/>
        </w:rPr>
        <w:t xml:space="preserve">Zeshan M. Hussain, Michael Oberst and David Sontag, MIT CSAIL and IMES, Cambridge, MA; Ming-Chieh Shih, National Dong Hwa University, Taiwan — from the author block of the NeurIPS proceedings PDF and of arXiv 2209.13708 as summarised in a search result.</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F766E"/>
          <w:sz w:val="17"/>
          <w:szCs w:val="17"/>
        </w:rPr>
        <w:t xml:space="preserve">Summary. </w:t>
      </w:r>
      <w:r>
        <w:rPr>
          <w:sz w:val="17"/>
          <w:szCs w:val="17"/>
        </w:rPr>
        <w:t xml:space="preserve">A randomised trial gives unbiased effects only for the subgroups it enrolled; observational studies cover more of the population but may be confounded. The authors define validation effects, causal effects that can be estimated from both the trial and each observational study, and test each study's estimator against the trial, rejecting those whose validation effects disagree. From the studies that survive, they form a conservative confidence interval for the effect in subgroups the trial did not observe. Assuming that at least one observational estimator is asymptotically normal and consistent for both the validation and the extrapolated effects, they prove coverage guarantees, illustrated on semi-synthetic IHDP data.</w:t>
      </w:r>
    </w:p>
    <w:p>
      <w:pPr>
        <w:keepNext/>
        <w:spacing w:after="20" w:before="40"/>
      </w:pPr>
      <w:r>
        <w:rPr>
          <w:b/>
          <w:bCs/>
          <w:color w:val="0F766E"/>
          <w:sz w:val="17"/>
          <w:szCs w:val="17"/>
        </w:rPr>
        <w:t xml:space="preserve">Key equation.</w:t>
      </w:r>
      <w:r>
        <w:rPr>
          <w:i/>
          <w:iCs/>
          <w:color w:val="5B6573"/>
          <w:sz w:val="15"/>
          <w:szCs w:val="15"/>
        </w:rPr>
        <w:t xml:space="preserve">  Reject observational studies whose validation effect disagrees with the trial, then take the hull of the surviving studies’ intervals for the extrapolated effect (representative formulation)</w:t>
      </w:r>
    </w:p>
    <w:p>
      <w:pPr>
        <w:pStyle w:val="Equation"/>
      </w:pPr>
      <m:oMathPara>
        <m:oMathParaPr>
          <m:jc m:val="center"/>
        </m:oMathParaPr>
        <m:oMath>
          <m:acc>
            <m:accPr>
              <m:chr m:val="̂"/>
            </m:accPr>
            <m:e>
              <m:r>
                <m:t>C</m:t>
              </m:r>
            </m:e>
          </m:acc>
          <m:r>
            <m:rPr>
              <m:sty m:val="p"/>
            </m:rPr>
            <m:t>=</m:t>
          </m:r>
          <m:d>
            <m:dPr>
              <m:begChr m:val="["/>
              <m:sepChr m:val=""/>
              <m:endChr m:val="]"/>
              <m:grow/>
            </m:dPr>
            <m:e>
              <m:limLow>
                <m:e>
                  <m:r>
                    <m:rPr>
                      <m:sty m:val="p"/>
                    </m:rPr>
                    <m:t>min</m:t>
                  </m:r>
                </m:e>
                <m:lim>
                  <m:r>
                    <m:t>k</m:t>
                  </m:r>
                  <m:r>
                    <m:rPr>
                      <m:sty m:val="p"/>
                    </m:rPr>
                    <m:t>∉</m:t>
                  </m:r>
                  <m:acc>
                    <m:accPr>
                      <m:chr m:val="̂"/>
                    </m:accPr>
                    <m:e>
                      <m:r>
                        <m:t>R</m:t>
                      </m:r>
                    </m:e>
                  </m:acc>
                </m:lim>
              </m:limLow>
              <m:sSub>
                <m:e>
                  <m:acc>
                    <m:accPr>
                      <m:chr m:val="̂"/>
                    </m:accPr>
                    <m:e>
                      <m:r>
                        <m:t>L</m:t>
                      </m:r>
                    </m:e>
                  </m:acc>
                </m:e>
                <m:sub>
                  <m:r>
                    <m:t>k</m:t>
                  </m:r>
                </m:sub>
              </m:sSub>
              <m:r>
                <m:rPr>
                  <m:sty m:val="p"/>
                </m:rPr>
                <m:t>,</m:t>
              </m:r>
              <m:r>
                <m:t> </m:t>
              </m:r>
              <m:limLow>
                <m:e>
                  <m:r>
                    <m:rPr>
                      <m:sty m:val="p"/>
                    </m:rPr>
                    <m:t>max</m:t>
                  </m:r>
                </m:e>
                <m:lim>
                  <m:r>
                    <m:t>k</m:t>
                  </m:r>
                  <m:r>
                    <m:rPr>
                      <m:sty m:val="p"/>
                    </m:rPr>
                    <m:t>∉</m:t>
                  </m:r>
                  <m:acc>
                    <m:accPr>
                      <m:chr m:val="̂"/>
                    </m:accPr>
                    <m:e>
                      <m:r>
                        <m:t>R</m:t>
                      </m:r>
                    </m:e>
                  </m:acc>
                </m:lim>
              </m:limLow>
              <m:sSub>
                <m:e>
                  <m:acc>
                    <m:accPr>
                      <m:chr m:val="̂"/>
                    </m:accPr>
                    <m:e>
                      <m:r>
                        <m:t>U</m:t>
                      </m:r>
                    </m:e>
                  </m:acc>
                </m:e>
                <m:sub>
                  <m:r>
                    <m:t>k</m:t>
                  </m:r>
                </m:sub>
              </m:sSub>
            </m:e>
          </m:d>
          <m:r>
            <m:rPr>
              <m:sty m:val="p"/>
            </m:rPr>
            <m:t>,</m:t>
          </m:r>
          <m:r>
            <m:t>  </m:t>
          </m:r>
          <m:acc>
            <m:accPr>
              <m:chr m:val="̂"/>
            </m:accPr>
            <m:e>
              <m:r>
                <m:t>R</m:t>
              </m:r>
            </m:e>
          </m:acc>
          <m:r>
            <m:rPr>
              <m:sty m:val="p"/>
            </m:rPr>
            <m:t>=</m:t>
          </m:r>
          <m:d>
            <m:dPr>
              <m:begChr m:val="{"/>
              <m:sepChr m:val=""/>
              <m:endChr m:val="}"/>
              <m:grow/>
            </m:dPr>
            <m:e>
              <m:r>
                <m:t>k</m:t>
              </m:r>
              <m:r>
                <m:rPr>
                  <m:sty m:val="p"/>
                </m:rPr>
                <m:t>:</m:t>
              </m:r>
              <m:d>
                <m:dPr>
                  <m:begChr m:val="|"/>
                  <m:sepChr m:val=""/>
                  <m:endChr m:val="|"/>
                  <m:grow/>
                </m:dPr>
                <m:e>
                  <m:sSub>
                    <m:e>
                      <m:acc>
                        <m:accPr>
                          <m:chr m:val="̂"/>
                        </m:accPr>
                        <m:e>
                          <m:r>
                            <m:t>ψ</m:t>
                          </m:r>
                        </m:e>
                      </m:acc>
                    </m:e>
                    <m:sub>
                      <m:r>
                        <m:t>k</m:t>
                      </m:r>
                    </m:sub>
                  </m:sSub>
                  <m:r>
                    <m:rPr>
                      <m:sty m:val="p"/>
                    </m:rPr>
                    <m:t>−</m:t>
                  </m:r>
                  <m:sSub>
                    <m:e>
                      <m:acc>
                        <m:accPr>
                          <m:chr m:val="̂"/>
                        </m:accPr>
                        <m:e>
                          <m:r>
                            <m:t>ψ</m:t>
                          </m:r>
                        </m:e>
                      </m:acc>
                    </m:e>
                    <m:sub>
                      <m:r>
                        <m:t>0</m:t>
                      </m:r>
                    </m:sub>
                  </m:sSub>
                </m:e>
              </m:d>
              <m:r>
                <m:rPr>
                  <m:sty m:val="p"/>
                </m:rPr>
                <m:t>&gt;</m:t>
              </m:r>
              <m:sSub>
                <m:e>
                  <m:r>
                    <m:t>z</m:t>
                  </m:r>
                </m:e>
                <m:sub>
                  <m:r>
                    <m:t>1</m:t>
                  </m:r>
                  <m:r>
                    <m:rPr>
                      <m:sty m:val="p"/>
                    </m:rPr>
                    <m:t>−</m:t>
                  </m:r>
                  <m:r>
                    <m:t>α</m:t>
                  </m:r>
                  <m:r>
                    <m:rPr>
                      <m:sty m:val="p"/>
                    </m:rPr>
                    <m:t>/</m:t>
                  </m:r>
                  <m:r>
                    <m:t>2</m:t>
                  </m:r>
                </m:sub>
              </m:sSub>
              <m:r>
                <m:t> </m:t>
              </m:r>
              <m:sSub>
                <m:e>
                  <m:acc>
                    <m:accPr>
                      <m:chr m:val="̂"/>
                    </m:accPr>
                    <m:e>
                      <m:r>
                        <m:t>s</m:t>
                      </m:r>
                    </m:e>
                  </m:acc>
                </m:e>
                <m:sub>
                  <m:r>
                    <m:t>k</m:t>
                  </m:r>
                </m:sub>
              </m:sSub>
            </m:e>
          </m:d>
        </m:oMath>
      </m:oMathPara>
    </w:p>
    <w:p>
      <w:pPr>
        <w:spacing w:after="60"/>
        <w:jc w:val="both"/>
      </w:pPr>
      <m:oMath>
        <m:sSub>
          <m:e>
            <m:acc>
              <m:accPr>
                <m:chr m:val="̂"/>
              </m:accPr>
              <m:e>
                <m:r>
                  <m:t>ψ</m:t>
                </m:r>
              </m:e>
            </m:acc>
          </m:e>
          <m:sub>
            <m:r>
              <m:t>0</m:t>
            </m:r>
          </m:sub>
        </m:sSub>
      </m:oMath>
      <w:r>
        <w:rPr>
          <w:color w:val="3A4350"/>
          <w:sz w:val="15"/>
          <w:szCs w:val="15"/>
        </w:rPr>
        <w:t xml:space="preserve"> is the trial's and </w:t>
      </w:r>
      <m:oMath>
        <m:sSub>
          <m:e>
            <m:acc>
              <m:accPr>
                <m:chr m:val="̂"/>
              </m:accPr>
              <m:e>
                <m:r>
                  <m:t>ψ</m:t>
                </m:r>
              </m:e>
            </m:acc>
          </m:e>
          <m:sub>
            <m:r>
              <m:t>k</m:t>
            </m:r>
          </m:sub>
        </m:sSub>
      </m:oMath>
      <w:r>
        <w:rPr>
          <w:color w:val="3A4350"/>
          <w:sz w:val="15"/>
          <w:szCs w:val="15"/>
        </w:rPr>
        <w:t xml:space="preserve"> study </w:t>
      </w:r>
      <m:oMath>
        <m:r>
          <m:t>k</m:t>
        </m:r>
      </m:oMath>
      <w:r>
        <w:rPr>
          <w:color w:val="3A4350"/>
          <w:sz w:val="15"/>
          <w:szCs w:val="15"/>
        </w:rPr>
        <w:t xml:space="preserve">'s estimate of a validation effect, </w:t>
      </w:r>
      <m:oMath>
        <m:sSub>
          <m:e>
            <m:acc>
              <m:accPr>
                <m:chr m:val="̂"/>
              </m:accPr>
              <m:e>
                <m:r>
                  <m:t>s</m:t>
                </m:r>
              </m:e>
            </m:acc>
          </m:e>
          <m:sub>
            <m:r>
              <m:t>k</m:t>
            </m:r>
          </m:sub>
        </m:sSub>
      </m:oMath>
      <w:r>
        <w:rPr>
          <w:color w:val="3A4350"/>
          <w:sz w:val="15"/>
          <w:szCs w:val="15"/>
        </w:rPr>
        <w:t xml:space="preserve"> the standard error of their difference, </w:t>
      </w:r>
      <m:oMath>
        <m:acc>
          <m:accPr>
            <m:chr m:val="̂"/>
          </m:accPr>
          <m:e>
            <m:r>
              <m:t>R</m:t>
            </m:r>
          </m:e>
        </m:acc>
      </m:oMath>
      <w:r>
        <w:rPr>
          <w:color w:val="3A4350"/>
          <w:sz w:val="15"/>
          <w:szCs w:val="15"/>
        </w:rPr>
        <w:t xml:space="preserve"> the set of rejected studies and </w:t>
      </w:r>
      <m:oMath>
        <m:d>
          <m:dPr>
            <m:begChr m:val="["/>
            <m:sepChr m:val=""/>
            <m:endChr m:val="]"/>
            <m:grow/>
          </m:dPr>
          <m:e>
            <m:sSub>
              <m:e>
                <m:acc>
                  <m:accPr>
                    <m:chr m:val="̂"/>
                  </m:accPr>
                  <m:e>
                    <m:r>
                      <m:t>L</m:t>
                    </m:r>
                  </m:e>
                </m:acc>
              </m:e>
              <m:sub>
                <m:r>
                  <m:t>k</m:t>
                </m:r>
              </m:sub>
            </m:sSub>
            <m:r>
              <m:rPr>
                <m:sty m:val="p"/>
              </m:rPr>
              <m:t>,</m:t>
            </m:r>
            <m:sSub>
              <m:e>
                <m:acc>
                  <m:accPr>
                    <m:chr m:val="̂"/>
                  </m:accPr>
                  <m:e>
                    <m:r>
                      <m:t>U</m:t>
                    </m:r>
                  </m:e>
                </m:acc>
              </m:e>
              <m:sub>
                <m:r>
                  <m:t>k</m:t>
                </m:r>
              </m:sub>
            </m:sSub>
          </m:e>
        </m:d>
      </m:oMath>
      <w:r>
        <w:rPr>
          <w:color w:val="3A4350"/>
          <w:sz w:val="15"/>
          <w:szCs w:val="15"/>
        </w:rPr>
        <w:t xml:space="preserve"> study </w:t>
      </w:r>
      <m:oMath>
        <m:r>
          <m:t>k</m:t>
        </m:r>
      </m:oMath>
      <w:r>
        <w:rPr>
          <w:color w:val="3A4350"/>
          <w:sz w:val="15"/>
          <w:szCs w:val="15"/>
        </w:rPr>
        <w:t xml:space="preserve">'s interval for the effect outside the trial's support.</w:t>
      </w:r>
    </w:p>
    <w:p>
      <w:pPr>
        <w:spacing w:after="60"/>
        <w:jc w:val="both"/>
      </w:pPr>
      <w:r>
        <w:rPr>
          <w:b/>
          <w:bCs/>
          <w:color w:val="0F766E"/>
          <w:sz w:val="17"/>
          <w:szCs w:val="17"/>
        </w:rPr>
        <w:t xml:space="preserve">Link to the Fushë-Kuqe record holders. </w:t>
      </w:r>
      <w:r>
        <w:rPr>
          <w:sz w:val="17"/>
          <w:szCs w:val="17"/>
        </w:rPr>
        <w:t xml:space="preserve">Belongs to theme R (robustly combining data sources for causal inference). The research campaigns' tests play the trial on a few inland wells; the utility, hotels and irrigators are observational studies. Before a holder is merged to extrapolate the pumping effect to the coast, its estimate is tested on validation wells shared with the campaigns; holders that disagree are dropped.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informal advice to check observational data against a trial into a test with a coverage guarantee and a rule for which sources may be used to extrapolate. NeurIPS 2022 main track from David Sontag's MIT group; its conditional-moment follow-up (AISTATS 2023) was a reserve in review 55.</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test uses validation effects computed from individual records of the trial and of each study in the clear. Running it on secret shares with differential privacy, and choosing before sharing which validation wells give the most power,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validation effects as a falsification step, with coverage guarantees for extrapolated effects that hold if one source is unbiased. Proposed extension: compute each Fushë-Kuqe holder's validation statistic inside MPC with calibrated noise, use the rejection set </w:t>
      </w:r>
      <m:oMath>
        <m:acc>
          <m:accPr>
            <m:chr m:val="̂"/>
          </m:accPr>
          <m:e>
            <m:r>
              <m:t>R</m:t>
            </m:r>
          </m:e>
        </m:acc>
      </m:oMath>
      <w:r>
        <w:rPr>
          <w:sz w:val="17"/>
          <w:szCs w:val="17"/>
        </w:rPr>
        <w:t xml:space="preserve"> to prune coalitions before the EIG search, and measure on synthetic data from the zonal flow model how often a biased holder (unregistered irrigation wells) is caught.</w:t>
      </w:r>
    </w:p>
    <w:p>
      <w:pPr>
        <w:keepNext/>
        <w:pBdr>
          <w:top w:val="single" w:color="0F766E" w:sz="6" w:space="4"/>
        </w:pBdr>
        <w:spacing w:after="60" w:before="220"/>
      </w:pPr>
      <w:r>
        <w:rPr>
          <w:b/>
          <w:bCs/>
          <w:color w:val="0F766E"/>
          <w:sz w:val="23"/>
          <w:szCs w:val="23"/>
        </w:rPr>
        <w:t xml:space="preserve">R4  </w:t>
      </w:r>
      <w:r>
        <w:rPr>
          <w:b/>
          <w:bCs/>
          <w:color w:val="1F3864"/>
          <w:sz w:val="23"/>
          <w:szCs w:val="23"/>
        </w:rPr>
        <w:t xml:space="preserve">Robust Transfer Learning with Unreliable Source Data</w:t>
      </w:r>
    </w:p>
    <w:p>
      <w:pPr>
        <w:keepNext/>
        <w:spacing w:after="60" w:line="240" w:lineRule="auto"/>
      </w:pPr>
      <w:r>
        <w:rPr>
          <w:b/>
          <w:bCs/>
          <w:color w:val="333B47"/>
          <w:sz w:val="15"/>
          <w:szCs w:val="15"/>
        </w:rPr>
        <w:t xml:space="preserve">Authors: </w:t>
      </w:r>
      <w:r>
        <w:rPr>
          <w:sz w:val="15"/>
          <w:szCs w:val="15"/>
        </w:rPr>
        <w:t xml:space="preserve">Jianqing Fan, Cheng Gao, Jason M. Klusowski</w:t>
      </w:r>
      <w:r>
        <w:rPr>
          <w:sz w:val="15"/>
          <w:szCs w:val="15"/>
        </w:rPr>
        <w:t xml:space="preserve">   </w:t>
      </w:r>
      <w:r>
        <w:rPr>
          <w:b/>
          <w:bCs/>
          <w:color w:val="333B47"/>
          <w:sz w:val="15"/>
          <w:szCs w:val="15"/>
        </w:rPr>
        <w:t xml:space="preserve">Published in: </w:t>
      </w:r>
      <w:r>
        <w:rPr>
          <w:sz w:val="15"/>
          <w:szCs w:val="15"/>
        </w:rPr>
        <w:t xml:space="preserve">Annals of Statistics, 53(4), 1728–1752 (August 2025); arXiv 2310.04606; also listed as a NeurIPS 2025 poster</w:t>
      </w:r>
      <w:r>
        <w:rPr>
          <w:sz w:val="15"/>
          <w:szCs w:val="15"/>
        </w:rPr>
        <w:t xml:space="preserve">   </w:t>
      </w:r>
      <w:r>
        <w:rPr>
          <w:b/>
          <w:bCs/>
          <w:color w:val="333B47"/>
          <w:sz w:val="15"/>
          <w:szCs w:val="15"/>
        </w:rPr>
        <w:t xml:space="preserve">Link: </w:t>
      </w:r>
      <w:hyperlink w:history="1" r:id="rIdzaro3wlq4hfcfp2edcjkd">
        <w:r>
          <w:rPr>
            <w:color w:val="1D4ED8"/>
            <w:sz w:val="15"/>
            <w:szCs w:val="15"/>
            <w:u w:val="single"/>
          </w:rPr>
          <w:t xml:space="preserve">https://collaborate.princeton.edu/en/publications/robust-transfer-learning-with-unreliable-source-data/</w:t>
        </w:r>
      </w:hyperlink>
    </w:p>
    <w:p>
      <w:pPr>
        <w:keepNext/>
        <w:spacing w:after="80" w:line="240" w:lineRule="auto"/>
      </w:pPr>
      <w:r>
        <w:rPr>
          <w:b/>
          <w:bCs/>
          <w:color w:val="333B47"/>
          <w:sz w:val="15"/>
          <w:szCs w:val="15"/>
        </w:rPr>
        <w:t xml:space="preserve">Affiliation: </w:t>
      </w:r>
      <w:r>
        <w:rPr>
          <w:color w:val="3A4350"/>
          <w:sz w:val="15"/>
          <w:szCs w:val="15"/>
        </w:rPr>
        <w:t xml:space="preserve">All three authors, Department of Operations Research and Financial Engineering, Princeton University — from the arXiv record and the Princeton research portal as summarised in search results; volume, issue, pages and date from the Princeton portal. The DOI was not seen.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0F766E"/>
          <w:sz w:val="17"/>
          <w:szCs w:val="17"/>
        </w:rPr>
        <w:t xml:space="preserve">Summary. </w:t>
      </w:r>
      <w:r>
        <w:rPr>
          <w:sz w:val="17"/>
          <w:szCs w:val="17"/>
        </w:rPr>
        <w:t xml:space="preserve">A target task has few labelled examples and a source task many, but the source's regression function may differ from the target's, so naive pooling can hurt (negative transfer). The authors introduce an ambiguity level that measures the discrepancy between the target and source regression functions, and prove a general theorem relating it to how much transfer can reduce the target risk. Their Transfer Around Boundary (TAB) procedure uses a threshold that balances target and source data; it is shown to be efficient and robust, improving classification while avoiding negative transfer. For nonparametric classification and logistic regression the excess-risk upper bounds are optimal up to logarithmic factors.</w:t>
      </w:r>
    </w:p>
    <w:p>
      <w:pPr>
        <w:keepNext/>
        <w:spacing w:after="20" w:before="40"/>
      </w:pPr>
      <w:r>
        <w:rPr>
          <w:b/>
          <w:bCs/>
          <w:color w:val="0F766E"/>
          <w:sz w:val="17"/>
          <w:szCs w:val="17"/>
        </w:rPr>
        <w:t xml:space="preserve">Key equation.</w:t>
      </w:r>
      <w:r>
        <w:rPr>
          <w:i/>
          <w:iCs/>
          <w:color w:val="5B6573"/>
          <w:sz w:val="15"/>
          <w:szCs w:val="15"/>
        </w:rPr>
        <w:t xml:space="preserve">  Transfer Around Boundary: trust the target fit away from its decision boundary and use the source fit inside a band around it (representative formulation; the paper’s exact rule was not transcribed)</w:t>
      </w:r>
    </w:p>
    <w:p>
      <w:pPr>
        <w:pStyle w:val="Equation"/>
      </w:pPr>
      <m:oMathPara>
        <m:oMathParaPr>
          <m:jc m:val="center"/>
        </m:oMathParaPr>
        <m:oMath>
          <m:acc>
            <m:accPr>
              <m:chr m:val="̂"/>
            </m:accPr>
            <m:e>
              <m:r>
                <m:t>f</m:t>
              </m:r>
            </m:e>
          </m:acc>
          <m:d>
            <m:dPr>
              <m:begChr m:val="("/>
              <m:sepChr m:val=""/>
              <m:endChr m:val=")"/>
              <m:grow/>
            </m:dPr>
            <m:e>
              <m:r>
                <m:t>x</m:t>
              </m:r>
            </m:e>
          </m:d>
          <m:r>
            <m:rPr>
              <m:sty m:val="p"/>
            </m:rPr>
            <m:t>=</m:t>
          </m:r>
          <m:r>
            <m:rPr>
              <m:sty m:val="b"/>
            </m:rPr>
            <m:t>1</m:t>
          </m:r>
          <m:d>
            <m:dPr>
              <m:begChr m:val="{"/>
              <m:sepChr m:val=""/>
              <m:endChr m:val="}"/>
              <m:grow/>
            </m:dPr>
            <m:e>
              <m:d>
                <m:dPr>
                  <m:begChr m:val="|"/>
                  <m:sepChr m:val=""/>
                  <m:endChr m:val="|"/>
                  <m:grow/>
                </m:dPr>
                <m:e>
                  <m:sSub>
                    <m:e>
                      <m:acc>
                        <m:accPr>
                          <m:chr m:val="̂"/>
                        </m:accPr>
                        <m:e>
                          <m:r>
                            <m:t>η</m:t>
                          </m:r>
                        </m:e>
                      </m:acc>
                    </m:e>
                    <m:sub>
                      <m:r>
                        <m:t>T</m:t>
                      </m:r>
                    </m:sub>
                  </m:sSub>
                  <m:d>
                    <m:dPr>
                      <m:begChr m:val="("/>
                      <m:sepChr m:val=""/>
                      <m:endChr m:val=")"/>
                      <m:grow/>
                    </m:dPr>
                    <m:e>
                      <m:r>
                        <m:t>x</m:t>
                      </m:r>
                    </m:e>
                  </m:d>
                  <m:r>
                    <m:rPr>
                      <m:sty m:val="p"/>
                    </m:rPr>
                    <m:t>−</m:t>
                  </m:r>
                  <m:f>
                    <m:fPr>
                      <m:type m:val="lin"/>
                    </m:fPr>
                    <m:num>
                      <m:r>
                        <m:t>1</m:t>
                      </m:r>
                    </m:num>
                    <m:den>
                      <m:r>
                        <m:t>2</m:t>
                      </m:r>
                    </m:den>
                  </m:f>
                </m:e>
              </m:d>
              <m:r>
                <m:rPr>
                  <m:sty m:val="p"/>
                </m:rPr>
                <m:t>&gt;</m:t>
              </m:r>
              <m:r>
                <m:t>ε</m:t>
              </m:r>
            </m:e>
          </m:d>
          <m:r>
            <m:rPr>
              <m:sty m:val="b"/>
            </m:rPr>
            <m:t>1</m:t>
          </m:r>
          <m:d>
            <m:dPr>
              <m:begChr m:val="{"/>
              <m:sepChr m:val=""/>
              <m:endChr m:val="}"/>
              <m:grow/>
            </m:dPr>
            <m:e>
              <m:sSub>
                <m:e>
                  <m:acc>
                    <m:accPr>
                      <m:chr m:val="̂"/>
                    </m:accPr>
                    <m:e>
                      <m:r>
                        <m:t>η</m:t>
                      </m:r>
                    </m:e>
                  </m:acc>
                </m:e>
                <m:sub>
                  <m:r>
                    <m:t>T</m:t>
                  </m:r>
                </m:sub>
              </m:sSub>
              <m:d>
                <m:dPr>
                  <m:begChr m:val="("/>
                  <m:sepChr m:val=""/>
                  <m:endChr m:val=")"/>
                  <m:grow/>
                </m:dPr>
                <m:e>
                  <m:r>
                    <m:t>x</m:t>
                  </m:r>
                </m:e>
              </m:d>
              <m:r>
                <m:rPr>
                  <m:sty m:val="p"/>
                </m:rPr>
                <m:t>≥</m:t>
              </m:r>
              <m:f>
                <m:fPr>
                  <m:type m:val="lin"/>
                </m:fPr>
                <m:num>
                  <m:r>
                    <m:t>1</m:t>
                  </m:r>
                </m:num>
                <m:den>
                  <m:r>
                    <m:t>2</m:t>
                  </m:r>
                </m:den>
              </m:f>
            </m:e>
          </m:d>
          <m:r>
            <m:rPr>
              <m:sty m:val="p"/>
            </m:rPr>
            <m:t>+</m:t>
          </m:r>
          <m:r>
            <m:rPr>
              <m:sty m:val="b"/>
            </m:rPr>
            <m:t>1</m:t>
          </m:r>
          <m:d>
            <m:dPr>
              <m:begChr m:val="{"/>
              <m:sepChr m:val=""/>
              <m:endChr m:val="}"/>
              <m:grow/>
            </m:dPr>
            <m:e>
              <m:d>
                <m:dPr>
                  <m:begChr m:val="|"/>
                  <m:sepChr m:val=""/>
                  <m:endChr m:val="|"/>
                  <m:grow/>
                </m:dPr>
                <m:e>
                  <m:sSub>
                    <m:e>
                      <m:acc>
                        <m:accPr>
                          <m:chr m:val="̂"/>
                        </m:accPr>
                        <m:e>
                          <m:r>
                            <m:t>η</m:t>
                          </m:r>
                        </m:e>
                      </m:acc>
                    </m:e>
                    <m:sub>
                      <m:r>
                        <m:t>T</m:t>
                      </m:r>
                    </m:sub>
                  </m:sSub>
                  <m:d>
                    <m:dPr>
                      <m:begChr m:val="("/>
                      <m:sepChr m:val=""/>
                      <m:endChr m:val=")"/>
                      <m:grow/>
                    </m:dPr>
                    <m:e>
                      <m:r>
                        <m:t>x</m:t>
                      </m:r>
                    </m:e>
                  </m:d>
                  <m:r>
                    <m:rPr>
                      <m:sty m:val="p"/>
                    </m:rPr>
                    <m:t>−</m:t>
                  </m:r>
                  <m:f>
                    <m:fPr>
                      <m:type m:val="lin"/>
                    </m:fPr>
                    <m:num>
                      <m:r>
                        <m:t>1</m:t>
                      </m:r>
                    </m:num>
                    <m:den>
                      <m:r>
                        <m:t>2</m:t>
                      </m:r>
                    </m:den>
                  </m:f>
                </m:e>
              </m:d>
              <m:r>
                <m:rPr>
                  <m:sty m:val="p"/>
                </m:rPr>
                <m:t>≤</m:t>
              </m:r>
              <m:r>
                <m:t>ε</m:t>
              </m:r>
            </m:e>
          </m:d>
          <m:r>
            <m:rPr>
              <m:sty m:val="b"/>
            </m:rPr>
            <m:t>1</m:t>
          </m:r>
          <m:d>
            <m:dPr>
              <m:begChr m:val="{"/>
              <m:sepChr m:val=""/>
              <m:endChr m:val="}"/>
              <m:grow/>
            </m:dPr>
            <m:e>
              <m:sSub>
                <m:e>
                  <m:acc>
                    <m:accPr>
                      <m:chr m:val="̂"/>
                    </m:accPr>
                    <m:e>
                      <m:r>
                        <m:t>η</m:t>
                      </m:r>
                    </m:e>
                  </m:acc>
                </m:e>
                <m:sub>
                  <m:r>
                    <m:t>S</m:t>
                  </m:r>
                </m:sub>
              </m:sSub>
              <m:d>
                <m:dPr>
                  <m:begChr m:val="("/>
                  <m:sepChr m:val=""/>
                  <m:endChr m:val=")"/>
                  <m:grow/>
                </m:dPr>
                <m:e>
                  <m:r>
                    <m:t>x</m:t>
                  </m:r>
                </m:e>
              </m:d>
              <m:r>
                <m:rPr>
                  <m:sty m:val="p"/>
                </m:rPr>
                <m:t>≥</m:t>
              </m:r>
              <m:f>
                <m:fPr>
                  <m:type m:val="lin"/>
                </m:fPr>
                <m:num>
                  <m:r>
                    <m:t>1</m:t>
                  </m:r>
                </m:num>
                <m:den>
                  <m:r>
                    <m:t>2</m:t>
                  </m:r>
                </m:den>
              </m:f>
            </m:e>
          </m:d>
        </m:oMath>
      </m:oMathPara>
    </w:p>
    <w:p>
      <w:pPr>
        <w:spacing w:after="60"/>
        <w:jc w:val="both"/>
      </w:pPr>
      <m:oMath>
        <m:sSub>
          <m:e>
            <m:acc>
              <m:accPr>
                <m:chr m:val="̂"/>
              </m:accPr>
              <m:e>
                <m:r>
                  <m:t>η</m:t>
                </m:r>
              </m:e>
            </m:acc>
          </m:e>
          <m:sub>
            <m:r>
              <m:t>T</m:t>
            </m:r>
          </m:sub>
        </m:sSub>
      </m:oMath>
      <w:r>
        <w:rPr>
          <w:color w:val="3A4350"/>
          <w:sz w:val="15"/>
          <w:szCs w:val="15"/>
        </w:rPr>
        <w:t xml:space="preserve"> and </w:t>
      </w:r>
      <m:oMath>
        <m:sSub>
          <m:e>
            <m:acc>
              <m:accPr>
                <m:chr m:val="̂"/>
              </m:accPr>
              <m:e>
                <m:r>
                  <m:t>η</m:t>
                </m:r>
              </m:e>
            </m:acc>
          </m:e>
          <m:sub>
            <m:r>
              <m:t>S</m:t>
            </m:r>
          </m:sub>
        </m:sSub>
      </m:oMath>
      <w:r>
        <w:rPr>
          <w:color w:val="3A4350"/>
          <w:sz w:val="15"/>
          <w:szCs w:val="15"/>
        </w:rPr>
        <w:t xml:space="preserve"> are the target and source estimates of the probability of the positive class, and the threshold </w:t>
      </w:r>
      <m:oMath>
        <m:r>
          <m:t>ε</m:t>
        </m:r>
      </m:oMath>
      <w:r>
        <w:rPr>
          <w:color w:val="3A4350"/>
          <w:sz w:val="15"/>
          <w:szCs w:val="15"/>
        </w:rPr>
        <w:t xml:space="preserve"> balances the two, so source data matter only where the target data are ambiguous.</w:t>
      </w:r>
    </w:p>
    <w:p>
      <w:pPr>
        <w:spacing w:after="60"/>
        <w:jc w:val="both"/>
      </w:pPr>
      <w:r>
        <w:rPr>
          <w:b/>
          <w:bCs/>
          <w:color w:val="0F766E"/>
          <w:sz w:val="17"/>
          <w:szCs w:val="17"/>
        </w:rPr>
        <w:t xml:space="preserve">Link to the Fushë-Kuqe record holders. </w:t>
      </w:r>
      <w:r>
        <w:rPr>
          <w:sz w:val="17"/>
          <w:szCs w:val="17"/>
        </w:rPr>
        <w:t xml:space="preserve">Belongs to theme R (robustly combining data sources for causal inference). Whether a coastal well becomes salinised (head below </w:t>
      </w:r>
      <m:oMath>
        <m:sSub>
          <m:e>
            <m:r>
              <m:t>h</m:t>
            </m:r>
          </m:e>
          <m:sub>
            <m:r>
              <m:t>c</m:t>
            </m:r>
          </m:sub>
        </m:sSub>
        <m:r>
          <m:rPr>
            <m:sty m:val="p"/>
          </m:rPr>
          <m:t>=</m:t>
        </m:r>
        <m:r>
          <m:t>1.0</m:t>
        </m:r>
      </m:oMath>
      <w:r>
        <w:rPr>
          <w:sz w:val="17"/>
          <w:szCs w:val="17"/>
        </w:rPr>
        <w:t xml:space="preserve"> m) is a binary target task. Hotel and municipal wells are a source whose salinisation probabilities may drift from the target's; the ambiguity level tells the coalition whether merging them can help near the threshold, and TAB guards against harm.</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one quantity, the ambiguity level, that says when an unreliable source helps, and proves near-minimax rates for a rule designed to avoid negative transfer. Annals of Statistics (2025) from Jianqing Fan's Princeton group; also listed as a NeurIPS 2025 poster.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is for prediction, not for a causal contrast, and the ambiguity level is defined on pooled data. Estimating it from shared summaries for a pumping effect on chloride, before any merge,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the ambiguity level as a measure of source reliability, with risk bounds optimal up to logarithms for a classifier that avoids negative transfer. Proposed extension: replace the classifier by the sign of the coastal CATE (does high pumping push a well below </w:t>
      </w:r>
      <m:oMath>
        <m:sSub>
          <m:e>
            <m:r>
              <m:t>h</m:t>
            </m:r>
          </m:e>
          <m:sub>
            <m:r>
              <m:t>c</m:t>
            </m:r>
          </m:sub>
        </m:sSub>
      </m:oMath>
      <w:r>
        <w:rPr>
          <w:sz w:val="17"/>
          <w:szCs w:val="17"/>
        </w:rPr>
        <w:t xml:space="preserve">?), estimate an ambiguity level between each holder and the research campaigns on secret shares, and admit a holder only when it is small; test on the zonal flow model.</w:t>
      </w:r>
    </w:p>
    <w:p>
      <w:pPr>
        <w:keepNext/>
        <w:pBdr>
          <w:top w:val="single" w:color="0F766E" w:sz="6" w:space="4"/>
        </w:pBdr>
        <w:spacing w:after="60" w:before="220"/>
      </w:pPr>
      <w:r>
        <w:rPr>
          <w:b/>
          <w:bCs/>
          <w:color w:val="0F766E"/>
          <w:sz w:val="23"/>
          <w:szCs w:val="23"/>
        </w:rPr>
        <w:t xml:space="preserve">R5  </w:t>
      </w:r>
      <w:r>
        <w:rPr>
          <w:b/>
          <w:bCs/>
          <w:color w:val="1F3864"/>
          <w:sz w:val="23"/>
          <w:szCs w:val="23"/>
        </w:rPr>
        <w:t xml:space="preserve">Improving Local Prevalence Estimates of SARS-CoV-2 Infections Using a Causal Debiasing Framework</w:t>
      </w:r>
    </w:p>
    <w:p>
      <w:pPr>
        <w:keepNext/>
        <w:spacing w:after="60" w:line="240" w:lineRule="auto"/>
      </w:pPr>
      <w:r>
        <w:rPr>
          <w:b/>
          <w:bCs/>
          <w:color w:val="333B47"/>
          <w:sz w:val="15"/>
          <w:szCs w:val="15"/>
        </w:rPr>
        <w:t xml:space="preserve">Authors: </w:t>
      </w:r>
      <w:r>
        <w:rPr>
          <w:sz w:val="15"/>
          <w:szCs w:val="15"/>
        </w:rPr>
        <w:t xml:space="preserve">George Nicholson, Brieuc Lehmann, Tullia Padellini, …, Chris Holmes (full author list not verified)</w:t>
      </w:r>
      <w:r>
        <w:rPr>
          <w:sz w:val="15"/>
          <w:szCs w:val="15"/>
        </w:rPr>
        <w:t xml:space="preserve">   </w:t>
      </w:r>
      <w:r>
        <w:rPr>
          <w:b/>
          <w:bCs/>
          <w:color w:val="333B47"/>
          <w:sz w:val="15"/>
          <w:szCs w:val="15"/>
        </w:rPr>
        <w:t xml:space="preserve">Published in: </w:t>
      </w:r>
      <w:r>
        <w:rPr>
          <w:sz w:val="15"/>
          <w:szCs w:val="15"/>
        </w:rPr>
        <w:t xml:space="preserve">Nature Microbiology, 7(1), 97–107 (2022; online date not verified); open access</w:t>
      </w:r>
      <w:r>
        <w:rPr>
          <w:sz w:val="15"/>
          <w:szCs w:val="15"/>
        </w:rPr>
        <w:t xml:space="preserve">   </w:t>
      </w:r>
      <w:r>
        <w:rPr>
          <w:b/>
          <w:bCs/>
          <w:color w:val="333B47"/>
          <w:sz w:val="15"/>
          <w:szCs w:val="15"/>
        </w:rPr>
        <w:t xml:space="preserve">Link: </w:t>
      </w:r>
      <w:hyperlink w:history="1" r:id="rIdjhyihqw_6wfqzwo8vlwoh">
        <w:r>
          <w:rPr>
            <w:color w:val="1D4ED8"/>
            <w:sz w:val="15"/>
            <w:szCs w:val="15"/>
            <w:u w:val="single"/>
          </w:rPr>
          <w:t xml:space="preserve">https://doi.org/10.1038/s41564-021-01029-0</w:t>
        </w:r>
      </w:hyperlink>
    </w:p>
    <w:p>
      <w:pPr>
        <w:keepNext/>
        <w:spacing w:after="80" w:line="240" w:lineRule="auto"/>
      </w:pPr>
      <w:r>
        <w:rPr>
          <w:b/>
          <w:bCs/>
          <w:color w:val="333B47"/>
          <w:sz w:val="15"/>
          <w:szCs w:val="15"/>
        </w:rPr>
        <w:t xml:space="preserve">Affiliation: </w:t>
      </w:r>
      <w:r>
        <w:rPr>
          <w:color w:val="3A4350"/>
          <w:sz w:val="15"/>
          <w:szCs w:val="15"/>
        </w:rPr>
        <w:t xml:space="preserve">Lead affiliation University of Oxford, with the Alan Turing Institute and Imperial College London among others — from the PubMed Central and Oxford ORA records as summarised in a search result; also listed by Oxford’s Nuffield Department of Medicine. Individual departments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F766E"/>
          <w:sz w:val="17"/>
          <w:szCs w:val="17"/>
        </w:rPr>
        <w:t xml:space="preserve">Summary. </w:t>
      </w:r>
      <w:r>
        <w:rPr>
          <w:sz w:val="17"/>
          <w:szCs w:val="17"/>
        </w:rPr>
        <w:t xml:space="preserve">Mass-testing data (Pillar 1+2 in England) are abundant but biased, because people with symptoms are more likely to be tested; the REACT study tests a random sample but is small. The authors build a probabilistic model of the testing process with a bias parameter for how much more likely an infected person is to be tested than an uninfected one, calibrate that parameter with the randomised survey, and use it to correct local prevalence and </w:t>
      </w:r>
      <m:oMath>
        <m:sSub>
          <m:e>
            <m:r>
              <m:t>R</m:t>
            </m:r>
          </m:e>
          <m:sub>
            <m:r>
              <m:t>t</m:t>
            </m:r>
          </m:sub>
        </m:sSub>
      </m:oMath>
      <w:r>
        <w:rPr>
          <w:sz w:val="17"/>
          <w:szCs w:val="17"/>
        </w:rPr>
        <w:t xml:space="preserve"> estimates from the targeted counts. The debiased estimates were validated against held-out REACT data over seven months, and local </w:t>
      </w:r>
      <m:oMath>
        <m:sSub>
          <m:e>
            <m:r>
              <m:t>R</m:t>
            </m:r>
          </m:e>
          <m:sub>
            <m:r>
              <m:t>t</m:t>
            </m:r>
          </m:sub>
        </m:sSub>
      </m:oMath>
      <w:r>
        <w:rPr>
          <w:sz w:val="17"/>
          <w:szCs w:val="17"/>
        </w:rPr>
        <w:t xml:space="preserve"> estimates were indicative of one- and two-week-ahead changes in case numbers.</w:t>
      </w:r>
    </w:p>
    <w:p>
      <w:pPr>
        <w:keepNext/>
        <w:spacing w:after="20" w:before="40"/>
      </w:pPr>
      <w:r>
        <w:rPr>
          <w:b/>
          <w:bCs/>
          <w:color w:val="0F766E"/>
          <w:sz w:val="17"/>
          <w:szCs w:val="17"/>
        </w:rPr>
        <w:t xml:space="preserve">Key equation.</w:t>
      </w:r>
      <w:r>
        <w:rPr>
          <w:i/>
          <w:iCs/>
          <w:color w:val="5B6573"/>
          <w:sz w:val="15"/>
          <w:szCs w:val="15"/>
        </w:rPr>
        <w:t xml:space="preserve">  Debiasing targeted test counts: the odds of infection among those tested equal the population odds inflated by the testing bias (representative formulation)</w:t>
      </w:r>
    </w:p>
    <w:p>
      <w:pPr>
        <w:pStyle w:val="Equation"/>
      </w:pPr>
      <m:oMathPara>
        <m:oMathParaPr>
          <m:jc m:val="center"/>
        </m:oMathParaPr>
        <m:oMath>
          <m:f>
            <m:fPr>
              <m:type m:val="bar"/>
            </m:fPr>
            <m:num>
              <m:r>
                <m:t>P</m:t>
              </m:r>
              <m:d>
                <m:dPr>
                  <m:begChr m:val="("/>
                  <m:sepChr m:val=""/>
                  <m:endChr m:val=")"/>
                  <m:grow/>
                </m:dPr>
                <m:e>
                  <m:r>
                    <m:t>D</m:t>
                  </m:r>
                  <m:r>
                    <m:rPr>
                      <m:sty m:val="p"/>
                    </m:rPr>
                    <m:t>=</m:t>
                  </m:r>
                  <m:r>
                    <m:t>1</m:t>
                  </m:r>
                  <m:r>
                    <m:rPr>
                      <m:sty m:val="p"/>
                    </m:rPr>
                    <m:t>∣</m:t>
                  </m:r>
                  <m:r>
                    <m:t>T</m:t>
                  </m:r>
                  <m:r>
                    <m:rPr>
                      <m:sty m:val="p"/>
                    </m:rPr>
                    <m:t>=</m:t>
                  </m:r>
                  <m:r>
                    <m:t>1</m:t>
                  </m:r>
                </m:e>
              </m:d>
            </m:num>
            <m:den>
              <m:r>
                <m:t>P</m:t>
              </m:r>
              <m:d>
                <m:dPr>
                  <m:begChr m:val="("/>
                  <m:sepChr m:val=""/>
                  <m:endChr m:val=")"/>
                  <m:grow/>
                </m:dPr>
                <m:e>
                  <m:r>
                    <m:t>D</m:t>
                  </m:r>
                  <m:r>
                    <m:rPr>
                      <m:sty m:val="p"/>
                    </m:rPr>
                    <m:t>=</m:t>
                  </m:r>
                  <m:r>
                    <m:t>0</m:t>
                  </m:r>
                  <m:r>
                    <m:rPr>
                      <m:sty m:val="p"/>
                    </m:rPr>
                    <m:t>∣</m:t>
                  </m:r>
                  <m:r>
                    <m:t>T</m:t>
                  </m:r>
                  <m:r>
                    <m:rPr>
                      <m:sty m:val="p"/>
                    </m:rPr>
                    <m:t>=</m:t>
                  </m:r>
                  <m:r>
                    <m:t>1</m:t>
                  </m:r>
                </m:e>
              </m:d>
            </m:den>
          </m:f>
          <m:r>
            <m:rPr>
              <m:sty m:val="p"/>
            </m:rPr>
            <m:t>=</m:t>
          </m:r>
          <m:sSup>
            <m:e>
              <m:r>
                <m:t>e</m:t>
              </m:r>
            </m:e>
            <m:sup>
              <m:r>
                <m:t>δ</m:t>
              </m:r>
            </m:sup>
          </m:sSup>
          <m:r>
            <m:t> </m:t>
          </m:r>
          <m:f>
            <m:fPr>
              <m:type m:val="bar"/>
            </m:fPr>
            <m:num>
              <m:r>
                <m:t>π</m:t>
              </m:r>
            </m:num>
            <m:den>
              <m:r>
                <m:t>1</m:t>
              </m:r>
              <m:r>
                <m:rPr>
                  <m:sty m:val="p"/>
                </m:rPr>
                <m:t>−</m:t>
              </m:r>
              <m:r>
                <m:t>π</m:t>
              </m:r>
            </m:den>
          </m:f>
          <m:r>
            <m:rPr>
              <m:sty m:val="p"/>
            </m:rPr>
            <m:t>,</m:t>
          </m:r>
          <m:r>
            <m:t>  </m:t>
          </m:r>
          <m:sSup>
            <m:e>
              <m:r>
                <m:t>e</m:t>
              </m:r>
            </m:e>
            <m:sup>
              <m:r>
                <m:t>δ</m:t>
              </m:r>
            </m:sup>
          </m:sSup>
          <m:r>
            <m:rPr>
              <m:sty m:val="p"/>
            </m:rPr>
            <m:t>=</m:t>
          </m:r>
          <m:f>
            <m:fPr>
              <m:type m:val="bar"/>
            </m:fPr>
            <m:num>
              <m:r>
                <m:t>P</m:t>
              </m:r>
              <m:d>
                <m:dPr>
                  <m:begChr m:val="("/>
                  <m:sepChr m:val=""/>
                  <m:endChr m:val=")"/>
                  <m:grow/>
                </m:dPr>
                <m:e>
                  <m:r>
                    <m:t>T</m:t>
                  </m:r>
                  <m:r>
                    <m:rPr>
                      <m:sty m:val="p"/>
                    </m:rPr>
                    <m:t>=</m:t>
                  </m:r>
                  <m:r>
                    <m:t>1</m:t>
                  </m:r>
                  <m:r>
                    <m:rPr>
                      <m:sty m:val="p"/>
                    </m:rPr>
                    <m:t>∣</m:t>
                  </m:r>
                  <m:r>
                    <m:t>D</m:t>
                  </m:r>
                  <m:r>
                    <m:rPr>
                      <m:sty m:val="p"/>
                    </m:rPr>
                    <m:t>=</m:t>
                  </m:r>
                  <m:r>
                    <m:t>1</m:t>
                  </m:r>
                </m:e>
              </m:d>
            </m:num>
            <m:den>
              <m:r>
                <m:t>P</m:t>
              </m:r>
              <m:d>
                <m:dPr>
                  <m:begChr m:val="("/>
                  <m:sepChr m:val=""/>
                  <m:endChr m:val=")"/>
                  <m:grow/>
                </m:dPr>
                <m:e>
                  <m:r>
                    <m:t>T</m:t>
                  </m:r>
                  <m:r>
                    <m:rPr>
                      <m:sty m:val="p"/>
                    </m:rPr>
                    <m:t>=</m:t>
                  </m:r>
                  <m:r>
                    <m:t>1</m:t>
                  </m:r>
                  <m:r>
                    <m:rPr>
                      <m:sty m:val="p"/>
                    </m:rPr>
                    <m:t>∣</m:t>
                  </m:r>
                  <m:r>
                    <m:t>D</m:t>
                  </m:r>
                  <m:r>
                    <m:rPr>
                      <m:sty m:val="p"/>
                    </m:rPr>
                    <m:t>=</m:t>
                  </m:r>
                  <m:r>
                    <m:t>0</m:t>
                  </m:r>
                </m:e>
              </m:d>
            </m:den>
          </m:f>
        </m:oMath>
      </m:oMathPara>
    </w:p>
    <w:p>
      <w:pPr>
        <w:spacing w:after="60"/>
        <w:jc w:val="both"/>
      </w:pPr>
      <m:oMath>
        <m:r>
          <m:t>D</m:t>
        </m:r>
      </m:oMath>
      <w:r>
        <w:rPr>
          <w:color w:val="3A4350"/>
          <w:sz w:val="15"/>
          <w:szCs w:val="15"/>
        </w:rPr>
        <w:t xml:space="preserve"> indicates infection, </w:t>
      </w:r>
      <m:oMath>
        <m:r>
          <m:t>T</m:t>
        </m:r>
      </m:oMath>
      <w:r>
        <w:rPr>
          <w:color w:val="3A4350"/>
          <w:sz w:val="15"/>
          <w:szCs w:val="15"/>
        </w:rPr>
        <w:t xml:space="preserve"> being tested, </w:t>
      </w:r>
      <m:oMath>
        <m:r>
          <m:t>π</m:t>
        </m:r>
      </m:oMath>
      <w:r>
        <w:rPr>
          <w:color w:val="3A4350"/>
          <w:sz w:val="15"/>
          <w:szCs w:val="15"/>
        </w:rPr>
        <w:t xml:space="preserve"> the local prevalence and </w:t>
      </w:r>
      <m:oMath>
        <m:r>
          <m:t>δ</m:t>
        </m:r>
      </m:oMath>
      <w:r>
        <w:rPr>
          <w:color w:val="3A4350"/>
          <w:sz w:val="15"/>
          <w:szCs w:val="15"/>
        </w:rPr>
        <w:t xml:space="preserve"> the bias parameter, which the randomised survey calibrates so that </w:t>
      </w:r>
      <m:oMath>
        <m:r>
          <m:t>π</m:t>
        </m:r>
      </m:oMath>
      <w:r>
        <w:rPr>
          <w:color w:val="3A4350"/>
          <w:sz w:val="15"/>
          <w:szCs w:val="15"/>
        </w:rPr>
        <w:t xml:space="preserve"> can be recovered from the biased counts.</w:t>
      </w:r>
    </w:p>
    <w:p>
      <w:pPr>
        <w:spacing w:after="60"/>
        <w:jc w:val="both"/>
      </w:pPr>
      <w:r>
        <w:rPr>
          <w:b/>
          <w:bCs/>
          <w:color w:val="0F766E"/>
          <w:sz w:val="17"/>
          <w:szCs w:val="17"/>
        </w:rPr>
        <w:t xml:space="preserve">Link to the Fushë-Kuqe record holders. </w:t>
      </w:r>
      <w:r>
        <w:rPr>
          <w:sz w:val="17"/>
          <w:szCs w:val="17"/>
        </w:rPr>
        <w:t xml:space="preserve">Belongs to theme R (robustly combining data sources for causal inference). The utility's and hotels' wells are sited and pumped where trouble is expected, like targeted tests; the research campaigns are the random survey. A bias parameter for how the large holders chose their wells, calibrated on campaign wells, lets the coalition use the large records instead of discarding them.</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is a worked and prospectively validated case of the central move of this theme: a small randomised source calibrates the bias of a large convenience source, and both are then used together. Published in Nature Microbiology from Chris Holmes' Oxford group with the Turing Institute; open access.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A single bias parameter is calibrated with counts handled in the open. For holders with different and legally sensitive selection of wells, estimating one bias per holder on secret shares, and asking which holder's calibration is worth paying for, is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causal model of the ascertainment process with one interpretable bias parameter, calibrated by a randomised survey and validated prospectively. Proposed extension: give each Fushë-Kuqe holder its own bias </w:t>
      </w:r>
      <m:oMath>
        <m:sSub>
          <m:e>
            <m:r>
              <m:t>δ</m:t>
            </m:r>
          </m:e>
          <m:sub>
            <m:r>
              <m:t>k</m:t>
            </m:r>
          </m:sub>
        </m:sSub>
      </m:oMath>
      <w:r>
        <w:rPr>
          <w:sz w:val="17"/>
          <w:szCs w:val="17"/>
        </w:rPr>
        <w:t xml:space="preserve"> for how its wells were selected and pumped, calibrate the </w:t>
      </w:r>
      <m:oMath>
        <m:sSub>
          <m:e>
            <m:r>
              <m:t>δ</m:t>
            </m:r>
          </m:e>
          <m:sub>
            <m:r>
              <m:t>k</m:t>
            </m:r>
          </m:sub>
        </m:sSub>
      </m:oMath>
      <w:r>
        <w:rPr>
          <w:sz w:val="17"/>
          <w:szCs w:val="17"/>
        </w:rPr>
        <w:t xml:space="preserve"> on wells shared with the research campaigns using MPC with differential privacy, and carry their posterior uncertainty into the EIG of each merge; test on synthetic data from the zonal flow model.</w:t>
      </w:r>
    </w:p>
    <w:p>
      <w:pPr>
        <w:pStyle w:val="Heading1"/>
      </w:pPr>
      <w:r>
        <w:rPr>
          <w:color w:val="9A3412"/>
        </w:rPr>
        <w:t xml:space="preserve">6. Privacy-preserving computation for statistical and causal inference</w:t>
      </w:r>
    </w:p>
    <w:p>
      <w:pPr>
        <w:spacing w:after="120"/>
        <w:jc w:val="both"/>
      </w:pPr>
      <w:r>
        <w:t xml:space="preserve">Five groups compute on private data with guarantees. Daniel Alabi and Salil Vadhan test linear-regression hypotheses privately [C1]; Gavin Brown, Samuel Hopkins, Adam Smith and colleagues give stable private least squares [C2]; Jack Jewson, Sahra Ghalebikesabi and Chris Holmes release one draw of a β-divergence posterior privately [C3]; Jiachen T. Wang, Prateek Mittal and colleagues make privacy accounting tight by estimation and verification [C4]; and Kang Wei, H. Vincent Poor and colleagues add noise before aggregation in federated learning [C5].</w:t>
      </w:r>
    </w:p>
    <w:p>
      <w:pPr>
        <w:keepNext/>
        <w:pBdr>
          <w:top w:val="single" w:color="9A3412" w:sz="6" w:space="4"/>
        </w:pBdr>
        <w:spacing w:after="60" w:before="220"/>
      </w:pPr>
      <w:r>
        <w:rPr>
          <w:b/>
          <w:bCs/>
          <w:color w:val="9A3412"/>
          <w:sz w:val="23"/>
          <w:szCs w:val="23"/>
        </w:rPr>
        <w:t xml:space="preserve">C1  </w:t>
      </w:r>
      <w:r>
        <w:rPr>
          <w:b/>
          <w:bCs/>
          <w:color w:val="1F3864"/>
          <w:sz w:val="23"/>
          <w:szCs w:val="23"/>
        </w:rPr>
        <w:t xml:space="preserve">Differentially Private Hypothesis Testing for Linear Regression</w:t>
      </w:r>
    </w:p>
    <w:p>
      <w:pPr>
        <w:keepNext/>
        <w:spacing w:after="60" w:line="240" w:lineRule="auto"/>
      </w:pPr>
      <w:r>
        <w:rPr>
          <w:b/>
          <w:bCs/>
          <w:color w:val="333B47"/>
          <w:sz w:val="15"/>
          <w:szCs w:val="15"/>
        </w:rPr>
        <w:t xml:space="preserve">Authors: </w:t>
      </w:r>
      <w:r>
        <w:rPr>
          <w:sz w:val="15"/>
          <w:szCs w:val="15"/>
        </w:rPr>
        <w:t xml:space="preserve">Daniel G. Alabi, Salil P. Vadhan</w:t>
      </w:r>
      <w:r>
        <w:rPr>
          <w:sz w:val="15"/>
          <w:szCs w:val="15"/>
        </w:rPr>
        <w:t xml:space="preserve">   </w:t>
      </w:r>
      <w:r>
        <w:rPr>
          <w:b/>
          <w:bCs/>
          <w:color w:val="333B47"/>
          <w:sz w:val="15"/>
          <w:szCs w:val="15"/>
        </w:rPr>
        <w:t xml:space="preserve">Published in: </w:t>
      </w:r>
      <w:r>
        <w:rPr>
          <w:sz w:val="15"/>
          <w:szCs w:val="15"/>
        </w:rPr>
        <w:t xml:space="preserve">Journal of Machine Learning Research, 24(361), 1–50 (2023); journal version of the NeurIPS 2022 paper "Hypothesis Testing for Differentially Private Linear Regression" (arXiv 2206.14449)</w:t>
      </w:r>
      <w:r>
        <w:rPr>
          <w:sz w:val="15"/>
          <w:szCs w:val="15"/>
        </w:rPr>
        <w:t xml:space="preserve">   </w:t>
      </w:r>
      <w:r>
        <w:rPr>
          <w:b/>
          <w:bCs/>
          <w:color w:val="333B47"/>
          <w:sz w:val="15"/>
          <w:szCs w:val="15"/>
        </w:rPr>
        <w:t xml:space="preserve">Link: </w:t>
      </w:r>
      <w:hyperlink w:history="1" r:id="rIdo4vasxfm9ft4c9dxfkdak">
        <w:r>
          <w:rPr>
            <w:color w:val="1D4ED8"/>
            <w:sz w:val="15"/>
            <w:szCs w:val="15"/>
            <w:u w:val="single"/>
          </w:rPr>
          <w:t xml:space="preserve">https://jmlr.org/papers/v24/23-0045.html</w:t>
        </w:r>
      </w:hyperlink>
    </w:p>
    <w:p>
      <w:pPr>
        <w:keepNext/>
        <w:spacing w:after="80" w:line="240" w:lineRule="auto"/>
      </w:pPr>
      <w:r>
        <w:rPr>
          <w:b/>
          <w:bCs/>
          <w:color w:val="333B47"/>
          <w:sz w:val="15"/>
          <w:szCs w:val="15"/>
        </w:rPr>
        <w:t xml:space="preserve">Affiliation: </w:t>
      </w:r>
      <w:r>
        <w:rPr>
          <w:color w:val="3A4350"/>
          <w:sz w:val="15"/>
          <w:szCs w:val="15"/>
        </w:rPr>
        <w:t xml:space="preserve">Salil P. Vadhan, Harvard John A. Paulson School of Engineering and Applied Sciences (arXiv 2206.14449 lists both authors at Harvard SEAS; the Harvard-hosted PDF lists Vadhan at Harvard SEAS and Alabi at Columbia University). Volume, issue and pages from the JMLR page; the paper is also listed by the Harvard Privacy Tools project.</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9A3412"/>
          <w:sz w:val="17"/>
          <w:szCs w:val="17"/>
        </w:rPr>
        <w:t xml:space="preserve">Summary. </w:t>
      </w:r>
      <w:r>
        <w:rPr>
          <w:sz w:val="17"/>
          <w:szCs w:val="17"/>
        </w:rPr>
        <w:t xml:space="preserve">The paper builds differentially private hypothesis tests for the multivariate linear regression model: tests for a linear relationship between outcome and covariates, and tests for the presence of a mixture of regression lines. Most tests are private versions of the F-statistic, which is uniformly most powerful unbiased without privacy; a separate mixture test for small datasets builds on Couch et al. (CCS 2019). The main theorem shows that the private F-statistic converges to the same asymptotic distribution as the non-private one, so its power converges to the non-private power. Monte Carlo experiments show that the tests hold their significance levels and gain power as </w:t>
      </w:r>
      <m:oMath>
        <m:r>
          <m:t>n</m:t>
        </m:r>
      </m:oMath>
      <w:r>
        <w:rPr>
          <w:sz w:val="17"/>
          <w:szCs w:val="17"/>
        </w:rPr>
        <w:t xml:space="preserve"> or the privacy-loss parameter grows.</w:t>
      </w:r>
    </w:p>
    <w:p>
      <w:pPr>
        <w:keepNext/>
        <w:spacing w:after="20" w:before="40"/>
      </w:pPr>
      <w:r>
        <w:rPr>
          <w:b/>
          <w:bCs/>
          <w:color w:val="9A3412"/>
          <w:sz w:val="17"/>
          <w:szCs w:val="17"/>
        </w:rPr>
        <w:t xml:space="preserve">Key equation.</w:t>
      </w:r>
      <w:r>
        <w:rPr>
          <w:i/>
          <w:iCs/>
          <w:color w:val="5B6573"/>
          <w:sz w:val="15"/>
          <w:szCs w:val="15"/>
        </w:rPr>
        <w:t xml:space="preserve">  Classical F-statistic for no linear relationship, and the shared limit law of its private version (representative formulation)</w:t>
      </w:r>
    </w:p>
    <w:p>
      <w:pPr>
        <w:pStyle w:val="Equation"/>
      </w:pPr>
      <m:oMathPara>
        <m:oMathParaPr>
          <m:jc m:val="center"/>
        </m:oMathParaPr>
        <m:oMath>
          <m:r>
            <m:t>F</m:t>
          </m:r>
          <m:r>
            <m:rPr>
              <m:sty m:val="p"/>
            </m:rPr>
            <m:t>=</m:t>
          </m:r>
          <m:f>
            <m:fPr>
              <m:type m:val="bar"/>
            </m:fPr>
            <m:num>
              <m:sSup>
                <m:e>
                  <m:d>
                    <m:dPr>
                      <m:begChr m:val="∥"/>
                      <m:sepChr m:val=""/>
                      <m:endChr m:val="∥"/>
                      <m:grow/>
                    </m:dPr>
                    <m:e>
                      <m:r>
                        <m:t>X</m:t>
                      </m:r>
                      <m:acc>
                        <m:accPr>
                          <m:chr m:val="̂"/>
                        </m:accPr>
                        <m:e>
                          <m:r>
                            <m:t>β</m:t>
                          </m:r>
                        </m:e>
                      </m:acc>
                    </m:e>
                  </m:d>
                </m:e>
                <m:sup>
                  <m:r>
                    <m:t>2</m:t>
                  </m:r>
                </m:sup>
              </m:sSup>
              <m:r>
                <m:rPr>
                  <m:sty m:val="p"/>
                </m:rPr>
                <m:t>/</m:t>
              </m:r>
              <m:r>
                <m:t>d</m:t>
              </m:r>
            </m:num>
            <m:den>
              <m:sSup>
                <m:e>
                  <m:d>
                    <m:dPr>
                      <m:begChr m:val="∥"/>
                      <m:sepChr m:val=""/>
                      <m:endChr m:val="∥"/>
                      <m:grow/>
                    </m:dPr>
                    <m:e>
                      <m:r>
                        <m:t>y</m:t>
                      </m:r>
                      <m:r>
                        <m:rPr>
                          <m:sty m:val="p"/>
                        </m:rPr>
                        <m:t>−</m:t>
                      </m:r>
                      <m:r>
                        <m:t>X</m:t>
                      </m:r>
                      <m:acc>
                        <m:accPr>
                          <m:chr m:val="̂"/>
                        </m:accPr>
                        <m:e>
                          <m:r>
                            <m:t>β</m:t>
                          </m:r>
                        </m:e>
                      </m:acc>
                    </m:e>
                  </m:d>
                </m:e>
                <m:sup>
                  <m:r>
                    <m:t>2</m:t>
                  </m:r>
                </m:sup>
              </m:sSup>
              <m:r>
                <m:rPr>
                  <m:sty m:val="p"/>
                </m:rPr>
                <m:t>/</m:t>
              </m:r>
              <m:d>
                <m:dPr>
                  <m:begChr m:val="("/>
                  <m:sepChr m:val=""/>
                  <m:endChr m:val=")"/>
                  <m:grow/>
                </m:dPr>
                <m:e>
                  <m:r>
                    <m:t>n</m:t>
                  </m:r>
                  <m:r>
                    <m:rPr>
                      <m:sty m:val="p"/>
                    </m:rPr>
                    <m:t>−</m:t>
                  </m:r>
                  <m:r>
                    <m:t>d</m:t>
                  </m:r>
                </m:e>
              </m:d>
            </m:den>
          </m:f>
          <m:r>
            <m:rPr>
              <m:sty m:val="p"/>
            </m:rPr>
            <m:t>,</m:t>
          </m:r>
          <m:r>
            <m:t>  </m:t>
          </m:r>
          <m:r>
            <m:t>d</m:t>
          </m:r>
          <m:r>
            <m:t> </m:t>
          </m:r>
          <m:acc>
            <m:accPr>
              <m:chr m:val="̃"/>
            </m:accPr>
            <m:e>
              <m:r>
                <m:t>F</m:t>
              </m:r>
            </m:e>
          </m:acc>
          <m:r>
            <m:t> </m:t>
          </m:r>
          <m:r>
            <m:rPr>
              <m:sty m:val="p"/>
            </m:rPr>
            <m:t>→</m:t>
          </m:r>
          <m:r>
            <m:t> </m:t>
          </m:r>
          <m:sSubSup>
            <m:e>
              <m:r>
                <m:t>χ</m:t>
              </m:r>
            </m:e>
            <m:sub>
              <m:r>
                <m:t>d</m:t>
              </m:r>
            </m:sub>
            <m:sup>
              <m:r>
                <m:t>2</m:t>
              </m:r>
            </m:sup>
          </m:sSubSup>
          <m:r>
            <m:t> </m:t>
          </m:r>
          <m:r>
            <m:rPr>
              <m:nor/>
            </m:rPr>
            <m:t>in distribution under</m:t>
          </m:r>
          <m:r>
            <m:t> </m:t>
          </m:r>
          <m:sSub>
            <m:e>
              <m:r>
                <m:t>H</m:t>
              </m:r>
            </m:e>
            <m:sub>
              <m:r>
                <m:t>0</m:t>
              </m:r>
            </m:sub>
          </m:sSub>
          <m:r>
            <m:rPr>
              <m:sty m:val="p"/>
            </m:rPr>
            <m:t>:</m:t>
          </m:r>
          <m:r>
            <m:t>β</m:t>
          </m:r>
          <m:r>
            <m:rPr>
              <m:sty m:val="p"/>
            </m:rPr>
            <m:t>=</m:t>
          </m:r>
          <m:r>
            <m:t>0</m:t>
          </m:r>
        </m:oMath>
      </m:oMathPara>
    </w:p>
    <w:p>
      <w:pPr>
        <w:spacing w:after="60"/>
        <w:jc w:val="both"/>
      </w:pPr>
      <m:oMath>
        <m:r>
          <m:t>X</m:t>
        </m:r>
      </m:oMath>
      <w:r>
        <w:rPr>
          <w:color w:val="3A4350"/>
          <w:sz w:val="15"/>
          <w:szCs w:val="15"/>
        </w:rPr>
        <w:t xml:space="preserve"> is the </w:t>
      </w:r>
      <m:oMath>
        <m:r>
          <m:t>n</m:t>
        </m:r>
        <m:r>
          <m:rPr>
            <m:sty m:val="p"/>
          </m:rPr>
          <m:t>×</m:t>
        </m:r>
        <m:r>
          <m:t>d</m:t>
        </m:r>
      </m:oMath>
      <w:r>
        <w:rPr>
          <w:color w:val="3A4350"/>
          <w:sz w:val="15"/>
          <w:szCs w:val="15"/>
        </w:rPr>
        <w:t xml:space="preserve"> design (well records by covariates such as pumping level and distance to the sea), </w:t>
      </w:r>
      <m:oMath>
        <m:r>
          <m:t>y</m:t>
        </m:r>
      </m:oMath>
      <w:r>
        <w:rPr>
          <w:color w:val="3A4350"/>
          <w:sz w:val="15"/>
          <w:szCs w:val="15"/>
        </w:rPr>
        <w:t xml:space="preserve"> the outcome, </w:t>
      </w:r>
      <m:oMath>
        <m:acc>
          <m:accPr>
            <m:chr m:val="̂"/>
          </m:accPr>
          <m:e>
            <m:r>
              <m:t>β</m:t>
            </m:r>
          </m:e>
        </m:acc>
      </m:oMath>
      <w:r>
        <w:rPr>
          <w:color w:val="3A4350"/>
          <w:sz w:val="15"/>
          <w:szCs w:val="15"/>
        </w:rPr>
        <w:t xml:space="preserve"> the least-squares estimate and </w:t>
      </w:r>
      <m:oMath>
        <m:acc>
          <m:accPr>
            <m:chr m:val="̃"/>
          </m:accPr>
          <m:e>
            <m:r>
              <m:t>F</m:t>
            </m:r>
          </m:e>
        </m:acc>
      </m:oMath>
      <w:r>
        <w:rPr>
          <w:color w:val="3A4350"/>
          <w:sz w:val="15"/>
          <w:szCs w:val="15"/>
        </w:rPr>
        <w:t xml:space="preserve"> the statistic recomputed from differentially private releases; the paper proves that </w:t>
      </w:r>
      <m:oMath>
        <m:acc>
          <m:accPr>
            <m:chr m:val="̃"/>
          </m:accPr>
          <m:e>
            <m:r>
              <m:t>F</m:t>
            </m:r>
          </m:e>
        </m:acc>
      </m:oMath>
      <w:r>
        <w:rPr>
          <w:color w:val="3A4350"/>
          <w:sz w:val="15"/>
          <w:szCs w:val="15"/>
        </w:rPr>
        <w:t xml:space="preserve"> has the same limit as </w:t>
      </w:r>
      <m:oMath>
        <m:r>
          <m:t>F</m:t>
        </m:r>
      </m:oMath>
      <w:r>
        <w:rPr>
          <w:color w:val="3A4350"/>
          <w:sz w:val="15"/>
          <w:szCs w:val="15"/>
        </w:rPr>
        <w:t xml:space="preserve">.</w:t>
      </w:r>
    </w:p>
    <w:p>
      <w:pPr>
        <w:spacing w:after="60"/>
        <w:jc w:val="both"/>
      </w:pPr>
      <w:r>
        <w:rPr>
          <w:b/>
          <w:bCs/>
          <w:color w:val="9A3412"/>
          <w:sz w:val="17"/>
          <w:szCs w:val="17"/>
        </w:rPr>
        <w:t xml:space="preserve">Link to the Fushë-Kuqe record holders. </w:t>
      </w:r>
      <w:r>
        <w:rPr>
          <w:sz w:val="17"/>
          <w:szCs w:val="17"/>
        </w:rPr>
        <w:t xml:space="preserve">Belongs to theme C (privacy-preserving computation for statistical and causal inference). Before merging, the hotels and the municipal coastal wells could each test privately whether chloride change depends on pumping and distance to the sea; the mixture test asks whether their pooled records follow two regression lines, a sign that merging would hide a regime difference.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regression, the workhorse of applied inference, private tests with a proved asymptotic match to the classical F-test, and extends the NeurIPS 2022 version to the multivariate model in a 50-page JMLR paper. From Salil Vadhan's Harvard privacy group, whose canonical-noise paper was card P1 of review 55.</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tests assume one data holder and a fixed model. Whether a private F-test computed jointly on secret shares of several holders' Gram matrices keeps its level when some holders observe only one pumping regime (no overlap)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private F-tests for multivariate regression whose limit law and power match the non-private test, plus a small-sample private mixture test. Proposed extension: let each holder secret-share </w:t>
      </w:r>
      <m:oMath>
        <m:sSup>
          <m:e>
            <m:r>
              <m:t>X</m:t>
            </m:r>
          </m:e>
          <m:sup>
            <m:r>
              <m:rPr>
                <m:sty m:val="p"/>
              </m:rPr>
              <m:t>⊤</m:t>
            </m:r>
          </m:sup>
        </m:sSup>
        <m:r>
          <m:t>X</m:t>
        </m:r>
      </m:oMath>
      <w:r>
        <w:rPr>
          <w:sz w:val="17"/>
          <w:szCs w:val="17"/>
        </w:rPr>
        <w:t xml:space="preserve">, </w:t>
      </w:r>
      <m:oMath>
        <m:sSup>
          <m:e>
            <m:r>
              <m:t>X</m:t>
            </m:r>
          </m:e>
          <m:sup>
            <m:r>
              <m:rPr>
                <m:sty m:val="p"/>
              </m:rPr>
              <m:t>⊤</m:t>
            </m:r>
          </m:sup>
        </m:sSup>
        <m:r>
          <m:t>y</m:t>
        </m:r>
      </m:oMath>
      <w:r>
        <w:rPr>
          <w:sz w:val="17"/>
          <w:szCs w:val="17"/>
        </w:rPr>
        <w:t xml:space="preserve"> and </w:t>
      </w:r>
      <m:oMath>
        <m:sSup>
          <m:e>
            <m:r>
              <m:t>y</m:t>
            </m:r>
          </m:e>
          <m:sup>
            <m:r>
              <m:rPr>
                <m:sty m:val="p"/>
              </m:rPr>
              <m:t>⊤</m:t>
            </m:r>
          </m:sup>
        </m:sSup>
        <m:r>
          <m:t>y</m:t>
        </m:r>
      </m:oMath>
      <w:r>
        <w:rPr>
          <w:sz w:val="17"/>
          <w:szCs w:val="17"/>
        </w:rPr>
        <w:t xml:space="preserve">, compute the private F-statistic for the pumping-by-distance interaction on the shares, and accept a coalition only if simulations of the 221.6 km² model give power 0.8 at </w:t>
      </w:r>
      <m:oMath>
        <m:r>
          <m:t>ε</m:t>
        </m:r>
        <m:r>
          <m:rPr>
            <m:sty m:val="p"/>
          </m:rPr>
          <m:t>=</m:t>
        </m:r>
        <m:r>
          <m:t>1</m:t>
        </m:r>
      </m:oMath>
      <w:r>
        <w:rPr>
          <w:sz w:val="17"/>
          <w:szCs w:val="17"/>
        </w:rPr>
        <w:t xml:space="preserve">.</w:t>
      </w:r>
    </w:p>
    <w:p>
      <w:pPr>
        <w:keepNext/>
        <w:pBdr>
          <w:top w:val="single" w:color="9A3412" w:sz="6" w:space="4"/>
        </w:pBdr>
        <w:spacing w:after="60" w:before="220"/>
      </w:pPr>
      <w:r>
        <w:rPr>
          <w:b/>
          <w:bCs/>
          <w:color w:val="9A3412"/>
          <w:sz w:val="23"/>
          <w:szCs w:val="23"/>
        </w:rPr>
        <w:t xml:space="preserve">C2  </w:t>
      </w:r>
      <w:r>
        <w:rPr>
          <w:b/>
          <w:bCs/>
          <w:color w:val="1F3864"/>
          <w:sz w:val="23"/>
          <w:szCs w:val="23"/>
        </w:rPr>
        <w:t xml:space="preserve">Insufficient Statistics Perturbation: Stable Estimators for Private Least Squares</w:t>
      </w:r>
    </w:p>
    <w:p>
      <w:pPr>
        <w:keepNext/>
        <w:spacing w:after="60" w:line="240" w:lineRule="auto"/>
      </w:pPr>
      <w:r>
        <w:rPr>
          <w:b/>
          <w:bCs/>
          <w:color w:val="333B47"/>
          <w:sz w:val="15"/>
          <w:szCs w:val="15"/>
        </w:rPr>
        <w:t xml:space="preserve">Authors: </w:t>
      </w:r>
      <w:r>
        <w:rPr>
          <w:sz w:val="15"/>
          <w:szCs w:val="15"/>
        </w:rPr>
        <w:t xml:space="preserve">Gavin Brown, Jonathan Hayase, Samuel Hopkins, Weihao Kong, Xiyang Liu, Sewoong Oh, Juan C. Perdomo, Adam Smith</w:t>
      </w:r>
      <w:r>
        <w:rPr>
          <w:sz w:val="15"/>
          <w:szCs w:val="15"/>
        </w:rPr>
        <w:t xml:space="preserve">   </w:t>
      </w:r>
      <w:r>
        <w:rPr>
          <w:b/>
          <w:bCs/>
          <w:color w:val="333B47"/>
          <w:sz w:val="15"/>
          <w:szCs w:val="15"/>
        </w:rPr>
        <w:t xml:space="preserve">Published in: </w:t>
      </w:r>
      <w:r>
        <w:rPr>
          <w:sz w:val="15"/>
          <w:szCs w:val="15"/>
        </w:rPr>
        <w:t xml:space="preserve">Proceedings of the Thirty Seventh Conference on Learning Theory (COLT 2024), PMLR 247, 750–751 (extended abstract; full version arXiv 2404.15409)</w:t>
      </w:r>
      <w:r>
        <w:rPr>
          <w:sz w:val="15"/>
          <w:szCs w:val="15"/>
        </w:rPr>
        <w:t xml:space="preserve">   </w:t>
      </w:r>
      <w:r>
        <w:rPr>
          <w:b/>
          <w:bCs/>
          <w:color w:val="333B47"/>
          <w:sz w:val="15"/>
          <w:szCs w:val="15"/>
        </w:rPr>
        <w:t xml:space="preserve">Link: </w:t>
      </w:r>
      <w:hyperlink w:history="1" r:id="rIdbb5eeqlgejq6w0ayhxev5">
        <w:r>
          <w:rPr>
            <w:color w:val="1D4ED8"/>
            <w:sz w:val="15"/>
            <w:szCs w:val="15"/>
            <w:u w:val="single"/>
          </w:rPr>
          <w:t xml:space="preserve">https://proceedings.mlr.press/v247/brown24b.html</w:t>
        </w:r>
      </w:hyperlink>
    </w:p>
    <w:p>
      <w:pPr>
        <w:keepNext/>
        <w:spacing w:after="80" w:line="240" w:lineRule="auto"/>
      </w:pPr>
      <w:r>
        <w:rPr>
          <w:b/>
          <w:bCs/>
          <w:color w:val="333B47"/>
          <w:sz w:val="15"/>
          <w:szCs w:val="15"/>
        </w:rPr>
        <w:t xml:space="preserve">Affiliation: </w:t>
      </w:r>
      <w:r>
        <w:rPr>
          <w:color w:val="3A4350"/>
          <w:sz w:val="15"/>
          <w:szCs w:val="15"/>
        </w:rPr>
        <w:t xml:space="preserve">Samuel Hopkins, Department of Electrical Engineering and Computer Science, MIT; Juan C. Perdomo, Harvard University (arXiv 2404.15409 author block, per a search summary); the other authors at the University of Washington, Google Research and Boston University (same source).</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9A3412"/>
          <w:sz w:val="17"/>
          <w:szCs w:val="17"/>
        </w:rPr>
        <w:t xml:space="preserve">Summary. </w:t>
      </w:r>
      <w:r>
        <w:rPr>
          <w:sz w:val="17"/>
          <w:szCs w:val="17"/>
        </w:rPr>
        <w:t xml:space="preserve">Private regression usually perturbs the sufficient statistics </w:t>
      </w:r>
      <m:oMath>
        <m:sSup>
          <m:e>
            <m:r>
              <m:t>X</m:t>
            </m:r>
          </m:e>
          <m:sup>
            <m:r>
              <m:rPr>
                <m:sty m:val="p"/>
              </m:rPr>
              <m:t>⊤</m:t>
            </m:r>
          </m:sup>
        </m:sSup>
        <m:r>
          <m:t>X</m:t>
        </m:r>
      </m:oMath>
      <w:r>
        <w:rPr>
          <w:sz w:val="17"/>
          <w:szCs w:val="17"/>
        </w:rPr>
        <w:t xml:space="preserve"> and </w:t>
      </w:r>
      <m:oMath>
        <m:sSup>
          <m:e>
            <m:r>
              <m:t>X</m:t>
            </m:r>
          </m:e>
          <m:sup>
            <m:r>
              <m:rPr>
                <m:sty m:val="p"/>
              </m:rPr>
              <m:t>⊤</m:t>
            </m:r>
          </m:sup>
        </m:sSup>
        <m:r>
          <m:t>y</m:t>
        </m:r>
      </m:oMath>
      <w:r>
        <w:rPr>
          <w:sz w:val="17"/>
          <w:szCs w:val="17"/>
        </w:rPr>
        <w:t xml:space="preserve">, and the resulting error grows with the condition number of </w:t>
      </w:r>
      <m:oMath>
        <m:sSup>
          <m:e>
            <m:r>
              <m:t>X</m:t>
            </m:r>
          </m:e>
          <m:sup>
            <m:r>
              <m:rPr>
                <m:sty m:val="p"/>
              </m:rPr>
              <m:t>⊤</m:t>
            </m:r>
          </m:sup>
        </m:sSup>
        <m:r>
          <m:t>X</m:t>
        </m:r>
      </m:oMath>
      <w:r>
        <w:rPr>
          <w:sz w:val="17"/>
          <w:szCs w:val="17"/>
        </w:rPr>
        <w:t xml:space="preserve">. The paper gives a sample- and time-efficient differentially private ordinary least squares algorithm whose error depends linearly on the dimension </w:t>
      </w:r>
      <m:oMath>
        <m:r>
          <m:t>d</m:t>
        </m:r>
      </m:oMath>
      <w:r>
        <w:rPr>
          <w:sz w:val="17"/>
          <w:szCs w:val="17"/>
        </w:rPr>
        <w:t xml:space="preserve"> and not on that condition number. All earlier private algorithms needed about </w:t>
      </w:r>
      <m:oMath>
        <m:sSup>
          <m:e>
            <m:r>
              <m:t>d</m:t>
            </m:r>
          </m:e>
          <m:sup>
            <m:r>
              <m:t>3</m:t>
            </m:r>
            <m:r>
              <m:rPr>
                <m:sty m:val="p"/>
              </m:rPr>
              <m:t>/</m:t>
            </m:r>
            <m:r>
              <m:t>2</m:t>
            </m:r>
          </m:sup>
        </m:sSup>
      </m:oMath>
      <w:r>
        <w:rPr>
          <w:sz w:val="17"/>
          <w:szCs w:val="17"/>
        </w:rPr>
        <w:t xml:space="preserve"> examples, had error growing polynomially with the condition number, or ran in exponential time. The near-optimal accuracy guarantee holds for any dataset with bounded statistical leverage and bounded residuals. The method adds scaled noise to a carefully designed stable non-private estimator, extending Brown et al. (2023) on private mean estimation.</w:t>
      </w:r>
    </w:p>
    <w:p>
      <w:pPr>
        <w:keepNext/>
        <w:spacing w:after="20" w:before="40"/>
      </w:pPr>
      <w:r>
        <w:rPr>
          <w:b/>
          <w:bCs/>
          <w:color w:val="9A3412"/>
          <w:sz w:val="17"/>
          <w:szCs w:val="17"/>
        </w:rPr>
        <w:t xml:space="preserve">Key equation.</w:t>
      </w:r>
      <w:r>
        <w:rPr>
          <w:i/>
          <w:iCs/>
          <w:color w:val="5B6573"/>
          <w:sz w:val="15"/>
          <w:szCs w:val="15"/>
        </w:rPr>
        <w:t xml:space="preserve">  Release of a stable regression estimate with noise shaped by the design (representative formulation; the exact estimator and constants were not seen)</w:t>
      </w:r>
    </w:p>
    <w:p>
      <w:pPr>
        <w:pStyle w:val="Equation"/>
      </w:pPr>
      <m:oMathPara>
        <m:oMathParaPr>
          <m:jc m:val="center"/>
        </m:oMathParaPr>
        <m:oMath>
          <m:acc>
            <m:accPr>
              <m:chr m:val="̃"/>
            </m:accPr>
            <m:e>
              <m:r>
                <m:t>β</m:t>
              </m:r>
            </m:e>
          </m:acc>
          <m:r>
            <m:rPr>
              <m:sty m:val="p"/>
            </m:rPr>
            <m:t>=</m:t>
          </m:r>
          <m:sSub>
            <m:e>
              <m:acc>
                <m:accPr>
                  <m:chr m:val="̂"/>
                </m:accPr>
                <m:e>
                  <m:r>
                    <m:t>β</m:t>
                  </m:r>
                </m:e>
              </m:acc>
            </m:e>
            <m:sub>
              <m:r>
                <m:rPr>
                  <m:nor/>
                </m:rPr>
                <m:t>stab</m:t>
              </m:r>
            </m:sub>
          </m:sSub>
          <m:r>
            <m:rPr>
              <m:sty m:val="p"/>
            </m:rPr>
            <m:t>+</m:t>
          </m:r>
          <m:r>
            <m:t>η</m:t>
          </m:r>
          <m:r>
            <m:rPr>
              <m:sty m:val="p"/>
            </m:rPr>
            <m:t>,</m:t>
          </m:r>
          <m:r>
            <m:t>  </m:t>
          </m:r>
          <m:r>
            <m:t>η</m:t>
          </m:r>
          <m:r>
            <m:rPr>
              <m:sty m:val="p"/>
            </m:rPr>
            <m:t>∼</m:t>
          </m:r>
          <m:r>
            <m:t>N</m:t>
          </m:r>
          <m:d>
            <m:dPr>
              <m:begChr m:val="("/>
              <m:sepChr m:val=""/>
              <m:endChr m:val=")"/>
              <m:grow/>
            </m:dPr>
            <m:e>
              <m:r>
                <m:t>0</m:t>
              </m:r>
              <m:r>
                <m:rPr>
                  <m:sty m:val="p"/>
                </m:rPr>
                <m:t>,</m:t>
              </m:r>
              <m:r>
                <m:t> </m:t>
              </m:r>
              <m:sSubSup>
                <m:e>
                  <m:r>
                    <m:t>c</m:t>
                  </m:r>
                </m:e>
                <m:sub>
                  <m:r>
                    <m:t>ε</m:t>
                  </m:r>
                  <m:r>
                    <m:rPr>
                      <m:sty m:val="p"/>
                    </m:rPr>
                    <m:t>,</m:t>
                  </m:r>
                  <m:r>
                    <m:t>δ</m:t>
                  </m:r>
                </m:sub>
                <m:sup>
                  <m:r>
                    <m:t>2</m:t>
                  </m:r>
                </m:sup>
              </m:sSubSup>
              <m:r>
                <m:t> </m:t>
              </m:r>
              <m:sSup>
                <m:e>
                  <m:acc>
                    <m:accPr>
                      <m:chr m:val="̂"/>
                    </m:accPr>
                    <m:e>
                      <m:r>
                        <m:t>σ</m:t>
                      </m:r>
                    </m:e>
                  </m:acc>
                </m:e>
                <m:sup>
                  <m:r>
                    <m:t>2</m:t>
                  </m:r>
                </m:sup>
              </m:sSup>
              <m:sSup>
                <m:e>
                  <m:d>
                    <m:dPr>
                      <m:begChr m:val="("/>
                      <m:sepChr m:val=""/>
                      <m:endChr m:val=")"/>
                      <m:grow/>
                    </m:dPr>
                    <m:e>
                      <m:sSup>
                        <m:e>
                          <m:r>
                            <m:t>X</m:t>
                          </m:r>
                        </m:e>
                        <m:sup>
                          <m:r>
                            <m:rPr>
                              <m:sty m:val="p"/>
                            </m:rPr>
                            <m:t>⊤</m:t>
                          </m:r>
                        </m:sup>
                      </m:sSup>
                      <m:r>
                        <m:t>X</m:t>
                      </m:r>
                    </m:e>
                  </m:d>
                </m:e>
                <m:sup>
                  <m:r>
                    <m:rPr>
                      <m:sty m:val="p"/>
                    </m:rPr>
                    <m:t>−</m:t>
                  </m:r>
                  <m:r>
                    <m:t>1</m:t>
                  </m:r>
                </m:sup>
              </m:sSup>
            </m:e>
          </m:d>
        </m:oMath>
      </m:oMathPara>
    </w:p>
    <w:p>
      <w:pPr>
        <w:spacing w:after="60"/>
        <w:jc w:val="both"/>
      </w:pPr>
      <m:oMath>
        <m:sSub>
          <m:e>
            <m:acc>
              <m:accPr>
                <m:chr m:val="̂"/>
              </m:accPr>
              <m:e>
                <m:r>
                  <m:t>β</m:t>
                </m:r>
              </m:e>
            </m:acc>
          </m:e>
          <m:sub>
            <m:r>
              <m:rPr>
                <m:nor/>
              </m:rPr>
              <m:t>stab</m:t>
            </m:r>
          </m:sub>
        </m:sSub>
      </m:oMath>
      <w:r>
        <w:rPr>
          <w:color w:val="3A4350"/>
          <w:sz w:val="15"/>
          <w:szCs w:val="15"/>
        </w:rPr>
        <w:t xml:space="preserve"> is a stable surrogate of the least-squares vector that no single record can move much, </w:t>
      </w:r>
      <m:oMath>
        <m:sSup>
          <m:e>
            <m:acc>
              <m:accPr>
                <m:chr m:val="̂"/>
              </m:accPr>
              <m:e>
                <m:r>
                  <m:t>σ</m:t>
                </m:r>
              </m:e>
            </m:acc>
          </m:e>
          <m:sup>
            <m:r>
              <m:t>2</m:t>
            </m:r>
          </m:sup>
        </m:sSup>
      </m:oMath>
      <w:r>
        <w:rPr>
          <w:color w:val="3A4350"/>
          <w:sz w:val="15"/>
          <w:szCs w:val="15"/>
        </w:rPr>
        <w:t xml:space="preserve"> a residual-scale estimate and </w:t>
      </w:r>
      <m:oMath>
        <m:sSub>
          <m:e>
            <m:r>
              <m:t>c</m:t>
            </m:r>
          </m:e>
          <m:sub>
            <m:r>
              <m:t>ε</m:t>
            </m:r>
            <m:r>
              <m:rPr>
                <m:sty m:val="p"/>
              </m:rPr>
              <m:t>,</m:t>
            </m:r>
            <m:r>
              <m:t>δ</m:t>
            </m:r>
          </m:sub>
        </m:sSub>
      </m:oMath>
      <w:r>
        <w:rPr>
          <w:color w:val="3A4350"/>
          <w:sz w:val="15"/>
          <w:szCs w:val="15"/>
        </w:rPr>
        <w:t xml:space="preserve"> a privacy-calibrated factor; noise shaped by </w:t>
      </w:r>
      <m:oMath>
        <m:sSup>
          <m:e>
            <m:d>
              <m:dPr>
                <m:begChr m:val="("/>
                <m:sepChr m:val=""/>
                <m:endChr m:val=")"/>
                <m:grow/>
              </m:dPr>
              <m:e>
                <m:sSup>
                  <m:e>
                    <m:r>
                      <m:t>X</m:t>
                    </m:r>
                  </m:e>
                  <m:sup>
                    <m:r>
                      <m:rPr>
                        <m:sty m:val="p"/>
                      </m:rPr>
                      <m:t>⊤</m:t>
                    </m:r>
                  </m:sup>
                </m:sSup>
                <m:r>
                  <m:t>X</m:t>
                </m:r>
              </m:e>
            </m:d>
          </m:e>
          <m:sup>
            <m:r>
              <m:rPr>
                <m:sty m:val="p"/>
              </m:rPr>
              <m:t>−</m:t>
            </m:r>
            <m:r>
              <m:t>1</m:t>
            </m:r>
          </m:sup>
        </m:sSup>
      </m:oMath>
      <w:r>
        <w:rPr>
          <w:color w:val="3A4350"/>
          <w:sz w:val="15"/>
          <w:szCs w:val="15"/>
        </w:rPr>
        <w:t xml:space="preserve"> keeps the error, measured in the geometry of the design, free of its condition number.</w:t>
      </w:r>
    </w:p>
    <w:p>
      <w:pPr>
        <w:spacing w:after="60"/>
        <w:jc w:val="both"/>
      </w:pPr>
      <w:r>
        <w:rPr>
          <w:b/>
          <w:bCs/>
          <w:color w:val="9A3412"/>
          <w:sz w:val="17"/>
          <w:szCs w:val="17"/>
        </w:rPr>
        <w:t xml:space="preserve">Link to the Fushë-Kuqe record holders. </w:t>
      </w:r>
      <w:r>
        <w:rPr>
          <w:sz w:val="17"/>
          <w:szCs w:val="17"/>
        </w:rPr>
        <w:t xml:space="preserve">Belongs to theme C (privacy-preserving computation for statistical and causal inference). Hotel and municipal coastal wells cluster near the sea and each is pumped at one level only, so their joint design is badly conditioned; this estimator keeps a private regression of chloride change on pumping and distance accurate exactly where Gram-matrix perturbation breaks down.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removes the condition-number penalty that makes private regression fail on ill-conditioned designs, with near-optimal error, polynomial time and fewer samples than all earlier methods, settling a basic question for private least squares. COLT 2024, the main learning-theory conference; authors include Hopkins (MIT) and Perdomo (Harvard).</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 is for one curator holding all rows. Computing the stable estimator on secret shares split across holders, and its error when one holder contributes high-leverage coastal wells, are open questions that a coalition of record holders would face.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private least squares with error linear in </w:t>
      </w:r>
      <m:oMath>
        <m:r>
          <m:t>d</m:t>
        </m:r>
      </m:oMath>
      <w:r>
        <w:rPr>
          <w:sz w:val="17"/>
          <w:szCs w:val="17"/>
        </w:rPr>
        <w:t xml:space="preserve"> and free of the condition number, by perturbing a stable estimator rather than the sufficient statistics. Proposed extension: on simulated Fushë-Kuqe records, compare Gram-matrix perturbation with this estimator for the pumping-by-distance coefficient as the coalition grows from the agency alone to agency, hotels and municipal wells, and record where ill-conditioning makes the first fail.</w:t>
      </w:r>
    </w:p>
    <w:p>
      <w:pPr>
        <w:keepNext/>
        <w:pBdr>
          <w:top w:val="single" w:color="9A3412" w:sz="6" w:space="4"/>
        </w:pBdr>
        <w:spacing w:after="60" w:before="220"/>
      </w:pPr>
      <w:r>
        <w:rPr>
          <w:b/>
          <w:bCs/>
          <w:color w:val="9A3412"/>
          <w:sz w:val="23"/>
          <w:szCs w:val="23"/>
        </w:rPr>
        <w:t xml:space="preserve">C3  </w:t>
      </w:r>
      <w:r>
        <w:rPr>
          <w:b/>
          <w:bCs/>
          <w:color w:val="1F3864"/>
          <w:sz w:val="23"/>
          <w:szCs w:val="23"/>
        </w:rPr>
        <w:t xml:space="preserve">Differentially Private Statistical Inference through β-Divergence One Posterior Sampling</w:t>
      </w:r>
    </w:p>
    <w:p>
      <w:pPr>
        <w:keepNext/>
        <w:spacing w:after="60" w:line="240" w:lineRule="auto"/>
      </w:pPr>
      <w:r>
        <w:rPr>
          <w:b/>
          <w:bCs/>
          <w:color w:val="333B47"/>
          <w:sz w:val="15"/>
          <w:szCs w:val="15"/>
        </w:rPr>
        <w:t xml:space="preserve">Authors: </w:t>
      </w:r>
      <w:r>
        <w:rPr>
          <w:sz w:val="15"/>
          <w:szCs w:val="15"/>
        </w:rPr>
        <w:t xml:space="preserve">Jack Jewson, Sahra Ghalebikesabi, Chris Holmes</w:t>
      </w:r>
      <w:r>
        <w:rPr>
          <w:sz w:val="15"/>
          <w:szCs w:val="15"/>
        </w:rPr>
        <w:t xml:space="preserve">   </w:t>
      </w:r>
      <w:r>
        <w:rPr>
          <w:b/>
          <w:bCs/>
          <w:color w:val="333B47"/>
          <w:sz w:val="15"/>
          <w:szCs w:val="15"/>
        </w:rPr>
        <w:t xml:space="preserve">Published in: </w:t>
      </w:r>
      <w:r>
        <w:rPr>
          <w:sz w:val="15"/>
          <w:szCs w:val="15"/>
        </w:rPr>
        <w:t xml:space="preserve">Advances in Neural Information Processing Systems 36 (NeurIPS 2023), main conference poster; arXiv 2307.05194 (pages not verified)</w:t>
      </w:r>
      <w:r>
        <w:rPr>
          <w:sz w:val="15"/>
          <w:szCs w:val="15"/>
        </w:rPr>
        <w:t xml:space="preserve">   </w:t>
      </w:r>
      <w:r>
        <w:rPr>
          <w:b/>
          <w:bCs/>
          <w:color w:val="333B47"/>
          <w:sz w:val="15"/>
          <w:szCs w:val="15"/>
        </w:rPr>
        <w:t xml:space="preserve">Link: </w:t>
      </w:r>
      <w:hyperlink w:history="1" r:id="rId7yxuopy0hko1nrz-rdwbs">
        <w:r>
          <w:rPr>
            <w:color w:val="1D4ED8"/>
            <w:sz w:val="15"/>
            <w:szCs w:val="15"/>
            <w:u w:val="single"/>
          </w:rPr>
          <w:t xml:space="preserve">https://neurips.cc/virtual/2023/poster/72662</w:t>
        </w:r>
      </w:hyperlink>
    </w:p>
    <w:p>
      <w:pPr>
        <w:keepNext/>
        <w:spacing w:after="80" w:line="240" w:lineRule="auto"/>
      </w:pPr>
      <w:r>
        <w:rPr>
          <w:b/>
          <w:bCs/>
          <w:color w:val="333B47"/>
          <w:sz w:val="15"/>
          <w:szCs w:val="15"/>
        </w:rPr>
        <w:t xml:space="preserve">Affiliation: </w:t>
      </w:r>
      <w:r>
        <w:rPr>
          <w:color w:val="3A4350"/>
          <w:sz w:val="15"/>
          <w:szCs w:val="15"/>
        </w:rPr>
        <w:t xml:space="preserve">Sahra Ghalebikesabi and Chris Holmes, Department of Statistics, University of Oxford; Holmes also The Alan Turing Institute (arXiv 2307.05194 author block, per a search summary; the paper is also listed by Oxford's Nuffield Department of Medicine). Jewson's affiliation at the time was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9A3412"/>
          <w:sz w:val="17"/>
          <w:szCs w:val="17"/>
        </w:rPr>
        <w:t xml:space="preserve">Summary. </w:t>
      </w:r>
      <w:r>
        <w:rPr>
          <w:sz w:val="17"/>
          <w:szCs w:val="17"/>
        </w:rPr>
        <w:t xml:space="preserve">One posterior sampling (OPS) releases a single posterior draw as a private estimate, but its guarantee needs a bounded log-likelihood, which fails even for simple linear regression. The paper proposes βD-Bayes: sample instead from a generalised posterior built on the β-divergence between model and data-generating process, whose loss stays bounded when the model density does. Theorem 1 shows that, under a boundedness condition with constant </w:t>
      </w:r>
      <m:oMath>
        <m:r>
          <m:t>M</m:t>
        </m:r>
      </m:oMath>
      <w:r>
        <w:rPr>
          <w:sz w:val="17"/>
          <w:szCs w:val="17"/>
        </w:rPr>
        <w:t xml:space="preserve">, one draw is </w:t>
      </w:r>
      <m:oMath>
        <m:d>
          <m:dPr>
            <m:begChr m:val="("/>
            <m:sepChr m:val=""/>
            <m:endChr m:val=")"/>
            <m:grow/>
          </m:dPr>
          <m:e>
            <m:r>
              <m:t>2</m:t>
            </m:r>
            <m:sSup>
              <m:e>
                <m:r>
                  <m:t>M</m:t>
                </m:r>
              </m:e>
              <m:sup>
                <m:r>
                  <m:t>β</m:t>
                </m:r>
                <m:r>
                  <m:rPr>
                    <m:sty m:val="p"/>
                  </m:rPr>
                  <m:t>−</m:t>
                </m:r>
                <m:r>
                  <m:t>1</m:t>
                </m:r>
              </m:sup>
            </m:sSup>
            <m:r>
              <m:rPr>
                <m:sty m:val="p"/>
              </m:rPr>
              <m:t>/</m:t>
            </m:r>
            <m:d>
              <m:dPr>
                <m:begChr m:val="("/>
                <m:sepChr m:val=""/>
                <m:endChr m:val=")"/>
                <m:grow/>
              </m:dPr>
              <m:e>
                <m:r>
                  <m:t>β</m:t>
                </m:r>
                <m:r>
                  <m:rPr>
                    <m:sty m:val="p"/>
                  </m:rPr>
                  <m:t>−</m:t>
                </m:r>
                <m:r>
                  <m:t>1</m:t>
                </m:r>
              </m:e>
            </m:d>
            <m:r>
              <m:rPr>
                <m:sty m:val="p"/>
              </m:rPr>
              <m:t>,</m:t>
            </m:r>
            <m:r>
              <m:t>0</m:t>
            </m:r>
          </m:e>
        </m:d>
      </m:oMath>
      <w:r>
        <w:rPr>
          <w:sz w:val="17"/>
          <w:szCs w:val="17"/>
        </w:rPr>
        <w:t xml:space="preserve">-differentially private; for classification, where predicted probabilities lie in </w:t>
      </w:r>
      <m:oMath>
        <m:d>
          <m:dPr>
            <m:begChr m:val="["/>
            <m:sepChr m:val=""/>
            <m:endChr m:val="]"/>
            <m:grow/>
          </m:dPr>
          <m:e>
            <m:r>
              <m:t>0</m:t>
            </m:r>
            <m:r>
              <m:rPr>
                <m:sty m:val="p"/>
              </m:rPr>
              <m:t>,</m:t>
            </m:r>
            <m:r>
              <m:t>1</m:t>
            </m:r>
          </m:e>
        </m:d>
      </m:oMath>
      <w:r>
        <w:rPr>
          <w:sz w:val="17"/>
          <w:szCs w:val="17"/>
        </w:rPr>
        <w:t xml:space="preserve">, this gives </w:t>
      </w:r>
      <m:oMath>
        <m:r>
          <m:t>2</m:t>
        </m:r>
        <m:r>
          <m:rPr>
            <m:sty m:val="p"/>
          </m:rPr>
          <m:t>/</m:t>
        </m:r>
        <m:d>
          <m:dPr>
            <m:begChr m:val="("/>
            <m:sepChr m:val=""/>
            <m:endChr m:val=")"/>
            <m:grow/>
          </m:dPr>
          <m:e>
            <m:r>
              <m:t>β</m:t>
            </m:r>
            <m:r>
              <m:rPr>
                <m:sty m:val="p"/>
              </m:rPr>
              <m:t>−</m:t>
            </m:r>
            <m:r>
              <m:t>1</m:t>
            </m:r>
          </m:e>
        </m:d>
      </m:oMath>
      <w:r>
        <w:rPr>
          <w:sz w:val="17"/>
          <w:szCs w:val="17"/>
        </w:rPr>
        <w:t xml:space="preserve"> with no change to the model. The method gives more precise inference than earlier OPS at equal privacy and extends to neural-network classifiers and regression.</w:t>
      </w:r>
    </w:p>
    <w:p>
      <w:pPr>
        <w:keepNext/>
        <w:spacing w:after="20" w:before="40"/>
      </w:pPr>
      <w:r>
        <w:rPr>
          <w:b/>
          <w:bCs/>
          <w:color w:val="9A3412"/>
          <w:sz w:val="17"/>
          <w:szCs w:val="17"/>
        </w:rPr>
        <w:t xml:space="preserve">Key equation.</w:t>
      </w:r>
      <w:r>
        <w:rPr>
          <w:i/>
          <w:iCs/>
          <w:color w:val="5B6573"/>
          <w:sz w:val="15"/>
          <w:szCs w:val="15"/>
        </w:rPr>
        <w:t xml:space="preserve">  β-divergence loss, βD-Bayes posterior (written with unit weight) and the privacy level of one draw (privacy level as reported for Theorem 1 in a search summary; rest representative)</w:t>
      </w:r>
    </w:p>
    <w:p>
      <w:pPr>
        <w:pStyle w:val="Equation"/>
      </w:pPr>
      <m:oMathPara>
        <m:oMathParaPr>
          <m:jc m:val="center"/>
        </m:oMathParaPr>
        <m:oMath>
          <m:sSup>
            <m:e>
              <m:r>
                <m:rPr>
                  <m:sty m:val="p"/>
                </m:rPr>
                <m:t>ℓ</m:t>
              </m:r>
            </m:e>
            <m:sup>
              <m:d>
                <m:dPr>
                  <m:begChr m:val="("/>
                  <m:sepChr m:val=""/>
                  <m:endChr m:val=")"/>
                  <m:grow/>
                </m:dPr>
                <m:e>
                  <m:r>
                    <m:t>β</m:t>
                  </m:r>
                </m:e>
              </m:d>
            </m:sup>
          </m:sSup>
          <m:d>
            <m:dPr>
              <m:begChr m:val="("/>
              <m:sepChr m:val=""/>
              <m:endChr m:val=")"/>
              <m:grow/>
            </m:dPr>
            <m:e>
              <m:r>
                <m:t>y</m:t>
              </m:r>
              <m:r>
                <m:rPr>
                  <m:sty m:val="p"/>
                </m:rPr>
                <m:t>,</m:t>
              </m:r>
              <m:r>
                <m:t>θ</m:t>
              </m:r>
            </m:e>
          </m:d>
          <m:r>
            <m:rPr>
              <m:sty m:val="p"/>
            </m:rPr>
            <m:t>=</m:t>
          </m:r>
          <m:r>
            <m:rPr>
              <m:sty m:val="p"/>
            </m:rPr>
            <m:t>−</m:t>
          </m:r>
          <m:f>
            <m:fPr>
              <m:type m:val="bar"/>
            </m:fPr>
            <m:num>
              <m:r>
                <m:t>f</m:t>
              </m:r>
              <m:sSup>
                <m:e>
                  <m:d>
                    <m:dPr>
                      <m:begChr m:val="("/>
                      <m:sepChr m:val=""/>
                      <m:endChr m:val=")"/>
                      <m:grow/>
                    </m:dPr>
                    <m:e>
                      <m:r>
                        <m:t>y</m:t>
                      </m:r>
                      <m:r>
                        <m:rPr>
                          <m:sty m:val="p"/>
                        </m:rPr>
                        <m:t>;</m:t>
                      </m:r>
                      <m:r>
                        <m:t>θ</m:t>
                      </m:r>
                    </m:e>
                  </m:d>
                </m:e>
                <m:sup>
                  <m:r>
                    <m:t>β</m:t>
                  </m:r>
                  <m:r>
                    <m:rPr>
                      <m:sty m:val="p"/>
                    </m:rPr>
                    <m:t>−</m:t>
                  </m:r>
                  <m:r>
                    <m:t>1</m:t>
                  </m:r>
                </m:sup>
              </m:sSup>
            </m:num>
            <m:den>
              <m:r>
                <m:t>β</m:t>
              </m:r>
              <m:r>
                <m:rPr>
                  <m:sty m:val="p"/>
                </m:rPr>
                <m:t>−</m:t>
              </m:r>
              <m:r>
                <m:t>1</m:t>
              </m:r>
            </m:den>
          </m:f>
          <m:r>
            <m:rPr>
              <m:sty m:val="p"/>
            </m:rPr>
            <m:t>+</m:t>
          </m:r>
          <m:f>
            <m:fPr>
              <m:type m:val="bar"/>
            </m:fPr>
            <m:num>
              <m:r>
                <m:t>1</m:t>
              </m:r>
            </m:num>
            <m:den>
              <m:r>
                <m:t>β</m:t>
              </m:r>
            </m:den>
          </m:f>
          <m:r>
            <m:rPr>
              <m:sty m:val="p"/>
            </m:rPr>
            <m:t>∫</m:t>
          </m:r>
          <m:r>
            <m:t>f</m:t>
          </m:r>
          <m:sSup>
            <m:e>
              <m:d>
                <m:dPr>
                  <m:begChr m:val="("/>
                  <m:sepChr m:val=""/>
                  <m:endChr m:val=")"/>
                  <m:grow/>
                </m:dPr>
                <m:e>
                  <m:r>
                    <m:t>z</m:t>
                  </m:r>
                  <m:r>
                    <m:rPr>
                      <m:sty m:val="p"/>
                    </m:rPr>
                    <m:t>;</m:t>
                  </m:r>
                  <m:r>
                    <m:t>θ</m:t>
                  </m:r>
                </m:e>
              </m:d>
            </m:e>
            <m:sup>
              <m:r>
                <m:t>β</m:t>
              </m:r>
            </m:sup>
          </m:sSup>
          <m:r>
            <m:t> </m:t>
          </m:r>
          <m:r>
            <m:t>d</m:t>
          </m:r>
          <m:r>
            <m:t>z</m:t>
          </m:r>
          <m:r>
            <m:rPr>
              <m:sty m:val="p"/>
            </m:rPr>
            <m:t>,</m:t>
          </m:r>
          <m:r>
            <m:t>  </m:t>
          </m:r>
          <m:sSup>
            <m:e>
              <m:r>
                <m:t>π</m:t>
              </m:r>
            </m:e>
            <m:sup>
              <m:r>
                <m:t>β</m:t>
              </m:r>
            </m:sup>
          </m:sSup>
          <m:d>
            <m:dPr>
              <m:begChr m:val="("/>
              <m:sepChr m:val=""/>
              <m:endChr m:val=")"/>
              <m:grow/>
            </m:dPr>
            <m:e>
              <m:r>
                <m:t>θ</m:t>
              </m:r>
              <m:r>
                <m:rPr>
                  <m:sty m:val="p"/>
                </m:rPr>
                <m:t>∣</m:t>
              </m:r>
              <m:r>
                <m:t>D</m:t>
              </m:r>
            </m:e>
          </m:d>
          <m:r>
            <m:rPr>
              <m:sty m:val="p"/>
            </m:rPr>
            <m:t>∝</m:t>
          </m:r>
          <m:r>
            <m:t>π</m:t>
          </m:r>
          <m:d>
            <m:dPr>
              <m:begChr m:val="("/>
              <m:sepChr m:val=""/>
              <m:endChr m:val=")"/>
              <m:grow/>
            </m:dPr>
            <m:e>
              <m:r>
                <m:t>θ</m:t>
              </m:r>
            </m:e>
          </m:d>
          <m:r>
            <m:rPr>
              <m:sty m:val="p"/>
            </m:rPr>
            <m:t>exp</m:t>
          </m:r>
          <m:d>
            <m:dPr>
              <m:begChr m:val="("/>
              <m:sepChr m:val=""/>
              <m:endChr m:val=")"/>
              <m:grow/>
            </m:dPr>
            <m:e>
              <m:r>
                <m:rPr>
                  <m:sty m:val="p"/>
                </m:rPr>
                <m:t>−</m:t>
              </m:r>
              <m:nary>
                <m:naryPr>
                  <m:chr m:val="∑"/>
                  <m:limLoc m:val="undOvr"/>
                  <m:subHide m:val="off"/>
                  <m:supHide m:val="off"/>
                </m:naryPr>
                <m:sub>
                  <m:r>
                    <m:t>i</m:t>
                  </m:r>
                  <m:r>
                    <m:rPr>
                      <m:sty m:val="p"/>
                    </m:rPr>
                    <m:t>=</m:t>
                  </m:r>
                  <m:r>
                    <m:t>1</m:t>
                  </m:r>
                </m:sub>
                <m:sup>
                  <m:r>
                    <m:t>n</m:t>
                  </m:r>
                </m:sup>
                <m:e>
                  <m:sSup>
                    <m:e>
                      <m:r>
                        <m:rPr>
                          <m:sty m:val="p"/>
                        </m:rPr>
                        <m:t>ℓ</m:t>
                      </m:r>
                    </m:e>
                    <m:sup>
                      <m:d>
                        <m:dPr>
                          <m:begChr m:val="("/>
                          <m:sepChr m:val=""/>
                          <m:endChr m:val=")"/>
                          <m:grow/>
                        </m:dPr>
                        <m:e>
                          <m:r>
                            <m:t>β</m:t>
                          </m:r>
                        </m:e>
                      </m:d>
                    </m:sup>
                  </m:sSup>
                </m:e>
              </m:nary>
              <m:d>
                <m:dPr>
                  <m:begChr m:val="("/>
                  <m:sepChr m:val=""/>
                  <m:endChr m:val=")"/>
                  <m:grow/>
                </m:dPr>
                <m:e>
                  <m:sSub>
                    <m:e>
                      <m:r>
                        <m:t>y</m:t>
                      </m:r>
                    </m:e>
                    <m:sub>
                      <m:r>
                        <m:t>i</m:t>
                      </m:r>
                    </m:sub>
                  </m:sSub>
                  <m:r>
                    <m:rPr>
                      <m:sty m:val="p"/>
                    </m:rPr>
                    <m:t>,</m:t>
                  </m:r>
                  <m:r>
                    <m:t>θ</m:t>
                  </m:r>
                </m:e>
              </m:d>
            </m:e>
          </m:d>
          <m:r>
            <m:rPr>
              <m:sty m:val="p"/>
            </m:rPr>
            <m:t>,</m:t>
          </m:r>
          <m:r>
            <m:t>  </m:t>
          </m:r>
          <m:r>
            <m:t>ε</m:t>
          </m:r>
          <m:r>
            <m:rPr>
              <m:sty m:val="p"/>
            </m:rPr>
            <m:t>=</m:t>
          </m:r>
          <m:f>
            <m:fPr>
              <m:type m:val="bar"/>
            </m:fPr>
            <m:num>
              <m:r>
                <m:t>2</m:t>
              </m:r>
              <m:sSup>
                <m:e>
                  <m:r>
                    <m:t>M</m:t>
                  </m:r>
                </m:e>
                <m:sup>
                  <m:r>
                    <m:t>β</m:t>
                  </m:r>
                  <m:r>
                    <m:rPr>
                      <m:sty m:val="p"/>
                    </m:rPr>
                    <m:t>−</m:t>
                  </m:r>
                  <m:r>
                    <m:t>1</m:t>
                  </m:r>
                </m:sup>
              </m:sSup>
            </m:num>
            <m:den>
              <m:r>
                <m:t>β</m:t>
              </m:r>
              <m:r>
                <m:rPr>
                  <m:sty m:val="p"/>
                </m:rPr>
                <m:t>−</m:t>
              </m:r>
              <m:r>
                <m:t>1</m:t>
              </m:r>
            </m:den>
          </m:f>
        </m:oMath>
      </m:oMathPara>
    </w:p>
    <w:p>
      <w:pPr>
        <w:spacing w:after="60"/>
        <w:jc w:val="both"/>
      </w:pPr>
      <m:oMath>
        <m:r>
          <m:t>f</m:t>
        </m:r>
        <m:d>
          <m:dPr>
            <m:begChr m:val="("/>
            <m:sepChr m:val=""/>
            <m:endChr m:val=")"/>
            <m:grow/>
          </m:dPr>
          <m:e>
            <m:r>
              <m:t>y</m:t>
            </m:r>
            <m:r>
              <m:rPr>
                <m:sty m:val="p"/>
              </m:rPr>
              <m:t>;</m:t>
            </m:r>
            <m:r>
              <m:t>θ</m:t>
            </m:r>
          </m:e>
        </m:d>
      </m:oMath>
      <w:r>
        <w:rPr>
          <w:color w:val="3A4350"/>
          <w:sz w:val="15"/>
          <w:szCs w:val="15"/>
        </w:rPr>
        <w:t xml:space="preserve"> is the model density or class probability, </w:t>
      </w:r>
      <m:oMath>
        <m:r>
          <m:t>β</m:t>
        </m:r>
        <m:r>
          <m:rPr>
            <m:sty m:val="p"/>
          </m:rPr>
          <m:t>&gt;</m:t>
        </m:r>
        <m:r>
          <m:t>1</m:t>
        </m:r>
      </m:oMath>
      <w:r>
        <w:rPr>
          <w:color w:val="3A4350"/>
          <w:sz w:val="15"/>
          <w:szCs w:val="15"/>
        </w:rPr>
        <w:t xml:space="preserve"> the divergence parameter, </w:t>
      </w:r>
      <m:oMath>
        <m:r>
          <m:t>π</m:t>
        </m:r>
        <m:d>
          <m:dPr>
            <m:begChr m:val="("/>
            <m:sepChr m:val=""/>
            <m:endChr m:val=")"/>
            <m:grow/>
          </m:dPr>
          <m:e>
            <m:r>
              <m:t>θ</m:t>
            </m:r>
          </m:e>
        </m:d>
      </m:oMath>
      <w:r>
        <w:rPr>
          <w:color w:val="3A4350"/>
          <w:sz w:val="15"/>
          <w:szCs w:val="15"/>
        </w:rPr>
        <w:t xml:space="preserve"> the prior, </w:t>
      </w:r>
      <m:oMath>
        <m:r>
          <m:t>D</m:t>
        </m:r>
        <m:r>
          <m:rPr>
            <m:sty m:val="p"/>
          </m:rPr>
          <m:t>=</m:t>
        </m:r>
        <m:d>
          <m:dPr>
            <m:begChr m:val="{"/>
            <m:sepChr m:val=""/>
            <m:endChr m:val="}"/>
            <m:grow/>
          </m:dPr>
          <m:e>
            <m:sSub>
              <m:e>
                <m:r>
                  <m:t>y</m:t>
                </m:r>
              </m:e>
              <m:sub>
                <m:r>
                  <m:t>1</m:t>
                </m:r>
              </m:sub>
            </m:sSub>
            <m:r>
              <m:rPr>
                <m:sty m:val="p"/>
              </m:rPr>
              <m:t>,</m:t>
            </m:r>
            <m:r>
              <m:rPr>
                <m:sty m:val="p"/>
              </m:rPr>
              <m:t>…</m:t>
            </m:r>
            <m:r>
              <m:rPr>
                <m:sty m:val="p"/>
              </m:rPr>
              <m:t>,</m:t>
            </m:r>
            <m:sSub>
              <m:e>
                <m:r>
                  <m:t>y</m:t>
                </m:r>
              </m:e>
              <m:sub>
                <m:r>
                  <m:t>n</m:t>
                </m:r>
              </m:sub>
            </m:sSub>
          </m:e>
        </m:d>
      </m:oMath>
      <w:r>
        <w:rPr>
          <w:color w:val="3A4350"/>
          <w:sz w:val="15"/>
          <w:szCs w:val="15"/>
        </w:rPr>
        <w:t xml:space="preserve"> the data and </w:t>
      </w:r>
      <m:oMath>
        <m:r>
          <m:t>M</m:t>
        </m:r>
      </m:oMath>
      <w:r>
        <w:rPr>
          <w:color w:val="3A4350"/>
          <w:sz w:val="15"/>
          <w:szCs w:val="15"/>
        </w:rPr>
        <w:t xml:space="preserve"> the bound on </w:t>
      </w:r>
      <m:oMath>
        <m:r>
          <m:t>f</m:t>
        </m:r>
      </m:oMath>
      <w:r>
        <w:rPr>
          <w:color w:val="3A4350"/>
          <w:sz w:val="15"/>
          <w:szCs w:val="15"/>
        </w:rPr>
        <w:t xml:space="preserve"> in the paper's Condition 1 (</w:t>
      </w:r>
      <m:oMath>
        <m:r>
          <m:t>M</m:t>
        </m:r>
        <m:r>
          <m:rPr>
            <m:sty m:val="p"/>
          </m:rPr>
          <m:t>=</m:t>
        </m:r>
        <m:r>
          <m:t>1</m:t>
        </m:r>
      </m:oMath>
      <w:r>
        <w:rPr>
          <w:color w:val="3A4350"/>
          <w:sz w:val="15"/>
          <w:szCs w:val="15"/>
        </w:rPr>
        <w:t xml:space="preserve"> for class probabilities, where larger </w:t>
      </w:r>
      <m:oMath>
        <m:r>
          <m:t>β</m:t>
        </m:r>
      </m:oMath>
      <w:r>
        <w:rPr>
          <w:color w:val="3A4350"/>
          <w:sz w:val="15"/>
          <w:szCs w:val="15"/>
        </w:rPr>
        <w:t xml:space="preserve"> gives smaller </w:t>
      </w:r>
      <m:oMath>
        <m:r>
          <m:t>ε</m:t>
        </m:r>
      </m:oMath>
      <w:r>
        <w:rPr>
          <w:color w:val="3A4350"/>
          <w:sz w:val="15"/>
          <w:szCs w:val="15"/>
        </w:rPr>
        <w:t xml:space="preserve">).</w:t>
      </w:r>
    </w:p>
    <w:p>
      <w:pPr>
        <w:spacing w:after="60"/>
        <w:jc w:val="both"/>
      </w:pPr>
      <w:r>
        <w:rPr>
          <w:b/>
          <w:bCs/>
          <w:color w:val="9A3412"/>
          <w:sz w:val="17"/>
          <w:szCs w:val="17"/>
        </w:rPr>
        <w:t xml:space="preserve">Link to the Fushë-Kuqe record holders. </w:t>
      </w:r>
      <w:r>
        <w:rPr>
          <w:sz w:val="17"/>
          <w:szCs w:val="17"/>
        </w:rPr>
        <w:t xml:space="preserve">Belongs to theme C (privacy-preserving computation for statistical and causal inference). The private irrigators could release one βD-Bayes draw of a classifier of salinisation (</w:t>
      </w:r>
      <m:oMath>
        <m:r>
          <m:t>h</m:t>
        </m:r>
        <m:r>
          <m:rPr>
            <m:sty m:val="p"/>
          </m:rPr>
          <m:t>&lt;</m:t>
        </m:r>
        <m:r>
          <m:t>1.0</m:t>
        </m:r>
      </m:oMath>
      <w:r>
        <w:rPr>
          <w:sz w:val="17"/>
          <w:szCs w:val="17"/>
        </w:rPr>
        <w:t xml:space="preserve"> m) given pumping and distance to the sea, private by construction because its outputs are probabilities, so the coalition sees what these legally sensitive wells add before any record leaves them.</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a robust generalised-Bayes posterior into a privacy mechanism, removing the bounded-likelihood assumption that limited one posterior sampling, with a closed-form privacy level and, per its abstract, the first private posterior sampling for neural-network regression. NeurIPS 2023 main track, from Chris Holmes's Oxford group (last author of the anchor paper).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One draw from one holder's posterior is private but noisy. Whether several holders' βD-Bayes draws can be combined, and their expected information gain about a coastal CATE predicted before release, is open and new for aquifer records.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privacy obtained from the bounded β-divergence loss itself, giving </w:t>
      </w:r>
      <m:oMath>
        <m:r>
          <m:t>ε</m:t>
        </m:r>
        <m:r>
          <m:rPr>
            <m:sty m:val="p"/>
          </m:rPr>
          <m:t>=</m:t>
        </m:r>
        <m:r>
          <m:t>2</m:t>
        </m:r>
        <m:sSup>
          <m:e>
            <m:r>
              <m:t>M</m:t>
            </m:r>
          </m:e>
          <m:sup>
            <m:r>
              <m:t>β</m:t>
            </m:r>
            <m:r>
              <m:rPr>
                <m:sty m:val="p"/>
              </m:rPr>
              <m:t>−</m:t>
            </m:r>
            <m:r>
              <m:t>1</m:t>
            </m:r>
          </m:sup>
        </m:sSup>
        <m:r>
          <m:rPr>
            <m:sty m:val="p"/>
          </m:rPr>
          <m:t>/</m:t>
        </m:r>
        <m:d>
          <m:dPr>
            <m:begChr m:val="("/>
            <m:sepChr m:val=""/>
            <m:endChr m:val=")"/>
            <m:grow/>
          </m:dPr>
          <m:e>
            <m:r>
              <m:t>β</m:t>
            </m:r>
            <m:r>
              <m:rPr>
                <m:sty m:val="p"/>
              </m:rPr>
              <m:t>−</m:t>
            </m:r>
            <m:r>
              <m:t>1</m:t>
            </m:r>
          </m:e>
        </m:d>
      </m:oMath>
      <w:r>
        <w:rPr>
          <w:sz w:val="17"/>
          <w:szCs w:val="17"/>
        </w:rPr>
        <w:t xml:space="preserve"> with no clipping or model change. Proposed extension: fit a βD-Bayes logistic model of salinisation (</w:t>
      </w:r>
      <m:oMath>
        <m:r>
          <m:t>h</m:t>
        </m:r>
        <m:r>
          <m:rPr>
            <m:sty m:val="p"/>
          </m:rPr>
          <m:t>&lt;</m:t>
        </m:r>
        <m:sSub>
          <m:e>
            <m:r>
              <m:t>h</m:t>
            </m:r>
          </m:e>
          <m:sub>
            <m:r>
              <m:t>c</m:t>
            </m:r>
          </m:sub>
        </m:sSub>
      </m:oMath>
      <w:r>
        <w:rPr>
          <w:sz w:val="17"/>
          <w:szCs w:val="17"/>
        </w:rPr>
        <w:t xml:space="preserve">) for each holder with </w:t>
      </w:r>
      <m:oMath>
        <m:r>
          <m:t>β</m:t>
        </m:r>
        <m:r>
          <m:rPr>
            <m:sty m:val="p"/>
          </m:rPr>
          <m:t>=</m:t>
        </m:r>
        <m:r>
          <m:t>3</m:t>
        </m:r>
      </m:oMath>
      <w:r>
        <w:rPr>
          <w:sz w:val="17"/>
          <w:szCs w:val="17"/>
        </w:rPr>
        <w:t xml:space="preserve">, which gives </w:t>
      </w:r>
      <m:oMath>
        <m:r>
          <m:t>ε</m:t>
        </m:r>
        <m:r>
          <m:rPr>
            <m:sty m:val="p"/>
          </m:rPr>
          <m:t>=</m:t>
        </m:r>
        <m:r>
          <m:t>1</m:t>
        </m:r>
      </m:oMath>
      <w:r>
        <w:rPr>
          <w:sz w:val="17"/>
          <w:szCs w:val="17"/>
        </w:rPr>
        <w:t xml:space="preserve"> for probabilities, and compare the information about the coastal pumping effect in one draw per holder with that of a pooled fit on secret shares.</w:t>
      </w:r>
    </w:p>
    <w:p>
      <w:pPr>
        <w:keepNext/>
        <w:pBdr>
          <w:top w:val="single" w:color="9A3412" w:sz="6" w:space="4"/>
        </w:pBdr>
        <w:spacing w:after="60" w:before="220"/>
      </w:pPr>
      <w:r>
        <w:rPr>
          <w:b/>
          <w:bCs/>
          <w:color w:val="9A3412"/>
          <w:sz w:val="23"/>
          <w:szCs w:val="23"/>
        </w:rPr>
        <w:t xml:space="preserve">C4  </w:t>
      </w:r>
      <w:r>
        <w:rPr>
          <w:b/>
          <w:bCs/>
          <w:color w:val="1F3864"/>
          <w:sz w:val="23"/>
          <w:szCs w:val="23"/>
        </w:rPr>
        <w:t xml:space="preserve">A Randomized Approach to Tight Privacy Accounting</w:t>
      </w:r>
    </w:p>
    <w:p>
      <w:pPr>
        <w:keepNext/>
        <w:spacing w:after="60" w:line="240" w:lineRule="auto"/>
      </w:pPr>
      <w:r>
        <w:rPr>
          <w:b/>
          <w:bCs/>
          <w:color w:val="333B47"/>
          <w:sz w:val="15"/>
          <w:szCs w:val="15"/>
        </w:rPr>
        <w:t xml:space="preserve">Authors: </w:t>
      </w:r>
      <w:r>
        <w:rPr>
          <w:sz w:val="15"/>
          <w:szCs w:val="15"/>
        </w:rPr>
        <w:t xml:space="preserve">Jiachen T. Wang, Saeed Mahloujifar, Tong Wu, Ruoxi Jia, Prateek Mittal</w:t>
      </w:r>
      <w:r>
        <w:rPr>
          <w:sz w:val="15"/>
          <w:szCs w:val="15"/>
        </w:rPr>
        <w:t xml:space="preserve">   </w:t>
      </w:r>
      <w:r>
        <w:rPr>
          <w:b/>
          <w:bCs/>
          <w:color w:val="333B47"/>
          <w:sz w:val="15"/>
          <w:szCs w:val="15"/>
        </w:rPr>
        <w:t xml:space="preserve">Published in: </w:t>
      </w:r>
      <w:r>
        <w:rPr>
          <w:sz w:val="15"/>
          <w:szCs w:val="15"/>
        </w:rPr>
        <w:t xml:space="preserve">Advances in Neural Information Processing Systems 36 (NeurIPS 2023), main conference; arXiv 2304.07927 (pages not verified)</w:t>
      </w:r>
      <w:r>
        <w:rPr>
          <w:sz w:val="15"/>
          <w:szCs w:val="15"/>
        </w:rPr>
        <w:t xml:space="preserve">   </w:t>
      </w:r>
      <w:r>
        <w:rPr>
          <w:b/>
          <w:bCs/>
          <w:color w:val="333B47"/>
          <w:sz w:val="15"/>
          <w:szCs w:val="15"/>
        </w:rPr>
        <w:t xml:space="preserve">Link: </w:t>
      </w:r>
      <w:hyperlink w:history="1" r:id="rIdrlskteqf8qf15f4pbibpg">
        <w:r>
          <w:rPr>
            <w:color w:val="1D4ED8"/>
            <w:sz w:val="15"/>
            <w:szCs w:val="15"/>
            <w:u w:val="single"/>
          </w:rPr>
          <w:t xml:space="preserve">https://proceedings.neurips.cc/paper_files/paper/2023/hash/6ae7df1f40f5faeda474b36b61197822-Abstract.html</w:t>
        </w:r>
      </w:hyperlink>
    </w:p>
    <w:p>
      <w:pPr>
        <w:keepNext/>
        <w:spacing w:after="80" w:line="240" w:lineRule="auto"/>
      </w:pPr>
      <w:r>
        <w:rPr>
          <w:b/>
          <w:bCs/>
          <w:color w:val="333B47"/>
          <w:sz w:val="15"/>
          <w:szCs w:val="15"/>
        </w:rPr>
        <w:t xml:space="preserve">Affiliation: </w:t>
      </w:r>
      <w:r>
        <w:rPr>
          <w:color w:val="3A4350"/>
          <w:sz w:val="15"/>
          <w:szCs w:val="15"/>
        </w:rPr>
        <w:t xml:space="preserve">Three of the five authors at Princeton University, including Prateek Mittal (Electrical and Computer Engineering), and Ruoxi Jia at Virginia Tech (search summary of the NeurIPS listing; the paper is on the Princeton University research portal). Mahloujifar's affiliation was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9A3412"/>
          <w:sz w:val="17"/>
          <w:szCs w:val="17"/>
        </w:rPr>
        <w:t xml:space="preserve">Summary. </w:t>
      </w:r>
      <w:r>
        <w:rPr>
          <w:sz w:val="17"/>
          <w:szCs w:val="17"/>
        </w:rPr>
        <w:t xml:space="preserve">Privacy accountants must give provable upper bounds on the parameters </w:t>
      </w:r>
      <m:oMath>
        <m:d>
          <m:dPr>
            <m:begChr m:val="("/>
            <m:sepChr m:val=""/>
            <m:endChr m:val=")"/>
            <m:grow/>
          </m:dPr>
          <m:e>
            <m:r>
              <m:t>ε</m:t>
            </m:r>
            <m:r>
              <m:rPr>
                <m:sty m:val="p"/>
              </m:rPr>
              <m:t>,</m:t>
            </m:r>
            <m:r>
              <m:t>δ</m:t>
            </m:r>
          </m:e>
        </m:d>
      </m:oMath>
      <w:r>
        <w:rPr>
          <w:sz w:val="17"/>
          <w:szCs w:val="17"/>
        </w:rPr>
        <w:t xml:space="preserve"> of a composed mechanism; such bounds are often loose, although accurate estimates are easy to obtain. The paper proposes estimate-verify-release (EVR): estimate the privacy parameter, check it with a randomized verifier, and release the mechanism's output only if the estimate is accepted, otherwise output nothing. The verifier and a new accountant use Monte Carlo sampling; EVR turns the estimate into a formal guarantee, with a verifier failure probability of order </w:t>
      </w:r>
      <m:oMath>
        <m:r>
          <m:t>δ</m:t>
        </m:r>
      </m:oMath>
      <w:r>
        <w:rPr>
          <w:sz w:val="17"/>
          <w:szCs w:val="17"/>
        </w:rPr>
        <w:t xml:space="preserve">. The Monte Carlo accountant covers a class of mechanisms that includes DP-SGD and is reported to beat existing accountants in accuracy and efficiency, improving the privacy–utility trade-off.</w:t>
      </w:r>
    </w:p>
    <w:p>
      <w:pPr>
        <w:keepNext/>
        <w:spacing w:after="20" w:before="40"/>
      </w:pPr>
      <w:r>
        <w:rPr>
          <w:b/>
          <w:bCs/>
          <w:color w:val="9A3412"/>
          <w:sz w:val="17"/>
          <w:szCs w:val="17"/>
        </w:rPr>
        <w:t xml:space="preserve">Key equation.</w:t>
      </w:r>
      <w:r>
        <w:rPr>
          <w:i/>
          <w:iCs/>
          <w:color w:val="5B6573"/>
          <w:sz w:val="15"/>
          <w:szCs w:val="15"/>
        </w:rPr>
        <w:t xml:space="preserve">  Privacy profile as an expectation over the privacy-loss variable, and its Monte Carlo estimate (representative formulation)</w:t>
      </w:r>
    </w:p>
    <w:p>
      <w:pPr>
        <w:pStyle w:val="Equation"/>
      </w:pPr>
      <m:oMathPara>
        <m:oMathParaPr>
          <m:jc m:val="center"/>
        </m:oMathParaPr>
        <m:oMath>
          <m:r>
            <m:t>δ</m:t>
          </m:r>
          <m:d>
            <m:dPr>
              <m:begChr m:val="("/>
              <m:sepChr m:val=""/>
              <m:endChr m:val=")"/>
              <m:grow/>
            </m:dPr>
            <m:e>
              <m:r>
                <m:t>ε</m:t>
              </m:r>
            </m:e>
          </m:d>
          <m:r>
            <m:rPr>
              <m:sty m:val="p"/>
            </m:rPr>
            <m:t>=</m:t>
          </m:r>
          <m:sSub>
            <m:e>
              <m:r>
                <m:rPr>
                  <m:scr m:val="double-struck"/>
                  <m:sty m:val="p"/>
                </m:rPr>
                <m:t>E</m:t>
              </m:r>
            </m:e>
            <m:sub>
              <m:r>
                <m:t>o</m:t>
              </m:r>
              <m:r>
                <m:rPr>
                  <m:sty m:val="p"/>
                </m:rPr>
                <m:t>∼</m:t>
              </m:r>
              <m:r>
                <m:t>M</m:t>
              </m:r>
              <m:d>
                <m:dPr>
                  <m:begChr m:val="("/>
                  <m:sepChr m:val=""/>
                  <m:endChr m:val=")"/>
                  <m:grow/>
                </m:dPr>
                <m:e>
                  <m:r>
                    <m:t>D</m:t>
                  </m:r>
                </m:e>
              </m:d>
            </m:sub>
          </m:sSub>
          <m:d>
            <m:dPr>
              <m:begChr m:val="["/>
              <m:sepChr m:val=""/>
              <m:endChr m:val="]"/>
              <m:grow/>
            </m:dPr>
            <m:e>
              <m:sSub>
                <m:e>
                  <m:d>
                    <m:dPr>
                      <m:begChr m:val="("/>
                      <m:sepChr m:val=""/>
                      <m:endChr m:val=")"/>
                      <m:grow/>
                    </m:dPr>
                    <m:e>
                      <m:r>
                        <m:t>1</m:t>
                      </m:r>
                      <m:r>
                        <m:rPr>
                          <m:sty m:val="p"/>
                        </m:rPr>
                        <m:t>−</m:t>
                      </m:r>
                      <m:sSup>
                        <m:e>
                          <m:r>
                            <m:t>e</m:t>
                          </m:r>
                        </m:e>
                        <m:sup>
                          <m:r>
                            <m:t>ε</m:t>
                          </m:r>
                          <m:r>
                            <m:rPr>
                              <m:sty m:val="p"/>
                            </m:rPr>
                            <m:t>−</m:t>
                          </m:r>
                          <m:r>
                            <m:t>L</m:t>
                          </m:r>
                          <m:d>
                            <m:dPr>
                              <m:begChr m:val="("/>
                              <m:sepChr m:val=""/>
                              <m:endChr m:val=")"/>
                              <m:grow/>
                            </m:dPr>
                            <m:e>
                              <m:r>
                                <m:t>o</m:t>
                              </m:r>
                            </m:e>
                          </m:d>
                        </m:sup>
                      </m:sSup>
                    </m:e>
                  </m:d>
                </m:e>
                <m:sub>
                  <m:r>
                    <m:rPr>
                      <m:nor/>
                    </m:rPr>
                    <m:t>+</m:t>
                  </m:r>
                </m:sub>
              </m:sSub>
            </m:e>
          </m:d>
          <m:r>
            <m:rPr>
              <m:sty m:val="p"/>
            </m:rPr>
            <m:t>,</m:t>
          </m:r>
          <m:r>
            <m:t>  </m:t>
          </m:r>
          <m:acc>
            <m:accPr>
              <m:chr m:val="̂"/>
            </m:accPr>
            <m:e>
              <m:r>
                <m:t>δ</m:t>
              </m:r>
            </m:e>
          </m:acc>
          <m:d>
            <m:dPr>
              <m:begChr m:val="("/>
              <m:sepChr m:val=""/>
              <m:endChr m:val=")"/>
              <m:grow/>
            </m:dPr>
            <m:e>
              <m:r>
                <m:t>ε</m:t>
              </m:r>
            </m:e>
          </m:d>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d>
                    <m:dPr>
                      <m:begChr m:val="("/>
                      <m:sepChr m:val=""/>
                      <m:endChr m:val=")"/>
                      <m:grow/>
                    </m:dPr>
                    <m:e>
                      <m:r>
                        <m:t>1</m:t>
                      </m:r>
                      <m:r>
                        <m:rPr>
                          <m:sty m:val="p"/>
                        </m:rPr>
                        <m:t>−</m:t>
                      </m:r>
                      <m:sSup>
                        <m:e>
                          <m:r>
                            <m:t>e</m:t>
                          </m:r>
                        </m:e>
                        <m:sup>
                          <m:r>
                            <m:t>ε</m:t>
                          </m:r>
                          <m:r>
                            <m:rPr>
                              <m:sty m:val="p"/>
                            </m:rPr>
                            <m:t>−</m:t>
                          </m:r>
                          <m:r>
                            <m:t>L</m:t>
                          </m:r>
                          <m:d>
                            <m:dPr>
                              <m:begChr m:val="("/>
                              <m:sepChr m:val=""/>
                              <m:endChr m:val=")"/>
                              <m:grow/>
                            </m:dPr>
                            <m:e>
                              <m:sSub>
                                <m:e>
                                  <m:r>
                                    <m:t>o</m:t>
                                  </m:r>
                                </m:e>
                                <m:sub>
                                  <m:r>
                                    <m:t>j</m:t>
                                  </m:r>
                                </m:sub>
                              </m:sSub>
                            </m:e>
                          </m:d>
                        </m:sup>
                      </m:sSup>
                    </m:e>
                  </m:d>
                </m:e>
                <m:sub>
                  <m:r>
                    <m:rPr>
                      <m:nor/>
                    </m:rPr>
                    <m:t>+</m:t>
                  </m:r>
                </m:sub>
              </m:sSub>
            </m:e>
          </m:nary>
        </m:oMath>
      </m:oMathPara>
    </w:p>
    <w:p>
      <w:pPr>
        <w:spacing w:after="60"/>
        <w:jc w:val="both"/>
      </w:pPr>
      <m:oMath>
        <m:r>
          <m:t>M</m:t>
        </m:r>
      </m:oMath>
      <w:r>
        <w:rPr>
          <w:color w:val="3A4350"/>
          <w:sz w:val="15"/>
          <w:szCs w:val="15"/>
        </w:rPr>
        <w:t xml:space="preserve"> is the mechanism, </w:t>
      </w:r>
      <m:oMath>
        <m:r>
          <m:t>D</m:t>
        </m:r>
      </m:oMath>
      <w:r>
        <w:rPr>
          <w:color w:val="3A4350"/>
          <w:sz w:val="15"/>
          <w:szCs w:val="15"/>
        </w:rPr>
        <w:t xml:space="preserve"> and </w:t>
      </w:r>
      <m:oMath>
        <m:r>
          <m:t>D</m:t>
        </m:r>
        <m:r>
          <m:rPr>
            <m:sty m:val="p"/>
          </m:rPr>
          <m:t>′</m:t>
        </m:r>
      </m:oMath>
      <w:r>
        <w:rPr>
          <w:color w:val="3A4350"/>
          <w:sz w:val="15"/>
          <w:szCs w:val="15"/>
        </w:rPr>
        <w:t xml:space="preserve"> neighbouring datasets, </w:t>
      </w:r>
      <m:oMath>
        <m:r>
          <m:t>L</m:t>
        </m:r>
        <m:d>
          <m:dPr>
            <m:begChr m:val="("/>
            <m:sepChr m:val=""/>
            <m:endChr m:val=")"/>
            <m:grow/>
          </m:dPr>
          <m:e>
            <m:r>
              <m:t>o</m:t>
            </m:r>
          </m:e>
        </m:d>
        <m:r>
          <m:rPr>
            <m:sty m:val="p"/>
          </m:rPr>
          <m:t>=</m:t>
        </m:r>
        <m:r>
          <m:rPr>
            <m:sty m:val="p"/>
          </m:rPr>
          <m:t>log</m:t>
        </m:r>
        <m:d>
          <m:dPr>
            <m:begChr m:val="("/>
            <m:sepChr m:val=""/>
            <m:endChr m:val=")"/>
            <m:grow/>
          </m:dPr>
          <m:e>
            <m:sSub>
              <m:e>
                <m:r>
                  <m:t>p</m:t>
                </m:r>
              </m:e>
              <m:sub>
                <m:r>
                  <m:t>M</m:t>
                </m:r>
                <m:d>
                  <m:dPr>
                    <m:begChr m:val="("/>
                    <m:sepChr m:val=""/>
                    <m:endChr m:val=")"/>
                    <m:grow/>
                  </m:dPr>
                  <m:e>
                    <m:r>
                      <m:t>D</m:t>
                    </m:r>
                  </m:e>
                </m:d>
              </m:sub>
            </m:sSub>
            <m:d>
              <m:dPr>
                <m:begChr m:val="("/>
                <m:sepChr m:val=""/>
                <m:endChr m:val=")"/>
                <m:grow/>
              </m:dPr>
              <m:e>
                <m:r>
                  <m:t>o</m:t>
                </m:r>
              </m:e>
            </m:d>
            <m:r>
              <m:rPr>
                <m:sty m:val="p"/>
              </m:rPr>
              <m:t>/</m:t>
            </m:r>
            <m:sSub>
              <m:e>
                <m:r>
                  <m:t>p</m:t>
                </m:r>
              </m:e>
              <m:sub>
                <m:r>
                  <m:t>M</m:t>
                </m:r>
                <m:d>
                  <m:dPr>
                    <m:begChr m:val="("/>
                    <m:sepChr m:val=""/>
                    <m:endChr m:val=")"/>
                    <m:grow/>
                  </m:dPr>
                  <m:e>
                    <m:r>
                      <m:t>D</m:t>
                    </m:r>
                    <m:r>
                      <m:rPr>
                        <m:sty m:val="p"/>
                      </m:rPr>
                      <m:t>′</m:t>
                    </m:r>
                  </m:e>
                </m:d>
              </m:sub>
            </m:sSub>
            <m:d>
              <m:dPr>
                <m:begChr m:val="("/>
                <m:sepChr m:val=""/>
                <m:endChr m:val=")"/>
                <m:grow/>
              </m:dPr>
              <m:e>
                <m:r>
                  <m:t>o</m:t>
                </m:r>
              </m:e>
            </m:d>
          </m:e>
        </m:d>
      </m:oMath>
      <w:r>
        <w:rPr>
          <w:color w:val="3A4350"/>
          <w:sz w:val="15"/>
          <w:szCs w:val="15"/>
        </w:rPr>
        <w:t xml:space="preserve"> the privacy-loss variable, </w:t>
      </w:r>
      <m:oMath>
        <m:sSub>
          <m:e>
            <m:r>
              <m:t>o</m:t>
            </m:r>
          </m:e>
          <m:sub>
            <m:r>
              <m:t>1</m:t>
            </m:r>
          </m:sub>
        </m:sSub>
        <m:r>
          <m:rPr>
            <m:sty m:val="p"/>
          </m:rPr>
          <m:t>,</m:t>
        </m:r>
        <m:r>
          <m:rPr>
            <m:sty m:val="p"/>
          </m:rPr>
          <m:t>…</m:t>
        </m:r>
        <m:r>
          <m:rPr>
            <m:sty m:val="p"/>
          </m:rPr>
          <m:t>,</m:t>
        </m:r>
        <m:sSub>
          <m:e>
            <m:r>
              <m:t>o</m:t>
            </m:r>
          </m:e>
          <m:sub>
            <m:r>
              <m:t>m</m:t>
            </m:r>
          </m:sub>
        </m:sSub>
      </m:oMath>
      <w:r>
        <w:rPr>
          <w:color w:val="3A4350"/>
          <w:sz w:val="15"/>
          <w:szCs w:val="15"/>
        </w:rPr>
        <w:t xml:space="preserve"> samples of </w:t>
      </w:r>
      <m:oMath>
        <m:r>
          <m:t>M</m:t>
        </m:r>
        <m:d>
          <m:dPr>
            <m:begChr m:val="("/>
            <m:sepChr m:val=""/>
            <m:endChr m:val=")"/>
            <m:grow/>
          </m:dPr>
          <m:e>
            <m:r>
              <m:t>D</m:t>
            </m:r>
          </m:e>
        </m:d>
      </m:oMath>
      <w:r>
        <w:rPr>
          <w:color w:val="3A4350"/>
          <w:sz w:val="15"/>
          <w:szCs w:val="15"/>
        </w:rPr>
        <w:t xml:space="preserve"> and </w:t>
      </w:r>
      <m:oMath>
        <m:sSub>
          <m:e>
            <m:d>
              <m:dPr>
                <m:begChr m:val="("/>
                <m:sepChr m:val=""/>
                <m:endChr m:val=")"/>
                <m:grow/>
              </m:dPr>
              <m:e>
                <m:r>
                  <m:t>x</m:t>
                </m:r>
              </m:e>
            </m:d>
          </m:e>
          <m:sub>
            <m:r>
              <m:rPr>
                <m:nor/>
              </m:rPr>
              <m:t>+</m:t>
            </m:r>
          </m:sub>
        </m:sSub>
        <m:r>
          <m:rPr>
            <m:sty m:val="p"/>
          </m:rPr>
          <m:t>=</m:t>
        </m:r>
        <m:r>
          <m:rPr>
            <m:sty m:val="p"/>
          </m:rPr>
          <m:t>max</m:t>
        </m:r>
        <m:d>
          <m:dPr>
            <m:begChr m:val="("/>
            <m:sepChr m:val=""/>
            <m:endChr m:val=")"/>
            <m:grow/>
          </m:dPr>
          <m:e>
            <m:r>
              <m:t>x</m:t>
            </m:r>
            <m:r>
              <m:rPr>
                <m:sty m:val="p"/>
              </m:rPr>
              <m:t>,</m:t>
            </m:r>
            <m:r>
              <m:t>0</m:t>
            </m:r>
          </m:e>
        </m:d>
      </m:oMath>
      <w:r>
        <w:rPr>
          <w:color w:val="3A4350"/>
          <w:sz w:val="15"/>
          <w:szCs w:val="15"/>
        </w:rPr>
        <w:t xml:space="preserve">; EVR releases the output only if a verifier accepts the estimated </w:t>
      </w:r>
      <m:oMath>
        <m:d>
          <m:dPr>
            <m:begChr m:val="("/>
            <m:sepChr m:val=""/>
            <m:endChr m:val=")"/>
            <m:grow/>
          </m:dPr>
          <m:e>
            <m:r>
              <m:t>ε</m:t>
            </m:r>
            <m:r>
              <m:rPr>
                <m:sty m:val="p"/>
              </m:rPr>
              <m:t>,</m:t>
            </m:r>
            <m:r>
              <m:t>δ</m:t>
            </m:r>
          </m:e>
        </m:d>
      </m:oMath>
      <w:r>
        <w:rPr>
          <w:color w:val="3A4350"/>
          <w:sz w:val="15"/>
          <w:szCs w:val="15"/>
        </w:rPr>
        <w:t xml:space="preserve">.</w:t>
      </w:r>
    </w:p>
    <w:p>
      <w:pPr>
        <w:spacing w:after="60"/>
        <w:jc w:val="both"/>
      </w:pPr>
      <w:r>
        <w:rPr>
          <w:b/>
          <w:bCs/>
          <w:color w:val="9A3412"/>
          <w:sz w:val="17"/>
          <w:szCs w:val="17"/>
        </w:rPr>
        <w:t xml:space="preserve">Link to the Fushë-Kuqe record holders. </w:t>
      </w:r>
      <w:r>
        <w:rPr>
          <w:sz w:val="17"/>
          <w:szCs w:val="17"/>
        </w:rPr>
        <w:t xml:space="preserve">Belongs to theme C (privacy-preserving computation for statistical and causal inference). The coalition works in steps (evaluate a merge, merge, re-evaluate), so each holder's budget is spent by many composed releases; a tight accountant tells the irrigators and hotels how many merge evaluations their </w:t>
      </w:r>
      <m:oMath>
        <m:r>
          <m:t>ε</m:t>
        </m:r>
      </m:oMath>
      <w:r>
        <w:rPr>
          <w:sz w:val="17"/>
          <w:szCs w:val="17"/>
        </w:rPr>
        <w:t xml:space="preserve"> affords before they are asked to share anything.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reframes accounting as estimate-then-verify, a route from cheap Monte Carlo estimates to formal guarantees and tighter budgets for DP-SGD-type algorithms. NeurIPS 2023 main track, from Prateek Mittal's Princeton group, whose privacy-friendly data-valuation paper was card P4 of review 55.</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EVR verifies one mechanism run by one curator. Verifying the composed privacy loss of an information-gain computation run on secret shares by several holders, each with its own budget, has not been done and would fix how many merges the coalition can test.</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estimate-verify-release, which turns Monte Carlo estimates of </w:t>
      </w:r>
      <m:oMath>
        <m:r>
          <m:t>δ</m:t>
        </m:r>
        <m:d>
          <m:dPr>
            <m:begChr m:val="("/>
            <m:sepChr m:val=""/>
            <m:endChr m:val=")"/>
            <m:grow/>
          </m:dPr>
          <m:e>
            <m:r>
              <m:t>ε</m:t>
            </m:r>
          </m:e>
        </m:d>
      </m:oMath>
      <w:r>
        <w:rPr>
          <w:sz w:val="17"/>
          <w:szCs w:val="17"/>
        </w:rPr>
        <w:t xml:space="preserve"> into formal guarantees, and a Monte Carlo accountant for DP-SGD-type mechanisms. Proposed extension: account with EVR for the sequence of noisy information-gain queries the Fushë-Kuqe coalition issues while choosing its merge order, with a separate budget per holder, and count how many more candidate merges it allows than Rényi accounting at the same </w:t>
      </w:r>
      <m:oMath>
        <m:d>
          <m:dPr>
            <m:begChr m:val="("/>
            <m:sepChr m:val=""/>
            <m:endChr m:val=")"/>
            <m:grow/>
          </m:dPr>
          <m:e>
            <m:r>
              <m:t>ε</m:t>
            </m:r>
            <m:r>
              <m:rPr>
                <m:sty m:val="p"/>
              </m:rPr>
              <m:t>,</m:t>
            </m:r>
            <m:r>
              <m:t>δ</m:t>
            </m:r>
          </m:e>
        </m:d>
      </m:oMath>
      <w:r>
        <w:rPr>
          <w:sz w:val="17"/>
          <w:szCs w:val="17"/>
        </w:rPr>
        <w:t xml:space="preserve">.</w:t>
      </w:r>
    </w:p>
    <w:p>
      <w:pPr>
        <w:keepNext/>
        <w:pBdr>
          <w:top w:val="single" w:color="9A3412" w:sz="6" w:space="4"/>
        </w:pBdr>
        <w:spacing w:after="60" w:before="220"/>
      </w:pPr>
      <w:r>
        <w:rPr>
          <w:b/>
          <w:bCs/>
          <w:color w:val="9A3412"/>
          <w:sz w:val="23"/>
          <w:szCs w:val="23"/>
        </w:rPr>
        <w:t xml:space="preserve">C5  </w:t>
      </w:r>
      <w:r>
        <w:rPr>
          <w:b/>
          <w:bCs/>
          <w:color w:val="1F3864"/>
          <w:sz w:val="23"/>
          <w:szCs w:val="23"/>
        </w:rPr>
        <w:t xml:space="preserve">Federated Learning With Differential Privacy: Algorithms and Performance Analysis</w:t>
      </w:r>
    </w:p>
    <w:p>
      <w:pPr>
        <w:keepNext/>
        <w:spacing w:after="60" w:line="240" w:lineRule="auto"/>
      </w:pPr>
      <w:r>
        <w:rPr>
          <w:b/>
          <w:bCs/>
          <w:color w:val="333B47"/>
          <w:sz w:val="15"/>
          <w:szCs w:val="15"/>
        </w:rPr>
        <w:t xml:space="preserve">Authors: </w:t>
      </w:r>
      <w:r>
        <w:rPr>
          <w:sz w:val="15"/>
          <w:szCs w:val="15"/>
        </w:rPr>
        <w:t xml:space="preserve">Kang Wei, Jun Li, Ming Ding, Chuan Ma, Howard H. Yang, Farhad Farokhi, Shi Jin, Tony Q. S. Quek, H. Vincent Poor</w:t>
      </w:r>
      <w:r>
        <w:rPr>
          <w:sz w:val="15"/>
          <w:szCs w:val="15"/>
        </w:rPr>
        <w:t xml:space="preserve">   </w:t>
      </w:r>
      <w:r>
        <w:rPr>
          <w:b/>
          <w:bCs/>
          <w:color w:val="333B47"/>
          <w:sz w:val="15"/>
          <w:szCs w:val="15"/>
        </w:rPr>
        <w:t xml:space="preserve">Published in: </w:t>
      </w:r>
      <w:r>
        <w:rPr>
          <w:sz w:val="15"/>
          <w:szCs w:val="15"/>
        </w:rPr>
        <w:t xml:space="preserve">IEEE Transactions on Information Forensics and Security, 15, 3454–3469 (2020); IEEE Xplore document 9069945; arXiv 1911.00222 (DOI not seen)</w:t>
      </w:r>
      <w:r>
        <w:rPr>
          <w:sz w:val="15"/>
          <w:szCs w:val="15"/>
        </w:rPr>
        <w:t xml:space="preserve">   </w:t>
      </w:r>
      <w:r>
        <w:rPr>
          <w:b/>
          <w:bCs/>
          <w:color w:val="333B47"/>
          <w:sz w:val="15"/>
          <w:szCs w:val="15"/>
        </w:rPr>
        <w:t xml:space="preserve">Link: </w:t>
      </w:r>
      <w:hyperlink w:history="1" r:id="rId_nsxklacrakxpgocnsvws">
        <w:r>
          <w:rPr>
            <w:color w:val="1D4ED8"/>
            <w:sz w:val="15"/>
            <w:szCs w:val="15"/>
            <w:u w:val="single"/>
          </w:rPr>
          <w:t xml:space="preserve">https://ieeexplore.ieee.org/document/9069945</w:t>
        </w:r>
      </w:hyperlink>
    </w:p>
    <w:p>
      <w:pPr>
        <w:keepNext/>
        <w:spacing w:after="80" w:line="240" w:lineRule="auto"/>
      </w:pPr>
      <w:r>
        <w:rPr>
          <w:b/>
          <w:bCs/>
          <w:color w:val="333B47"/>
          <w:sz w:val="15"/>
          <w:szCs w:val="15"/>
        </w:rPr>
        <w:t xml:space="preserve">Affiliation: </w:t>
      </w:r>
      <w:r>
        <w:rPr>
          <w:color w:val="3A4350"/>
          <w:sz w:val="15"/>
          <w:szCs w:val="15"/>
        </w:rPr>
        <w:t xml:space="preserve">H. Vincent Poor, Princeton University (author listing summarised in a search; the paper is on the Princeton University research portal); Ming Ding, CSIRO Data61 (CSIRO news page on the acceptance); the paper is also in the SUTD repository. Other affiliations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9A3412"/>
          <w:sz w:val="17"/>
          <w:szCs w:val="17"/>
        </w:rPr>
        <w:t xml:space="preserve">Summary. </w:t>
      </w:r>
      <w:r>
        <w:rPr>
          <w:sz w:val="17"/>
          <w:szCs w:val="17"/>
        </w:rPr>
        <w:t xml:space="preserve">In federated learning clients send model parameters rather than data, yet the parameters still leak information. The paper proposes NbAFL (noising before model aggregation federated learning), in which artificial noise is added to the clients' parameters before they are aggregated. It proves that, by adapting the noise variances, the scheme satisfies </w:t>
      </w:r>
      <m:oMath>
        <m:d>
          <m:dPr>
            <m:begChr m:val="("/>
            <m:sepChr m:val=""/>
            <m:endChr m:val=")"/>
            <m:grow/>
          </m:dPr>
          <m:e>
            <m:r>
              <m:t>ε</m:t>
            </m:r>
            <m:r>
              <m:rPr>
                <m:sty m:val="p"/>
              </m:rPr>
              <m:t>,</m:t>
            </m:r>
            <m:r>
              <m:t>δ</m:t>
            </m:r>
          </m:e>
        </m:d>
      </m:oMath>
      <w:r>
        <w:rPr>
          <w:sz w:val="17"/>
          <w:szCs w:val="17"/>
        </w:rPr>
        <w:t xml:space="preserve">-differential privacy at chosen protection levels, and derives a convergence bound for the loss of the trained model. The bound shows a trade-off between convergence performance and protection level, and an optimal number of communication rounds for a given level of protection.</w:t>
      </w:r>
    </w:p>
    <w:p>
      <w:pPr>
        <w:keepNext/>
        <w:spacing w:after="20" w:before="40"/>
      </w:pPr>
      <w:r>
        <w:rPr>
          <w:b/>
          <w:bCs/>
          <w:color w:val="9A3412"/>
          <w:sz w:val="17"/>
          <w:szCs w:val="17"/>
        </w:rPr>
        <w:t xml:space="preserve">Key equation.</w:t>
      </w:r>
      <w:r>
        <w:rPr>
          <w:i/>
          <w:iCs/>
          <w:color w:val="5B6573"/>
          <w:sz w:val="15"/>
          <w:szCs w:val="15"/>
        </w:rPr>
        <w:t xml:space="preserve">  Gaussian noise each client adds to its uploaded parameters, calibrated to their sensitivity (representative formulation)</w:t>
      </w:r>
    </w:p>
    <w:p>
      <w:pPr>
        <w:pStyle w:val="Equation"/>
      </w:pPr>
      <m:oMathPara>
        <m:oMathParaPr>
          <m:jc m:val="center"/>
        </m:oMathParaPr>
        <m:oMath>
          <m:sSub>
            <m:e>
              <m:acc>
                <m:accPr>
                  <m:chr m:val="̃"/>
                </m:accPr>
                <m:e>
                  <m:r>
                    <m:t>w</m:t>
                  </m:r>
                </m:e>
              </m:acc>
            </m:e>
            <m:sub>
              <m:r>
                <m:t>i</m:t>
              </m:r>
            </m:sub>
          </m:sSub>
          <m:r>
            <m:rPr>
              <m:sty m:val="p"/>
            </m:rPr>
            <m:t>=</m:t>
          </m:r>
          <m:sSub>
            <m:e>
              <m:r>
                <m:t>w</m:t>
              </m:r>
            </m:e>
            <m:sub>
              <m:r>
                <m:t>i</m:t>
              </m:r>
            </m:sub>
          </m:sSub>
          <m:r>
            <m:rPr>
              <m:sty m:val="p"/>
            </m:rPr>
            <m:t>+</m:t>
          </m:r>
          <m:sSub>
            <m:e>
              <m:r>
                <m:t>n</m:t>
              </m:r>
            </m:e>
            <m:sub>
              <m:r>
                <m:t>i</m:t>
              </m:r>
            </m:sub>
          </m:sSub>
          <m:r>
            <m:rPr>
              <m:sty m:val="p"/>
            </m:rPr>
            <m:t>,</m:t>
          </m:r>
          <m:r>
            <m:t>  </m:t>
          </m:r>
          <m:sSub>
            <m:e>
              <m:r>
                <m:t>n</m:t>
              </m:r>
            </m:e>
            <m:sub>
              <m:r>
                <m:t>i</m:t>
              </m:r>
            </m:sub>
          </m:sSub>
          <m:r>
            <m:rPr>
              <m:sty m:val="p"/>
            </m:rPr>
            <m:t>∼</m:t>
          </m:r>
          <m:r>
            <m:t>N</m:t>
          </m:r>
          <m:d>
            <m:dPr>
              <m:begChr m:val="("/>
              <m:sepChr m:val=""/>
              <m:endChr m:val=")"/>
              <m:grow/>
            </m:dPr>
            <m:e>
              <m:r>
                <m:t>0</m:t>
              </m:r>
              <m:r>
                <m:rPr>
                  <m:sty m:val="p"/>
                </m:rPr>
                <m:t>,</m:t>
              </m:r>
              <m:sSup>
                <m:e>
                  <m:r>
                    <m:t>σ</m:t>
                  </m:r>
                </m:e>
                <m:sup>
                  <m:r>
                    <m:t>2</m:t>
                  </m:r>
                </m:sup>
              </m:sSup>
              <m:r>
                <m:t>I</m:t>
              </m:r>
            </m:e>
          </m:d>
          <m:r>
            <m:rPr>
              <m:sty m:val="p"/>
            </m:rPr>
            <m:t>,</m:t>
          </m:r>
          <m:r>
            <m:t>  </m:t>
          </m:r>
          <m:r>
            <m:t>σ</m:t>
          </m:r>
          <m:r>
            <m:rPr>
              <m:sty m:val="p"/>
            </m:rPr>
            <m:t>=</m:t>
          </m:r>
          <m:f>
            <m:fPr>
              <m:type m:val="bar"/>
            </m:fPr>
            <m:num>
              <m:r>
                <m:t>c</m:t>
              </m:r>
              <m:r>
                <m:t> </m:t>
              </m:r>
              <m:r>
                <m:t>Δ</m:t>
              </m:r>
              <m:r>
                <m:t>s</m:t>
              </m:r>
            </m:num>
            <m:den>
              <m:r>
                <m:t>ε</m:t>
              </m:r>
            </m:den>
          </m:f>
          <m:r>
            <m:rPr>
              <m:sty m:val="p"/>
            </m:rPr>
            <m:t>,</m:t>
          </m:r>
          <m:r>
            <m:t>  </m:t>
          </m:r>
          <m:r>
            <m:t>c</m:t>
          </m:r>
          <m:r>
            <m:rPr>
              <m:sty m:val="p"/>
            </m:rPr>
            <m:t>≥</m:t>
          </m:r>
          <m:rad>
            <m:radPr>
              <m:degHide m:val="on"/>
            </m:radPr>
            <m:deg/>
            <m:e>
              <m:r>
                <m:t>2</m:t>
              </m:r>
              <m:r>
                <m:rPr>
                  <m:sty m:val="p"/>
                </m:rPr>
                <m:t>ln</m:t>
              </m:r>
              <m:d>
                <m:dPr>
                  <m:begChr m:val="("/>
                  <m:sepChr m:val=""/>
                  <m:endChr m:val=")"/>
                  <m:grow/>
                </m:dPr>
                <m:e>
                  <m:r>
                    <m:t>1.25</m:t>
                  </m:r>
                  <m:r>
                    <m:rPr>
                      <m:sty m:val="p"/>
                    </m:rPr>
                    <m:t>/</m:t>
                  </m:r>
                  <m:r>
                    <m:t>δ</m:t>
                  </m:r>
                </m:e>
              </m:d>
            </m:e>
          </m:rad>
        </m:oMath>
      </m:oMathPara>
    </w:p>
    <w:p>
      <w:pPr>
        <w:spacing w:after="60"/>
        <w:jc w:val="both"/>
      </w:pPr>
      <m:oMath>
        <m:sSub>
          <m:e>
            <m:r>
              <m:t>w</m:t>
            </m:r>
          </m:e>
          <m:sub>
            <m:r>
              <m:t>i</m:t>
            </m:r>
          </m:sub>
        </m:sSub>
      </m:oMath>
      <w:r>
        <w:rPr>
          <w:color w:val="3A4350"/>
          <w:sz w:val="15"/>
          <w:szCs w:val="15"/>
        </w:rPr>
        <w:t xml:space="preserve"> are client </w:t>
      </w:r>
      <m:oMath>
        <m:r>
          <m:t>i</m:t>
        </m:r>
      </m:oMath>
      <w:r>
        <w:rPr>
          <w:color w:val="3A4350"/>
          <w:sz w:val="15"/>
          <w:szCs w:val="15"/>
        </w:rPr>
        <w:t xml:space="preserve">'s local parameters, </w:t>
      </w:r>
      <m:oMath>
        <m:r>
          <m:t>Δ</m:t>
        </m:r>
        <m:r>
          <m:t>s</m:t>
        </m:r>
      </m:oMath>
      <w:r>
        <w:rPr>
          <w:color w:val="3A4350"/>
          <w:sz w:val="15"/>
          <w:szCs w:val="15"/>
        </w:rPr>
        <w:t xml:space="preserve"> their sensitivity to one record (set by clipping and the local sample size) and </w:t>
      </w:r>
      <m:oMath>
        <m:d>
          <m:dPr>
            <m:begChr m:val="("/>
            <m:sepChr m:val=""/>
            <m:endChr m:val=")"/>
            <m:grow/>
          </m:dPr>
          <m:e>
            <m:r>
              <m:t>ε</m:t>
            </m:r>
            <m:r>
              <m:rPr>
                <m:sty m:val="p"/>
              </m:rPr>
              <m:t>,</m:t>
            </m:r>
            <m:r>
              <m:t>δ</m:t>
            </m:r>
          </m:e>
        </m:d>
      </m:oMath>
      <w:r>
        <w:rPr>
          <w:color w:val="3A4350"/>
          <w:sz w:val="15"/>
          <w:szCs w:val="15"/>
        </w:rPr>
        <w:t xml:space="preserve"> the protection level; the server averages the </w:t>
      </w:r>
      <m:oMath>
        <m:sSub>
          <m:e>
            <m:acc>
              <m:accPr>
                <m:chr m:val="̃"/>
              </m:accPr>
              <m:e>
                <m:r>
                  <m:t>w</m:t>
                </m:r>
              </m:e>
            </m:acc>
          </m:e>
          <m:sub>
            <m:r>
              <m:t>i</m:t>
            </m:r>
          </m:sub>
        </m:sSub>
      </m:oMath>
      <w:r>
        <w:rPr>
          <w:color w:val="3A4350"/>
          <w:sz w:val="15"/>
          <w:szCs w:val="15"/>
        </w:rPr>
        <w:t xml:space="preserve">, and the convergence bound worsens as </w:t>
      </w:r>
      <m:oMath>
        <m:r>
          <m:t>σ</m:t>
        </m:r>
      </m:oMath>
      <w:r>
        <w:rPr>
          <w:color w:val="3A4350"/>
          <w:sz w:val="15"/>
          <w:szCs w:val="15"/>
        </w:rPr>
        <w:t xml:space="preserve"> grows.</w:t>
      </w:r>
    </w:p>
    <w:p>
      <w:pPr>
        <w:spacing w:after="60"/>
        <w:jc w:val="both"/>
      </w:pPr>
      <w:r>
        <w:rPr>
          <w:b/>
          <w:bCs/>
          <w:color w:val="9A3412"/>
          <w:sz w:val="17"/>
          <w:szCs w:val="17"/>
        </w:rPr>
        <w:t xml:space="preserve">Link to the Fushë-Kuqe record holders. </w:t>
      </w:r>
      <w:r>
        <w:rPr>
          <w:sz w:val="17"/>
          <w:szCs w:val="17"/>
        </w:rPr>
        <w:t xml:space="preserve">Belongs to theme C (privacy-preserving computation for statistical and causal inference). If the six holders fit a common chloride-response model federatedly, each adding noise before aggregation, this analysis says how much accuracy is lost for a given </w:t>
      </w:r>
      <m:oMath>
        <m:r>
          <m:t>ε</m:t>
        </m:r>
      </m:oMath>
      <w:r>
        <w:rPr>
          <w:sz w:val="17"/>
          <w:szCs w:val="17"/>
        </w:rPr>
        <w:t xml:space="preserve"> and how many aggregation rounds to run, a direct input to whether a federated coalition is worth forming.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quantifies, with a proved convergence bound, the accuracy cost of client-side differential privacy in federated learning, including an optimal number of communication rounds at a fixed protection level. Published in IEEE Transactions on Information Forensics and Security, a leading security journal, with H. Vincent Poor (Princeton) as senior author.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analysis concerns predictive loss under equal protection for all clients. How noise before aggregation degrades a causal contrast when some holders observe only one pumping regime, and how to allocate noise across holders to protect it,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convergence bound for noise-before-aggregation federated learning that exposes the privacy–accuracy trade-off and an optimal number of rounds. Proposed extension: run NbAFL for a linear CATE model of chloride change with a distance-to-sea interaction across the six holders, and test whether the bound, rewritten for the pumping coefficient, predicts the coalition and number of rounds that minimise its posterior variance at </w:t>
      </w:r>
      <m:oMath>
        <m:r>
          <m:t>ε</m:t>
        </m:r>
        <m:r>
          <m:rPr>
            <m:sty m:val="p"/>
          </m:rPr>
          <m:t>=</m:t>
        </m:r>
        <m:r>
          <m:t>1</m:t>
        </m:r>
      </m:oMath>
      <w:r>
        <w:rPr>
          <w:sz w:val="17"/>
          <w:szCs w:val="17"/>
        </w:rPr>
        <w:t xml:space="preserve">.</w:t>
      </w:r>
    </w:p>
    <w:p>
      <w:pPr>
        <w:pStyle w:val="Heading1"/>
      </w:pPr>
      <w:r>
        <w:rPr>
          <w:color w:val="5B21B6"/>
        </w:rPr>
        <w:t xml:space="preserve">7. Incentives, cooperative games and collaborative learning</w:t>
      </w:r>
    </w:p>
    <w:p>
      <w:pPr>
        <w:spacing w:after="120"/>
        <w:jc w:val="both"/>
      </w:pPr>
      <w:r>
        <w:t xml:space="preserve">Five groups study why and on what terms data are shared. Jiachen T. Wang, Ruoxi Jia and colleagues show when data Shapley values mislead data selection [G1]; Anish Agarwal, Munther Dahleh, Thibaut Horel and Maryann Rui design data auctions with externalities between buyers [G2]; Moritz Hardt, Eric Mazumdar, Celestine Mendler-Dünner and Tijana Zrnic analyse collectives that steer what a platform learns [G3]; Tijana Zrnic, Eric Mazumdar, Shankar Sastry and Michael Jordan show that who leads depends on update rates [G4]; and Yiling Chen, Yang Liu and Chara Podimata learn classifiers when agents misreport [G5].</w:t>
      </w:r>
    </w:p>
    <w:p>
      <w:pPr>
        <w:keepNext/>
        <w:pBdr>
          <w:top w:val="single" w:color="5B21B6" w:sz="6" w:space="4"/>
        </w:pBdr>
        <w:spacing w:after="60" w:before="220"/>
      </w:pPr>
      <w:r>
        <w:rPr>
          <w:b/>
          <w:bCs/>
          <w:color w:val="5B21B6"/>
          <w:sz w:val="23"/>
          <w:szCs w:val="23"/>
        </w:rPr>
        <w:t xml:space="preserve">G1  </w:t>
      </w:r>
      <w:r>
        <w:rPr>
          <w:b/>
          <w:bCs/>
          <w:color w:val="1F3864"/>
          <w:sz w:val="23"/>
          <w:szCs w:val="23"/>
        </w:rPr>
        <w:t xml:space="preserve">Rethinking Data Shapley for Data Selection Tasks: Misleads and Merits</w:t>
      </w:r>
    </w:p>
    <w:p>
      <w:pPr>
        <w:keepNext/>
        <w:spacing w:after="60" w:line="240" w:lineRule="auto"/>
      </w:pPr>
      <w:r>
        <w:rPr>
          <w:b/>
          <w:bCs/>
          <w:color w:val="333B47"/>
          <w:sz w:val="15"/>
          <w:szCs w:val="15"/>
        </w:rPr>
        <w:t xml:space="preserve">Authors: </w:t>
      </w:r>
      <w:r>
        <w:rPr>
          <w:sz w:val="15"/>
          <w:szCs w:val="15"/>
        </w:rPr>
        <w:t xml:space="preserve">Jiachen T. Wang, Tianji Yang, James Zou, Yongchan Kwon, Ruoxi Jia</w:t>
      </w:r>
      <w:r>
        <w:rPr>
          <w:sz w:val="15"/>
          <w:szCs w:val="15"/>
        </w:rPr>
        <w:t xml:space="preserve">   </w:t>
      </w:r>
      <w:r>
        <w:rPr>
          <w:b/>
          <w:bCs/>
          <w:color w:val="333B47"/>
          <w:sz w:val="15"/>
          <w:szCs w:val="15"/>
        </w:rPr>
        <w:t xml:space="preserve">Published in: </w:t>
      </w:r>
      <w:r>
        <w:rPr>
          <w:sz w:val="15"/>
          <w:szCs w:val="15"/>
        </w:rPr>
        <w:t xml:space="preserve">Proceedings of the 41st International Conference on Machine Learning (ICML 2024), PMLR 235, pp. 52033–52063 (2024); oral presentation</w:t>
      </w:r>
      <w:r>
        <w:rPr>
          <w:sz w:val="15"/>
          <w:szCs w:val="15"/>
        </w:rPr>
        <w:t xml:space="preserve">   </w:t>
      </w:r>
      <w:r>
        <w:rPr>
          <w:b/>
          <w:bCs/>
          <w:color w:val="333B47"/>
          <w:sz w:val="15"/>
          <w:szCs w:val="15"/>
        </w:rPr>
        <w:t xml:space="preserve">Link: </w:t>
      </w:r>
      <w:hyperlink w:history="1" r:id="rIdriamxtp2n9cwokkzthcsw">
        <w:r>
          <w:rPr>
            <w:color w:val="1D4ED8"/>
            <w:sz w:val="15"/>
            <w:szCs w:val="15"/>
            <w:u w:val="single"/>
          </w:rPr>
          <w:t xml:space="preserve">https://proceedings.mlr.press/v235/wang24cg.html</w:t>
        </w:r>
      </w:hyperlink>
    </w:p>
    <w:p>
      <w:pPr>
        <w:keepNext/>
        <w:spacing w:after="80" w:line="240" w:lineRule="auto"/>
      </w:pPr>
      <w:r>
        <w:rPr>
          <w:b/>
          <w:bCs/>
          <w:color w:val="333B47"/>
          <w:sz w:val="15"/>
          <w:szCs w:val="15"/>
        </w:rPr>
        <w:t xml:space="preserve">Affiliation: </w:t>
      </w:r>
      <w:r>
        <w:rPr>
          <w:color w:val="3A4350"/>
          <w:sz w:val="15"/>
          <w:szCs w:val="15"/>
        </w:rPr>
        <w:t xml:space="preserve">Jiachen T. Wang, Princeton University; Ruoxi Jia, Virginia Tech; the other authors at East China Normal University, Stanford University and Columbia University (search summary of the arXiv 2405.03875 author block). Volume, pages and oral status from the PMLR/MLAnthology entries and the ICML 2024 oral session listing in search results.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5B21B6"/>
          <w:sz w:val="17"/>
          <w:szCs w:val="17"/>
        </w:rPr>
        <w:t xml:space="preserve">Summary. </w:t>
      </w:r>
      <w:r>
        <w:rPr>
          <w:sz w:val="17"/>
          <w:szCs w:val="17"/>
        </w:rPr>
        <w:t xml:space="preserve">Data Shapley values a data point by its average marginal contribution to a utility </w:t>
      </w:r>
      <m:oMath>
        <m:r>
          <m:t>U</m:t>
        </m:r>
        <m:d>
          <m:dPr>
            <m:begChr m:val="("/>
            <m:sepChr m:val=""/>
            <m:endChr m:val=")"/>
            <m:grow/>
          </m:dPr>
          <m:e>
            <m:r>
              <m:t>S</m:t>
            </m:r>
          </m:e>
        </m:d>
      </m:oMath>
      <w:r>
        <w:rPr>
          <w:sz w:val="17"/>
          <w:szCs w:val="17"/>
        </w:rPr>
        <w:t xml:space="preserve">, such as validation accuracy, and is often used to select training data, with inconsistent results. The paper casts Shapley-based selection as a hypothesis-testing problem and shows that, without restrictions on the utility, selecting by Shapley value can be no better than random selection. It then identifies a class where Shapley selection is optimal: monotonically transformed modular utilities, </w:t>
      </w:r>
      <m:oMath>
        <m:r>
          <m:t>U</m:t>
        </m:r>
        <m:d>
          <m:dPr>
            <m:begChr m:val="("/>
            <m:sepChr m:val=""/>
            <m:endChr m:val=")"/>
            <m:grow/>
          </m:dPr>
          <m:e>
            <m:r>
              <m:t>S</m:t>
            </m:r>
          </m:e>
        </m:d>
        <m:r>
          <m:rPr>
            <m:sty m:val="p"/>
          </m:rPr>
          <m:t>=</m:t>
        </m:r>
        <m:r>
          <m:t>g</m:t>
        </m:r>
        <m:d>
          <m:dPr>
            <m:begChr m:val="("/>
            <m:sepChr m:val=""/>
            <m:endChr m:val=")"/>
            <m:grow/>
          </m:dPr>
          <m:e>
            <m:nary>
              <m:naryPr>
                <m:chr m:val="∑"/>
                <m:limLoc m:val="undOvr"/>
                <m:subHide m:val="off"/>
                <m:supHide m:val="on"/>
              </m:naryPr>
              <m:sub>
                <m:r>
                  <m:t>l</m:t>
                </m:r>
                <m:r>
                  <m:rPr>
                    <m:sty m:val="p"/>
                  </m:rPr>
                  <m:t>∈</m:t>
                </m:r>
                <m:r>
                  <m:t>S</m:t>
                </m:r>
              </m:sub>
              <m:sup>
                <m:r>
                  <m:t>​</m:t>
                </m:r>
              </m:sup>
              <m:e>
                <m:sSub>
                  <m:e>
                    <m:r>
                      <m:t>w</m:t>
                    </m:r>
                  </m:e>
                  <m:sub>
                    <m:r>
                      <m:t>l</m:t>
                    </m:r>
                  </m:sub>
                </m:sSub>
              </m:e>
            </m:nary>
          </m:e>
        </m:d>
      </m:oMath>
      <w:r>
        <w:rPr>
          <w:sz w:val="17"/>
          <w:szCs w:val="17"/>
        </w:rPr>
        <w:t xml:space="preserve"> with </w:t>
      </w:r>
      <m:oMath>
        <m:r>
          <m:t>g</m:t>
        </m:r>
      </m:oMath>
      <w:r>
        <w:rPr>
          <w:sz w:val="17"/>
          <w:szCs w:val="17"/>
        </w:rPr>
        <w:t xml:space="preserve"> increasing, for which the </w:t>
      </w:r>
      <m:oMath>
        <m:r>
          <m:t>k</m:t>
        </m:r>
      </m:oMath>
      <w:r>
        <w:rPr>
          <w:sz w:val="17"/>
          <w:szCs w:val="17"/>
        </w:rPr>
        <w:t xml:space="preserve"> highest values give the best subset of size </w:t>
      </w:r>
      <m:oMath>
        <m:r>
          <m:t>k</m:t>
        </m:r>
      </m:oMath>
      <w:r>
        <w:rPr>
          <w:sz w:val="17"/>
          <w:szCs w:val="17"/>
        </w:rPr>
        <w:t xml:space="preserve">. A heuristic uses how well a utility is fitted by such a function to predict when Shapley selection will work.</w:t>
      </w:r>
    </w:p>
    <w:p>
      <w:pPr>
        <w:keepNext/>
        <w:spacing w:after="20" w:before="40"/>
      </w:pPr>
      <w:r>
        <w:rPr>
          <w:b/>
          <w:bCs/>
          <w:color w:val="5B21B6"/>
          <w:sz w:val="17"/>
          <w:szCs w:val="17"/>
        </w:rPr>
        <w:t xml:space="preserve">Key equation.</w:t>
      </w:r>
      <w:r>
        <w:rPr>
          <w:i/>
          <w:iCs/>
          <w:color w:val="5B6573"/>
          <w:sz w:val="15"/>
          <w:szCs w:val="15"/>
        </w:rPr>
        <w:t xml:space="preserve">  Shapley-value difference under a monotonically transformed modular utility (standard Shapley identity applied to the paper's utility class; representative formulation)</w:t>
      </w:r>
    </w:p>
    <w:p>
      <w:pPr>
        <w:pStyle w:val="Equation"/>
      </w:pPr>
      <m:oMathPara>
        <m:oMathParaPr>
          <m:jc m:val="center"/>
        </m:oMathParaPr>
        <m:oMath>
          <m:r>
            <m:t>U</m:t>
          </m:r>
          <m:d>
            <m:dPr>
              <m:begChr m:val="("/>
              <m:sepChr m:val=""/>
              <m:endChr m:val=")"/>
              <m:grow/>
            </m:dPr>
            <m:e>
              <m:r>
                <m:t>S</m:t>
              </m:r>
            </m:e>
          </m:d>
          <m:r>
            <m:rPr>
              <m:sty m:val="p"/>
            </m:rPr>
            <m:t>=</m:t>
          </m:r>
          <m:r>
            <m:t>g</m:t>
          </m:r>
          <m:d>
            <m:dPr>
              <m:begChr m:val="("/>
              <m:sepChr m:val=""/>
              <m:endChr m:val=")"/>
              <m:grow/>
            </m:dPr>
            <m:e>
              <m:nary>
                <m:naryPr>
                  <m:chr m:val="∑"/>
                  <m:limLoc m:val="undOvr"/>
                  <m:subHide m:val="off"/>
                  <m:supHide m:val="on"/>
                </m:naryPr>
                <m:sub>
                  <m:r>
                    <m:t>l</m:t>
                  </m:r>
                  <m:r>
                    <m:rPr>
                      <m:sty m:val="p"/>
                    </m:rPr>
                    <m:t>∈</m:t>
                  </m:r>
                  <m:r>
                    <m:t>S</m:t>
                  </m:r>
                </m:sub>
                <m:sup>
                  <m:r>
                    <m:t>​</m:t>
                  </m:r>
                </m:sup>
                <m:e>
                  <m:sSub>
                    <m:e>
                      <m:r>
                        <m:t>w</m:t>
                      </m:r>
                    </m:e>
                    <m:sub>
                      <m:r>
                        <m:t>l</m:t>
                      </m:r>
                    </m:sub>
                  </m:sSub>
                </m:e>
              </m:nary>
            </m:e>
          </m:d>
          <m:r>
            <m:rPr>
              <m:sty m:val="p"/>
            </m:rPr>
            <m:t>⇒</m:t>
          </m:r>
          <m:sSub>
            <m:e>
              <m:r>
                <m:t>ϕ</m:t>
              </m:r>
            </m:e>
            <m:sub>
              <m:r>
                <m:t>i</m:t>
              </m:r>
            </m:sub>
          </m:sSub>
          <m:r>
            <m:rPr>
              <m:sty m:val="p"/>
            </m:rPr>
            <m:t>−</m:t>
          </m:r>
          <m:sSub>
            <m:e>
              <m:r>
                <m:t>ϕ</m:t>
              </m:r>
            </m:e>
            <m:sub>
              <m:r>
                <m:t>j</m:t>
              </m:r>
            </m:sub>
          </m:sSub>
          <m:r>
            <m:rPr>
              <m:sty m:val="p"/>
            </m:rPr>
            <m:t>=</m:t>
          </m:r>
          <m:nary>
            <m:naryPr>
              <m:chr m:val="∑"/>
              <m:limLoc m:val="undOvr"/>
              <m:subHide m:val="off"/>
              <m:supHide m:val="on"/>
            </m:naryPr>
            <m:sub>
              <m:r>
                <m:t>S</m:t>
              </m:r>
              <m:r>
                <m:rPr>
                  <m:sty m:val="p"/>
                </m:rPr>
                <m:t>⊆</m:t>
              </m:r>
              <m:r>
                <m:t>N</m:t>
              </m:r>
              <m:r>
                <m:rPr>
                  <m:sty m:val="p"/>
                </m:rPr>
                <m:t>∖</m:t>
              </m:r>
              <m:d>
                <m:dPr>
                  <m:begChr m:val="{"/>
                  <m:sepChr m:val=""/>
                  <m:endChr m:val="}"/>
                  <m:grow/>
                </m:dPr>
                <m:e>
                  <m:r>
                    <m:t>i</m:t>
                  </m:r>
                  <m:r>
                    <m:rPr>
                      <m:sty m:val="p"/>
                    </m:rPr>
                    <m:t>,</m:t>
                  </m:r>
                  <m:r>
                    <m:t>j</m:t>
                  </m:r>
                </m:e>
              </m:d>
            </m:sub>
            <m:sup>
              <m:r>
                <m:t>​</m:t>
              </m:r>
            </m:sup>
            <m:e>
              <m:f>
                <m:fPr>
                  <m:type m:val="bar"/>
                </m:fPr>
                <m:num>
                  <m:d>
                    <m:dPr>
                      <m:begChr m:val="|"/>
                      <m:sepChr m:val=""/>
                      <m:endChr m:val="|"/>
                      <m:grow/>
                    </m:dPr>
                    <m:e>
                      <m:r>
                        <m:t>S</m:t>
                      </m:r>
                    </m:e>
                  </m:d>
                  <m:r>
                    <m:rPr>
                      <m:sty m:val="p"/>
                    </m:rPr>
                    <m:t>!</m:t>
                  </m:r>
                  <m:d>
                    <m:dPr>
                      <m:begChr m:val="("/>
                      <m:sepChr m:val=""/>
                      <m:endChr m:val=")"/>
                      <m:grow/>
                    </m:dPr>
                    <m:e>
                      <m:r>
                        <m:t>n</m:t>
                      </m:r>
                      <m:r>
                        <m:rPr>
                          <m:sty m:val="p"/>
                        </m:rPr>
                        <m:t>−</m:t>
                      </m:r>
                      <m:d>
                        <m:dPr>
                          <m:begChr m:val="|"/>
                          <m:sepChr m:val=""/>
                          <m:endChr m:val="|"/>
                          <m:grow/>
                        </m:dPr>
                        <m:e>
                          <m:r>
                            <m:t>S</m:t>
                          </m:r>
                        </m:e>
                      </m:d>
                      <m:r>
                        <m:rPr>
                          <m:sty m:val="p"/>
                        </m:rPr>
                        <m:t>−</m:t>
                      </m:r>
                      <m:r>
                        <m:t>2</m:t>
                      </m:r>
                    </m:e>
                  </m:d>
                  <m:r>
                    <m:rPr>
                      <m:sty m:val="p"/>
                    </m:rPr>
                    <m:t>!</m:t>
                  </m:r>
                </m:num>
                <m:den>
                  <m:d>
                    <m:dPr>
                      <m:begChr m:val="("/>
                      <m:sepChr m:val=""/>
                      <m:endChr m:val=")"/>
                      <m:grow/>
                    </m:dPr>
                    <m:e>
                      <m:r>
                        <m:t>n</m:t>
                      </m:r>
                      <m:r>
                        <m:rPr>
                          <m:sty m:val="p"/>
                        </m:rPr>
                        <m:t>−</m:t>
                      </m:r>
                      <m:r>
                        <m:t>1</m:t>
                      </m:r>
                    </m:e>
                  </m:d>
                  <m:r>
                    <m:rPr>
                      <m:sty m:val="p"/>
                    </m:rPr>
                    <m:t>!</m:t>
                  </m:r>
                </m:den>
              </m:f>
            </m:e>
          </m:nary>
          <m:d>
            <m:dPr>
              <m:begChr m:val="["/>
              <m:sepChr m:val=""/>
              <m:endChr m:val="]"/>
              <m:grow/>
            </m:dPr>
            <m:e>
              <m:r>
                <m:t>g</m:t>
              </m:r>
              <m:d>
                <m:dPr>
                  <m:begChr m:val="("/>
                  <m:sepChr m:val=""/>
                  <m:endChr m:val=")"/>
                  <m:grow/>
                </m:dPr>
                <m:e>
                  <m:sSub>
                    <m:e>
                      <m:r>
                        <m:t>W</m:t>
                      </m:r>
                    </m:e>
                    <m:sub>
                      <m:r>
                        <m:t>S</m:t>
                      </m:r>
                    </m:sub>
                  </m:sSub>
                  <m:r>
                    <m:rPr>
                      <m:sty m:val="p"/>
                    </m:rPr>
                    <m:t>+</m:t>
                  </m:r>
                  <m:sSub>
                    <m:e>
                      <m:r>
                        <m:t>w</m:t>
                      </m:r>
                    </m:e>
                    <m:sub>
                      <m:r>
                        <m:t>i</m:t>
                      </m:r>
                    </m:sub>
                  </m:sSub>
                </m:e>
              </m:d>
              <m:r>
                <m:rPr>
                  <m:sty m:val="p"/>
                </m:rPr>
                <m:t>−</m:t>
              </m:r>
              <m:r>
                <m:t>g</m:t>
              </m:r>
              <m:d>
                <m:dPr>
                  <m:begChr m:val="("/>
                  <m:sepChr m:val=""/>
                  <m:endChr m:val=")"/>
                  <m:grow/>
                </m:dPr>
                <m:e>
                  <m:sSub>
                    <m:e>
                      <m:r>
                        <m:t>W</m:t>
                      </m:r>
                    </m:e>
                    <m:sub>
                      <m:r>
                        <m:t>S</m:t>
                      </m:r>
                    </m:sub>
                  </m:sSub>
                  <m:r>
                    <m:rPr>
                      <m:sty m:val="p"/>
                    </m:rPr>
                    <m:t>+</m:t>
                  </m:r>
                  <m:sSub>
                    <m:e>
                      <m:r>
                        <m:t>w</m:t>
                      </m:r>
                    </m:e>
                    <m:sub>
                      <m:r>
                        <m:t>j</m:t>
                      </m:r>
                    </m:sub>
                  </m:sSub>
                </m:e>
              </m:d>
            </m:e>
          </m:d>
        </m:oMath>
      </m:oMathPara>
    </w:p>
    <w:p>
      <w:pPr>
        <w:spacing w:after="60"/>
        <w:jc w:val="both"/>
      </w:pPr>
      <m:oMath>
        <m:r>
          <m:t>N</m:t>
        </m:r>
      </m:oMath>
      <w:r>
        <w:rPr>
          <w:color w:val="3A4350"/>
          <w:sz w:val="15"/>
          <w:szCs w:val="15"/>
        </w:rPr>
        <w:t xml:space="preserve"> is the set of </w:t>
      </w:r>
      <m:oMath>
        <m:r>
          <m:t>n</m:t>
        </m:r>
      </m:oMath>
      <w:r>
        <w:rPr>
          <w:color w:val="3A4350"/>
          <w:sz w:val="15"/>
          <w:szCs w:val="15"/>
        </w:rPr>
        <w:t xml:space="preserve"> data points (or data holders), </w:t>
      </w:r>
      <m:oMath>
        <m:sSub>
          <m:e>
            <m:r>
              <m:t>w</m:t>
            </m:r>
          </m:e>
          <m:sub>
            <m:r>
              <m:t>l</m:t>
            </m:r>
          </m:sub>
        </m:sSub>
      </m:oMath>
      <w:r>
        <w:rPr>
          <w:color w:val="3A4350"/>
          <w:sz w:val="15"/>
          <w:szCs w:val="15"/>
        </w:rPr>
        <w:t xml:space="preserve"> the additive weight of point </w:t>
      </w:r>
      <m:oMath>
        <m:r>
          <m:t>l</m:t>
        </m:r>
      </m:oMath>
      <w:r>
        <w:rPr>
          <w:color w:val="3A4350"/>
          <w:sz w:val="15"/>
          <w:szCs w:val="15"/>
        </w:rPr>
        <w:t xml:space="preserve">, </w:t>
      </w:r>
      <m:oMath>
        <m:sSub>
          <m:e>
            <m:r>
              <m:t>W</m:t>
            </m:r>
          </m:e>
          <m:sub>
            <m:r>
              <m:t>S</m:t>
            </m:r>
          </m:sub>
        </m:sSub>
        <m:r>
          <m:rPr>
            <m:sty m:val="p"/>
          </m:rPr>
          <m:t>=</m:t>
        </m:r>
        <m:nary>
          <m:naryPr>
            <m:chr m:val="∑"/>
            <m:limLoc m:val="undOvr"/>
            <m:subHide m:val="off"/>
            <m:supHide m:val="on"/>
          </m:naryPr>
          <m:sub>
            <m:r>
              <m:t>l</m:t>
            </m:r>
            <m:r>
              <m:rPr>
                <m:sty m:val="p"/>
              </m:rPr>
              <m:t>∈</m:t>
            </m:r>
            <m:r>
              <m:t>S</m:t>
            </m:r>
          </m:sub>
          <m:sup>
            <m:r>
              <m:t>​</m:t>
            </m:r>
          </m:sup>
          <m:e>
            <m:sSub>
              <m:e>
                <m:r>
                  <m:t>w</m:t>
                </m:r>
              </m:e>
              <m:sub>
                <m:r>
                  <m:t>l</m:t>
                </m:r>
              </m:sub>
            </m:sSub>
          </m:e>
        </m:nary>
      </m:oMath>
      <w:r>
        <w:rPr>
          <w:color w:val="3A4350"/>
          <w:sz w:val="15"/>
          <w:szCs w:val="15"/>
        </w:rPr>
        <w:t xml:space="preserve"> and </w:t>
      </w:r>
      <m:oMath>
        <m:r>
          <m:t>g</m:t>
        </m:r>
      </m:oMath>
      <w:r>
        <w:rPr>
          <w:color w:val="3A4350"/>
          <w:sz w:val="15"/>
          <w:szCs w:val="15"/>
        </w:rPr>
        <w:t xml:space="preserve"> increasing; every bracket has the sign of </w:t>
      </w:r>
      <m:oMath>
        <m:sSub>
          <m:e>
            <m:r>
              <m:t>w</m:t>
            </m:r>
          </m:e>
          <m:sub>
            <m:r>
              <m:t>i</m:t>
            </m:r>
          </m:sub>
        </m:sSub>
        <m:r>
          <m:rPr>
            <m:sty m:val="p"/>
          </m:rPr>
          <m:t>−</m:t>
        </m:r>
        <m:sSub>
          <m:e>
            <m:r>
              <m:t>w</m:t>
            </m:r>
          </m:e>
          <m:sub>
            <m:r>
              <m:t>j</m:t>
            </m:r>
          </m:sub>
        </m:sSub>
      </m:oMath>
      <w:r>
        <w:rPr>
          <w:color w:val="3A4350"/>
          <w:sz w:val="15"/>
          <w:szCs w:val="15"/>
        </w:rPr>
        <w:t xml:space="preserve">, so the Shapley ranking equals the weight ranking and the top-</w:t>
      </w:r>
      <m:oMath>
        <m:r>
          <m:t>k</m:t>
        </m:r>
      </m:oMath>
      <w:r>
        <w:rPr>
          <w:color w:val="3A4350"/>
          <w:sz w:val="15"/>
          <w:szCs w:val="15"/>
        </w:rPr>
        <w:t xml:space="preserve"> Shapley subset maximises </w:t>
      </w:r>
      <m:oMath>
        <m:r>
          <m:t>U</m:t>
        </m:r>
      </m:oMath>
      <w:r>
        <w:rPr>
          <w:color w:val="3A4350"/>
          <w:sz w:val="15"/>
          <w:szCs w:val="15"/>
        </w:rPr>
        <w:t xml:space="preserve"> among subsets of size </w:t>
      </w:r>
      <m:oMath>
        <m:r>
          <m:t>k</m:t>
        </m:r>
      </m:oMath>
      <w:r>
        <w:rPr>
          <w:color w:val="3A4350"/>
          <w:sz w:val="15"/>
          <w:szCs w:val="15"/>
        </w:rPr>
        <w:t xml:space="preserve">.</w:t>
      </w:r>
    </w:p>
    <w:p>
      <w:pPr>
        <w:spacing w:after="60"/>
        <w:jc w:val="both"/>
      </w:pPr>
      <w:r>
        <w:rPr>
          <w:b/>
          <w:bCs/>
          <w:color w:val="5B21B6"/>
          <w:sz w:val="17"/>
          <w:szCs w:val="17"/>
        </w:rPr>
        <w:t xml:space="preserve">Link to the Fushë-Kuqe record holders. </w:t>
      </w:r>
      <w:r>
        <w:rPr>
          <w:sz w:val="17"/>
          <w:szCs w:val="17"/>
        </w:rPr>
        <w:t xml:space="preserve">Belongs to theme G (incentives, cooperative games and collaborative learning). For the six Fushë-Kuqe holders the utility is not modular: coastal hotels (always high pumping) and municipal coastal wells (always low) are worth little alone but together identify the coastal CATE. The paper implies that ranking holders by Shapley value and merging the top ones can then mislead.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explains, with a formal hypothesis-testing argument, why Data Shapley sometimes selects data well and sometimes no better than chance, and pins down the utility class in which it is optimal. It was an oral paper at ICML 2024 (listed as the top 1.5% of submissions).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covers additive utilities and their monotone transforms. How far Shapley-based coalition choice falls short of the best coalition when holders are complements, as with overlap between pumping regimes, and how to bound that loss from Gram matrices,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hypothesis-testing view of value-based selection, showing it cannot beat random selection without constraints on the utility, and an exact class (monotone transforms of modular utilities) in which Shapley selection is optimal. Proposed extension: for the six Fushë-Kuqe holders, fit the expected information gain about the coastal CATE over all 64 coalitions by </w:t>
      </w:r>
      <m:oMath>
        <m:r>
          <m:t>g</m:t>
        </m:r>
        <m:d>
          <m:dPr>
            <m:begChr m:val="("/>
            <m:sepChr m:val=""/>
            <m:endChr m:val=")"/>
            <m:grow/>
          </m:dPr>
          <m:e>
            <m:r>
              <m:rPr>
                <m:sty m:val="p"/>
              </m:rPr>
              <m:t>∑</m:t>
            </m:r>
            <m:r>
              <m:t>w</m:t>
            </m:r>
          </m:e>
        </m:d>
      </m:oMath>
      <w:r>
        <w:rPr>
          <w:sz w:val="17"/>
          <w:szCs w:val="17"/>
        </w:rPr>
        <w:t xml:space="preserve"> on secret shares; if the fit is poor, choose the coalition by direct search rather than by Shapley rank.</w:t>
      </w:r>
    </w:p>
    <w:p>
      <w:pPr>
        <w:keepNext/>
        <w:pBdr>
          <w:top w:val="single" w:color="5B21B6" w:sz="6" w:space="4"/>
        </w:pBdr>
        <w:spacing w:after="60" w:before="220"/>
      </w:pPr>
      <w:r>
        <w:rPr>
          <w:b/>
          <w:bCs/>
          <w:color w:val="5B21B6"/>
          <w:sz w:val="23"/>
          <w:szCs w:val="23"/>
        </w:rPr>
        <w:t xml:space="preserve">G2  </w:t>
      </w:r>
      <w:r>
        <w:rPr>
          <w:b/>
          <w:bCs/>
          <w:color w:val="1F3864"/>
          <w:sz w:val="23"/>
          <w:szCs w:val="23"/>
        </w:rPr>
        <w:t xml:space="preserve">Towards data auctions with externalities</w:t>
      </w:r>
    </w:p>
    <w:p>
      <w:pPr>
        <w:keepNext/>
        <w:spacing w:after="60" w:line="240" w:lineRule="auto"/>
      </w:pPr>
      <w:r>
        <w:rPr>
          <w:b/>
          <w:bCs/>
          <w:color w:val="333B47"/>
          <w:sz w:val="15"/>
          <w:szCs w:val="15"/>
        </w:rPr>
        <w:t xml:space="preserve">Authors: </w:t>
      </w:r>
      <w:r>
        <w:rPr>
          <w:sz w:val="15"/>
          <w:szCs w:val="15"/>
        </w:rPr>
        <w:t xml:space="preserve">Anish Agarwal, Munther Dahleh, Thibaut Horel, Maryann Rui</w:t>
      </w:r>
      <w:r>
        <w:rPr>
          <w:sz w:val="15"/>
          <w:szCs w:val="15"/>
        </w:rPr>
        <w:t xml:space="preserve">   </w:t>
      </w:r>
      <w:r>
        <w:rPr>
          <w:b/>
          <w:bCs/>
          <w:color w:val="333B47"/>
          <w:sz w:val="15"/>
          <w:szCs w:val="15"/>
        </w:rPr>
        <w:t xml:space="preserve">Published in: </w:t>
      </w:r>
      <w:r>
        <w:rPr>
          <w:sz w:val="15"/>
          <w:szCs w:val="15"/>
        </w:rPr>
        <w:t xml:space="preserve">Games and Economic Behavior, 148, pp. 323–356 (November 2024)</w:t>
      </w:r>
      <w:r>
        <w:rPr>
          <w:sz w:val="15"/>
          <w:szCs w:val="15"/>
        </w:rPr>
        <w:t xml:space="preserve">   </w:t>
      </w:r>
      <w:r>
        <w:rPr>
          <w:b/>
          <w:bCs/>
          <w:color w:val="333B47"/>
          <w:sz w:val="15"/>
          <w:szCs w:val="15"/>
        </w:rPr>
        <w:t xml:space="preserve">Link: </w:t>
      </w:r>
      <w:hyperlink w:history="1" r:id="rIdl6vumsdhar_seszu9ch1p">
        <w:r>
          <w:rPr>
            <w:color w:val="1D4ED8"/>
            <w:sz w:val="15"/>
            <w:szCs w:val="15"/>
            <w:u w:val="single"/>
          </w:rPr>
          <w:t xml:space="preserve">https://doi.org/10.1016/j.geb.2024.09.008</w:t>
        </w:r>
      </w:hyperlink>
    </w:p>
    <w:p>
      <w:pPr>
        <w:keepNext/>
        <w:spacing w:after="80" w:line="240" w:lineRule="auto"/>
      </w:pPr>
      <w:r>
        <w:rPr>
          <w:b/>
          <w:bCs/>
          <w:color w:val="333B47"/>
          <w:sz w:val="15"/>
          <w:szCs w:val="15"/>
        </w:rPr>
        <w:t xml:space="preserve">Affiliation: </w:t>
      </w:r>
      <w:r>
        <w:rPr>
          <w:color w:val="3A4350"/>
          <w:sz w:val="15"/>
          <w:szCs w:val="15"/>
        </w:rPr>
        <w:t xml:space="preserve">MIT Institute for Data, Systems, and Society and LIDS (search summaries of the arXiv 2003.08345 record and an MIT LIDS seminar page, which list the authors at MIT). Volume, pages and DOI from the RePEc and journal metadata in search results.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5B21B6"/>
          <w:sz w:val="17"/>
          <w:szCs w:val="17"/>
        </w:rPr>
        <w:t xml:space="preserve">Summary. </w:t>
      </w:r>
      <w:r>
        <w:rPr>
          <w:sz w:val="17"/>
          <w:szCs w:val="17"/>
        </w:rPr>
        <w:t xml:space="preserve">A monopolist sells data to </w:t>
      </w:r>
      <m:oMath>
        <m:r>
          <m:t>n</m:t>
        </m:r>
      </m:oMath>
      <w:r>
        <w:rPr>
          <w:sz w:val="17"/>
          <w:szCs w:val="17"/>
        </w:rPr>
        <w:t xml:space="preserve"> firms that compete downstream, so a firm loses when data also go to its rivals. Modelling each firm's utility through its gain in prediction accuracy reduces the combinatorial problem of allocating and pricing several datasets to auctioning one freely replicable good. The paper derives welfare- and revenue-maximising mechanisms and shows that their form depends on whether firms privately know the externalities they impose on others or those that others impose on them. Under its assumptions the optimal allocation is a single threshold per firm (all the data or none), and the seller's revenue rises when firms can pay to stop data going to competitors.</w:t>
      </w:r>
    </w:p>
    <w:p>
      <w:pPr>
        <w:keepNext/>
        <w:spacing w:after="20" w:before="40"/>
      </w:pPr>
      <w:r>
        <w:rPr>
          <w:b/>
          <w:bCs/>
          <w:color w:val="5B21B6"/>
          <w:sz w:val="17"/>
          <w:szCs w:val="17"/>
        </w:rPr>
        <w:t xml:space="preserve">Key equation.</w:t>
      </w:r>
      <w:r>
        <w:rPr>
          <w:i/>
          <w:iCs/>
          <w:color w:val="5B6573"/>
          <w:sz w:val="15"/>
          <w:szCs w:val="15"/>
        </w:rPr>
        <w:t xml:space="preserve">  Firm utility with linear allocative externalities and the threshold form of the optimal allocation (representative formulation)</w:t>
      </w:r>
    </w:p>
    <w:p>
      <w:pPr>
        <w:pStyle w:val="Equation"/>
      </w:pPr>
      <m:oMathPara>
        <m:oMathParaPr>
          <m:jc m:val="center"/>
        </m:oMathParaPr>
        <m:oMath>
          <m:sSub>
            <m:e>
              <m:r>
                <m:t>u</m:t>
              </m:r>
            </m:e>
            <m:sub>
              <m:r>
                <m:t>i</m:t>
              </m:r>
            </m:sub>
          </m:sSub>
          <m:d>
            <m:dPr>
              <m:begChr m:val="("/>
              <m:sepChr m:val=""/>
              <m:endChr m:val=")"/>
              <m:grow/>
            </m:dPr>
            <m:e>
              <m:r>
                <m:t>x</m:t>
              </m:r>
              <m:r>
                <m:rPr>
                  <m:sty m:val="p"/>
                </m:rPr>
                <m:t>,</m:t>
              </m:r>
              <m:r>
                <m:t>p</m:t>
              </m:r>
            </m:e>
          </m:d>
          <m:r>
            <m:rPr>
              <m:sty m:val="p"/>
            </m:rPr>
            <m:t>=</m:t>
          </m:r>
          <m:sSub>
            <m:e>
              <m:r>
                <m:t>θ</m:t>
              </m:r>
            </m:e>
            <m:sub>
              <m:r>
                <m:t>i</m:t>
              </m:r>
            </m:sub>
          </m:sSub>
          <m:sSub>
            <m:e>
              <m:r>
                <m:t>x</m:t>
              </m:r>
            </m:e>
            <m:sub>
              <m:r>
                <m:t>i</m:t>
              </m:r>
            </m:sub>
          </m:sSub>
          <m:r>
            <m:rPr>
              <m:sty m:val="p"/>
            </m:rPr>
            <m:t>−</m:t>
          </m:r>
          <m:nary>
            <m:naryPr>
              <m:chr m:val="∑"/>
              <m:limLoc m:val="undOvr"/>
              <m:subHide m:val="off"/>
              <m:supHide m:val="on"/>
            </m:naryPr>
            <m:sub>
              <m:r>
                <m:t>j</m:t>
              </m:r>
              <m:r>
                <m:rPr>
                  <m:sty m:val="p"/>
                </m:rPr>
                <m:t>≠</m:t>
              </m:r>
              <m:r>
                <m:t>i</m:t>
              </m:r>
            </m:sub>
            <m:sup>
              <m:r>
                <m:t>​</m:t>
              </m:r>
            </m:sup>
            <m:e>
              <m:sSub>
                <m:e>
                  <m:r>
                    <m:t>α</m:t>
                  </m:r>
                </m:e>
                <m:sub>
                  <m:r>
                    <m:t>i</m:t>
                  </m:r>
                  <m:r>
                    <m:t>j</m:t>
                  </m:r>
                </m:sub>
              </m:sSub>
            </m:e>
          </m:nary>
          <m:sSub>
            <m:e>
              <m:r>
                <m:t>x</m:t>
              </m:r>
            </m:e>
            <m:sub>
              <m:r>
                <m:t>j</m:t>
              </m:r>
            </m:sub>
          </m:sSub>
          <m:r>
            <m:rPr>
              <m:sty m:val="p"/>
            </m:rPr>
            <m:t>−</m:t>
          </m:r>
          <m:sSub>
            <m:e>
              <m:r>
                <m:t>p</m:t>
              </m:r>
            </m:e>
            <m:sub>
              <m:r>
                <m:t>i</m:t>
              </m:r>
            </m:sub>
          </m:sSub>
          <m:r>
            <m:rPr>
              <m:sty m:val="p"/>
            </m:rPr>
            <m:t>,</m:t>
          </m:r>
          <m:r>
            <m:t>  </m:t>
          </m:r>
          <m:sSubSup>
            <m:e>
              <m:r>
                <m:t>x</m:t>
              </m:r>
            </m:e>
            <m:sub>
              <m:r>
                <m:t>i</m:t>
              </m:r>
            </m:sub>
            <m:sup>
              <m:r>
                <m:rPr>
                  <m:sty m:val="p"/>
                </m:rPr>
                <m:t>⋆</m:t>
              </m:r>
            </m:sup>
          </m:sSubSup>
          <m:d>
            <m:dPr>
              <m:begChr m:val="("/>
              <m:sepChr m:val=""/>
              <m:endChr m:val=")"/>
              <m:grow/>
            </m:dPr>
            <m:e>
              <m:r>
                <m:t>θ</m:t>
              </m:r>
            </m:e>
          </m:d>
          <m:r>
            <m:rPr>
              <m:sty m:val="p"/>
            </m:rPr>
            <m:t>=</m:t>
          </m:r>
          <m:r>
            <m:rPr>
              <m:sty m:val="b"/>
            </m:rPr>
            <m:t>1</m:t>
          </m:r>
          <m:d>
            <m:dPr>
              <m:begChr m:val="{"/>
              <m:sepChr m:val=""/>
              <m:endChr m:val="}"/>
              <m:grow/>
            </m:dPr>
            <m:e>
              <m:sSub>
                <m:e>
                  <m:r>
                    <m:t>θ</m:t>
                  </m:r>
                </m:e>
                <m:sub>
                  <m:r>
                    <m:t>i</m:t>
                  </m:r>
                </m:sub>
              </m:sSub>
              <m:r>
                <m:rPr>
                  <m:sty m:val="p"/>
                </m:rPr>
                <m:t>≥</m:t>
              </m:r>
              <m:sSub>
                <m:e>
                  <m:r>
                    <m:t>t</m:t>
                  </m:r>
                </m:e>
                <m:sub>
                  <m:r>
                    <m:t>i</m:t>
                  </m:r>
                </m:sub>
              </m:sSub>
            </m:e>
          </m:d>
        </m:oMath>
      </m:oMathPara>
    </w:p>
    <w:p>
      <w:pPr>
        <w:spacing w:after="60"/>
        <w:jc w:val="both"/>
      </w:pPr>
      <m:oMath>
        <m:sSub>
          <m:e>
            <m:r>
              <m:t>x</m:t>
            </m:r>
          </m:e>
          <m:sub>
            <m:r>
              <m:t>i</m:t>
            </m:r>
          </m:sub>
        </m:sSub>
        <m:r>
          <m:rPr>
            <m:sty m:val="p"/>
          </m:rPr>
          <m:t>∈</m:t>
        </m:r>
        <m:d>
          <m:dPr>
            <m:begChr m:val="{"/>
            <m:sepChr m:val=""/>
            <m:endChr m:val="}"/>
            <m:grow/>
          </m:dPr>
          <m:e>
            <m:r>
              <m:t>0</m:t>
            </m:r>
            <m:r>
              <m:rPr>
                <m:sty m:val="p"/>
              </m:rPr>
              <m:t>,</m:t>
            </m:r>
            <m:r>
              <m:t>1</m:t>
            </m:r>
          </m:e>
        </m:d>
      </m:oMath>
      <w:r>
        <w:rPr>
          <w:color w:val="3A4350"/>
          <w:sz w:val="15"/>
          <w:szCs w:val="15"/>
        </w:rPr>
        <w:t xml:space="preserve"> records whether firm </w:t>
      </w:r>
      <m:oMath>
        <m:r>
          <m:t>i</m:t>
        </m:r>
      </m:oMath>
      <w:r>
        <w:rPr>
          <w:color w:val="3A4350"/>
          <w:sz w:val="15"/>
          <w:szCs w:val="15"/>
        </w:rPr>
        <w:t xml:space="preserve"> receives the data, </w:t>
      </w:r>
      <m:oMath>
        <m:sSub>
          <m:e>
            <m:r>
              <m:t>θ</m:t>
            </m:r>
          </m:e>
          <m:sub>
            <m:r>
              <m:t>i</m:t>
            </m:r>
          </m:sub>
        </m:sSub>
      </m:oMath>
      <w:r>
        <w:rPr>
          <w:color w:val="3A4350"/>
          <w:sz w:val="15"/>
          <w:szCs w:val="15"/>
        </w:rPr>
        <w:t xml:space="preserve"> is its private gain from the data, </w:t>
      </w:r>
      <m:oMath>
        <m:sSub>
          <m:e>
            <m:r>
              <m:t>α</m:t>
            </m:r>
          </m:e>
          <m:sub>
            <m:r>
              <m:t>i</m:t>
            </m:r>
            <m:r>
              <m:t>j</m:t>
            </m:r>
          </m:sub>
        </m:sSub>
      </m:oMath>
      <w:r>
        <w:rPr>
          <w:color w:val="3A4350"/>
          <w:sz w:val="15"/>
          <w:szCs w:val="15"/>
        </w:rPr>
        <w:t xml:space="preserve"> the loss it suffers when rival </w:t>
      </w:r>
      <m:oMath>
        <m:r>
          <m:t>j</m:t>
        </m:r>
      </m:oMath>
      <w:r>
        <w:rPr>
          <w:color w:val="3A4350"/>
          <w:sz w:val="15"/>
          <w:szCs w:val="15"/>
        </w:rPr>
        <w:t xml:space="preserve"> is served, </w:t>
      </w:r>
      <m:oMath>
        <m:sSub>
          <m:e>
            <m:r>
              <m:t>p</m:t>
            </m:r>
          </m:e>
          <m:sub>
            <m:r>
              <m:t>i</m:t>
            </m:r>
          </m:sub>
        </m:sSub>
      </m:oMath>
      <w:r>
        <w:rPr>
          <w:color w:val="3A4350"/>
          <w:sz w:val="15"/>
          <w:szCs w:val="15"/>
        </w:rPr>
        <w:t xml:space="preserve"> its payment, and </w:t>
      </w:r>
      <m:oMath>
        <m:sSub>
          <m:e>
            <m:r>
              <m:t>t</m:t>
            </m:r>
          </m:e>
          <m:sub>
            <m:r>
              <m:t>i</m:t>
            </m:r>
          </m:sub>
        </m:sSub>
      </m:oMath>
      <w:r>
        <w:rPr>
          <w:color w:val="3A4350"/>
          <w:sz w:val="15"/>
          <w:szCs w:val="15"/>
        </w:rPr>
        <w:t xml:space="preserve"> a firm-specific threshold that the optimal mechanism sets from the type distributions and the externalities.</w:t>
      </w:r>
    </w:p>
    <w:p>
      <w:pPr>
        <w:spacing w:after="60"/>
        <w:jc w:val="both"/>
      </w:pPr>
      <w:r>
        <w:rPr>
          <w:b/>
          <w:bCs/>
          <w:color w:val="5B21B6"/>
          <w:sz w:val="17"/>
          <w:szCs w:val="17"/>
        </w:rPr>
        <w:t xml:space="preserve">Link to the Fushë-Kuqe record holders. </w:t>
      </w:r>
      <w:r>
        <w:rPr>
          <w:sz w:val="17"/>
          <w:szCs w:val="17"/>
        </w:rPr>
        <w:t xml:space="preserve">Belongs to theme G (incentives, cooperative games and collaborative learning). Fushë-Kuqe holders are rivals as well as partners: hotels and irrigators draw on the same coastal head, so records given to one change the pumping limits the others face. The paper shows how such externalities decide who should receive merged records and at what price.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exact welfare- and revenue-optimal mechanisms for selling a non-rival good whose value to each buyer depends on who else receives it, and shows the role of paying to exclude rivals. Published in Games and Economic Behavior (2024) after circulating on arXiv since 2020.</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model sells one dataset to buyers whose value is a gain in prediction accuracy. Pricing a merge in which every holder is both seller and buyer, and value is information gain about a causal effect, remains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reducing multi-dataset allocation with externalities to a single digital-good auction, and optimal mechanisms whose form depends on who privately knows the externalities. Proposed extension: treat each Fushë-Kuqe holder's expected information gain about the coastal CATE as its type, model the externality as the change in its allowed pumping when rivals learn the toe position, and test whether a per-holder threshold rule beats giving the merged data to all.</w:t>
      </w:r>
    </w:p>
    <w:p>
      <w:pPr>
        <w:keepNext/>
        <w:pBdr>
          <w:top w:val="single" w:color="5B21B6" w:sz="6" w:space="4"/>
        </w:pBdr>
        <w:spacing w:after="60" w:before="220"/>
      </w:pPr>
      <w:r>
        <w:rPr>
          <w:b/>
          <w:bCs/>
          <w:color w:val="5B21B6"/>
          <w:sz w:val="23"/>
          <w:szCs w:val="23"/>
        </w:rPr>
        <w:t xml:space="preserve">G3  </w:t>
      </w:r>
      <w:r>
        <w:rPr>
          <w:b/>
          <w:bCs/>
          <w:color w:val="1F3864"/>
          <w:sz w:val="23"/>
          <w:szCs w:val="23"/>
        </w:rPr>
        <w:t xml:space="preserve">Algorithmic Collective Action in Machine Learning</w:t>
      </w:r>
    </w:p>
    <w:p>
      <w:pPr>
        <w:keepNext/>
        <w:spacing w:after="60" w:line="240" w:lineRule="auto"/>
      </w:pPr>
      <w:r>
        <w:rPr>
          <w:b/>
          <w:bCs/>
          <w:color w:val="333B47"/>
          <w:sz w:val="15"/>
          <w:szCs w:val="15"/>
        </w:rPr>
        <w:t xml:space="preserve">Authors: </w:t>
      </w:r>
      <w:r>
        <w:rPr>
          <w:sz w:val="15"/>
          <w:szCs w:val="15"/>
        </w:rPr>
        <w:t xml:space="preserve">Moritz Hardt, Eric Mazumdar, Celestine Mendler-Dünner, Tijana Zrnic</w:t>
      </w:r>
      <w:r>
        <w:rPr>
          <w:sz w:val="15"/>
          <w:szCs w:val="15"/>
        </w:rPr>
        <w:t xml:space="preserve">   </w:t>
      </w:r>
      <w:r>
        <w:rPr>
          <w:b/>
          <w:bCs/>
          <w:color w:val="333B47"/>
          <w:sz w:val="15"/>
          <w:szCs w:val="15"/>
        </w:rPr>
        <w:t xml:space="preserve">Published in: </w:t>
      </w:r>
      <w:r>
        <w:rPr>
          <w:sz w:val="15"/>
          <w:szCs w:val="15"/>
        </w:rPr>
        <w:t xml:space="preserve">Proceedings of the 40th International Conference on Machine Learning (ICML 2023), PMLR 202, pp. 12570–12586 (2023)</w:t>
      </w:r>
      <w:r>
        <w:rPr>
          <w:sz w:val="15"/>
          <w:szCs w:val="15"/>
        </w:rPr>
        <w:t xml:space="preserve">   </w:t>
      </w:r>
      <w:r>
        <w:rPr>
          <w:b/>
          <w:bCs/>
          <w:color w:val="333B47"/>
          <w:sz w:val="15"/>
          <w:szCs w:val="15"/>
        </w:rPr>
        <w:t xml:space="preserve">Link: </w:t>
      </w:r>
      <w:hyperlink w:history="1" r:id="rIdkfaxitwihsgavxpxub4zb">
        <w:r>
          <w:rPr>
            <w:color w:val="1D4ED8"/>
            <w:sz w:val="15"/>
            <w:szCs w:val="15"/>
            <w:u w:val="single"/>
          </w:rPr>
          <w:t xml:space="preserve">https://proceedings.mlr.press/v202/hardt23a.html</w:t>
        </w:r>
      </w:hyperlink>
    </w:p>
    <w:p>
      <w:pPr>
        <w:keepNext/>
        <w:spacing w:after="80" w:line="240" w:lineRule="auto"/>
      </w:pPr>
      <w:r>
        <w:rPr>
          <w:b/>
          <w:bCs/>
          <w:color w:val="333B47"/>
          <w:sz w:val="15"/>
          <w:szCs w:val="15"/>
        </w:rPr>
        <w:t xml:space="preserve">Affiliation: </w:t>
      </w:r>
      <w:r>
        <w:rPr>
          <w:color w:val="3A4350"/>
          <w:sz w:val="15"/>
          <w:szCs w:val="15"/>
        </w:rPr>
        <w:t xml:space="preserve">Eric Mazumdar, California Institute of Technology (author list of arXiv 2302.04262 and the CaltechAUTHORS record 8fa1j-r0853, from search summaries); the project is also listed by the Max Planck Institute for Intelligent Systems (Social Foundations of Computation). Other individual affiliations not verified. Pages from the PMLR and MLAnthology entries.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5B21B6"/>
          <w:sz w:val="17"/>
          <w:szCs w:val="17"/>
        </w:rPr>
        <w:t xml:space="preserve">Summary. </w:t>
      </w:r>
      <w:r>
        <w:rPr>
          <w:sz w:val="17"/>
          <w:szCs w:val="17"/>
        </w:rPr>
        <w:t xml:space="preserve">A collective of users, a fraction </w:t>
      </w:r>
      <m:oMath>
        <m:r>
          <m:t>α</m:t>
        </m:r>
      </m:oMath>
      <w:r>
        <w:rPr>
          <w:sz w:val="17"/>
          <w:szCs w:val="17"/>
        </w:rPr>
        <w:t xml:space="preserve"> of a platform's population, pools its members' data and tells each member how to modify it, so that the platform's learner, trained on the mixture </w:t>
      </w:r>
      <m:oMath>
        <m:r>
          <m:t>α</m:t>
        </m:r>
        <m:sSup>
          <m:e>
            <m:r>
              <m:t>P</m:t>
            </m:r>
          </m:e>
          <m:sup>
            <m:r>
              <m:rPr>
                <m:sty m:val="p"/>
              </m:rPr>
              <m:t>⋆</m:t>
            </m:r>
          </m:sup>
        </m:sSup>
        <m:r>
          <m:rPr>
            <m:sty m:val="p"/>
          </m:rPr>
          <m:t>+</m:t>
        </m:r>
        <m:d>
          <m:dPr>
            <m:begChr m:val="("/>
            <m:sepChr m:val=""/>
            <m:endChr m:val=")"/>
            <m:grow/>
          </m:dPr>
          <m:e>
            <m:r>
              <m:t>1</m:t>
            </m:r>
            <m:r>
              <m:rPr>
                <m:sty m:val="p"/>
              </m:rPr>
              <m:t>−</m:t>
            </m:r>
            <m:r>
              <m:t>α</m:t>
            </m:r>
          </m:e>
        </m:d>
        <m:sSub>
          <m:e>
            <m:r>
              <m:t>P</m:t>
            </m:r>
          </m:e>
          <m:sub>
            <m:r>
              <m:t>0</m:t>
            </m:r>
          </m:sub>
        </m:sSub>
      </m:oMath>
      <w:r>
        <w:rPr>
          <w:sz w:val="17"/>
          <w:szCs w:val="17"/>
        </w:rPr>
        <w:t xml:space="preserve">, serves the collective's goal. The paper analyses three settings: nonparametric (near) Bayes-optimal learning, parametric risk minimisation and gradient-based optimisation. For planting a signal that should trigger a target label, it lower-bounds the probability of success in terms of </w:t>
      </w:r>
      <m:oMath>
        <m:r>
          <m:t>α</m:t>
        </m:r>
      </m:oMath>
      <w:r>
        <w:rPr>
          <w:sz w:val="17"/>
          <w:szCs w:val="17"/>
        </w:rPr>
        <w:t xml:space="preserve">, how rare the signal is in the base data and the learner's suboptimality, giving a critical mass beyond which success is near certain. Experiments on freelancer résumés with a BERT-like model track the theory.</w:t>
      </w:r>
    </w:p>
    <w:p>
      <w:pPr>
        <w:keepNext/>
        <w:spacing w:after="20" w:before="40"/>
      </w:pPr>
      <w:r>
        <w:rPr>
          <w:b/>
          <w:bCs/>
          <w:color w:val="5B21B6"/>
          <w:sz w:val="17"/>
          <w:szCs w:val="17"/>
        </w:rPr>
        <w:t xml:space="preserve">Key equation.</w:t>
      </w:r>
      <w:r>
        <w:rPr>
          <w:i/>
          <w:iCs/>
          <w:color w:val="5B6573"/>
          <w:sz w:val="15"/>
          <w:szCs w:val="15"/>
        </w:rPr>
        <w:t xml:space="preserve">  Success of a signal-planting collective against an ε-suboptimal classifier (representative formulation; constants and the signal-rarity measure not transcribed)</w:t>
      </w:r>
    </w:p>
    <w:p>
      <w:pPr>
        <w:pStyle w:val="Equation"/>
      </w:pPr>
      <m:oMathPara>
        <m:oMathParaPr>
          <m:jc m:val="center"/>
        </m:oMathParaPr>
        <m:oMath>
          <m:r>
            <m:t>S</m:t>
          </m:r>
          <m:d>
            <m:dPr>
              <m:begChr m:val="("/>
              <m:sepChr m:val=""/>
              <m:endChr m:val=")"/>
              <m:grow/>
            </m:dPr>
            <m:e>
              <m:r>
                <m:t>α</m:t>
              </m:r>
            </m:e>
          </m:d>
          <m:r>
            <m:rPr>
              <m:sty m:val="p"/>
            </m:rPr>
            <m:t>=</m:t>
          </m:r>
          <m:sSub>
            <m:e>
              <m:r>
                <m:rPr>
                  <m:scr m:val="double-struck"/>
                  <m:sty m:val="p"/>
                </m:rPr>
                <m:t>P</m:t>
              </m:r>
            </m:e>
            <m:sub>
              <m:r>
                <m:t>x</m:t>
              </m:r>
              <m:r>
                <m:rPr>
                  <m:sty m:val="p"/>
                </m:rPr>
                <m:t>∼</m:t>
              </m:r>
              <m:sSub>
                <m:e>
                  <m:r>
                    <m:t>P</m:t>
                  </m:r>
                </m:e>
                <m:sub>
                  <m:r>
                    <m:t>0</m:t>
                  </m:r>
                </m:sub>
              </m:sSub>
            </m:sub>
          </m:sSub>
          <m:d>
            <m:dPr>
              <m:begChr m:val="["/>
              <m:sepChr m:val=""/>
              <m:endChr m:val="]"/>
              <m:grow/>
            </m:dPr>
            <m:e>
              <m:r>
                <m:t>f</m:t>
              </m:r>
              <m:d>
                <m:dPr>
                  <m:begChr m:val="("/>
                  <m:sepChr m:val=""/>
                  <m:endChr m:val=")"/>
                  <m:grow/>
                </m:dPr>
                <m:e>
                  <m:r>
                    <m:t>g</m:t>
                  </m:r>
                  <m:d>
                    <m:dPr>
                      <m:begChr m:val="("/>
                      <m:sepChr m:val=""/>
                      <m:endChr m:val=")"/>
                      <m:grow/>
                    </m:dPr>
                    <m:e>
                      <m:r>
                        <m:t>x</m:t>
                      </m:r>
                    </m:e>
                  </m:d>
                </m:e>
              </m:d>
              <m:r>
                <m:rPr>
                  <m:sty m:val="p"/>
                </m:rPr>
                <m:t>=</m:t>
              </m:r>
              <m:sSup>
                <m:e>
                  <m:r>
                    <m:t>y</m:t>
                  </m:r>
                </m:e>
                <m:sup>
                  <m:r>
                    <m:rPr>
                      <m:sty m:val="p"/>
                    </m:rPr>
                    <m:t>⋆</m:t>
                  </m:r>
                </m:sup>
              </m:sSup>
            </m:e>
          </m:d>
          <m:r>
            <m:rPr>
              <m:sty m:val="p"/>
            </m:rPr>
            <m:t>≥</m:t>
          </m:r>
          <m:r>
            <m:t>1</m:t>
          </m:r>
          <m:r>
            <m:rPr>
              <m:sty m:val="p"/>
            </m:rPr>
            <m:t>−</m:t>
          </m:r>
          <m:f>
            <m:fPr>
              <m:type m:val="bar"/>
            </m:fPr>
            <m:num>
              <m:r>
                <m:t>1</m:t>
              </m:r>
              <m:r>
                <m:rPr>
                  <m:sty m:val="p"/>
                </m:rPr>
                <m:t>−</m:t>
              </m:r>
              <m:r>
                <m:t>α</m:t>
              </m:r>
            </m:num>
            <m:den>
              <m:r>
                <m:t>α</m:t>
              </m:r>
            </m:den>
          </m:f>
          <m:r>
            <m:t>ξ</m:t>
          </m:r>
          <m:r>
            <m:rPr>
              <m:sty m:val="p"/>
            </m:rPr>
            <m:t>−</m:t>
          </m:r>
          <m:f>
            <m:fPr>
              <m:type m:val="bar"/>
            </m:fPr>
            <m:num>
              <m:r>
                <m:t>ϵ</m:t>
              </m:r>
            </m:num>
            <m:den>
              <m:r>
                <m:t>1</m:t>
              </m:r>
              <m:r>
                <m:rPr>
                  <m:sty m:val="p"/>
                </m:rPr>
                <m:t>−</m:t>
              </m:r>
              <m:r>
                <m:t>α</m:t>
              </m:r>
            </m:den>
          </m:f>
        </m:oMath>
      </m:oMathPara>
    </w:p>
    <w:p>
      <w:pPr>
        <w:spacing w:after="60"/>
        <w:jc w:val="both"/>
      </w:pPr>
      <m:oMath>
        <m:sSub>
          <m:e>
            <m:r>
              <m:t>P</m:t>
            </m:r>
          </m:e>
          <m:sub>
            <m:r>
              <m:t>0</m:t>
            </m:r>
          </m:sub>
        </m:sSub>
      </m:oMath>
      <w:r>
        <w:rPr>
          <w:color w:val="3A4350"/>
          <w:sz w:val="15"/>
          <w:szCs w:val="15"/>
        </w:rPr>
        <w:t xml:space="preserve"> is the base data distribution, </w:t>
      </w:r>
      <m:oMath>
        <m:r>
          <m:t>g</m:t>
        </m:r>
      </m:oMath>
      <w:r>
        <w:rPr>
          <w:color w:val="3A4350"/>
          <w:sz w:val="15"/>
          <w:szCs w:val="15"/>
        </w:rPr>
        <w:t xml:space="preserve"> the collective's signal-planting transformation, </w:t>
      </w:r>
      <m:oMath>
        <m:sSup>
          <m:e>
            <m:r>
              <m:t>y</m:t>
            </m:r>
          </m:e>
          <m:sup>
            <m:r>
              <m:rPr>
                <m:sty m:val="p"/>
              </m:rPr>
              <m:t>⋆</m:t>
            </m:r>
          </m:sup>
        </m:sSup>
      </m:oMath>
      <w:r>
        <w:rPr>
          <w:color w:val="3A4350"/>
          <w:sz w:val="15"/>
          <w:szCs w:val="15"/>
        </w:rPr>
        <w:t xml:space="preserve"> its target label, </w:t>
      </w:r>
      <m:oMath>
        <m:r>
          <m:t>f</m:t>
        </m:r>
      </m:oMath>
      <w:r>
        <w:rPr>
          <w:color w:val="3A4350"/>
          <w:sz w:val="15"/>
          <w:szCs w:val="15"/>
        </w:rPr>
        <w:t xml:space="preserve"> the platform's classifier, </w:t>
      </w:r>
      <m:oMath>
        <m:r>
          <m:t>ϵ</m:t>
        </m:r>
      </m:oMath>
      <w:r>
        <w:rPr>
          <w:color w:val="3A4350"/>
          <w:sz w:val="15"/>
          <w:szCs w:val="15"/>
        </w:rPr>
        <w:t xml:space="preserve"> its excess risk over the Bayes-optimal classifier and </w:t>
      </w:r>
      <m:oMath>
        <m:r>
          <m:t>ξ</m:t>
        </m:r>
      </m:oMath>
      <w:r>
        <w:rPr>
          <w:color w:val="3A4350"/>
          <w:sz w:val="15"/>
          <w:szCs w:val="15"/>
        </w:rPr>
        <w:t xml:space="preserve"> a measure of how often the planted signal already occurs in the base data; in this form the bound is non-trivial once </w:t>
      </w:r>
      <m:oMath>
        <m:r>
          <m:t>α</m:t>
        </m:r>
        <m:r>
          <m:rPr>
            <m:sty m:val="p"/>
          </m:rPr>
          <m:t>&gt;</m:t>
        </m:r>
        <m:r>
          <m:t>ξ</m:t>
        </m:r>
        <m:r>
          <m:rPr>
            <m:sty m:val="p"/>
          </m:rPr>
          <m:t>/</m:t>
        </m:r>
        <m:d>
          <m:dPr>
            <m:begChr m:val="("/>
            <m:sepChr m:val=""/>
            <m:endChr m:val=")"/>
            <m:grow/>
          </m:dPr>
          <m:e>
            <m:r>
              <m:t>1</m:t>
            </m:r>
            <m:r>
              <m:rPr>
                <m:sty m:val="p"/>
              </m:rPr>
              <m:t>+</m:t>
            </m:r>
            <m:r>
              <m:t>ξ</m:t>
            </m:r>
          </m:e>
        </m:d>
      </m:oMath>
      <w:r>
        <w:rPr>
          <w:color w:val="3A4350"/>
          <w:sz w:val="15"/>
          <w:szCs w:val="15"/>
        </w:rPr>
        <w:t xml:space="preserve"> when </w:t>
      </w:r>
      <m:oMath>
        <m:r>
          <m:t>ϵ</m:t>
        </m:r>
        <m:r>
          <m:rPr>
            <m:sty m:val="p"/>
          </m:rPr>
          <m:t>=</m:t>
        </m:r>
        <m:r>
          <m:t>0</m:t>
        </m:r>
      </m:oMath>
      <w:r>
        <w:rPr>
          <w:color w:val="3A4350"/>
          <w:sz w:val="15"/>
          <w:szCs w:val="15"/>
        </w:rPr>
        <w:t xml:space="preserve">.</w:t>
      </w:r>
    </w:p>
    <w:p>
      <w:pPr>
        <w:spacing w:after="60"/>
        <w:jc w:val="both"/>
      </w:pPr>
      <w:r>
        <w:rPr>
          <w:b/>
          <w:bCs/>
          <w:color w:val="5B21B6"/>
          <w:sz w:val="17"/>
          <w:szCs w:val="17"/>
        </w:rPr>
        <w:t xml:space="preserve">Link to the Fushë-Kuqe record holders. </w:t>
      </w:r>
      <w:r>
        <w:rPr>
          <w:sz w:val="17"/>
          <w:szCs w:val="17"/>
        </w:rPr>
        <w:t xml:space="preserve">Belongs to theme G (incentives, cooperative games and collaborative learning). The private irrigators or the hotels could act as a collective: by coordinating how they label or report their wells' pumping, a small group could steer a pooled chloride model. The critical-mass bounds tell the coalition how large a coordinated holder must be to bias the merged CATE.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started the formal study of algorithmic collective action: later papers on multiple collectives and on the role of the learning algorithm build on its bounds of success against collective size. Published at ICML 2023 with a Caltech co-author, it shows that very small coordinated groups can steer a platform's model.</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concerns a classifier trained on a mixture with a fixed collective. Whether a holder in a causal merge can steer a CATE estimate, and how secure computation and differential privacy change the critical mass,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learning-theoretic model of coordinated data modification by a fraction </w:t>
      </w:r>
      <m:oMath>
        <m:r>
          <m:t>α</m:t>
        </m:r>
      </m:oMath>
      <w:r>
        <w:rPr>
          <w:sz w:val="17"/>
          <w:szCs w:val="17"/>
        </w:rPr>
        <w:t xml:space="preserve"> of contributors, with success bounds in three learning settings and a critical mass that depends on how rare the planted signal is. Proposed extension: for the Fushë-Kuqe merge, bound how far one holder's coordinated relabelling of pumping regime can shift the posterior CATE near the toe, and add this robustness test to the information-gain criterion before records are combined.</w:t>
      </w:r>
    </w:p>
    <w:p>
      <w:pPr>
        <w:keepNext/>
        <w:pBdr>
          <w:top w:val="single" w:color="5B21B6" w:sz="6" w:space="4"/>
        </w:pBdr>
        <w:spacing w:after="60" w:before="220"/>
      </w:pPr>
      <w:r>
        <w:rPr>
          <w:b/>
          <w:bCs/>
          <w:color w:val="5B21B6"/>
          <w:sz w:val="23"/>
          <w:szCs w:val="23"/>
        </w:rPr>
        <w:t xml:space="preserve">G4  </w:t>
      </w:r>
      <w:r>
        <w:rPr>
          <w:b/>
          <w:bCs/>
          <w:color w:val="1F3864"/>
          <w:sz w:val="23"/>
          <w:szCs w:val="23"/>
        </w:rPr>
        <w:t xml:space="preserve">Who Leads and Who Follows in Strategic Classification?</w:t>
      </w:r>
    </w:p>
    <w:p>
      <w:pPr>
        <w:keepNext/>
        <w:spacing w:after="60" w:line="240" w:lineRule="auto"/>
      </w:pPr>
      <w:r>
        <w:rPr>
          <w:b/>
          <w:bCs/>
          <w:color w:val="333B47"/>
          <w:sz w:val="15"/>
          <w:szCs w:val="15"/>
        </w:rPr>
        <w:t xml:space="preserve">Authors: </w:t>
      </w:r>
      <w:r>
        <w:rPr>
          <w:sz w:val="15"/>
          <w:szCs w:val="15"/>
        </w:rPr>
        <w:t xml:space="preserve">Tijana Zrnic, Eric Mazumdar, S. Shankar Sastry, Michael I. Jordan</w:t>
      </w:r>
      <w:r>
        <w:rPr>
          <w:sz w:val="15"/>
          <w:szCs w:val="15"/>
        </w:rPr>
        <w:t xml:space="preserve">   </w:t>
      </w:r>
      <w:r>
        <w:rPr>
          <w:b/>
          <w:bCs/>
          <w:color w:val="333B47"/>
          <w:sz w:val="15"/>
          <w:szCs w:val="15"/>
        </w:rPr>
        <w:t xml:space="preserve">Published in: </w:t>
      </w:r>
      <w:r>
        <w:rPr>
          <w:sz w:val="15"/>
          <w:szCs w:val="15"/>
        </w:rPr>
        <w:t xml:space="preserve">Advances in Neural Information Processing Systems 34 (NeurIPS 2021) (pages not verified)</w:t>
      </w:r>
      <w:r>
        <w:rPr>
          <w:sz w:val="15"/>
          <w:szCs w:val="15"/>
        </w:rPr>
        <w:t xml:space="preserve">   </w:t>
      </w:r>
      <w:r>
        <w:rPr>
          <w:b/>
          <w:bCs/>
          <w:color w:val="333B47"/>
          <w:sz w:val="15"/>
          <w:szCs w:val="15"/>
        </w:rPr>
        <w:t xml:space="preserve">Link: </w:t>
      </w:r>
      <w:hyperlink w:history="1" r:id="rId1kmdg0ljleaxu6fveznf5">
        <w:r>
          <w:rPr>
            <w:color w:val="1D4ED8"/>
            <w:sz w:val="15"/>
            <w:szCs w:val="15"/>
            <w:u w:val="single"/>
          </w:rPr>
          <w:t xml:space="preserve">https://neurips.cc/virtual/2021/poster/27087</w:t>
        </w:r>
      </w:hyperlink>
    </w:p>
    <w:p>
      <w:pPr>
        <w:keepNext/>
        <w:spacing w:after="80" w:line="240" w:lineRule="auto"/>
      </w:pPr>
      <w:r>
        <w:rPr>
          <w:b/>
          <w:bCs/>
          <w:color w:val="333B47"/>
          <w:sz w:val="15"/>
          <w:szCs w:val="15"/>
        </w:rPr>
        <w:t xml:space="preserve">Affiliation: </w:t>
      </w:r>
      <w:r>
        <w:rPr>
          <w:color w:val="3A4350"/>
          <w:sz w:val="15"/>
          <w:szCs w:val="15"/>
        </w:rPr>
        <w:t xml:space="preserve">Eric Mazumdar listed at the California Institute of Technology (mazumdar@caltech.edu) in the camera-ready PDF hosted by UC Berkeley, and a CaltechAUTHORS record (cstrb-vrf53) exists; Zrnic, Sastry and Jordan at UC Berkeley; the arXiv v2 header lists all four at Berkeley (search summaries).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5B21B6"/>
          <w:sz w:val="17"/>
          <w:szCs w:val="17"/>
        </w:rPr>
        <w:t xml:space="preserve">Summary. </w:t>
      </w:r>
      <w:r>
        <w:rPr>
          <w:sz w:val="17"/>
          <w:szCs w:val="17"/>
        </w:rPr>
        <w:t xml:space="preserve">Strategic classification is usually modelled as a Stackelberg game in which the decision-maker leads by deploying a model and the agents follow by best-responding at once. The paper argues that the order of play is set by how often each side adapts. Generalising the model so that both the decision-maker and the agents learn over time, it shows that a decision-maker who updates faster than the agents reverses the order, so that the agents lead. In standard learning settings this reversal can benefit both sides, and a decision-maker free to choose its update frequency can make the learning dynamics converge to Stackelberg equilibria with either order of play.</w:t>
      </w:r>
    </w:p>
    <w:p>
      <w:pPr>
        <w:keepNext/>
        <w:spacing w:after="20" w:before="40"/>
      </w:pPr>
      <w:r>
        <w:rPr>
          <w:b/>
          <w:bCs/>
          <w:color w:val="5B21B6"/>
          <w:sz w:val="17"/>
          <w:szCs w:val="17"/>
        </w:rPr>
        <w:t xml:space="preserve">Key equation.</w:t>
      </w:r>
      <w:r>
        <w:rPr>
          <w:i/>
          <w:iCs/>
          <w:color w:val="5B6573"/>
          <w:sz w:val="15"/>
          <w:szCs w:val="15"/>
        </w:rPr>
        <w:t xml:space="preserve">  The two Stackelberg equilibria between the decision-maker and the strategic agents (representative formulation)</w:t>
      </w:r>
    </w:p>
    <w:p>
      <w:pPr>
        <w:pStyle w:val="Equation"/>
      </w:pPr>
      <m:oMathPara>
        <m:oMathParaPr>
          <m:jc m:val="center"/>
        </m:oMathParaPr>
        <m:oMath>
          <m:sSub>
            <m:e>
              <m:r>
                <m:t>θ</m:t>
              </m:r>
            </m:e>
            <m:sub>
              <m:r>
                <m:rPr>
                  <m:nor/>
                </m:rPr>
                <m:t>DL</m:t>
              </m:r>
            </m:sub>
          </m:sSub>
          <m:r>
            <m:rPr>
              <m:sty m:val="p"/>
            </m:rPr>
            <m:t>=</m:t>
          </m:r>
          <m:r>
            <m:rPr>
              <m:sty m:val="p"/>
            </m:rPr>
            <m:t>arg</m:t>
          </m:r>
          <m:limLow>
            <m:e>
              <m:r>
                <m:rPr>
                  <m:sty m:val="p"/>
                </m:rPr>
                <m:t>min</m:t>
              </m:r>
            </m:e>
            <m:lim>
              <m:r>
                <m:t>θ</m:t>
              </m:r>
            </m:lim>
          </m:limLow>
          <m:r>
            <m:t>L</m:t>
          </m:r>
          <m:d>
            <m:dPr>
              <m:begChr m:val="("/>
              <m:sepChr m:val=""/>
              <m:endChr m:val=")"/>
              <m:grow/>
            </m:dPr>
            <m:e>
              <m:r>
                <m:t>θ</m:t>
              </m:r>
              <m:r>
                <m:rPr>
                  <m:sty m:val="p"/>
                </m:rPr>
                <m:t>,</m:t>
              </m:r>
              <m:sSup>
                <m:e>
                  <m:r>
                    <m:t>μ</m:t>
                  </m:r>
                </m:e>
                <m:sup>
                  <m:r>
                    <m:rPr>
                      <m:sty m:val="p"/>
                    </m:rPr>
                    <m:t>⋆</m:t>
                  </m:r>
                </m:sup>
              </m:sSup>
              <m:d>
                <m:dPr>
                  <m:begChr m:val="("/>
                  <m:sepChr m:val=""/>
                  <m:endChr m:val=")"/>
                  <m:grow/>
                </m:dPr>
                <m:e>
                  <m:r>
                    <m:t>θ</m:t>
                  </m:r>
                </m:e>
              </m:d>
            </m:e>
          </m:d>
          <m:r>
            <m:rPr>
              <m:sty m:val="p"/>
            </m:rPr>
            <m:t>,</m:t>
          </m:r>
          <m:r>
            <m:t> </m:t>
          </m:r>
          <m:sSup>
            <m:e>
              <m:r>
                <m:t>μ</m:t>
              </m:r>
            </m:e>
            <m:sup>
              <m:r>
                <m:rPr>
                  <m:sty m:val="p"/>
                </m:rPr>
                <m:t>⋆</m:t>
              </m:r>
            </m:sup>
          </m:sSup>
          <m:d>
            <m:dPr>
              <m:begChr m:val="("/>
              <m:sepChr m:val=""/>
              <m:endChr m:val=")"/>
              <m:grow/>
            </m:dPr>
            <m:e>
              <m:r>
                <m:t>θ</m:t>
              </m:r>
            </m:e>
          </m:d>
          <m:r>
            <m:rPr>
              <m:sty m:val="p"/>
            </m:rPr>
            <m:t>=</m:t>
          </m:r>
          <m:r>
            <m:rPr>
              <m:sty m:val="p"/>
            </m:rPr>
            <m:t>arg</m:t>
          </m:r>
          <m:limLow>
            <m:e>
              <m:r>
                <m:rPr>
                  <m:sty m:val="p"/>
                </m:rPr>
                <m:t>min</m:t>
              </m:r>
            </m:e>
            <m:lim>
              <m:r>
                <m:t>μ</m:t>
              </m:r>
            </m:lim>
          </m:limLow>
          <m:r>
            <m:t>R</m:t>
          </m:r>
          <m:d>
            <m:dPr>
              <m:begChr m:val="("/>
              <m:sepChr m:val=""/>
              <m:endChr m:val=")"/>
              <m:grow/>
            </m:dPr>
            <m:e>
              <m:r>
                <m:t>μ</m:t>
              </m:r>
              <m:r>
                <m:rPr>
                  <m:sty m:val="p"/>
                </m:rPr>
                <m:t>,</m:t>
              </m:r>
              <m:r>
                <m:t>θ</m:t>
              </m:r>
            </m:e>
          </m:d>
          <m:r>
            <m:rPr>
              <m:sty m:val="p"/>
            </m:rPr>
            <m:t>;</m:t>
          </m:r>
          <m:r>
            <m:t>  </m:t>
          </m:r>
          <m:sSub>
            <m:e>
              <m:r>
                <m:t>μ</m:t>
              </m:r>
            </m:e>
            <m:sub>
              <m:r>
                <m:rPr>
                  <m:nor/>
                </m:rPr>
                <m:t>AL</m:t>
              </m:r>
            </m:sub>
          </m:sSub>
          <m:r>
            <m:rPr>
              <m:sty m:val="p"/>
            </m:rPr>
            <m:t>=</m:t>
          </m:r>
          <m:r>
            <m:rPr>
              <m:sty m:val="p"/>
            </m:rPr>
            <m:t>arg</m:t>
          </m:r>
          <m:limLow>
            <m:e>
              <m:r>
                <m:rPr>
                  <m:sty m:val="p"/>
                </m:rPr>
                <m:t>min</m:t>
              </m:r>
            </m:e>
            <m:lim>
              <m:r>
                <m:t>μ</m:t>
              </m:r>
            </m:lim>
          </m:limLow>
          <m:r>
            <m:t>R</m:t>
          </m:r>
          <m:d>
            <m:dPr>
              <m:begChr m:val="("/>
              <m:sepChr m:val=""/>
              <m:endChr m:val=")"/>
              <m:grow/>
            </m:dPr>
            <m:e>
              <m:r>
                <m:t>μ</m:t>
              </m:r>
              <m:r>
                <m:rPr>
                  <m:sty m:val="p"/>
                </m:rPr>
                <m:t>,</m:t>
              </m:r>
              <m:sSup>
                <m:e>
                  <m:r>
                    <m:t>θ</m:t>
                  </m:r>
                </m:e>
                <m:sup>
                  <m:r>
                    <m:rPr>
                      <m:sty m:val="p"/>
                    </m:rPr>
                    <m:t>⋆</m:t>
                  </m:r>
                </m:sup>
              </m:sSup>
              <m:d>
                <m:dPr>
                  <m:begChr m:val="("/>
                  <m:sepChr m:val=""/>
                  <m:endChr m:val=")"/>
                  <m:grow/>
                </m:dPr>
                <m:e>
                  <m:r>
                    <m:t>μ</m:t>
                  </m:r>
                </m:e>
              </m:d>
            </m:e>
          </m:d>
          <m:r>
            <m:rPr>
              <m:sty m:val="p"/>
            </m:rPr>
            <m:t>,</m:t>
          </m:r>
          <m:r>
            <m:t> </m:t>
          </m:r>
          <m:sSup>
            <m:e>
              <m:r>
                <m:t>θ</m:t>
              </m:r>
            </m:e>
            <m:sup>
              <m:r>
                <m:rPr>
                  <m:sty m:val="p"/>
                </m:rPr>
                <m:t>⋆</m:t>
              </m:r>
            </m:sup>
          </m:sSup>
          <m:d>
            <m:dPr>
              <m:begChr m:val="("/>
              <m:sepChr m:val=""/>
              <m:endChr m:val=")"/>
              <m:grow/>
            </m:dPr>
            <m:e>
              <m:r>
                <m:t>μ</m:t>
              </m:r>
            </m:e>
          </m:d>
          <m:r>
            <m:rPr>
              <m:sty m:val="p"/>
            </m:rPr>
            <m:t>=</m:t>
          </m:r>
          <m:r>
            <m:rPr>
              <m:sty m:val="p"/>
            </m:rPr>
            <m:t>arg</m:t>
          </m:r>
          <m:limLow>
            <m:e>
              <m:r>
                <m:rPr>
                  <m:sty m:val="p"/>
                </m:rPr>
                <m:t>min</m:t>
              </m:r>
            </m:e>
            <m:lim>
              <m:r>
                <m:t>θ</m:t>
              </m:r>
            </m:lim>
          </m:limLow>
          <m:r>
            <m:t>L</m:t>
          </m:r>
          <m:d>
            <m:dPr>
              <m:begChr m:val="("/>
              <m:sepChr m:val=""/>
              <m:endChr m:val=")"/>
              <m:grow/>
            </m:dPr>
            <m:e>
              <m:r>
                <m:t>θ</m:t>
              </m:r>
              <m:r>
                <m:rPr>
                  <m:sty m:val="p"/>
                </m:rPr>
                <m:t>,</m:t>
              </m:r>
              <m:r>
                <m:t>μ</m:t>
              </m:r>
            </m:e>
          </m:d>
        </m:oMath>
      </m:oMathPara>
    </w:p>
    <w:p>
      <w:pPr>
        <w:spacing w:after="60"/>
        <w:jc w:val="both"/>
      </w:pPr>
      <m:oMath>
        <m:r>
          <m:t>θ</m:t>
        </m:r>
      </m:oMath>
      <w:r>
        <w:rPr>
          <w:color w:val="3A4350"/>
          <w:sz w:val="15"/>
          <w:szCs w:val="15"/>
        </w:rPr>
        <w:t xml:space="preserve"> is the decision-maker's model and </w:t>
      </w:r>
      <m:oMath>
        <m:r>
          <m:t>L</m:t>
        </m:r>
      </m:oMath>
      <w:r>
        <w:rPr>
          <w:color w:val="3A4350"/>
          <w:sz w:val="15"/>
          <w:szCs w:val="15"/>
        </w:rPr>
        <w:t xml:space="preserve"> its loss, </w:t>
      </w:r>
      <m:oMath>
        <m:r>
          <m:t>μ</m:t>
        </m:r>
      </m:oMath>
      <w:r>
        <w:rPr>
          <w:color w:val="3A4350"/>
          <w:sz w:val="15"/>
          <w:szCs w:val="15"/>
        </w:rPr>
        <w:t xml:space="preserve"> the agents' feature-manipulation strategy and </w:t>
      </w:r>
      <m:oMath>
        <m:r>
          <m:t>R</m:t>
        </m:r>
      </m:oMath>
      <w:r>
        <w:rPr>
          <w:color w:val="3A4350"/>
          <w:sz w:val="15"/>
          <w:szCs w:val="15"/>
        </w:rPr>
        <w:t xml:space="preserve"> their cost; DL is the equilibrium when the decision-maker leads and AL the one when the agents lead, which a faster-updating decision-maker induces.</w:t>
      </w:r>
    </w:p>
    <w:p>
      <w:pPr>
        <w:spacing w:after="60"/>
        <w:jc w:val="both"/>
      </w:pPr>
      <w:r>
        <w:rPr>
          <w:b/>
          <w:bCs/>
          <w:color w:val="5B21B6"/>
          <w:sz w:val="17"/>
          <w:szCs w:val="17"/>
        </w:rPr>
        <w:t xml:space="preserve">Link to the Fushë-Kuqe record holders. </w:t>
      </w:r>
      <w:r>
        <w:rPr>
          <w:sz w:val="17"/>
          <w:szCs w:val="17"/>
        </w:rPr>
        <w:t xml:space="preserve">Belongs to theme G (incentives, cooperative games and collaborative learning). Fushë-Kuqe holders adapt to the rules that use their records: irrigators may under-report pumping if the merged model tightens limits. The paper says the regulator's update cadence (yearly limits versus seasonal revisions) decides whether it leads or follows the holders' reporting.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turned strategic classification from a one-shot game into coupled learning dynamics and showed that update frequency, a design choice, decides who leads, with both orders reachable and the reversed order sometimes better for both sides. Published at NeurIPS 2021, with Caltech listed for the second author.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Agents manipulate features against a classifier, and the decision-maker's goal is predictive. How update frequency shapes reporting when the target is a causal effect of pumping on chloride, and records are pooled under secure computation,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two-timescale learning model of strategic classification in which relative update frequency selects the Stackelberg order, with convergence to either equilibrium. Proposed extension: simulate Fushë-Kuqe holders who shade their reported pumping in response to a limit rule estimated from the merged CATE, compare annual and seasonal updates of the rule, and measure which cadence gives less biased chloride effects near the toe and higher welfare for holders.</w:t>
      </w:r>
    </w:p>
    <w:p>
      <w:pPr>
        <w:keepNext/>
        <w:pBdr>
          <w:top w:val="single" w:color="5B21B6" w:sz="6" w:space="4"/>
        </w:pBdr>
        <w:spacing w:after="60" w:before="220"/>
      </w:pPr>
      <w:r>
        <w:rPr>
          <w:b/>
          <w:bCs/>
          <w:color w:val="5B21B6"/>
          <w:sz w:val="23"/>
          <w:szCs w:val="23"/>
        </w:rPr>
        <w:t xml:space="preserve">G5  </w:t>
      </w:r>
      <w:r>
        <w:rPr>
          <w:b/>
          <w:bCs/>
          <w:color w:val="1F3864"/>
          <w:sz w:val="23"/>
          <w:szCs w:val="23"/>
        </w:rPr>
        <w:t xml:space="preserve">Learning Strategy-Aware Linear Classifiers</w:t>
      </w:r>
    </w:p>
    <w:p>
      <w:pPr>
        <w:keepNext/>
        <w:spacing w:after="60" w:line="240" w:lineRule="auto"/>
      </w:pPr>
      <w:r>
        <w:rPr>
          <w:b/>
          <w:bCs/>
          <w:color w:val="333B47"/>
          <w:sz w:val="15"/>
          <w:szCs w:val="15"/>
        </w:rPr>
        <w:t xml:space="preserve">Authors: </w:t>
      </w:r>
      <w:r>
        <w:rPr>
          <w:sz w:val="15"/>
          <w:szCs w:val="15"/>
        </w:rPr>
        <w:t xml:space="preserve">Yiling Chen, Yang Liu, Chara Podimata</w:t>
      </w:r>
      <w:r>
        <w:rPr>
          <w:sz w:val="15"/>
          <w:szCs w:val="15"/>
        </w:rPr>
        <w:t xml:space="preserve">   </w:t>
      </w:r>
      <w:r>
        <w:rPr>
          <w:b/>
          <w:bCs/>
          <w:color w:val="333B47"/>
          <w:sz w:val="15"/>
          <w:szCs w:val="15"/>
        </w:rPr>
        <w:t xml:space="preserve">Published in: </w:t>
      </w:r>
      <w:r>
        <w:rPr>
          <w:sz w:val="15"/>
          <w:szCs w:val="15"/>
        </w:rPr>
        <w:t xml:space="preserve">Advances in Neural Information Processing Systems 33 (NeurIPS 2020) (pages not verified)</w:t>
      </w:r>
      <w:r>
        <w:rPr>
          <w:sz w:val="15"/>
          <w:szCs w:val="15"/>
        </w:rPr>
        <w:t xml:space="preserve">   </w:t>
      </w:r>
      <w:r>
        <w:rPr>
          <w:b/>
          <w:bCs/>
          <w:color w:val="333B47"/>
          <w:sz w:val="15"/>
          <w:szCs w:val="15"/>
        </w:rPr>
        <w:t xml:space="preserve">Link: </w:t>
      </w:r>
      <w:hyperlink w:history="1" r:id="rIdbjlwqlvbgyxgvdhywmop1">
        <w:r>
          <w:rPr>
            <w:color w:val="1D4ED8"/>
            <w:sz w:val="15"/>
            <w:szCs w:val="15"/>
            <w:u w:val="single"/>
          </w:rPr>
          <w:t xml:space="preserve">https://proceedings.nips.cc/paper/2020/hash/ae87a54e183c075c494c4d397d126a66-Abstract.html</w:t>
        </w:r>
      </w:hyperlink>
    </w:p>
    <w:p>
      <w:pPr>
        <w:keepNext/>
        <w:spacing w:after="80" w:line="240" w:lineRule="auto"/>
      </w:pPr>
      <w:r>
        <w:rPr>
          <w:b/>
          <w:bCs/>
          <w:color w:val="333B47"/>
          <w:sz w:val="15"/>
          <w:szCs w:val="15"/>
        </w:rPr>
        <w:t xml:space="preserve">Affiliation: </w:t>
      </w:r>
      <w:r>
        <w:rPr>
          <w:color w:val="3A4350"/>
          <w:sz w:val="15"/>
          <w:szCs w:val="15"/>
        </w:rPr>
        <w:t xml:space="preserve">Yiling Chen and Chara Podimata, Harvard University; Yang Liu, UC Santa Cruz (author block of the NSF PAR copy, search summary). Venue from the NeurIPS 2020 proceedings page.</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5B21B6"/>
          <w:sz w:val="17"/>
          <w:szCs w:val="17"/>
        </w:rPr>
        <w:t xml:space="preserve">Summary. </w:t>
      </w:r>
      <w:r>
        <w:rPr>
          <w:sz w:val="17"/>
          <w:szCs w:val="17"/>
        </w:rPr>
        <w:t xml:space="preserve">A learner repeatedly deploys a linear classifier while agents, who want a positive label, misreport their features within a ball of radius </w:t>
      </w:r>
      <m:oMath>
        <m:r>
          <m:t>δ</m:t>
        </m:r>
      </m:oMath>
      <w:r>
        <w:rPr>
          <w:sz w:val="17"/>
          <w:szCs w:val="17"/>
        </w:rPr>
        <w:t xml:space="preserve"> around their true point when that changes the outcome. Performance is measured by Stackelberg regret: the loss compared with the best fixed classifier given the agents' responses to it. The paper proves that Stackelberg and external regret are incompatible in the worst case: sequences with sublinear regret in one can have linear regret in the other. It then gives a strategy-aware algorithm whose Stackelberg regret has nearly matching upper and lower bounds, of order </w:t>
      </w:r>
      <m:oMath>
        <m:rad>
          <m:radPr>
            <m:degHide m:val="on"/>
          </m:radPr>
          <m:deg/>
          <m:e>
            <m:r>
              <m:t>T</m:t>
            </m:r>
          </m:e>
        </m:rad>
      </m:oMath>
      <w:r>
        <w:rPr>
          <w:sz w:val="17"/>
          <w:szCs w:val="17"/>
        </w:rPr>
        <w:t xml:space="preserve"> up to logarithmic and instance-dependent factors.</w:t>
      </w:r>
    </w:p>
    <w:p>
      <w:pPr>
        <w:keepNext/>
        <w:spacing w:after="20" w:before="40"/>
      </w:pPr>
      <w:r>
        <w:rPr>
          <w:b/>
          <w:bCs/>
          <w:color w:val="5B21B6"/>
          <w:sz w:val="17"/>
          <w:szCs w:val="17"/>
        </w:rPr>
        <w:t xml:space="preserve">Key equation.</w:t>
      </w:r>
      <w:r>
        <w:rPr>
          <w:i/>
          <w:iCs/>
          <w:color w:val="5B6573"/>
          <w:sz w:val="15"/>
          <w:szCs w:val="15"/>
        </w:rPr>
        <w:t xml:space="preserve">  Stackelberg regret against agents who misreport within a ball (representative formulation)</w:t>
      </w:r>
    </w:p>
    <w:p>
      <w:pPr>
        <w:pStyle w:val="Equation"/>
      </w:pPr>
      <m:oMathPara>
        <m:oMathParaPr>
          <m:jc m:val="center"/>
        </m:oMathParaPr>
        <m:oMath>
          <m:sSub>
            <m:e>
              <m:r>
                <m:rPr>
                  <m:scr m:val="script"/>
                  <m:sty m:val="p"/>
                </m:rPr>
                <m:t>R</m:t>
              </m:r>
            </m:e>
            <m:sub>
              <m:r>
                <m:rPr>
                  <m:nor/>
                </m:rPr>
                <m:t>Stack</m:t>
              </m:r>
            </m:sub>
          </m:sSub>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r>
                <m:rPr>
                  <m:sty m:val="p"/>
                </m:rPr>
                <m:t>ℓ</m:t>
              </m:r>
            </m:e>
          </m:nary>
          <m:d>
            <m:dPr>
              <m:begChr m:val="("/>
              <m:sepChr m:val=""/>
              <m:endChr m:val=")"/>
              <m:grow/>
            </m:dPr>
            <m:e>
              <m:sSub>
                <m:e>
                  <m:r>
                    <m:t>α</m:t>
                  </m:r>
                </m:e>
                <m:sub>
                  <m:r>
                    <m:t>t</m:t>
                  </m:r>
                </m:sub>
              </m:sSub>
              <m:r>
                <m:rPr>
                  <m:sty m:val="p"/>
                </m:rPr>
                <m:t>,</m:t>
              </m:r>
              <m:sSub>
                <m:e>
                  <m:r>
                    <m:rPr>
                      <m:nor/>
                    </m:rPr>
                    <m:t>BR</m:t>
                  </m:r>
                </m:e>
                <m:sub>
                  <m:r>
                    <m:t>t</m:t>
                  </m:r>
                </m:sub>
              </m:sSub>
              <m:d>
                <m:dPr>
                  <m:begChr m:val="("/>
                  <m:sepChr m:val=""/>
                  <m:endChr m:val=")"/>
                  <m:grow/>
                </m:dPr>
                <m:e>
                  <m:sSub>
                    <m:e>
                      <m:r>
                        <m:t>α</m:t>
                      </m:r>
                    </m:e>
                    <m:sub>
                      <m:r>
                        <m:t>t</m:t>
                      </m:r>
                    </m:sub>
                  </m:sSub>
                </m:e>
              </m:d>
              <m:r>
                <m:rPr>
                  <m:sty m:val="p"/>
                </m:rPr>
                <m:t>,</m:t>
              </m:r>
              <m:sSub>
                <m:e>
                  <m:r>
                    <m:t>y</m:t>
                  </m:r>
                </m:e>
                <m:sub>
                  <m:r>
                    <m:t>t</m:t>
                  </m:r>
                </m:sub>
              </m:sSub>
            </m:e>
          </m:d>
          <m:r>
            <m:rPr>
              <m:sty m:val="p"/>
            </m:rPr>
            <m:t>−</m:t>
          </m:r>
          <m:limLow>
            <m:e>
              <m:r>
                <m:rPr>
                  <m:sty m:val="p"/>
                </m:rPr>
                <m:t>min</m:t>
              </m:r>
            </m:e>
            <m:lim>
              <m:r>
                <m:t>α</m:t>
              </m:r>
            </m:lim>
          </m:limLow>
          <m:nary>
            <m:naryPr>
              <m:chr m:val="∑"/>
              <m:limLoc m:val="undOvr"/>
              <m:subHide m:val="off"/>
              <m:supHide m:val="off"/>
            </m:naryPr>
            <m:sub>
              <m:r>
                <m:t>t</m:t>
              </m:r>
              <m:r>
                <m:rPr>
                  <m:sty m:val="p"/>
                </m:rPr>
                <m:t>=</m:t>
              </m:r>
              <m:r>
                <m:t>1</m:t>
              </m:r>
            </m:sub>
            <m:sup>
              <m:r>
                <m:t>T</m:t>
              </m:r>
            </m:sup>
            <m:e>
              <m:r>
                <m:rPr>
                  <m:sty m:val="p"/>
                </m:rPr>
                <m:t>ℓ</m:t>
              </m:r>
            </m:e>
          </m:nary>
          <m:d>
            <m:dPr>
              <m:begChr m:val="("/>
              <m:sepChr m:val=""/>
              <m:endChr m:val=")"/>
              <m:grow/>
            </m:dPr>
            <m:e>
              <m:r>
                <m:t>α</m:t>
              </m:r>
              <m:r>
                <m:rPr>
                  <m:sty m:val="p"/>
                </m:rPr>
                <m:t>,</m:t>
              </m:r>
              <m:sSub>
                <m:e>
                  <m:r>
                    <m:rPr>
                      <m:nor/>
                    </m:rPr>
                    <m:t>BR</m:t>
                  </m:r>
                </m:e>
                <m:sub>
                  <m:r>
                    <m:t>t</m:t>
                  </m:r>
                </m:sub>
              </m:sSub>
              <m:d>
                <m:dPr>
                  <m:begChr m:val="("/>
                  <m:sepChr m:val=""/>
                  <m:endChr m:val=")"/>
                  <m:grow/>
                </m:dPr>
                <m:e>
                  <m:r>
                    <m:t>α</m:t>
                  </m:r>
                </m:e>
              </m:d>
              <m:r>
                <m:rPr>
                  <m:sty m:val="p"/>
                </m:rPr>
                <m:t>,</m:t>
              </m:r>
              <m:sSub>
                <m:e>
                  <m:r>
                    <m:t>y</m:t>
                  </m:r>
                </m:e>
                <m:sub>
                  <m:r>
                    <m:t>t</m:t>
                  </m:r>
                </m:sub>
              </m:sSub>
            </m:e>
          </m:d>
          <m:r>
            <m:rPr>
              <m:sty m:val="p"/>
            </m:rPr>
            <m:t>,</m:t>
          </m:r>
          <m:r>
            <m:t>  </m:t>
          </m:r>
          <m:sSub>
            <m:e>
              <m:r>
                <m:rPr>
                  <m:nor/>
                </m:rPr>
                <m:t>BR</m:t>
              </m:r>
            </m:e>
            <m:sub>
              <m:r>
                <m:t>t</m:t>
              </m:r>
            </m:sub>
          </m:sSub>
          <m:d>
            <m:dPr>
              <m:begChr m:val="("/>
              <m:sepChr m:val=""/>
              <m:endChr m:val=")"/>
              <m:grow/>
            </m:dPr>
            <m:e>
              <m:r>
                <m:t>α</m:t>
              </m:r>
            </m:e>
          </m:d>
          <m:r>
            <m:rPr>
              <m:sty m:val="p"/>
            </m:rPr>
            <m:t>∈</m:t>
          </m:r>
          <m:d>
            <m:dPr>
              <m:begChr m:val="{"/>
              <m:sepChr m:val=""/>
              <m:endChr m:val="}"/>
              <m:grow/>
            </m:dPr>
            <m:e>
              <m:r>
                <m:t>x</m:t>
              </m:r>
              <m:r>
                <m:rPr>
                  <m:sty m:val="p"/>
                </m:rPr>
                <m:t>:</m:t>
              </m:r>
              <m:d>
                <m:dPr>
                  <m:begChr m:val="‖"/>
                  <m:sepChr m:val=""/>
                  <m:endChr m:val="‖"/>
                  <m:grow/>
                </m:dPr>
                <m:e>
                  <m:r>
                    <m:t>x</m:t>
                  </m:r>
                  <m:r>
                    <m:rPr>
                      <m:sty m:val="p"/>
                    </m:rPr>
                    <m:t>−</m:t>
                  </m:r>
                  <m:sSub>
                    <m:e>
                      <m:r>
                        <m:t>x</m:t>
                      </m:r>
                    </m:e>
                    <m:sub>
                      <m:r>
                        <m:t>t</m:t>
                      </m:r>
                    </m:sub>
                  </m:sSub>
                </m:e>
              </m:d>
              <m:r>
                <m:rPr>
                  <m:sty m:val="p"/>
                </m:rPr>
                <m:t>≤</m:t>
              </m:r>
              <m:r>
                <m:t>δ</m:t>
              </m:r>
            </m:e>
          </m:d>
        </m:oMath>
      </m:oMathPara>
    </w:p>
    <w:p>
      <w:pPr>
        <w:spacing w:after="60"/>
        <w:jc w:val="both"/>
      </w:pPr>
      <m:oMath>
        <m:sSub>
          <m:e>
            <m:r>
              <m:t>α</m:t>
            </m:r>
          </m:e>
          <m:sub>
            <m:r>
              <m:t>t</m:t>
            </m:r>
          </m:sub>
        </m:sSub>
      </m:oMath>
      <w:r>
        <w:rPr>
          <w:color w:val="3A4350"/>
          <w:sz w:val="15"/>
          <w:szCs w:val="15"/>
        </w:rPr>
        <w:t xml:space="preserve"> is the linear classifier deployed in round </w:t>
      </w:r>
      <m:oMath>
        <m:r>
          <m:t>t</m:t>
        </m:r>
      </m:oMath>
      <w:r>
        <w:rPr>
          <w:color w:val="3A4350"/>
          <w:sz w:val="15"/>
          <w:szCs w:val="15"/>
        </w:rPr>
        <w:t xml:space="preserve">, </w:t>
      </w:r>
      <m:oMath>
        <m:sSub>
          <m:e>
            <m:r>
              <m:t>x</m:t>
            </m:r>
          </m:e>
          <m:sub>
            <m:r>
              <m:t>t</m:t>
            </m:r>
          </m:sub>
        </m:sSub>
      </m:oMath>
      <w:r>
        <w:rPr>
          <w:color w:val="3A4350"/>
          <w:sz w:val="15"/>
          <w:szCs w:val="15"/>
        </w:rPr>
        <w:t xml:space="preserve"> and </w:t>
      </w:r>
      <m:oMath>
        <m:sSub>
          <m:e>
            <m:r>
              <m:t>y</m:t>
            </m:r>
          </m:e>
          <m:sub>
            <m:r>
              <m:t>t</m:t>
            </m:r>
          </m:sub>
        </m:sSub>
      </m:oMath>
      <w:r>
        <w:rPr>
          <w:color w:val="3A4350"/>
          <w:sz w:val="15"/>
          <w:szCs w:val="15"/>
        </w:rPr>
        <w:t xml:space="preserve"> the agent's true features and label, </w:t>
      </w:r>
      <m:oMath>
        <m:sSub>
          <m:e>
            <m:r>
              <m:rPr>
                <m:nor/>
              </m:rPr>
              <m:t>BR</m:t>
            </m:r>
          </m:e>
          <m:sub>
            <m:r>
              <m:t>t</m:t>
            </m:r>
          </m:sub>
        </m:sSub>
        <m:d>
          <m:dPr>
            <m:begChr m:val="("/>
            <m:sepChr m:val=""/>
            <m:endChr m:val=")"/>
            <m:grow/>
          </m:dPr>
          <m:e>
            <m:r>
              <m:t>α</m:t>
            </m:r>
          </m:e>
        </m:d>
      </m:oMath>
      <w:r>
        <w:rPr>
          <w:color w:val="3A4350"/>
          <w:sz w:val="15"/>
          <w:szCs w:val="15"/>
        </w:rPr>
        <w:t xml:space="preserve"> the report that best serves the agent within distance </w:t>
      </w:r>
      <m:oMath>
        <m:r>
          <m:t>δ</m:t>
        </m:r>
      </m:oMath>
      <w:r>
        <w:rPr>
          <w:color w:val="3A4350"/>
          <w:sz w:val="15"/>
          <w:szCs w:val="15"/>
        </w:rPr>
        <w:t xml:space="preserve"> of </w:t>
      </w:r>
      <m:oMath>
        <m:sSub>
          <m:e>
            <m:r>
              <m:t>x</m:t>
            </m:r>
          </m:e>
          <m:sub>
            <m:r>
              <m:t>t</m:t>
            </m:r>
          </m:sub>
        </m:sSub>
      </m:oMath>
      <w:r>
        <w:rPr>
          <w:color w:val="3A4350"/>
          <w:sz w:val="15"/>
          <w:szCs w:val="15"/>
        </w:rPr>
        <w:t xml:space="preserve">, and </w:t>
      </w:r>
      <m:oMath>
        <m:r>
          <m:rPr>
            <m:sty m:val="p"/>
          </m:rPr>
          <m:t>ℓ</m:t>
        </m:r>
      </m:oMath>
      <w:r>
        <w:rPr>
          <w:color w:val="3A4350"/>
          <w:sz w:val="15"/>
          <w:szCs w:val="15"/>
        </w:rPr>
        <w:t xml:space="preserve"> the binary loss.</w:t>
      </w:r>
    </w:p>
    <w:p>
      <w:pPr>
        <w:spacing w:after="60"/>
        <w:jc w:val="both"/>
      </w:pPr>
      <w:r>
        <w:rPr>
          <w:b/>
          <w:bCs/>
          <w:color w:val="5B21B6"/>
          <w:sz w:val="17"/>
          <w:szCs w:val="17"/>
        </w:rPr>
        <w:t xml:space="preserve">Link to the Fushë-Kuqe record holders. </w:t>
      </w:r>
      <w:r>
        <w:rPr>
          <w:sz w:val="17"/>
          <w:szCs w:val="17"/>
        </w:rPr>
        <w:t xml:space="preserve">Belongs to theme G (incentives, cooperative games and collaborative learning). When a pumping-limit rule is learned from wells reported by private irrigators, each irrigator can shade its reported pumping or distance to the sea within a plausible margin </w:t>
      </w:r>
      <m:oMath>
        <m:r>
          <m:t>δ</m:t>
        </m:r>
      </m:oMath>
      <w:r>
        <w:rPr>
          <w:sz w:val="17"/>
          <w:szCs w:val="17"/>
        </w:rPr>
        <w:t xml:space="preserve">. Stackelberg regret is the right yardstick for a coalition rule updated each season against such reports.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Stackelberg and external regret, often treated as interchangeable, can conflict, and gives nearly tight Stackelberg-regret bounds for learning linear classifiers when agents misreport. Published in the main track of NeurIPS 2020 by Harvard authors.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Agents misreport features against a classifier with a binary loss. Regret guarantees when holders misreport covariates of a causal estimand, such as the pumping regime in a CATE model, and when reports enter only as secret shares, are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incompatibility result between Stackelberg and external regret, and a strategy-aware algorithm with nearly matching Stackelberg-regret bounds for linear classifiers. Proposed extension: model each season's Fushë-Kuqe salinisation decision (head below </w:t>
      </w:r>
      <m:oMath>
        <m:sSub>
          <m:e>
            <m:r>
              <m:t>h</m:t>
            </m:r>
          </m:e>
          <m:sub>
            <m:r>
              <m:t>c</m:t>
            </m:r>
          </m:sub>
        </m:sSub>
        <m:r>
          <m:rPr>
            <m:sty m:val="p"/>
          </m:rPr>
          <m:t>=</m:t>
        </m:r>
        <m:r>
          <m:t>1.0</m:t>
        </m:r>
      </m:oMath>
      <w:r>
        <w:rPr>
          <w:sz w:val="17"/>
          <w:szCs w:val="17"/>
        </w:rPr>
        <w:t xml:space="preserve"> m or not) as a linear classifier on reported pumping and distance to the sea, let irrigators misreport within </w:t>
      </w:r>
      <m:oMath>
        <m:r>
          <m:t>δ</m:t>
        </m:r>
      </m:oMath>
      <w:r>
        <w:rPr>
          <w:sz w:val="17"/>
          <w:szCs w:val="17"/>
        </w:rPr>
        <w:t xml:space="preserve">, and test whether a strategy-aware update keeps Stackelberg regret sublinear over a decade of seasons.</w:t>
      </w:r>
    </w:p>
    <w:p>
      <w:pPr>
        <w:pStyle w:val="Heading1"/>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Sequential acquisition and stopping</w:t>
            </w:r>
          </w:p>
        </w:tc>
        <w:tc>
          <w:tcPr>
            <w:tcW w:type="dxa" w:w="5338"/>
            <w:tcMar>
              <w:top w:type="dxa" w:w="60"/>
              <w:left w:type="dxa" w:w="100"/>
              <w:bottom w:type="dxa" w:w="60"/>
              <w:right w:type="dxa" w:w="100"/>
            </w:tcMar>
            <w:vAlign w:val="top"/>
          </w:tcPr>
          <w:p>
            <w:r>
              <w:rPr>
                <w:sz w:val="17"/>
                <w:szCs w:val="17"/>
              </w:rPr>
              <w:t xml:space="preserve">[S1], [S2], [S3], [S4], [S5], [SR1], [SR2]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Combining sources that may disagree</w:t>
            </w:r>
          </w:p>
        </w:tc>
        <w:tc>
          <w:tcPr>
            <w:tcW w:type="dxa" w:w="5338"/>
            <w:shd w:fill="F7F9FC" w:color="auto" w:val="clear"/>
            <w:tcMar>
              <w:top w:type="dxa" w:w="60"/>
              <w:left w:type="dxa" w:w="100"/>
              <w:bottom w:type="dxa" w:w="60"/>
              <w:right w:type="dxa" w:w="100"/>
            </w:tcMar>
            <w:vAlign w:val="top"/>
          </w:tcPr>
          <w:p>
            <w:r>
              <w:rPr>
                <w:sz w:val="17"/>
                <w:szCs w:val="17"/>
              </w:rPr>
              <w:t xml:space="preserve">[R1], [R2], [R3], [R4], [R5], [RR1], [RR2]</w:t>
            </w:r>
          </w:p>
        </w:tc>
      </w:tr>
      <w:tr>
        <w:trPr>
          <w:cantSplit/>
        </w:trPr>
        <w:tc>
          <w:tcPr>
            <w:tcW w:type="dxa" w:w="4300"/>
            <w:tcMar>
              <w:top w:type="dxa" w:w="60"/>
              <w:left w:type="dxa" w:w="100"/>
              <w:bottom w:type="dxa" w:w="60"/>
              <w:right w:type="dxa" w:w="100"/>
            </w:tcMar>
            <w:vAlign w:val="top"/>
          </w:tcPr>
          <w:p>
            <w:r>
              <w:rPr>
                <w:sz w:val="17"/>
                <w:szCs w:val="17"/>
              </w:rPr>
              <w:t xml:space="preserve">1.3 Private computation</w:t>
            </w:r>
          </w:p>
        </w:tc>
        <w:tc>
          <w:tcPr>
            <w:tcW w:type="dxa" w:w="5338"/>
            <w:tcMar>
              <w:top w:type="dxa" w:w="60"/>
              <w:left w:type="dxa" w:w="100"/>
              <w:bottom w:type="dxa" w:w="60"/>
              <w:right w:type="dxa" w:w="100"/>
            </w:tcMar>
            <w:vAlign w:val="top"/>
          </w:tcPr>
          <w:p>
            <w:r>
              <w:rPr>
                <w:sz w:val="17"/>
                <w:szCs w:val="17"/>
              </w:rPr>
              <w:t xml:space="preserve">[C1], [C2], [C3], [C4], [C5], [CR1], [CR2]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Cooperative games and incentives</w:t>
            </w:r>
          </w:p>
        </w:tc>
        <w:tc>
          <w:tcPr>
            <w:tcW w:type="dxa" w:w="5338"/>
            <w:shd w:fill="F7F9FC" w:color="auto" w:val="clear"/>
            <w:tcMar>
              <w:top w:type="dxa" w:w="60"/>
              <w:left w:type="dxa" w:w="100"/>
              <w:bottom w:type="dxa" w:w="60"/>
              <w:right w:type="dxa" w:w="100"/>
            </w:tcMar>
            <w:vAlign w:val="top"/>
          </w:tcPr>
          <w:p>
            <w:r>
              <w:rPr>
                <w:sz w:val="17"/>
                <w:szCs w:val="17"/>
              </w:rPr>
              <w:t xml:space="preserve">[G1], [G2], [G3], [G4], [G5], [GR1], [GR2]</w:t>
            </w:r>
          </w:p>
        </w:tc>
      </w:tr>
    </w:tbl>
    <w:p>
      <w:pPr>
        <w:spacing w:after="160"/>
      </w:pPr>
    </w:p>
    <w:p>
      <w:pPr>
        <w:pStyle w:val="Heading3"/>
      </w:pPr>
      <w:r>
        <w:rPr>
          <w:color w:val="1F3864"/>
        </w:rPr>
        <w:t xml:space="preserve">8.2 Order and stopping</w:t>
      </w:r>
    </w:p>
    <w:p>
      <w:pPr>
        <w:spacing w:after="120"/>
        <w:jc w:val="both"/>
      </w:pPr>
      <w:r>
        <w:t xml:space="preserve">The sequential papers give guarantees when values have diminishing returns (greedy selection by mutual information [S1]), make expensive information evaluations cheap [S3], buy labels for evaluation rather than training [S4] and solve the inspection problem in which one may also take an option without inspecting it [S5]; the learned sensor distribution captures interactions that a greedy rule misses [S2], and complementary sources can trap learners [SR1]. For a coalition of record holders the question is which regime holds: substitutes, where greedy and stopping rules are enough, or complements, where the order and the coalition must be planned together.</w:t>
      </w:r>
    </w:p>
    <w:p>
      <w:pPr>
        <w:pStyle w:val="Heading3"/>
      </w:pPr>
      <w:r>
        <w:rPr>
          <w:color w:val="1F3864"/>
        </w:rPr>
        <w:t xml:space="preserve">8.3 Robustness of the merge</w:t>
      </w:r>
    </w:p>
    <w:p>
      <w:pPr>
        <w:spacing w:after="120"/>
        <w:jc w:val="both"/>
      </w:pPr>
      <w:r>
        <w:t xml:space="preserve">The combination papers say when a source helps and when it harms: efficiency gains from surrogates and population outcomes [R1, R2], falsification of a source against a trusted one before use [R3], an ambiguity level beyond which transfer hurts [R4] and a causal model of the selection that biases a large source [R5]. A merge valued by a model inherits the model's blind spots; a holder whose records see only one pumping regime is exactly the case where a model-based value can be positive while the realised effect of the merge is negative.</w:t>
      </w:r>
    </w:p>
    <w:p>
      <w:pPr>
        <w:pStyle w:val="Heading3"/>
      </w:pPr>
      <w:r>
        <w:rPr>
          <w:color w:val="1F3864"/>
        </w:rPr>
        <w:t xml:space="preserve">8.4 Privacy and payment</w:t>
      </w:r>
    </w:p>
    <w:p>
      <w:pPr>
        <w:spacing w:after="120"/>
        <w:jc w:val="both"/>
      </w:pPr>
      <w:r>
        <w:t xml:space="preserve">Private computation is now tight enough to matter: tests and least squares with guarantees [C1, C2], private Bayesian inference [C3], exact accounting [C4] and private federated learning [C5]. The incentive papers warn that Shapley-based selection can fail [G1], that buyers' rivalry and data externalities change prices [G2, GR1] and that holders may act strategically [G3, G4, G5]. Together they ask for fair shares that are cheap to compute privately and stable against both noise and strategy.</w:t>
      </w:r>
    </w:p>
    <w:p>
      <w:pPr>
        <w:pStyle w:val="Heading3"/>
      </w:pPr>
      <w:r>
        <w:rPr>
          <w:color w:val="1F3864"/>
        </w:rPr>
        <w:t xml:space="preserve">8.5 Map of opportunities</w:t>
      </w:r>
    </w:p>
    <w:p>
      <w:pPr>
        <w:spacing w:after="120"/>
        <w:jc w:val="both"/>
      </w:pPr>
      <w:r>
        <w:t xml:space="preserve">Each row joins the open problems of several cards into one research question that, to the extent of the searches of 26 October 2026, no published work has answered for well records or another physical system. Row 1 is begun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Coalitions of record holders valued before sharing</w:t>
            </w:r>
          </w:p>
        </w:tc>
        <w:tc>
          <w:tcPr>
            <w:tcW w:type="dxa" w:w="1800"/>
            <w:tcMar>
              <w:top w:type="dxa" w:w="60"/>
              <w:left w:type="dxa" w:w="100"/>
              <w:bottom w:type="dxa" w:w="60"/>
              <w:right w:type="dxa" w:w="100"/>
            </w:tcMar>
            <w:vAlign w:val="top"/>
          </w:tcPr>
          <w:p>
            <w:r>
              <w:rPr>
                <w:sz w:val="16"/>
                <w:szCs w:val="16"/>
              </w:rPr>
              <w:t xml:space="preserve">[B1], [S5], [G1], [C4]</w:t>
            </w:r>
          </w:p>
        </w:tc>
        <w:tc>
          <w:tcPr>
            <w:tcW w:type="dxa" w:w="4838"/>
            <w:tcMar>
              <w:top w:type="dxa" w:w="60"/>
              <w:left w:type="dxa" w:w="100"/>
              <w:bottom w:type="dxa" w:w="60"/>
              <w:right w:type="dxa" w:w="100"/>
            </w:tcMar>
            <w:vAlign w:val="top"/>
          </w:tcPr>
          <w:p>
            <w:r>
              <w:rPr>
                <w:sz w:val="16"/>
                <w:szCs w:val="16"/>
              </w:rPr>
              <w:t xml:space="preserve">Which coalition, in what order, when to stop, and how to share, with every coalition valued privately at the cost of one release per holder. Begun in section 9 (KOALICIONI-GO).</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Falsifying a holder before merging</w:t>
            </w:r>
          </w:p>
        </w:tc>
        <w:tc>
          <w:tcPr>
            <w:tcW w:type="dxa" w:w="1800"/>
            <w:shd w:fill="F7F9FC" w:color="auto" w:val="clear"/>
            <w:tcMar>
              <w:top w:type="dxa" w:w="60"/>
              <w:left w:type="dxa" w:w="100"/>
              <w:bottom w:type="dxa" w:w="60"/>
              <w:right w:type="dxa" w:w="100"/>
            </w:tcMar>
            <w:vAlign w:val="top"/>
          </w:tcPr>
          <w:p>
            <w:r>
              <w:rPr>
                <w:sz w:val="16"/>
                <w:szCs w:val="16"/>
              </w:rPr>
              <w:t xml:space="preserve">[R3], [R4], [R5]</w:t>
            </w:r>
          </w:p>
        </w:tc>
        <w:tc>
          <w:tcPr>
            <w:tcW w:type="dxa" w:w="4838"/>
            <w:shd w:fill="F7F9FC" w:color="auto" w:val="clear"/>
            <w:tcMar>
              <w:top w:type="dxa" w:w="60"/>
              <w:left w:type="dxa" w:w="100"/>
              <w:bottom w:type="dxa" w:w="60"/>
              <w:right w:type="dxa" w:w="100"/>
            </w:tcMar>
            <w:vAlign w:val="top"/>
          </w:tcPr>
          <w:p>
            <w:r>
              <w:rPr>
                <w:sz w:val="16"/>
                <w:szCs w:val="16"/>
              </w:rPr>
              <w:t xml:space="preserve">A test, run on secret shares, that flags a holder whose records would mislead (one pumping regime, different hydrochemistry) before its records enter the posterior.</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Pandora's box for well records</w:t>
            </w:r>
          </w:p>
        </w:tc>
        <w:tc>
          <w:tcPr>
            <w:tcW w:type="dxa" w:w="1800"/>
            <w:tcMar>
              <w:top w:type="dxa" w:w="60"/>
              <w:left w:type="dxa" w:w="100"/>
              <w:bottom w:type="dxa" w:w="60"/>
              <w:right w:type="dxa" w:w="100"/>
            </w:tcMar>
            <w:vAlign w:val="top"/>
          </w:tcPr>
          <w:p>
            <w:r>
              <w:rPr>
                <w:sz w:val="16"/>
                <w:szCs w:val="16"/>
              </w:rPr>
              <w:t xml:space="preserve">[S5], [S3], [SR1]</w:t>
            </w:r>
          </w:p>
        </w:tc>
        <w:tc>
          <w:tcPr>
            <w:tcW w:type="dxa" w:w="4838"/>
            <w:tcMar>
              <w:top w:type="dxa" w:w="60"/>
              <w:left w:type="dxa" w:w="100"/>
              <w:bottom w:type="dxa" w:w="60"/>
              <w:right w:type="dxa" w:w="100"/>
            </w:tcMar>
            <w:vAlign w:val="top"/>
          </w:tcPr>
          <w:p>
            <w:r>
              <w:rPr>
                <w:sz w:val="16"/>
                <w:szCs w:val="16"/>
              </w:rPr>
              <w:t xml:space="preserve">Treat each holder as a box whose inspection (a merge) costs money and whose value is revealed only after merging; index or PTAS policies for merging order with complementary boxes.</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Private regression on ill-conditioned well designs</w:t>
            </w:r>
          </w:p>
        </w:tc>
        <w:tc>
          <w:tcPr>
            <w:tcW w:type="dxa" w:w="1800"/>
            <w:shd w:fill="F7F9FC" w:color="auto" w:val="clear"/>
            <w:tcMar>
              <w:top w:type="dxa" w:w="60"/>
              <w:left w:type="dxa" w:w="100"/>
              <w:bottom w:type="dxa" w:w="60"/>
              <w:right w:type="dxa" w:w="100"/>
            </w:tcMar>
            <w:vAlign w:val="top"/>
          </w:tcPr>
          <w:p>
            <w:r>
              <w:rPr>
                <w:sz w:val="16"/>
                <w:szCs w:val="16"/>
              </w:rPr>
              <w:t xml:space="preserve">[C2], [C1], [C3]</w:t>
            </w:r>
          </w:p>
        </w:tc>
        <w:tc>
          <w:tcPr>
            <w:tcW w:type="dxa" w:w="4838"/>
            <w:shd w:fill="F7F9FC" w:color="auto" w:val="clear"/>
            <w:tcMar>
              <w:top w:type="dxa" w:w="60"/>
              <w:left w:type="dxa" w:w="100"/>
              <w:bottom w:type="dxa" w:w="60"/>
              <w:right w:type="dxa" w:w="100"/>
            </w:tcMar>
            <w:vAlign w:val="top"/>
          </w:tcPr>
          <w:p>
            <w:r>
              <w:rPr>
                <w:sz w:val="16"/>
                <w:szCs w:val="16"/>
              </w:rPr>
              <w:t xml:space="preserve">Well records near the coast are few and collinear; private estimators whose error does not grow with the condition number, and private tests of a pumping effect.</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Strategic holders</w:t>
            </w:r>
          </w:p>
        </w:tc>
        <w:tc>
          <w:tcPr>
            <w:tcW w:type="dxa" w:w="1800"/>
            <w:tcMar>
              <w:top w:type="dxa" w:w="60"/>
              <w:left w:type="dxa" w:w="100"/>
              <w:bottom w:type="dxa" w:w="60"/>
              <w:right w:type="dxa" w:w="100"/>
            </w:tcMar>
            <w:vAlign w:val="top"/>
          </w:tcPr>
          <w:p>
            <w:r>
              <w:rPr>
                <w:sz w:val="16"/>
                <w:szCs w:val="16"/>
              </w:rPr>
              <w:t xml:space="preserve">[G3], [G4], [G5], [G2]</w:t>
            </w:r>
          </w:p>
        </w:tc>
        <w:tc>
          <w:tcPr>
            <w:tcW w:type="dxa" w:w="4838"/>
            <w:tcMar>
              <w:top w:type="dxa" w:w="60"/>
              <w:left w:type="dxa" w:w="100"/>
              <w:bottom w:type="dxa" w:w="60"/>
              <w:right w:type="dxa" w:w="100"/>
            </w:tcMar>
            <w:vAlign w:val="top"/>
          </w:tcPr>
          <w:p>
            <w:r>
              <w:rPr>
                <w:sz w:val="16"/>
                <w:szCs w:val="16"/>
              </w:rPr>
              <w:t xml:space="preserve">Holders who alter or withhold records to influence the capping decision; robust and incentive-compatible merging when the utility's decision affects the holders.</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Fair and robust shares</w:t>
            </w:r>
          </w:p>
        </w:tc>
        <w:tc>
          <w:tcPr>
            <w:tcW w:type="dxa" w:w="1800"/>
            <w:shd w:fill="F7F9FC" w:color="auto" w:val="clear"/>
            <w:tcMar>
              <w:top w:type="dxa" w:w="60"/>
              <w:left w:type="dxa" w:w="100"/>
              <w:bottom w:type="dxa" w:w="60"/>
              <w:right w:type="dxa" w:w="100"/>
            </w:tcMar>
            <w:vAlign w:val="top"/>
          </w:tcPr>
          <w:p>
            <w:r>
              <w:rPr>
                <w:sz w:val="16"/>
                <w:szCs w:val="16"/>
              </w:rPr>
              <w:t xml:space="preserve">[G1], [B5], [B7]</w:t>
            </w:r>
          </w:p>
        </w:tc>
        <w:tc>
          <w:tcPr>
            <w:tcW w:type="dxa" w:w="4838"/>
            <w:shd w:fill="F7F9FC" w:color="auto" w:val="clear"/>
            <w:tcMar>
              <w:top w:type="dxa" w:w="60"/>
              <w:left w:type="dxa" w:w="100"/>
              <w:bottom w:type="dxa" w:w="60"/>
              <w:right w:type="dxa" w:w="100"/>
            </w:tcMar>
            <w:vAlign w:val="top"/>
          </w:tcPr>
          <w:p>
            <w:r>
              <w:rPr>
                <w:sz w:val="16"/>
                <w:szCs w:val="16"/>
              </w:rPr>
              <w:t xml:space="preserve">Shares of the value of a coalition that stay stable under noise and privacy, and that a utility can pay without overpaying holders whose records only repeat its own.</w:t>
            </w:r>
          </w:p>
        </w:tc>
      </w:tr>
    </w:tbl>
    <w:p>
      <w:pPr>
        <w:pStyle w:val="Heading1"/>
        <w:pageBreakBefore/>
      </w:pPr>
      <w:r>
        <w:rPr>
          <w:color w:val="92400E"/>
        </w:rPr>
        <w:t xml:space="preserve">9. The proposed innovation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rPr>
          <w:b/>
          <w:bCs/>
        </w:rPr>
        <w:t xml:space="preserve">KOALICIONI-GO</w:t>
      </w:r>
      <w:r>
        <w:t xml:space="preserve"> (</w:t>
      </w:r>
      <w:r>
        <w:rPr>
          <w:i/>
          <w:iCs/>
        </w:rPr>
        <w:t xml:space="preserve">koalicioni</w:t>
      </w:r>
      <w:r>
        <w:t xml:space="preserve">: the coalition) tells the Fushë-Kuqe water utility which coalition of well-record holders to form, in what order to merge, when to stop and how to share the value, all </w:t>
      </w:r>
      <w:r>
        <w:rPr>
          <w:i/>
          <w:iCs/>
        </w:rPr>
        <w:t xml:space="preserve">before any record is shared</w:t>
      </w:r>
      <w:r>
        <w:t xml:space="preserve">. It extends BASHKIMI-GO (review 55) from one merge to coalitions of five holders in four ways. (1) Every one of the 31 coalitions is valued from sums of Gram matrices, so with secret sharing </w:t>
      </w:r>
      <w:r>
        <w:rPr>
          <w:b/>
          <w:bCs/>
        </w:rPr>
        <w:t xml:space="preserve">one private release per holder covers all coalitions</w:t>
      </w:r>
      <w:r>
        <w:t xml:space="preserve"> as post-processing, where releasing the coalition values one by one would cost 16 times the privacy budget (Proposition K1). (2) It identifies </w:t>
      </w:r>
      <w:r>
        <w:rPr>
          <w:b/>
          <w:bCs/>
        </w:rPr>
        <w:t xml:space="preserve">complementary holders</w:t>
      </w:r>
      <w:r>
        <w:t xml:space="preserve">: municipal coastal wells, all pumped low by law, are worth 0.0067 loss units alone with the physics-informed model, but next to the coastal hotels, all pumped hard, the pair is worth more than the sum of its parts in 96% of aquifers (Proposition K2). (3) It </w:t>
      </w:r>
      <w:r>
        <w:rPr>
          <w:b/>
          <w:bCs/>
        </w:rPr>
        <w:t xml:space="preserve">merges adaptively</w:t>
      </w:r>
      <w:r>
        <w:t xml:space="preserve">: merge, update with the real records, re-value the rest, stop when no merge pays its cost; the rule is never significantly worse than the best coalition fixed in advance, and with the local statistical model it is the best policy when a merge costs 0.01–0.02 (Proposition K4). (4) It </w:t>
      </w:r>
      <w:r>
        <w:rPr>
          <w:b/>
          <w:bCs/>
        </w:rPr>
        <w:t xml:space="preserve">shares the value stably</w:t>
      </w:r>
      <w:r>
        <w:t xml:space="preserve">: the Shapley division with the utility as a veto player is stable in only 2.5% of aquifers, while paying the complementary pair jointly its marginal contribution is stable in 88% (Proposition K3). Tested on 200 plausible aquifers with a physics-informed and a local statistical model.</w:t>
      </w:r>
    </w:p>
    <w:p>
      <w:pPr>
        <w:pStyle w:val="Heading3"/>
      </w:pPr>
      <w:r>
        <w:rPr>
          <w:color w:val="1F3864"/>
        </w:rPr>
        <w:t xml:space="preserve">9.1 Six holders, two pumping regimes, one decision</w:t>
      </w:r>
    </w:p>
    <w:p>
      <w:pPr>
        <w:spacing w:after="120"/>
        <w:jc w:val="both"/>
      </w:pPr>
      <w:r>
        <w:t xml:space="preserve">The test reuses the truth generator and the Bayesian model of BASHKIMI-GO (review 55): plausible Fushë-Kuqe aquifers (twelve zonal log-conductivities and a finer field), an effect of high summer pumping on the seasonal change of log chloride that grows near the saltwater toe, uncertain chemistry, and 40 target wells whose summer pumping the utility must allow or cap. Two things are new. The truth now contains a </w:t>
      </w:r>
      <w:r>
        <w:rPr>
          <w:i/>
          <w:iCs/>
        </w:rPr>
        <w:t xml:space="preserve">local seasonal drift</w:t>
      </w:r>
      <w:r>
        <w:t xml:space="preserve"> of chloride near the coast (standard deviation 0.08 at the shore, decaying over 3 km, correlated over 2.5 km) that the groundwater model does not contain, and the holders now include two that see only one pumping regime: coastal hotels, whose 32 well-seasons are all pumped hard, and municipal coastal wells, whose 40 well-seasons are all pumped low because the law caps them. With the utility (60 records, 90% pumped high), the monitoring agency (300, half), the private irrigators (120, 85%) and the research campaign (24, designed) there are five candidate holders and </w:t>
      </w:r>
      <m:oMath>
        <m:sSup>
          <m:e>
            <m:r>
              <m:t>2</m:t>
            </m:r>
          </m:e>
          <m:sup>
            <m:r>
              <m:t>5</m:t>
            </m:r>
          </m:sup>
        </m:sSup>
        <m:r>
          <m:rPr>
            <m:sty m:val="p"/>
          </m:rPr>
          <m:t>=</m:t>
        </m:r>
        <m:r>
          <m:t>32</m:t>
        </m:r>
      </m:oMath>
      <w:r>
        <w:t xml:space="preserve"> coalitions.</w:t>
      </w:r>
    </w:p>
    <w:p>
      <w:pPr>
        <w:spacing w:after="120"/>
        <w:jc w:val="both"/>
      </w:pPr>
      <w:r>
        <w:t xml:space="preserve">Two Bayesian models are compared. The </w:t>
      </w:r>
      <w:r>
        <w:rPr>
          <w:i/>
          <w:iCs/>
        </w:rPr>
        <w:t xml:space="preserve">physics-informed</w:t>
      </w:r>
      <w:r>
        <w:t xml:space="preserve"> model of review 55 (CATE basis from the groundwater model, a Gaussian field for its relative error) gains a matching Gaussian field for the local drift in its baseline. The </w:t>
      </w:r>
      <w:r>
        <w:rPr>
          <w:i/>
          <w:iCs/>
        </w:rPr>
        <w:t xml:space="preserve">local statistical</w:t>
      </w:r>
      <w:r>
        <w:t xml:space="preserve"> model has no physics: a constant and a Gaussian field for the baseline, a constant and a Gaussian field for the effect, whose prior amplitude only decays with distance to the sea. Both are linear-Gaussian, so everything below is exact given the model.</w:t>
      </w:r>
    </w:p>
    <w:p>
      <w:pPr>
        <w:pStyle w:val="Heading3"/>
      </w:pPr>
      <w:r>
        <w:rPr>
          <w:color w:val="1F3864"/>
        </w:rPr>
        <w:t xml:space="preserve">9.2 Proposition K1: every coalition from Gram sums, and one private release per holder</w:t>
      </w:r>
    </w:p>
    <w:p>
      <w:pPr>
        <w:spacing w:after="120"/>
        <w:jc w:val="both"/>
      </w:pPr>
      <w:r>
        <w:rPr>
          <w:b/>
          <w:bCs/>
        </w:rPr>
        <w:t xml:space="preserve">Proposition K1.</w:t>
      </w:r>
      <w:r>
        <w:t xml:space="preserve"> The decision value of a coalition </w:t>
      </w:r>
      <m:oMath>
        <m:r>
          <m:t>S</m:t>
        </m:r>
      </m:oMath>
      <w:r>
        <w:t xml:space="preserve"> of holders depends on their records only through </w:t>
      </w:r>
      <m:oMath>
        <m:sSub>
          <m:e>
            <m:r>
              <m:t>G</m:t>
            </m:r>
          </m:e>
          <m:sub>
            <m:r>
              <m:t>S</m:t>
            </m:r>
          </m:sub>
        </m:sSub>
        <m:r>
          <m:rPr>
            <m:sty m:val="p"/>
          </m:rPr>
          <m:t>=</m:t>
        </m:r>
        <m:nary>
          <m:naryPr>
            <m:chr m:val="∑"/>
            <m:limLoc m:val="undOvr"/>
            <m:subHide m:val="off"/>
            <m:supHide m:val="on"/>
          </m:naryPr>
          <m:sub>
            <m:r>
              <m:t>k</m:t>
            </m:r>
            <m:r>
              <m:rPr>
                <m:sty m:val="p"/>
              </m:rPr>
              <m:t>∈</m:t>
            </m:r>
            <m:r>
              <m:t>S</m:t>
            </m:r>
          </m:sub>
          <m:sup>
            <m:r>
              <m:t>​</m:t>
            </m:r>
          </m:sup>
          <m:e>
            <m:sSub>
              <m:e>
                <m:r>
                  <m:t>G</m:t>
                </m:r>
              </m:e>
              <m:sub>
                <m:r>
                  <m:t>k</m:t>
                </m:r>
              </m:sub>
            </m:sSub>
          </m:e>
        </m:nary>
      </m:oMath>
      <w:r>
        <w:t xml:space="preserve"> (Proposition B1 of review 55). Hence (i) with additive secret sharing, the Gram matrix of any coalition is a sum of shares computed locally, without communication; and (ii) if each holder's clipped whitened information </w:t>
      </w:r>
      <m:oMath>
        <m:sSubSup>
          <m:e>
            <m:r>
              <m:t>L</m:t>
            </m:r>
          </m:e>
          <m:sub>
            <m:r>
              <m:t>0</m:t>
            </m:r>
          </m:sub>
          <m:sup>
            <m:r>
              <m:rPr>
                <m:sty m:val="p"/>
              </m:rPr>
              <m:t>⊤</m:t>
            </m:r>
          </m:sup>
        </m:sSubSup>
        <m:sSub>
          <m:e>
            <m:r>
              <m:t>G</m:t>
            </m:r>
          </m:e>
          <m:sub>
            <m:r>
              <m:t>k</m:t>
            </m:r>
          </m:sub>
        </m:sSub>
        <m:sSub>
          <m:e>
            <m:r>
              <m:t>L</m:t>
            </m:r>
          </m:e>
          <m:sub>
            <m:r>
              <m:t>0</m:t>
            </m:r>
          </m:sub>
        </m:sSub>
      </m:oMath>
      <w:r>
        <w:t xml:space="preserve"> is released once with the Gaussian mechanism at </w:t>
      </w:r>
      <m:oMath>
        <m:d>
          <m:dPr>
            <m:begChr m:val="("/>
            <m:sepChr m:val=""/>
            <m:endChr m:val=")"/>
            <m:grow/>
          </m:dPr>
          <m:e>
            <m:r>
              <m:t>ε</m:t>
            </m:r>
            <m:r>
              <m:rPr>
                <m:sty m:val="p"/>
              </m:rPr>
              <m:t>,</m:t>
            </m:r>
            <m:r>
              <m:t>δ</m:t>
            </m:r>
          </m:e>
        </m:d>
      </m:oMath>
      <w:r>
        <w:t xml:space="preserve">, then the values of all </w:t>
      </w:r>
      <m:oMath>
        <m:sSup>
          <m:e>
            <m:r>
              <m:t>2</m:t>
            </m:r>
          </m:e>
          <m:sup>
            <m:r>
              <m:t>m</m:t>
            </m:r>
          </m:sup>
        </m:sSup>
        <m:r>
          <m:rPr>
            <m:sty m:val="p"/>
          </m:rPr>
          <m:t>−</m:t>
        </m:r>
        <m:r>
          <m:t>1</m:t>
        </m:r>
      </m:oMath>
      <w:r>
        <w:t xml:space="preserve"> coalitions, the optimal coalition and every share of the value are post-processing and remain </w:t>
      </w:r>
      <m:oMath>
        <m:d>
          <m:dPr>
            <m:begChr m:val="("/>
            <m:sepChr m:val=""/>
            <m:endChr m:val=")"/>
            <m:grow/>
          </m:dPr>
          <m:e>
            <m:r>
              <m:t>ε</m:t>
            </m:r>
            <m:r>
              <m:rPr>
                <m:sty m:val="p"/>
              </m:rPr>
              <m:t>,</m:t>
            </m:r>
            <m:r>
              <m:t>δ</m:t>
            </m:r>
          </m:e>
        </m:d>
      </m:oMath>
      <w:r>
        <w:t xml:space="preserve">-private for every record:</w:t>
      </w:r>
    </w:p>
    <w:p>
      <w:pPr>
        <w:pStyle w:val="Equation"/>
      </w:pPr>
      <m:oMathPara>
        <m:oMathParaPr>
          <m:jc m:val="center"/>
        </m:oMathParaPr>
        <m:oMath>
          <m:r>
            <m:t>V</m:t>
          </m:r>
          <m:d>
            <m:dPr>
              <m:begChr m:val="("/>
              <m:sepChr m:val=""/>
              <m:endChr m:val=")"/>
              <m:grow/>
            </m:dPr>
            <m:e>
              <m:r>
                <m:t>S</m:t>
              </m:r>
            </m:e>
          </m:d>
          <m:r>
            <m:rPr>
              <m:sty m:val="p"/>
            </m:rPr>
            <m:t>=</m:t>
          </m:r>
          <m:r>
            <m:rPr>
              <m:scr m:val="script"/>
              <m:sty m:val="p"/>
            </m:rPr>
            <m:t>V</m:t>
          </m:r>
          <m:d>
            <m:dPr>
              <m:begChr m:val="("/>
              <m:sepChr m:val=""/>
              <m:endChr m:val=")"/>
              <m:grow/>
            </m:dPr>
            <m:e>
              <m:nary>
                <m:naryPr>
                  <m:chr m:val="∑"/>
                  <m:limLoc m:val="undOvr"/>
                  <m:subHide m:val="off"/>
                  <m:supHide m:val="on"/>
                </m:naryPr>
                <m:sub>
                  <m:r>
                    <m:t>k</m:t>
                  </m:r>
                  <m:r>
                    <m:rPr>
                      <m:sty m:val="p"/>
                    </m:rPr>
                    <m:t>∈</m:t>
                  </m:r>
                  <m:r>
                    <m:t>S</m:t>
                  </m:r>
                </m:sub>
                <m:sup>
                  <m:r>
                    <m:t>​</m:t>
                  </m:r>
                </m:sup>
                <m:e>
                  <m:sSub>
                    <m:e>
                      <m:acc>
                        <m:accPr>
                          <m:chr m:val="̃"/>
                        </m:accPr>
                        <m:e>
                          <m:r>
                            <m:t>H</m:t>
                          </m:r>
                        </m:e>
                      </m:acc>
                    </m:e>
                    <m:sub>
                      <m:r>
                        <m:t>k</m:t>
                      </m:r>
                    </m:sub>
                  </m:sSub>
                </m:e>
              </m:nary>
            </m:e>
          </m:d>
          <m:r>
            <m:rPr>
              <m:sty m:val="p"/>
            </m:rPr>
            <m:t>,</m:t>
          </m:r>
          <m:r>
            <m:t> </m:t>
          </m:r>
          <m:sSub>
            <m:e>
              <m:acc>
                <m:accPr>
                  <m:chr m:val="̃"/>
                </m:accPr>
                <m:e>
                  <m:r>
                    <m:t>H</m:t>
                  </m:r>
                </m:e>
              </m:acc>
            </m:e>
            <m:sub>
              <m:r>
                <m:t>k</m:t>
              </m:r>
            </m:sub>
          </m:sSub>
          <m:r>
            <m:rPr>
              <m:sty m:val="p"/>
            </m:rPr>
            <m:t>=</m:t>
          </m:r>
          <m:sSubSup>
            <m:e>
              <m:r>
                <m:t>L</m:t>
              </m:r>
            </m:e>
            <m:sub>
              <m:r>
                <m:t>0</m:t>
              </m:r>
            </m:sub>
            <m:sup>
              <m:r>
                <m:rPr>
                  <m:sty m:val="p"/>
                </m:rPr>
                <m:t>⊤</m:t>
              </m:r>
            </m:sup>
          </m:sSubSup>
          <m:sSubSup>
            <m:e>
              <m:r>
                <m:t>G</m:t>
              </m:r>
            </m:e>
            <m:sub>
              <m:r>
                <m:t>k</m:t>
              </m:r>
            </m:sub>
            <m:sup>
              <m:r>
                <m:rPr>
                  <m:nor/>
                </m:rPr>
                <m:t>clip</m:t>
              </m:r>
            </m:sup>
          </m:sSubSup>
          <m:sSub>
            <m:e>
              <m:r>
                <m:t>L</m:t>
              </m:r>
            </m:e>
            <m:sub>
              <m:r>
                <m:t>0</m:t>
              </m:r>
            </m:sub>
          </m:sSub>
          <m:r>
            <m:rPr>
              <m:sty m:val="p"/>
            </m:rPr>
            <m:t>+</m:t>
          </m:r>
          <m:sSub>
            <m:e>
              <m:r>
                <m:t>E</m:t>
              </m:r>
            </m:e>
            <m:sub>
              <m:r>
                <m:t>k</m:t>
              </m:r>
            </m:sub>
          </m:sSub>
          <m:r>
            <m:rPr>
              <m:sty m:val="p"/>
            </m:rPr>
            <m:t>,</m:t>
          </m:r>
          <m:r>
            <m:t> </m:t>
          </m:r>
          <m:sSub>
            <m:e>
              <m:r>
                <m:t>E</m:t>
              </m:r>
            </m:e>
            <m:sub>
              <m:r>
                <m:t>k</m:t>
              </m:r>
            </m:sub>
          </m:sSub>
          <m:r>
            <m:rPr>
              <m:sty m:val="p"/>
            </m:rPr>
            <m:t>∼</m:t>
          </m:r>
          <m:r>
            <m:rPr>
              <m:scr m:val="script"/>
              <m:sty m:val="p"/>
            </m:rPr>
            <m:t>N</m:t>
          </m:r>
          <m:d>
            <m:dPr>
              <m:begChr m:val="("/>
              <m:sepChr m:val=""/>
              <m:endChr m:val=")"/>
              <m:grow/>
            </m:dPr>
            <m:e>
              <m:r>
                <m:t>0</m:t>
              </m:r>
              <m:r>
                <m:rPr>
                  <m:sty m:val="p"/>
                </m:rPr>
                <m:t>,</m:t>
              </m:r>
              <m:sSup>
                <m:e>
                  <m:d>
                    <m:dPr>
                      <m:begChr m:val="("/>
                      <m:sepChr m:val=""/>
                      <m:endChr m:val=")"/>
                      <m:grow/>
                    </m:dPr>
                    <m:e>
                      <m:r>
                        <m:t>c</m:t>
                      </m:r>
                      <m:d>
                        <m:dPr>
                          <m:begChr m:val="("/>
                          <m:sepChr m:val=""/>
                          <m:endChr m:val=")"/>
                          <m:grow/>
                        </m:dPr>
                        <m:e>
                          <m:r>
                            <m:t>ε</m:t>
                          </m:r>
                          <m:r>
                            <m:rPr>
                              <m:sty m:val="p"/>
                            </m:rPr>
                            <m:t>,</m:t>
                          </m:r>
                          <m:r>
                            <m:t>δ</m:t>
                          </m:r>
                        </m:e>
                      </m:d>
                      <m:r>
                        <m:t>λ</m:t>
                      </m:r>
                    </m:e>
                  </m:d>
                </m:e>
                <m:sup>
                  <m:r>
                    <m:t>2</m:t>
                  </m:r>
                </m:sup>
              </m:sSup>
            </m:e>
          </m:d>
          <m:r>
            <m:t> </m:t>
          </m:r>
          <m:r>
            <m:rPr>
              <m:nor/>
            </m:rPr>
            <m:t>entrywise</m:t>
          </m:r>
          <m:r>
            <m:t> </m:t>
          </m:r>
          <m:r>
            <m:rPr>
              <m:sty m:val="p"/>
            </m:rPr>
            <m:t>⇒</m:t>
          </m:r>
          <m:r>
            <m:t> </m:t>
          </m:r>
          <m:sSub>
            <m:e>
              <m:d>
                <m:dPr>
                  <m:begChr m:val="{"/>
                  <m:sepChr m:val=""/>
                  <m:endChr m:val="}"/>
                  <m:grow/>
                </m:dPr>
                <m:e>
                  <m:r>
                    <m:t>V</m:t>
                  </m:r>
                  <m:d>
                    <m:dPr>
                      <m:begChr m:val="("/>
                      <m:sepChr m:val=""/>
                      <m:endChr m:val=")"/>
                      <m:grow/>
                    </m:dPr>
                    <m:e>
                      <m:r>
                        <m:t>S</m:t>
                      </m:r>
                    </m:e>
                  </m:d>
                </m:e>
              </m:d>
            </m:e>
            <m:sub>
              <m:r>
                <m:t>S</m:t>
              </m:r>
              <m:r>
                <m:rPr>
                  <m:sty m:val="p"/>
                </m:rPr>
                <m:t>⊆</m:t>
              </m:r>
              <m:r>
                <m:t>N</m:t>
              </m:r>
            </m:sub>
          </m:sSub>
          <m:r>
            <m:t> </m:t>
          </m:r>
          <m:r>
            <m:rPr>
              <m:nor/>
            </m:rPr>
            <m:t>is</m:t>
          </m:r>
          <m:r>
            <m:t> </m:t>
          </m:r>
          <m:d>
            <m:dPr>
              <m:begChr m:val="("/>
              <m:sepChr m:val=""/>
              <m:endChr m:val=")"/>
              <m:grow/>
            </m:dPr>
            <m:e>
              <m:r>
                <m:t>ε</m:t>
              </m:r>
              <m:r>
                <m:rPr>
                  <m:sty m:val="p"/>
                </m:rPr>
                <m:t>,</m:t>
              </m:r>
              <m:r>
                <m:t>δ</m:t>
              </m:r>
            </m:e>
          </m:d>
          <m:r>
            <m:rPr>
              <m:nor/>
            </m:rPr>
            <m:t>-DP</m:t>
          </m:r>
        </m:oMath>
      </m:oMathPara>
    </w:p>
    <w:p>
      <w:pPr>
        <w:spacing w:after="120"/>
        <w:jc w:val="both"/>
      </w:pPr>
      <w:r>
        <w:rPr>
          <w:i/>
          <w:iCs/>
        </w:rPr>
        <w:t xml:space="preserve">Proof.</w:t>
      </w:r>
      <w:r>
        <w:t xml:space="preserve"> (i) is linearity of additive sharing. (ii) A record of holder </w:t>
      </w:r>
      <m:oMath>
        <m:r>
          <m:t>k</m:t>
        </m:r>
      </m:oMath>
      <w:r>
        <w:t xml:space="preserve"> enters only </w:t>
      </w:r>
      <m:oMath>
        <m:sSub>
          <m:e>
            <m:acc>
              <m:accPr>
                <m:chr m:val="̃"/>
              </m:accPr>
              <m:e>
                <m:r>
                  <m:t>H</m:t>
                </m:r>
              </m:e>
            </m:acc>
          </m:e>
          <m:sub>
            <m:r>
              <m:t>k</m:t>
            </m:r>
          </m:sub>
        </m:sSub>
      </m:oMath>
      <w:r>
        <w:t xml:space="preserve">, whose Frobenius sensitivity is at most </w:t>
      </w:r>
      <m:oMath>
        <m:r>
          <m:t>λ</m:t>
        </m:r>
      </m:oMath>
      <w:r>
        <w:t xml:space="preserve"> after clipping (Proposition B4 of review 55); the </w:t>
      </w:r>
      <m:oMath>
        <m:sSub>
          <m:e>
            <m:acc>
              <m:accPr>
                <m:chr m:val="̃"/>
              </m:accPr>
              <m:e>
                <m:r>
                  <m:t>H</m:t>
                </m:r>
              </m:e>
            </m:acc>
          </m:e>
          <m:sub>
            <m:r>
              <m:t>k</m:t>
            </m:r>
          </m:sub>
        </m:sSub>
      </m:oMath>
      <w:r>
        <w:t xml:space="preserve"> of different holders use disjoint records (parallel composition), and every </w:t>
      </w:r>
      <m:oMath>
        <m:r>
          <m:t>V</m:t>
        </m:r>
        <m:d>
          <m:dPr>
            <m:begChr m:val="("/>
            <m:sepChr m:val=""/>
            <m:endChr m:val=")"/>
            <m:grow/>
          </m:dPr>
          <m:e>
            <m:r>
              <m:t>S</m:t>
            </m:r>
          </m:e>
        </m:d>
      </m:oMath>
      <w:r>
        <w:t xml:space="preserve"> is a function of them (post-processing) [B8]. </w:t>
      </w:r>
      <m:oMath>
        <m:r>
          <m:rPr>
            <m:sty m:val="p"/>
          </m:rPr>
          <m:t>▫</m:t>
        </m:r>
      </m:oMath>
      <w:r>
        <w:t xml:space="preserve"> Releasing the </w:t>
      </w:r>
      <m:oMath>
        <m:sSup>
          <m:e>
            <m:r>
              <m:t>2</m:t>
            </m:r>
          </m:e>
          <m:sup>
            <m:r>
              <m:t>m</m:t>
            </m:r>
          </m:sup>
        </m:sSup>
        <m:r>
          <m:rPr>
            <m:sty m:val="p"/>
          </m:rPr>
          <m:t>−</m:t>
        </m:r>
        <m:r>
          <m:t>1</m:t>
        </m:r>
      </m:oMath>
      <w:r>
        <w:t xml:space="preserve"> coalition values one by one instead would expose each record in </w:t>
      </w:r>
      <m:oMath>
        <m:sSup>
          <m:e>
            <m:r>
              <m:t>2</m:t>
            </m:r>
          </m:e>
          <m:sup>
            <m:r>
              <m:t>m</m:t>
            </m:r>
            <m:r>
              <m:rPr>
                <m:sty m:val="p"/>
              </m:rPr>
              <m:t>−</m:t>
            </m:r>
            <m:r>
              <m:t>1</m:t>
            </m:r>
          </m:sup>
        </m:sSup>
      </m:oMath>
      <w:r>
        <w:t xml:space="preserve"> of them: for </w:t>
      </w:r>
      <m:oMath>
        <m:r>
          <m:t>m</m:t>
        </m:r>
        <m:r>
          <m:rPr>
            <m:sty m:val="p"/>
          </m:rPr>
          <m:t>=</m:t>
        </m:r>
        <m:r>
          <m:t>5</m:t>
        </m:r>
      </m:oMath>
      <w:r>
        <w:t xml:space="preserve"> a factor 16 in the composed budget, or </w:t>
      </w:r>
      <m:oMath>
        <m:rad>
          <m:radPr>
            <m:degHide m:val="on"/>
          </m:radPr>
          <m:deg/>
          <m:e>
            <m:r>
              <m:t>16</m:t>
            </m:r>
          </m:e>
        </m:rad>
        <m:r>
          <m:rPr>
            <m:sty m:val="p"/>
          </m:rPr>
          <m:t>=</m:t>
        </m:r>
        <m:r>
          <m:t>4</m:t>
        </m:r>
      </m:oMath>
      <w:r>
        <w:t xml:space="preserve"> in the Gaussian noise at fixed budget.</w:t>
      </w:r>
    </w:p>
    <w:p>
      <w:pPr>
        <w:pStyle w:val="Heading3"/>
      </w:pPr>
      <w:r>
        <w:rPr>
          <w:color w:val="1F3864"/>
        </w:rPr>
        <w:t xml:space="preserve">9.3 Proposition K2: when holders complement each other, and when they cannot</w:t>
      </w:r>
    </w:p>
    <w:p>
      <w:pPr>
        <w:spacing w:after="120"/>
        <w:jc w:val="both"/>
      </w:pPr>
      <w:r>
        <w:rPr>
          <w:b/>
          <w:bCs/>
        </w:rPr>
        <w:t xml:space="preserve">Proposition K2.</w:t>
      </w:r>
      <w:r>
        <w:t xml:space="preserve"> Let the baseline coefficients carry a flat prior and let </w:t>
      </w:r>
      <m:oMath>
        <m:sSub>
          <m:e>
            <m:r>
              <m:t>I</m:t>
            </m:r>
          </m:e>
          <m:sub>
            <m:r>
              <m:t>γ</m:t>
            </m:r>
          </m:sub>
        </m:sSub>
        <m:d>
          <m:dPr>
            <m:begChr m:val="("/>
            <m:sepChr m:val=""/>
            <m:endChr m:val=")"/>
            <m:grow/>
          </m:dPr>
          <m:e>
            <m:r>
              <m:t>G</m:t>
            </m:r>
          </m:e>
        </m:d>
      </m:oMath>
      <w:r>
        <w:t xml:space="preserve"> be the CATE information of Proposition B2 (review 55), the Schur complement of </w:t>
      </w:r>
      <m:oMath>
        <m:r>
          <m:t>G</m:t>
        </m:r>
      </m:oMath>
      <w:r>
        <w:t xml:space="preserve">. (i) If the effect and the baseline share their features (</w:t>
      </w:r>
      <m:oMath>
        <m:sSub>
          <m:e>
            <m:r>
              <m:t>ψ</m:t>
            </m:r>
          </m:e>
          <m:sub>
            <m:r>
              <m:t>t</m:t>
            </m:r>
          </m:sub>
        </m:sSub>
        <m:r>
          <m:rPr>
            <m:sty m:val="p"/>
          </m:rPr>
          <m:t>=</m:t>
        </m:r>
        <m:sSub>
          <m:e>
            <m:r>
              <m:t>ψ</m:t>
            </m:r>
          </m:e>
          <m:sub>
            <m:r>
              <m:t>b</m:t>
            </m:r>
          </m:sub>
        </m:sSub>
      </m:oMath>
      <w:r>
        <w:t xml:space="preserve">), a holder all of whose records are treated (</w:t>
      </w:r>
      <m:oMath>
        <m:r>
          <m:t>a</m:t>
        </m:r>
        <m:r>
          <m:rPr>
            <m:sty m:val="p"/>
          </m:rPr>
          <m:t>=</m:t>
        </m:r>
        <m:r>
          <m:t>1</m:t>
        </m:r>
      </m:oMath>
      <w:r>
        <w:t xml:space="preserve">) or all untreated (</w:t>
      </w:r>
      <m:oMath>
        <m:r>
          <m:t>a</m:t>
        </m:r>
        <m:r>
          <m:rPr>
            <m:sty m:val="p"/>
          </m:rPr>
          <m:t>=</m:t>
        </m:r>
        <m:r>
          <m:t>0</m:t>
        </m:r>
      </m:oMath>
      <w:r>
        <w:t xml:space="preserve">) has </w:t>
      </w:r>
      <m:oMath>
        <m:sSub>
          <m:e>
            <m:r>
              <m:t>I</m:t>
            </m:r>
          </m:e>
          <m:sub>
            <m:r>
              <m:t>γ</m:t>
            </m:r>
          </m:sub>
        </m:sSub>
        <m:d>
          <m:dPr>
            <m:begChr m:val="("/>
            <m:sepChr m:val=""/>
            <m:endChr m:val=")"/>
            <m:grow/>
          </m:dPr>
          <m:e>
            <m:sSub>
              <m:e>
                <m:r>
                  <m:t>G</m:t>
                </m:r>
              </m:e>
              <m:sub>
                <m:r>
                  <m:t>k</m:t>
                </m:r>
              </m:sub>
            </m:sSub>
          </m:e>
        </m:d>
        <m:r>
          <m:rPr>
            <m:sty m:val="p"/>
          </m:rPr>
          <m:t>=</m:t>
        </m:r>
        <m:r>
          <m:t>0</m:t>
        </m:r>
      </m:oMath>
      <w:r>
        <w:t xml:space="preserve">: alone it carries no information on the effect. (ii) Its </w:t>
      </w:r>
      <w:r>
        <w:rPr>
          <w:i/>
          <w:iCs/>
        </w:rPr>
        <w:t xml:space="preserve">marginal</w:t>
      </w:r>
      <w:r>
        <w:t xml:space="preserve"> information given a coalition </w:t>
      </w:r>
      <m:oMath>
        <m:r>
          <m:t>S</m:t>
        </m:r>
      </m:oMath>
      <w:r>
        <w:t xml:space="preserve"> is never smaller than its standalone information, </w:t>
      </w:r>
      <m:oMath>
        <m:sSub>
          <m:e>
            <m:r>
              <m:t>I</m:t>
            </m:r>
          </m:e>
          <m:sub>
            <m:r>
              <m:t>γ</m:t>
            </m:r>
          </m:sub>
        </m:sSub>
        <m:d>
          <m:dPr>
            <m:begChr m:val="("/>
            <m:sepChr m:val=""/>
            <m:endChr m:val=")"/>
            <m:grow/>
          </m:dPr>
          <m:e>
            <m:sSub>
              <m:e>
                <m:r>
                  <m:t>G</m:t>
                </m:r>
              </m:e>
              <m:sub>
                <m:r>
                  <m:t>S</m:t>
                </m:r>
              </m:sub>
            </m:sSub>
            <m:r>
              <m:rPr>
                <m:sty m:val="p"/>
              </m:rPr>
              <m:t>+</m:t>
            </m:r>
            <m:sSub>
              <m:e>
                <m:r>
                  <m:t>G</m:t>
                </m:r>
              </m:e>
              <m:sub>
                <m:r>
                  <m:t>k</m:t>
                </m:r>
              </m:sub>
            </m:sSub>
          </m:e>
        </m:d>
        <m:r>
          <m:rPr>
            <m:sty m:val="p"/>
          </m:rPr>
          <m:t>−</m:t>
        </m:r>
        <m:sSub>
          <m:e>
            <m:r>
              <m:t>I</m:t>
            </m:r>
          </m:e>
          <m:sub>
            <m:r>
              <m:t>γ</m:t>
            </m:r>
          </m:sub>
        </m:sSub>
        <m:d>
          <m:dPr>
            <m:begChr m:val="("/>
            <m:sepChr m:val=""/>
            <m:endChr m:val=")"/>
            <m:grow/>
          </m:dPr>
          <m:e>
            <m:sSub>
              <m:e>
                <m:r>
                  <m:t>G</m:t>
                </m:r>
              </m:e>
              <m:sub>
                <m:r>
                  <m:t>S</m:t>
                </m:r>
              </m:sub>
            </m:sSub>
          </m:e>
        </m:d>
        <m:r>
          <m:rPr>
            <m:sty m:val="p"/>
          </m:rPr>
          <m:t>≽</m:t>
        </m:r>
        <m:sSub>
          <m:e>
            <m:r>
              <m:t>I</m:t>
            </m:r>
          </m:e>
          <m:sub>
            <m:r>
              <m:t>γ</m:t>
            </m:r>
          </m:sub>
        </m:sSub>
        <m:d>
          <m:dPr>
            <m:begChr m:val="("/>
            <m:sepChr m:val=""/>
            <m:endChr m:val=")"/>
            <m:grow/>
          </m:dPr>
          <m:e>
            <m:sSub>
              <m:e>
                <m:r>
                  <m:t>G</m:t>
                </m:r>
              </m:e>
              <m:sub>
                <m:r>
                  <m:t>k</m:t>
                </m:r>
              </m:sub>
            </m:sSub>
          </m:e>
        </m:d>
      </m:oMath>
      <w:r>
        <w:t xml:space="preserve">, and is positive whenever </w:t>
      </w:r>
      <m:oMath>
        <m:r>
          <m:t>S</m:t>
        </m:r>
      </m:oMath>
      <w:r>
        <w:t xml:space="preserve"> observes the other regime in the same region and in the same feature directions: municipal coastal wells, all pumped low, can be worth almost nothing alone, because the utility's hard-pumped wells are inland, and much next to the coastal hotels, all pumped hard. (iii) The decision value is monotone but saturates, </w:t>
      </w:r>
      <m:oMath>
        <m:r>
          <m:t>V</m:t>
        </m:r>
        <m:d>
          <m:dPr>
            <m:begChr m:val="("/>
            <m:sepChr m:val=""/>
            <m:endChr m:val=")"/>
            <m:grow/>
          </m:dPr>
          <m:e>
            <m:r>
              <m:t>S</m:t>
            </m:r>
          </m:e>
        </m:d>
        <m:r>
          <m:rPr>
            <m:sty m:val="p"/>
          </m:rPr>
          <m:t>≤</m:t>
        </m:r>
        <m:sSub>
          <m:e>
            <m:r>
              <m:t>V</m:t>
            </m:r>
          </m:e>
          <m:sub>
            <m:r>
              <m:rPr>
                <m:nor/>
              </m:rPr>
              <m:t>perfect</m:t>
            </m:r>
          </m:sub>
        </m:sSub>
      </m:oMath>
      <w:r>
        <w:t xml:space="preserve">, so marginal values eventually fall: complementarity of information does not imply complementarity of value.</w:t>
      </w:r>
    </w:p>
    <w:p>
      <w:pPr>
        <w:spacing w:after="120"/>
        <w:jc w:val="both"/>
      </w:pPr>
      <w:r>
        <w:rPr>
          <w:i/>
          <w:iCs/>
        </w:rPr>
        <w:t xml:space="preserve">Proof.</w:t>
      </w:r>
      <w:r>
        <w:t xml:space="preserve"> (i) With shared features and every </w:t>
      </w:r>
      <m:oMath>
        <m:sSub>
          <m:e>
            <m:r>
              <m:t>a</m:t>
            </m:r>
          </m:e>
          <m:sub>
            <m:r>
              <m:t>i</m:t>
            </m:r>
          </m:sub>
        </m:sSub>
        <m:r>
          <m:rPr>
            <m:sty m:val="p"/>
          </m:rPr>
          <m:t>=</m:t>
        </m:r>
        <m:r>
          <m:t>1</m:t>
        </m:r>
      </m:oMath>
      <w:r>
        <w:t xml:space="preserve"> all four blocks of </w:t>
      </w:r>
      <m:oMath>
        <m:sSub>
          <m:e>
            <m:r>
              <m:t>G</m:t>
            </m:r>
          </m:e>
          <m:sub>
            <m:r>
              <m:t>k</m:t>
            </m:r>
          </m:sub>
        </m:sSub>
      </m:oMath>
      <w:r>
        <w:t xml:space="preserve"> equal </w:t>
      </w:r>
      <m:oMath>
        <m:sSub>
          <m:e>
            <m:r>
              <m:t>G</m:t>
            </m:r>
          </m:e>
          <m:sub>
            <m:r>
              <m:t>1</m:t>
            </m:r>
          </m:sub>
        </m:sSub>
      </m:oMath>
      <w:r>
        <w:t xml:space="preserve">, and the Schur complement </w:t>
      </w:r>
      <m:oMath>
        <m:sSub>
          <m:e>
            <m:r>
              <m:t>G</m:t>
            </m:r>
          </m:e>
          <m:sub>
            <m:r>
              <m:t>1</m:t>
            </m:r>
          </m:sub>
        </m:sSub>
        <m:r>
          <m:rPr>
            <m:sty m:val="p"/>
          </m:rPr>
          <m:t>−</m:t>
        </m:r>
        <m:sSub>
          <m:e>
            <m:r>
              <m:t>G</m:t>
            </m:r>
          </m:e>
          <m:sub>
            <m:r>
              <m:t>1</m:t>
            </m:r>
          </m:sub>
        </m:sSub>
        <m:sSubSup>
          <m:e>
            <m:r>
              <m:t>G</m:t>
            </m:r>
          </m:e>
          <m:sub>
            <m:r>
              <m:t>1</m:t>
            </m:r>
          </m:sub>
          <m:sup>
            <m:r>
              <m:rPr>
                <m:nor/>
              </m:rPr>
              <m:t>+</m:t>
            </m:r>
          </m:sup>
        </m:sSubSup>
        <m:sSub>
          <m:e>
            <m:r>
              <m:t>G</m:t>
            </m:r>
          </m:e>
          <m:sub>
            <m:r>
              <m:t>1</m:t>
            </m:r>
          </m:sub>
        </m:sSub>
      </m:oMath>
      <w:r>
        <w:t xml:space="preserve"> vanishes; if every </w:t>
      </w:r>
      <m:oMath>
        <m:sSub>
          <m:e>
            <m:r>
              <m:t>a</m:t>
            </m:r>
          </m:e>
          <m:sub>
            <m:r>
              <m:t>i</m:t>
            </m:r>
          </m:sub>
        </m:sSub>
        <m:r>
          <m:rPr>
            <m:sty m:val="p"/>
          </m:rPr>
          <m:t>=</m:t>
        </m:r>
        <m:r>
          <m:t>0</m:t>
        </m:r>
      </m:oMath>
      <w:r>
        <w:t xml:space="preserve"> the effect block is zero. (ii) is superadditivity of the concave, positively homogeneous map </w:t>
      </w:r>
      <m:oMath>
        <m:sSub>
          <m:e>
            <m:r>
              <m:t>I</m:t>
            </m:r>
          </m:e>
          <m:sub>
            <m:r>
              <m:t>γ</m:t>
            </m:r>
          </m:sub>
        </m:sSub>
      </m:oMath>
      <w:r>
        <w:t xml:space="preserve"> (Proposition B2 of review 55): </w:t>
      </w:r>
      <m:oMath>
        <m:sSub>
          <m:e>
            <m:r>
              <m:t>I</m:t>
            </m:r>
          </m:e>
          <m:sub>
            <m:r>
              <m:t>γ</m:t>
            </m:r>
          </m:sub>
        </m:sSub>
        <m:d>
          <m:dPr>
            <m:begChr m:val="("/>
            <m:sepChr m:val=""/>
            <m:endChr m:val=")"/>
            <m:grow/>
          </m:dPr>
          <m:e>
            <m:sSub>
              <m:e>
                <m:r>
                  <m:t>G</m:t>
                </m:r>
              </m:e>
              <m:sub>
                <m:r>
                  <m:t>S</m:t>
                </m:r>
              </m:sub>
            </m:sSub>
            <m:r>
              <m:rPr>
                <m:sty m:val="p"/>
              </m:rPr>
              <m:t>+</m:t>
            </m:r>
            <m:sSub>
              <m:e>
                <m:r>
                  <m:t>G</m:t>
                </m:r>
              </m:e>
              <m:sub>
                <m:r>
                  <m:t>k</m:t>
                </m:r>
              </m:sub>
            </m:sSub>
          </m:e>
        </m:d>
        <m:r>
          <m:rPr>
            <m:sty m:val="p"/>
          </m:rPr>
          <m:t>≽</m:t>
        </m:r>
        <m:sSub>
          <m:e>
            <m:r>
              <m:t>I</m:t>
            </m:r>
          </m:e>
          <m:sub>
            <m:r>
              <m:t>γ</m:t>
            </m:r>
          </m:sub>
        </m:sSub>
        <m:d>
          <m:dPr>
            <m:begChr m:val="("/>
            <m:sepChr m:val=""/>
            <m:endChr m:val=")"/>
            <m:grow/>
          </m:dPr>
          <m:e>
            <m:sSub>
              <m:e>
                <m:r>
                  <m:t>G</m:t>
                </m:r>
              </m:e>
              <m:sub>
                <m:r>
                  <m:t>S</m:t>
                </m:r>
              </m:sub>
            </m:sSub>
          </m:e>
        </m:d>
        <m:r>
          <m:rPr>
            <m:sty m:val="p"/>
          </m:rPr>
          <m:t>+</m:t>
        </m:r>
        <m:sSub>
          <m:e>
            <m:r>
              <m:t>I</m:t>
            </m:r>
          </m:e>
          <m:sub>
            <m:r>
              <m:t>γ</m:t>
            </m:r>
          </m:sub>
        </m:sSub>
        <m:d>
          <m:dPr>
            <m:begChr m:val="("/>
            <m:sepChr m:val=""/>
            <m:endChr m:val=")"/>
            <m:grow/>
          </m:dPr>
          <m:e>
            <m:sSub>
              <m:e>
                <m:r>
                  <m:t>G</m:t>
                </m:r>
              </m:e>
              <m:sub>
                <m:r>
                  <m:t>k</m:t>
                </m:r>
              </m:sub>
            </m:sSub>
          </m:e>
        </m:d>
      </m:oMath>
      <w:r>
        <w:t xml:space="preserve">. (iii) follows from Proposition B3: </w:t>
      </w:r>
      <m:oMath>
        <m:r>
          <m:t>V</m:t>
        </m:r>
      </m:oMath>
      <w:r>
        <w:t xml:space="preserve"> is bounded by the value of knowing the effects exactly. </w:t>
      </w:r>
      <m:oMath>
        <m:r>
          <m:rPr>
            <m:sty m:val="p"/>
          </m:rPr>
          <m:t>▫</m:t>
        </m:r>
      </m:oMath>
      <w:r>
        <w:t xml:space="preserve"> When the features differ, or the baseline has an informative prior (the physics-informed model knows the shape of the systematic drift), part (i) holds only approximately; which regime prevails at Fushë-Kuqe is an empirical question answered in section 9.6.</w:t>
      </w:r>
    </w:p>
    <w:p>
      <w:pPr>
        <w:pStyle w:val="Heading3"/>
      </w:pPr>
      <w:r>
        <w:rPr>
          <w:color w:val="1F3864"/>
        </w:rPr>
        <w:t xml:space="preserve">9.4 Proposition K3: shares of the value, with the utility as a veto player</w:t>
      </w:r>
    </w:p>
    <w:p>
      <w:pPr>
        <w:spacing w:after="120"/>
        <w:jc w:val="both"/>
      </w:pPr>
      <w:r>
        <w:rPr>
          <w:b/>
          <w:bCs/>
        </w:rPr>
        <w:t xml:space="preserve">Proposition K3.</w:t>
      </w:r>
      <w:r>
        <w:t xml:space="preserve"> In the game of the utility (player 0) and the holders, </w:t>
      </w:r>
      <m:oMath>
        <m:r>
          <m:t>w</m:t>
        </m:r>
        <m:d>
          <m:dPr>
            <m:begChr m:val="("/>
            <m:sepChr m:val=""/>
            <m:endChr m:val=")"/>
            <m:grow/>
          </m:dPr>
          <m:e>
            <m:r>
              <m:t>T</m:t>
            </m:r>
          </m:e>
        </m:d>
        <m:r>
          <m:rPr>
            <m:sty m:val="p"/>
          </m:rPr>
          <m:t>=</m:t>
        </m:r>
        <m:r>
          <m:t>V</m:t>
        </m:r>
        <m:d>
          <m:dPr>
            <m:begChr m:val="("/>
            <m:sepChr m:val=""/>
            <m:endChr m:val=")"/>
            <m:grow/>
          </m:dPr>
          <m:e>
            <m:r>
              <m:t>T</m:t>
            </m:r>
            <m:r>
              <m:rPr>
                <m:sty m:val="p"/>
              </m:rPr>
              <m:t>∖</m:t>
            </m:r>
            <m:r>
              <m:rPr>
                <m:sty m:val="p"/>
              </m:rPr>
              <m:t>{</m:t>
            </m:r>
            <m:r>
              <m:t>0</m:t>
            </m:r>
            <m:r>
              <m:rPr>
                <m:sty m:val="p"/>
              </m:rPr>
              <m:t>}</m:t>
            </m:r>
          </m:e>
        </m:d>
      </m:oMath>
      <w:r>
        <w:t xml:space="preserve"> if </w:t>
      </w:r>
      <m:oMath>
        <m:r>
          <m:t>0</m:t>
        </m:r>
        <m:r>
          <m:rPr>
            <m:sty m:val="p"/>
          </m:rPr>
          <m:t>∈</m:t>
        </m:r>
        <m:r>
          <m:t>T</m:t>
        </m:r>
      </m:oMath>
      <w:r>
        <w:t xml:space="preserve"> and </w:t>
      </w:r>
      <m:oMath>
        <m:r>
          <m:t>w</m:t>
        </m:r>
        <m:d>
          <m:dPr>
            <m:begChr m:val="("/>
            <m:sepChr m:val=""/>
            <m:endChr m:val=")"/>
            <m:grow/>
          </m:dPr>
          <m:e>
            <m:r>
              <m:t>T</m:t>
            </m:r>
          </m:e>
        </m:d>
        <m:r>
          <m:rPr>
            <m:sty m:val="p"/>
          </m:rPr>
          <m:t>=</m:t>
        </m:r>
        <m:r>
          <m:t>0</m:t>
        </m:r>
      </m:oMath>
      <w:r>
        <w:t xml:space="preserve"> otherwise. (i) The core is not empty: giving the whole value to the utility satisfies every coalition constraint. (ii) If </w:t>
      </w:r>
      <m:oMath>
        <m:r>
          <m:t>w</m:t>
        </m:r>
      </m:oMath>
      <w:r>
        <w:t xml:space="preserve"> is convex (supermodular), the Shapley value is in the core, so no group of holders would gain by leaving [B6]. (iii) A holder whose records cannot change any target decision receives zero (null player), and, because </w:t>
      </w:r>
      <m:oMath>
        <m:r>
          <m:t>V</m:t>
        </m:r>
      </m:oMath>
      <w:r>
        <w:t xml:space="preserve"> is a sum over targets, each holder's Shapley share is the sum of its shares target by target, which says which wells a holder helps to decide. (iv) Group the holders into blocks </w:t>
      </w:r>
      <m:oMath>
        <m:sSub>
          <m:e>
            <m:r>
              <m:t>b</m:t>
            </m:r>
          </m:e>
          <m:sub>
            <m:r>
              <m:t>1</m:t>
            </m:r>
          </m:sub>
        </m:sSub>
        <m:r>
          <m:rPr>
            <m:sty m:val="p"/>
          </m:rPr>
          <m:t>,</m:t>
        </m:r>
        <m:r>
          <m:rPr>
            <m:sty m:val="p"/>
          </m:rPr>
          <m:t>…</m:t>
        </m:r>
        <m:r>
          <m:rPr>
            <m:sty m:val="p"/>
          </m:rPr>
          <m:t>,</m:t>
        </m:r>
        <m:sSub>
          <m:e>
            <m:r>
              <m:t>b</m:t>
            </m:r>
          </m:e>
          <m:sub>
            <m:r>
              <m:t>r</m:t>
            </m:r>
          </m:sub>
        </m:sSub>
      </m:oMath>
      <w:r>
        <w:t xml:space="preserve"> (a block is a set of holders that join together, such as a complementary pair). If </w:t>
      </w:r>
      <m:oMath>
        <m:r>
          <m:t>V</m:t>
        </m:r>
      </m:oMath>
      <w:r>
        <w:t xml:space="preserve"> is submodular over blocks, paying each block its marginal contribution to the grand coalition and leaving the rest to the utility,</w:t>
      </w:r>
    </w:p>
    <w:p>
      <w:pPr>
        <w:pStyle w:val="Equation"/>
      </w:pPr>
      <m:oMathPara>
        <m:oMathParaPr>
          <m:jc m:val="center"/>
        </m:oMathParaPr>
        <m:oMath>
          <m:sSub>
            <m:e>
              <m:r>
                <m:t>x</m:t>
              </m:r>
            </m:e>
            <m:sub>
              <m:r>
                <m:t>b</m:t>
              </m:r>
            </m:sub>
          </m:sSub>
          <m:r>
            <m:rPr>
              <m:sty m:val="p"/>
            </m:rPr>
            <m:t>=</m:t>
          </m:r>
          <m:r>
            <m:t>V</m:t>
          </m:r>
          <m:d>
            <m:dPr>
              <m:begChr m:val="("/>
              <m:sepChr m:val=""/>
              <m:endChr m:val=")"/>
              <m:grow/>
            </m:dPr>
            <m:e>
              <m:r>
                <m:t>N</m:t>
              </m:r>
            </m:e>
          </m:d>
          <m:r>
            <m:rPr>
              <m:sty m:val="p"/>
            </m:rPr>
            <m:t>−</m:t>
          </m:r>
          <m:r>
            <m:t>V</m:t>
          </m:r>
          <m:d>
            <m:dPr>
              <m:begChr m:val="("/>
              <m:sepChr m:val=""/>
              <m:endChr m:val=")"/>
              <m:grow/>
            </m:dPr>
            <m:e>
              <m:r>
                <m:t>N</m:t>
              </m:r>
              <m:r>
                <m:rPr>
                  <m:sty m:val="p"/>
                </m:rPr>
                <m:t>∖</m:t>
              </m:r>
              <m:r>
                <m:t>b</m:t>
              </m:r>
            </m:e>
          </m:d>
          <m:r>
            <m:rPr>
              <m:sty m:val="p"/>
            </m:rPr>
            <m:t>,</m:t>
          </m:r>
          <m:r>
            <m:t>  </m:t>
          </m:r>
          <m:sSub>
            <m:e>
              <m:r>
                <m:t>x</m:t>
              </m:r>
            </m:e>
            <m:sub>
              <m:r>
                <m:t>0</m:t>
              </m:r>
            </m:sub>
          </m:sSub>
          <m:r>
            <m:rPr>
              <m:sty m:val="p"/>
            </m:rPr>
            <m:t>=</m:t>
          </m:r>
          <m:r>
            <m:t>V</m:t>
          </m:r>
          <m:d>
            <m:dPr>
              <m:begChr m:val="("/>
              <m:sepChr m:val=""/>
              <m:endChr m:val=")"/>
              <m:grow/>
            </m:dPr>
            <m:e>
              <m:r>
                <m:t>N</m:t>
              </m:r>
            </m:e>
          </m:d>
          <m:r>
            <m:rPr>
              <m:sty m:val="p"/>
            </m:rPr>
            <m:t>−</m:t>
          </m:r>
          <m:nary>
            <m:naryPr>
              <m:chr m:val="∑"/>
              <m:limLoc m:val="undOvr"/>
              <m:subHide m:val="off"/>
              <m:supHide m:val="on"/>
            </m:naryPr>
            <m:sub>
              <m:r>
                <m:t>b</m:t>
              </m:r>
            </m:sub>
            <m:sup>
              <m:r>
                <m:t>​</m:t>
              </m:r>
            </m:sup>
            <m:e>
              <m:sSub>
                <m:e>
                  <m:r>
                    <m:t>x</m:t>
                  </m:r>
                </m:e>
                <m:sub>
                  <m:r>
                    <m:t>b</m:t>
                  </m:r>
                </m:sub>
              </m:sSub>
            </m:e>
          </m:nary>
          <m:r>
            <m:rPr>
              <m:sty m:val="p"/>
            </m:rPr>
            <m:t>,</m:t>
          </m:r>
        </m:oMath>
      </m:oMathPara>
    </w:p>
    <w:p>
      <w:pPr>
        <w:spacing w:after="120"/>
        <w:jc w:val="both"/>
      </w:pPr>
      <w:r>
        <w:t xml:space="preserve">is in the core of the game in which blocks join as a whole: no group of blocks and the utility can do better alone.</w:t>
      </w:r>
    </w:p>
    <w:p>
      <w:pPr>
        <w:spacing w:after="120"/>
        <w:jc w:val="both"/>
      </w:pPr>
      <w:r>
        <w:rPr>
          <w:i/>
          <w:iCs/>
        </w:rPr>
        <w:t xml:space="preserve">Proof.</w:t>
      </w:r>
      <w:r>
        <w:t xml:space="preserve"> (i) For </w:t>
      </w:r>
      <m:oMath>
        <m:r>
          <m:t>T</m:t>
        </m:r>
        <m:r>
          <m:rPr>
            <m:sty m:val="p"/>
          </m:rPr>
          <m:t>∋</m:t>
        </m:r>
        <m:r>
          <m:t>0</m:t>
        </m:r>
      </m:oMath>
      <w:r>
        <w:t xml:space="preserve">, the allocation </w:t>
      </w:r>
      <m:oMath>
        <m:sSub>
          <m:e>
            <m:r>
              <m:t>x</m:t>
            </m:r>
          </m:e>
          <m:sub>
            <m:r>
              <m:t>0</m:t>
            </m:r>
          </m:sub>
        </m:sSub>
        <m:r>
          <m:rPr>
            <m:sty m:val="p"/>
          </m:rPr>
          <m:t>=</m:t>
        </m:r>
        <m:r>
          <m:t>w</m:t>
        </m:r>
        <m:d>
          <m:dPr>
            <m:begChr m:val="("/>
            <m:sepChr m:val=""/>
            <m:endChr m:val=")"/>
            <m:grow/>
          </m:dPr>
          <m:e>
            <m:r>
              <m:t>N</m:t>
            </m:r>
          </m:e>
        </m:d>
      </m:oMath>
      <w:r>
        <w:t xml:space="preserve">, </w:t>
      </w:r>
      <m:oMath>
        <m:sSub>
          <m:e>
            <m:r>
              <m:t>x</m:t>
            </m:r>
          </m:e>
          <m:sub>
            <m:r>
              <m:t>k</m:t>
            </m:r>
          </m:sub>
        </m:sSub>
        <m:r>
          <m:rPr>
            <m:sty m:val="p"/>
          </m:rPr>
          <m:t>=</m:t>
        </m:r>
        <m:r>
          <m:t>0</m:t>
        </m:r>
      </m:oMath>
      <w:r>
        <w:t xml:space="preserve"> gives </w:t>
      </w:r>
      <m:oMath>
        <m:r>
          <m:t>x</m:t>
        </m:r>
        <m:d>
          <m:dPr>
            <m:begChr m:val="("/>
            <m:sepChr m:val=""/>
            <m:endChr m:val=")"/>
            <m:grow/>
          </m:dPr>
          <m:e>
            <m:r>
              <m:t>T</m:t>
            </m:r>
          </m:e>
        </m:d>
        <m:r>
          <m:rPr>
            <m:sty m:val="p"/>
          </m:rPr>
          <m:t>=</m:t>
        </m:r>
        <m:r>
          <m:t>w</m:t>
        </m:r>
        <m:d>
          <m:dPr>
            <m:begChr m:val="("/>
            <m:sepChr m:val=""/>
            <m:endChr m:val=")"/>
            <m:grow/>
          </m:dPr>
          <m:e>
            <m:r>
              <m:t>N</m:t>
            </m:r>
          </m:e>
        </m:d>
        <m:r>
          <m:rPr>
            <m:sty m:val="p"/>
          </m:rPr>
          <m:t>≥</m:t>
        </m:r>
        <m:r>
          <m:t>w</m:t>
        </m:r>
        <m:d>
          <m:dPr>
            <m:begChr m:val="("/>
            <m:sepChr m:val=""/>
            <m:endChr m:val=")"/>
            <m:grow/>
          </m:dPr>
          <m:e>
            <m:r>
              <m:t>T</m:t>
            </m:r>
          </m:e>
        </m:d>
      </m:oMath>
      <w:r>
        <w:t xml:space="preserve"> by monotonicity (Proposition B3), and </w:t>
      </w:r>
      <m:oMath>
        <m:r>
          <m:t>x</m:t>
        </m:r>
        <m:d>
          <m:dPr>
            <m:begChr m:val="("/>
            <m:sepChr m:val=""/>
            <m:endChr m:val=")"/>
            <m:grow/>
          </m:dPr>
          <m:e>
            <m:r>
              <m:t>T</m:t>
            </m:r>
          </m:e>
        </m:d>
        <m:r>
          <m:rPr>
            <m:sty m:val="p"/>
          </m:rPr>
          <m:t>=</m:t>
        </m:r>
        <m:r>
          <m:t>0</m:t>
        </m:r>
        <m:r>
          <m:rPr>
            <m:sty m:val="p"/>
          </m:rPr>
          <m:t>=</m:t>
        </m:r>
        <m:r>
          <m:t>w</m:t>
        </m:r>
        <m:d>
          <m:dPr>
            <m:begChr m:val="("/>
            <m:sepChr m:val=""/>
            <m:endChr m:val=")"/>
            <m:grow/>
          </m:dPr>
          <m:e>
            <m:r>
              <m:t>T</m:t>
            </m:r>
          </m:e>
        </m:d>
      </m:oMath>
      <w:r>
        <w:t xml:space="preserve"> otherwise. (ii) is Shapley's theorem [B6]. (iii) follows from the null-player and additivity axioms [B5]. (iv) </w:t>
      </w:r>
      <m:oMath>
        <m:sSub>
          <m:e>
            <m:r>
              <m:t>x</m:t>
            </m:r>
          </m:e>
          <m:sub>
            <m:r>
              <m:t>b</m:t>
            </m:r>
          </m:sub>
        </m:sSub>
        <m:r>
          <m:rPr>
            <m:sty m:val="p"/>
          </m:rPr>
          <m:t>≥</m:t>
        </m:r>
        <m:r>
          <m:t>0</m:t>
        </m:r>
      </m:oMath>
      <w:r>
        <w:t xml:space="preserve"> by monotonicity. For a set </w:t>
      </w:r>
      <m:oMath>
        <m:r>
          <m:t>T</m:t>
        </m:r>
      </m:oMath>
      <w:r>
        <w:t xml:space="preserve"> of blocks, add the blocks outside </w:t>
      </w:r>
      <m:oMath>
        <m:r>
          <m:t>T</m:t>
        </m:r>
      </m:oMath>
      <w:r>
        <w:t xml:space="preserve"> one at a time: </w:t>
      </w:r>
      <m:oMath>
        <m:r>
          <m:t>V</m:t>
        </m:r>
        <m:d>
          <m:dPr>
            <m:begChr m:val="("/>
            <m:sepChr m:val=""/>
            <m:endChr m:val=")"/>
            <m:grow/>
          </m:dPr>
          <m:e>
            <m:r>
              <m:t>N</m:t>
            </m:r>
          </m:e>
        </m:d>
        <m:r>
          <m:rPr>
            <m:sty m:val="p"/>
          </m:rPr>
          <m:t>−</m:t>
        </m:r>
        <m:r>
          <m:t>V</m:t>
        </m:r>
        <m:d>
          <m:dPr>
            <m:begChr m:val="("/>
            <m:sepChr m:val=""/>
            <m:endChr m:val=")"/>
            <m:grow/>
          </m:dPr>
          <m:e>
            <m:r>
              <m:t>T</m:t>
            </m:r>
          </m:e>
        </m:d>
      </m:oMath>
      <w:r>
        <w:t xml:space="preserve"> is the sum of their marginal contributions along the way, and by submodularity each is at least the block's marginal contribution to the grand coalition, </w:t>
      </w:r>
      <m:oMath>
        <m:sSub>
          <m:e>
            <m:r>
              <m:t>x</m:t>
            </m:r>
          </m:e>
          <m:sub>
            <m:r>
              <m:t>b</m:t>
            </m:r>
          </m:sub>
        </m:sSub>
      </m:oMath>
      <w:r>
        <w:t xml:space="preserve">. Hence </w:t>
      </w:r>
      <m:oMath>
        <m:sSub>
          <m:e>
            <m:r>
              <m:t>x</m:t>
            </m:r>
          </m:e>
          <m:sub>
            <m:r>
              <m:t>0</m:t>
            </m:r>
          </m:sub>
        </m:sSub>
        <m:r>
          <m:rPr>
            <m:sty m:val="p"/>
          </m:rPr>
          <m:t>+</m:t>
        </m:r>
        <m:r>
          <m:t>x</m:t>
        </m:r>
        <m:d>
          <m:dPr>
            <m:begChr m:val="("/>
            <m:sepChr m:val=""/>
            <m:endChr m:val=")"/>
            <m:grow/>
          </m:dPr>
          <m:e>
            <m:r>
              <m:t>T</m:t>
            </m:r>
          </m:e>
        </m:d>
        <m:r>
          <m:rPr>
            <m:sty m:val="p"/>
          </m:rPr>
          <m:t>=</m:t>
        </m:r>
        <m:r>
          <m:t>V</m:t>
        </m:r>
        <m:d>
          <m:dPr>
            <m:begChr m:val="("/>
            <m:sepChr m:val=""/>
            <m:endChr m:val=")"/>
            <m:grow/>
          </m:dPr>
          <m:e>
            <m:r>
              <m:t>N</m:t>
            </m:r>
          </m:e>
        </m:d>
        <m:r>
          <m:rPr>
            <m:sty m:val="p"/>
          </m:rPr>
          <m:t>−</m:t>
        </m:r>
        <m:nary>
          <m:naryPr>
            <m:chr m:val="∑"/>
            <m:limLoc m:val="undOvr"/>
            <m:subHide m:val="off"/>
            <m:supHide m:val="on"/>
          </m:naryPr>
          <m:sub>
            <m:r>
              <m:t>b</m:t>
            </m:r>
            <m:r>
              <m:rPr>
                <m:sty m:val="p"/>
              </m:rPr>
              <m:t>∉</m:t>
            </m:r>
            <m:r>
              <m:t>T</m:t>
            </m:r>
          </m:sub>
          <m:sup>
            <m:r>
              <m:t>​</m:t>
            </m:r>
          </m:sup>
          <m:e>
            <m:sSub>
              <m:e>
                <m:r>
                  <m:t>x</m:t>
                </m:r>
              </m:e>
              <m:sub>
                <m:r>
                  <m:t>b</m:t>
                </m:r>
              </m:sub>
            </m:sSub>
          </m:e>
        </m:nary>
        <m:r>
          <m:rPr>
            <m:sty m:val="p"/>
          </m:rPr>
          <m:t>≥</m:t>
        </m:r>
        <m:r>
          <m:t>V</m:t>
        </m:r>
        <m:d>
          <m:dPr>
            <m:begChr m:val="("/>
            <m:sepChr m:val=""/>
            <m:endChr m:val=")"/>
            <m:grow/>
          </m:dPr>
          <m:e>
            <m:r>
              <m:t>T</m:t>
            </m:r>
          </m:e>
        </m:d>
      </m:oMath>
      <w:r>
        <w:t xml:space="preserve">, and </w:t>
      </w:r>
      <m:oMath>
        <m:r>
          <m:t>T</m:t>
        </m:r>
        <m:r>
          <m:rPr>
            <m:sty m:val="p"/>
          </m:rPr>
          <m:t>=</m:t>
        </m:r>
        <m:r>
          <m:rPr>
            <m:sty m:val="p"/>
          </m:rPr>
          <m:t>∅</m:t>
        </m:r>
      </m:oMath>
      <w:r>
        <w:t xml:space="preserve"> gives </w:t>
      </w:r>
      <m:oMath>
        <m:sSub>
          <m:e>
            <m:r>
              <m:t>x</m:t>
            </m:r>
          </m:e>
          <m:sub>
            <m:r>
              <m:t>0</m:t>
            </m:r>
          </m:sub>
        </m:sSub>
        <m:r>
          <m:rPr>
            <m:sty m:val="p"/>
          </m:rPr>
          <m:t>≥</m:t>
        </m:r>
        <m:r>
          <m:t>0</m:t>
        </m:r>
      </m:oMath>
      <w:r>
        <w:t xml:space="preserve">. </w:t>
      </w:r>
      <m:oMath>
        <m:r>
          <m:rPr>
            <m:sty m:val="p"/>
          </m:rPr>
          <m:t>▫</m:t>
        </m:r>
      </m:oMath>
      <w:r>
        <w:t xml:space="preserve"> Paying every holder its own marginal contribution fails when two holders are complements: each one's marginal contribution contains their joint gain, which is then paid twice; a block pays it once. The Banzhaf value [B7] is computed alongside, because it has been argued to be more robust to noise in the coalition values [D1 of review 55]; section 9.6 tests that claim on these games.</w:t>
      </w:r>
    </w:p>
    <w:p>
      <w:pPr>
        <w:pStyle w:val="Heading3"/>
      </w:pPr>
      <w:r>
        <w:rPr>
          <w:color w:val="1F3864"/>
        </w:rPr>
        <w:t xml:space="preserve">9.5 Proposition K4: merging adaptively</w:t>
      </w:r>
    </w:p>
    <w:p>
      <w:pPr>
        <w:spacing w:after="120"/>
        <w:jc w:val="both"/>
      </w:pPr>
      <w:r>
        <w:rPr>
          <w:b/>
          <w:bCs/>
        </w:rPr>
        <w:t xml:space="preserve">Proposition K4.</w:t>
      </w:r>
      <w:r>
        <w:t xml:space="preserve"> Let each merge cost </w:t>
      </w:r>
      <m:oMath>
        <m:r>
          <m:t>c</m:t>
        </m:r>
      </m:oMath>
      <w:r>
        <w:t xml:space="preserve"> (agreements, cleaning, legal review). The adaptive policy merges the holder of largest marginal decision value given the current posterior, updates the posterior with that holder's actual records, re-values the remaining holders and stops when no marginal value exceeds </w:t>
      </w:r>
      <m:oMath>
        <m:r>
          <m:t>c</m:t>
        </m:r>
      </m:oMath>
      <w:r>
        <w:t xml:space="preserve">. (i) Every marginal value it uses is computed, like K1, from the candidate's Gram matrix and the current posterior only, so the order can be decided on secret shares, one merge at a time. (ii) The best adaptive policy is never worse in expectation than the best coalition fixed in advance (a fixed coalition is an adaptive policy that ignores what it sees); whether the simple greedy adaptive rule attains that advantage, and how far greedy and fixed coalitions are from the hindsight optimum, is measured in section 9.6.</w:t>
      </w:r>
    </w:p>
    <w:p>
      <w:pPr>
        <w:spacing w:after="120"/>
        <w:jc w:val="both"/>
      </w:pPr>
      <w:r>
        <w:rPr>
          <w:i/>
          <w:iCs/>
        </w:rPr>
        <w:t xml:space="preserve">Proof.</w:t>
      </w:r>
      <w:r>
        <w:t xml:space="preserve"> (i) Proposition B1 applied to the current posterior. (ii) The set of adaptive policies contains the fixed coalitions. </w:t>
      </w:r>
      <m:oMath>
        <m:r>
          <m:rPr>
            <m:sty m:val="p"/>
          </m:rPr>
          <m:t>▫</m:t>
        </m:r>
      </m:oMath>
      <w:r>
        <w:t xml:space="preserve"> The policies compared are: the best single holder (BASHKIMI-GO of review 55), greedy merging by predicted marginal value, the optimal fixed coalition by </w:t>
      </w:r>
      <m:oMath>
        <m:r>
          <m:t>V</m:t>
        </m:r>
        <m:d>
          <m:dPr>
            <m:begChr m:val="("/>
            <m:sepChr m:val=""/>
            <m:endChr m:val=")"/>
            <m:grow/>
          </m:dPr>
          <m:e>
            <m:r>
              <m:t>S</m:t>
            </m:r>
          </m:e>
        </m:d>
        <m:r>
          <m:rPr>
            <m:sty m:val="p"/>
          </m:rPr>
          <m:t>−</m:t>
        </m:r>
        <m:r>
          <m:t>c</m:t>
        </m:r>
        <m:r>
          <m:t> </m:t>
        </m:r>
        <m:d>
          <m:dPr>
            <m:begChr m:val="|"/>
            <m:sepChr m:val=""/>
            <m:endChr m:val="|"/>
            <m:grow/>
          </m:dPr>
          <m:e>
            <m:r>
              <m:t>S</m:t>
            </m:r>
          </m:e>
        </m:d>
      </m:oMath>
      <w:r>
        <w:t xml:space="preserve"> over all 32 coalitions, the adaptive rule, all holders, and the hindsight oracle that knows the realised gain of every coalition.</w:t>
      </w:r>
    </w:p>
    <w:p>
      <w:pPr>
        <w:pStyle w:val="Heading3"/>
      </w:pPr>
      <w:r>
        <w:rPr>
          <w:color w:val="1F3864"/>
        </w:rPr>
        <w:t xml:space="preserve">9.6 The test: 200 plausible aquifers, two models</w:t>
      </w:r>
    </w:p>
    <w:p>
      <w:pPr>
        <w:spacing w:after="120"/>
        <w:jc w:val="both"/>
      </w:pPr>
      <w:r>
        <w:t xml:space="preserve">For each of 200 plausible aquifers the utility first updates the prior with its own 60 records (mean true loss 0.499 with the physics-informed model, 0.767 with the local statistical model). The predicted decision value </w:t>
      </w:r>
      <m:oMath>
        <m:r>
          <m:t>V</m:t>
        </m:r>
        <m:d>
          <m:dPr>
            <m:begChr m:val="("/>
            <m:sepChr m:val=""/>
            <m:endChr m:val=")"/>
            <m:grow/>
          </m:dPr>
          <m:e>
            <m:r>
              <m:t>S</m:t>
            </m:r>
          </m:e>
        </m:d>
      </m:oMath>
      <w:r>
        <w:t xml:space="preserve"> of all 31 coalitions is computed from Gram sums. The realised gain </w:t>
      </w:r>
      <m:oMath>
        <m:r>
          <m:t>R</m:t>
        </m:r>
        <m:d>
          <m:dPr>
            <m:begChr m:val="("/>
            <m:sepChr m:val=""/>
            <m:endChr m:val=")"/>
            <m:grow/>
          </m:dPr>
          <m:e>
            <m:r>
              <m:t>S</m:t>
            </m:r>
          </m:e>
        </m:d>
      </m:oMath>
      <w:r>
        <w:t xml:space="preserve"> of each coalition is the mean, over 20 independent draws of the holders' outcomes, of the fall in true loss when the coalition's records are actually merged and the 40 decisions are re-taken. The merge policies are compared at a cost per merged holder of 0, 0.01, 0.02 and 0.04 loss units (one unit is one log-chloride unit above tolerance at one well). The Shapley and Banzhaf values are computed from the predicted values. Stability is checked in the six-player game with the utility as a veto player (Proposition K3). Robustness is measured by adding noise of standard deviation σ to each coalition value (50 draws) and computing the Kendall τ between the noisy and noise-free rankings. Privacy is tested by clipping each record's whitened information at λ = 0.3, adding Gaussian noise once per holder at </w:t>
      </w:r>
      <m:oMath>
        <m:d>
          <m:dPr>
            <m:begChr m:val="("/>
            <m:sepChr m:val=""/>
            <m:endChr m:val=")"/>
            <m:grow/>
          </m:dPr>
          <m:e>
            <m:r>
              <m:t>ε</m:t>
            </m:r>
            <m:r>
              <m:rPr>
                <m:sty m:val="p"/>
              </m:rPr>
              <m:t>,</m:t>
            </m:r>
            <m:sSup>
              <m:e>
                <m:r>
                  <m:t>10</m:t>
                </m:r>
              </m:e>
              <m:sup>
                <m:r>
                  <m:rPr>
                    <m:sty m:val="p"/>
                  </m:rPr>
                  <m:t>−</m:t>
                </m:r>
                <m:r>
                  <m:t>6</m:t>
                </m:r>
              </m:sup>
            </m:sSup>
          </m:e>
        </m:d>
      </m:oMath>
      <w:r>
        <w:t xml:space="preserve"> and computing all 31 values from the noisy summaries. Tables 9.1–9.5 and Figure K1 give the results.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750"/>
        <w:gridCol w:w="800"/>
        <w:gridCol w:w="1000"/>
        <w:gridCol w:w="2000"/>
        <w:gridCol w:w="1900"/>
        <w:gridCol w:w="1488"/>
      </w:tblGrid>
      <w:tr>
        <w:trPr>
          <w:cantSplit/>
          <w:tblHeader/>
        </w:trPr>
        <w:tc>
          <w:tcPr>
            <w:tcW w:type="dxa" w:w="1700"/>
            <w:shd w:fill="1F3864" w:color="auto" w:val="clear"/>
            <w:tcMar>
              <w:top w:type="dxa" w:w="60"/>
              <w:left w:type="dxa" w:w="100"/>
              <w:bottom w:type="dxa" w:w="60"/>
              <w:right w:type="dxa" w:w="100"/>
            </w:tcMar>
            <w:vAlign w:val="top"/>
          </w:tcPr>
          <w:p>
            <w:r>
              <w:rPr>
                <w:b/>
                <w:bCs/>
                <w:color w:val="FFFFFF"/>
                <w:sz w:val="14"/>
                <w:szCs w:val="14"/>
              </w:rPr>
              <w:t xml:space="preserve">Holder</w:t>
            </w:r>
          </w:p>
        </w:tc>
        <w:tc>
          <w:tcPr>
            <w:tcW w:type="dxa" w:w="750"/>
            <w:shd w:fill="1F3864" w:color="auto" w:val="clear"/>
            <w:tcMar>
              <w:top w:type="dxa" w:w="60"/>
              <w:left w:type="dxa" w:w="100"/>
              <w:bottom w:type="dxa" w:w="60"/>
              <w:right w:type="dxa" w:w="100"/>
            </w:tcMar>
            <w:vAlign w:val="top"/>
          </w:tcPr>
          <w:p>
            <w:r>
              <w:rPr>
                <w:b/>
                <w:bCs/>
                <w:color w:val="FFFFFF"/>
                <w:sz w:val="14"/>
                <w:szCs w:val="14"/>
              </w:rPr>
              <w:t xml:space="preserve">Records</w:t>
            </w:r>
          </w:p>
        </w:tc>
        <w:tc>
          <w:tcPr>
            <w:tcW w:type="dxa" w:w="800"/>
            <w:shd w:fill="1F3864" w:color="auto" w:val="clear"/>
            <w:tcMar>
              <w:top w:type="dxa" w:w="60"/>
              <w:left w:type="dxa" w:w="100"/>
              <w:bottom w:type="dxa" w:w="60"/>
              <w:right w:type="dxa" w:w="100"/>
            </w:tcMar>
            <w:vAlign w:val="top"/>
          </w:tcPr>
          <w:p>
            <w:r>
              <w:rPr>
                <w:b/>
                <w:bCs/>
                <w:color w:val="FFFFFF"/>
                <w:sz w:val="14"/>
                <w:szCs w:val="14"/>
              </w:rPr>
              <w:t xml:space="preserve">Pumped high</w:t>
            </w:r>
          </w:p>
        </w:tc>
        <w:tc>
          <w:tcPr>
            <w:tcW w:type="dxa" w:w="1000"/>
            <w:shd w:fill="1F3864" w:color="auto" w:val="clear"/>
            <w:tcMar>
              <w:top w:type="dxa" w:w="60"/>
              <w:left w:type="dxa" w:w="100"/>
              <w:bottom w:type="dxa" w:w="60"/>
              <w:right w:type="dxa" w:w="100"/>
            </w:tcMar>
            <w:vAlign w:val="top"/>
          </w:tcPr>
          <w:p>
            <w:r>
              <w:rPr>
                <w:b/>
                <w:bCs/>
                <w:color w:val="FFFFFF"/>
                <w:sz w:val="14"/>
                <w:szCs w:val="14"/>
              </w:rPr>
              <w:t xml:space="preserve">Distance to sea (km)</w:t>
            </w:r>
          </w:p>
        </w:tc>
        <w:tc>
          <w:tcPr>
            <w:tcW w:type="dxa" w:w="2000"/>
            <w:shd w:fill="1F3864" w:color="auto" w:val="clear"/>
            <w:tcMar>
              <w:top w:type="dxa" w:w="60"/>
              <w:left w:type="dxa" w:w="100"/>
              <w:bottom w:type="dxa" w:w="60"/>
              <w:right w:type="dxa" w:w="100"/>
            </w:tcMar>
            <w:vAlign w:val="top"/>
          </w:tcPr>
          <w:p>
            <w:r>
              <w:rPr>
                <w:b/>
                <w:bCs/>
                <w:color w:val="FFFFFF"/>
                <w:sz w:val="14"/>
                <w:szCs w:val="14"/>
              </w:rPr>
              <w:t xml:space="preserve">Physics-informed: predicted / realised (95% CI)</w:t>
            </w:r>
          </w:p>
        </w:tc>
        <w:tc>
          <w:tcPr>
            <w:tcW w:type="dxa" w:w="1900"/>
            <w:shd w:fill="1F3864" w:color="auto" w:val="clear"/>
            <w:tcMar>
              <w:top w:type="dxa" w:w="60"/>
              <w:left w:type="dxa" w:w="100"/>
              <w:bottom w:type="dxa" w:w="60"/>
              <w:right w:type="dxa" w:w="100"/>
            </w:tcMar>
            <w:vAlign w:val="top"/>
          </w:tcPr>
          <w:p>
            <w:r>
              <w:rPr>
                <w:b/>
                <w:bCs/>
                <w:color w:val="FFFFFF"/>
                <w:sz w:val="14"/>
                <w:szCs w:val="14"/>
              </w:rPr>
              <w:t xml:space="preserve">Local statistical: predicted / realised (95% CI)</w:t>
            </w:r>
          </w:p>
        </w:tc>
        <w:tc>
          <w:tcPr>
            <w:tcW w:type="dxa" w:w="1488"/>
            <w:shd w:fill="1F3864" w:color="auto" w:val="clear"/>
            <w:tcMar>
              <w:top w:type="dxa" w:w="60"/>
              <w:left w:type="dxa" w:w="100"/>
              <w:bottom w:type="dxa" w:w="60"/>
              <w:right w:type="dxa" w:w="100"/>
            </w:tcMar>
            <w:vAlign w:val="top"/>
          </w:tcPr>
          <w:p>
            <w:r>
              <w:rPr>
                <w:b/>
                <w:bCs/>
                <w:color w:val="FFFFFF"/>
                <w:sz w:val="14"/>
                <w:szCs w:val="14"/>
              </w:rPr>
              <w:t xml:space="preserve">Shapley share per record ×10⁴ (physics / local)</w:t>
            </w:r>
          </w:p>
        </w:tc>
      </w:tr>
      <w:tr>
        <w:trPr>
          <w:cantSplit/>
        </w:trPr>
        <w:tc>
          <w:tcPr>
            <w:tcW w:type="dxa" w:w="1700"/>
            <w:tcMar>
              <w:top w:type="dxa" w:w="60"/>
              <w:left w:type="dxa" w:w="100"/>
              <w:bottom w:type="dxa" w:w="60"/>
              <w:right w:type="dxa" w:w="100"/>
            </w:tcMar>
            <w:vAlign w:val="top"/>
          </w:tcPr>
          <w:p>
            <w:r>
              <w:rPr>
                <w:sz w:val="14"/>
                <w:szCs w:val="14"/>
              </w:rPr>
              <w:t xml:space="preserve">Monitoring agency</w:t>
            </w:r>
          </w:p>
        </w:tc>
        <w:tc>
          <w:tcPr>
            <w:tcW w:type="dxa" w:w="750"/>
            <w:tcMar>
              <w:top w:type="dxa" w:w="60"/>
              <w:left w:type="dxa" w:w="100"/>
              <w:bottom w:type="dxa" w:w="60"/>
              <w:right w:type="dxa" w:w="100"/>
            </w:tcMar>
            <w:vAlign w:val="top"/>
          </w:tcPr>
          <w:p>
            <w:r>
              <w:rPr>
                <w:sz w:val="14"/>
                <w:szCs w:val="14"/>
              </w:rPr>
              <w:t xml:space="preserve">300</w:t>
            </w:r>
          </w:p>
        </w:tc>
        <w:tc>
          <w:tcPr>
            <w:tcW w:type="dxa" w:w="800"/>
            <w:tcMar>
              <w:top w:type="dxa" w:w="60"/>
              <w:left w:type="dxa" w:w="100"/>
              <w:bottom w:type="dxa" w:w="60"/>
              <w:right w:type="dxa" w:w="100"/>
            </w:tcMar>
            <w:vAlign w:val="top"/>
          </w:tcPr>
          <w:p>
            <w:r>
              <w:rPr>
                <w:sz w:val="14"/>
                <w:szCs w:val="14"/>
              </w:rPr>
              <w:t xml:space="preserve">50%</w:t>
            </w:r>
          </w:p>
        </w:tc>
        <w:tc>
          <w:tcPr>
            <w:tcW w:type="dxa" w:w="1000"/>
            <w:tcMar>
              <w:top w:type="dxa" w:w="60"/>
              <w:left w:type="dxa" w:w="100"/>
              <w:bottom w:type="dxa" w:w="60"/>
              <w:right w:type="dxa" w:w="100"/>
            </w:tcMar>
            <w:vAlign w:val="top"/>
          </w:tcPr>
          <w:p>
            <w:r>
              <w:rPr>
                <w:sz w:val="14"/>
                <w:szCs w:val="14"/>
              </w:rPr>
              <w:t xml:space="preserve">3–14.5</w:t>
            </w:r>
          </w:p>
        </w:tc>
        <w:tc>
          <w:tcPr>
            <w:tcW w:type="dxa" w:w="2000"/>
            <w:tcMar>
              <w:top w:type="dxa" w:w="60"/>
              <w:left w:type="dxa" w:w="100"/>
              <w:bottom w:type="dxa" w:w="60"/>
              <w:right w:type="dxa" w:w="100"/>
            </w:tcMar>
            <w:vAlign w:val="top"/>
          </w:tcPr>
          <w:p>
            <w:r>
              <w:rPr>
                <w:sz w:val="14"/>
                <w:szCs w:val="14"/>
              </w:rPr>
              <w:t xml:space="preserve">0.0422 / +0.0283 ± 0.0120</w:t>
            </w:r>
          </w:p>
        </w:tc>
        <w:tc>
          <w:tcPr>
            <w:tcW w:type="dxa" w:w="1900"/>
            <w:tcMar>
              <w:top w:type="dxa" w:w="60"/>
              <w:left w:type="dxa" w:w="100"/>
              <w:bottom w:type="dxa" w:w="60"/>
              <w:right w:type="dxa" w:w="100"/>
            </w:tcMar>
            <w:vAlign w:val="top"/>
          </w:tcPr>
          <w:p>
            <w:r>
              <w:rPr>
                <w:sz w:val="14"/>
                <w:szCs w:val="14"/>
              </w:rPr>
              <w:t xml:space="preserve">0.0978 / +0.200 ± 0.058</w:t>
            </w:r>
          </w:p>
        </w:tc>
        <w:tc>
          <w:tcPr>
            <w:tcW w:type="dxa" w:w="1488"/>
            <w:tcMar>
              <w:top w:type="dxa" w:w="60"/>
              <w:left w:type="dxa" w:w="100"/>
              <w:bottom w:type="dxa" w:w="60"/>
              <w:right w:type="dxa" w:w="100"/>
            </w:tcMar>
            <w:vAlign w:val="top"/>
          </w:tcPr>
          <w:p>
            <w:r>
              <w:rPr>
                <w:sz w:val="14"/>
                <w:szCs w:val="14"/>
              </w:rPr>
              <w:t xml:space="preserve">0.6 / 1.5</w:t>
            </w:r>
          </w:p>
        </w:tc>
      </w:tr>
      <w:tr>
        <w:trPr>
          <w:cantSplit/>
        </w:trPr>
        <w:tc>
          <w:tcPr>
            <w:tcW w:type="dxa" w:w="1700"/>
            <w:shd w:fill="F7F9FC" w:color="auto" w:val="clear"/>
            <w:tcMar>
              <w:top w:type="dxa" w:w="60"/>
              <w:left w:type="dxa" w:w="100"/>
              <w:bottom w:type="dxa" w:w="60"/>
              <w:right w:type="dxa" w:w="100"/>
            </w:tcMar>
            <w:vAlign w:val="top"/>
          </w:tcPr>
          <w:p>
            <w:r>
              <w:rPr>
                <w:sz w:val="14"/>
                <w:szCs w:val="14"/>
              </w:rPr>
              <w:t xml:space="preserve">Private irrigators</w:t>
            </w:r>
          </w:p>
        </w:tc>
        <w:tc>
          <w:tcPr>
            <w:tcW w:type="dxa" w:w="750"/>
            <w:shd w:fill="F7F9FC" w:color="auto" w:val="clear"/>
            <w:tcMar>
              <w:top w:type="dxa" w:w="60"/>
              <w:left w:type="dxa" w:w="100"/>
              <w:bottom w:type="dxa" w:w="60"/>
              <w:right w:type="dxa" w:w="100"/>
            </w:tcMar>
            <w:vAlign w:val="top"/>
          </w:tcPr>
          <w:p>
            <w:r>
              <w:rPr>
                <w:sz w:val="14"/>
                <w:szCs w:val="14"/>
              </w:rPr>
              <w:t xml:space="preserve">120</w:t>
            </w:r>
          </w:p>
        </w:tc>
        <w:tc>
          <w:tcPr>
            <w:tcW w:type="dxa" w:w="800"/>
            <w:shd w:fill="F7F9FC" w:color="auto" w:val="clear"/>
            <w:tcMar>
              <w:top w:type="dxa" w:w="60"/>
              <w:left w:type="dxa" w:w="100"/>
              <w:bottom w:type="dxa" w:w="60"/>
              <w:right w:type="dxa" w:w="100"/>
            </w:tcMar>
            <w:vAlign w:val="top"/>
          </w:tcPr>
          <w:p>
            <w:r>
              <w:rPr>
                <w:sz w:val="14"/>
                <w:szCs w:val="14"/>
              </w:rPr>
              <w:t xml:space="preserve">85%</w:t>
            </w:r>
          </w:p>
        </w:tc>
        <w:tc>
          <w:tcPr>
            <w:tcW w:type="dxa" w:w="1000"/>
            <w:shd w:fill="F7F9FC" w:color="auto" w:val="clear"/>
            <w:tcMar>
              <w:top w:type="dxa" w:w="60"/>
              <w:left w:type="dxa" w:w="100"/>
              <w:bottom w:type="dxa" w:w="60"/>
              <w:right w:type="dxa" w:w="100"/>
            </w:tcMar>
            <w:vAlign w:val="top"/>
          </w:tcPr>
          <w:p>
            <w:r>
              <w:rPr>
                <w:sz w:val="14"/>
                <w:szCs w:val="14"/>
              </w:rPr>
              <w:t xml:space="preserve">1.5–5</w:t>
            </w:r>
          </w:p>
        </w:tc>
        <w:tc>
          <w:tcPr>
            <w:tcW w:type="dxa" w:w="2000"/>
            <w:shd w:fill="F7F9FC" w:color="auto" w:val="clear"/>
            <w:tcMar>
              <w:top w:type="dxa" w:w="60"/>
              <w:left w:type="dxa" w:w="100"/>
              <w:bottom w:type="dxa" w:w="60"/>
              <w:right w:type="dxa" w:w="100"/>
            </w:tcMar>
            <w:vAlign w:val="top"/>
          </w:tcPr>
          <w:p>
            <w:r>
              <w:rPr>
                <w:sz w:val="14"/>
                <w:szCs w:val="14"/>
              </w:rPr>
              <w:t xml:space="preserve">0.0485 / +0.0417 ± 0.0131</w:t>
            </w:r>
          </w:p>
        </w:tc>
        <w:tc>
          <w:tcPr>
            <w:tcW w:type="dxa" w:w="1900"/>
            <w:shd w:fill="F7F9FC" w:color="auto" w:val="clear"/>
            <w:tcMar>
              <w:top w:type="dxa" w:w="60"/>
              <w:left w:type="dxa" w:w="100"/>
              <w:bottom w:type="dxa" w:w="60"/>
              <w:right w:type="dxa" w:w="100"/>
            </w:tcMar>
            <w:vAlign w:val="top"/>
          </w:tcPr>
          <w:p>
            <w:r>
              <w:rPr>
                <w:sz w:val="14"/>
                <w:szCs w:val="14"/>
              </w:rPr>
              <w:t xml:space="preserve">0.1642 / +0.213 ± 0.063</w:t>
            </w:r>
          </w:p>
        </w:tc>
        <w:tc>
          <w:tcPr>
            <w:tcW w:type="dxa" w:w="1488"/>
            <w:shd w:fill="F7F9FC" w:color="auto" w:val="clear"/>
            <w:tcMar>
              <w:top w:type="dxa" w:w="60"/>
              <w:left w:type="dxa" w:w="100"/>
              <w:bottom w:type="dxa" w:w="60"/>
              <w:right w:type="dxa" w:w="100"/>
            </w:tcMar>
            <w:vAlign w:val="top"/>
          </w:tcPr>
          <w:p>
            <w:r>
              <w:rPr>
                <w:sz w:val="14"/>
                <w:szCs w:val="14"/>
              </w:rPr>
              <w:t xml:space="preserve">1.9 / 7.2</w:t>
            </w:r>
          </w:p>
        </w:tc>
      </w:tr>
      <w:tr>
        <w:trPr>
          <w:cantSplit/>
        </w:trPr>
        <w:tc>
          <w:tcPr>
            <w:tcW w:type="dxa" w:w="1700"/>
            <w:tcMar>
              <w:top w:type="dxa" w:w="60"/>
              <w:left w:type="dxa" w:w="100"/>
              <w:bottom w:type="dxa" w:w="60"/>
              <w:right w:type="dxa" w:w="100"/>
            </w:tcMar>
            <w:vAlign w:val="top"/>
          </w:tcPr>
          <w:p>
            <w:r>
              <w:rPr>
                <w:sz w:val="14"/>
                <w:szCs w:val="14"/>
              </w:rPr>
              <w:t xml:space="preserve">Coastal hotels</w:t>
            </w:r>
          </w:p>
        </w:tc>
        <w:tc>
          <w:tcPr>
            <w:tcW w:type="dxa" w:w="750"/>
            <w:tcMar>
              <w:top w:type="dxa" w:w="60"/>
              <w:left w:type="dxa" w:w="100"/>
              <w:bottom w:type="dxa" w:w="60"/>
              <w:right w:type="dxa" w:w="100"/>
            </w:tcMar>
            <w:vAlign w:val="top"/>
          </w:tcPr>
          <w:p>
            <w:r>
              <w:rPr>
                <w:sz w:val="14"/>
                <w:szCs w:val="14"/>
              </w:rPr>
              <w:t xml:space="preserve">32</w:t>
            </w:r>
          </w:p>
        </w:tc>
        <w:tc>
          <w:tcPr>
            <w:tcW w:type="dxa" w:w="800"/>
            <w:tcMar>
              <w:top w:type="dxa" w:w="60"/>
              <w:left w:type="dxa" w:w="100"/>
              <w:bottom w:type="dxa" w:w="60"/>
              <w:right w:type="dxa" w:w="100"/>
            </w:tcMar>
            <w:vAlign w:val="top"/>
          </w:tcPr>
          <w:p>
            <w:r>
              <w:rPr>
                <w:sz w:val="14"/>
                <w:szCs w:val="14"/>
              </w:rPr>
              <w:t xml:space="preserve">100%</w:t>
            </w:r>
          </w:p>
        </w:tc>
        <w:tc>
          <w:tcPr>
            <w:tcW w:type="dxa" w:w="1000"/>
            <w:tcMar>
              <w:top w:type="dxa" w:w="60"/>
              <w:left w:type="dxa" w:w="100"/>
              <w:bottom w:type="dxa" w:w="60"/>
              <w:right w:type="dxa" w:w="100"/>
            </w:tcMar>
            <w:vAlign w:val="top"/>
          </w:tcPr>
          <w:p>
            <w:r>
              <w:rPr>
                <w:sz w:val="14"/>
                <w:szCs w:val="14"/>
              </w:rPr>
              <w:t xml:space="preserve">0.2–1.5</w:t>
            </w:r>
          </w:p>
        </w:tc>
        <w:tc>
          <w:tcPr>
            <w:tcW w:type="dxa" w:w="2000"/>
            <w:tcMar>
              <w:top w:type="dxa" w:w="60"/>
              <w:left w:type="dxa" w:w="100"/>
              <w:bottom w:type="dxa" w:w="60"/>
              <w:right w:type="dxa" w:w="100"/>
            </w:tcMar>
            <w:vAlign w:val="top"/>
          </w:tcPr>
          <w:p>
            <w:r>
              <w:rPr>
                <w:sz w:val="14"/>
                <w:szCs w:val="14"/>
              </w:rPr>
              <w:t xml:space="preserve">0.0337 / +0.0140 ± 0.0194</w:t>
            </w:r>
          </w:p>
        </w:tc>
        <w:tc>
          <w:tcPr>
            <w:tcW w:type="dxa" w:w="1900"/>
            <w:tcMar>
              <w:top w:type="dxa" w:w="60"/>
              <w:left w:type="dxa" w:w="100"/>
              <w:bottom w:type="dxa" w:w="60"/>
              <w:right w:type="dxa" w:w="100"/>
            </w:tcMar>
            <w:vAlign w:val="top"/>
          </w:tcPr>
          <w:p>
            <w:r>
              <w:rPr>
                <w:sz w:val="14"/>
                <w:szCs w:val="14"/>
              </w:rPr>
              <w:t xml:space="preserve">0.1210 / +0.121 ± 0.058</w:t>
            </w:r>
          </w:p>
        </w:tc>
        <w:tc>
          <w:tcPr>
            <w:tcW w:type="dxa" w:w="1488"/>
            <w:tcMar>
              <w:top w:type="dxa" w:w="60"/>
              <w:left w:type="dxa" w:w="100"/>
              <w:bottom w:type="dxa" w:w="60"/>
              <w:right w:type="dxa" w:w="100"/>
            </w:tcMar>
            <w:vAlign w:val="top"/>
          </w:tcPr>
          <w:p>
            <w:r>
              <w:rPr>
                <w:sz w:val="14"/>
                <w:szCs w:val="14"/>
              </w:rPr>
              <w:t xml:space="preserve">5.8 / 22.4</w:t>
            </w:r>
          </w:p>
        </w:tc>
      </w:tr>
      <w:tr>
        <w:trPr>
          <w:cantSplit/>
        </w:trPr>
        <w:tc>
          <w:tcPr>
            <w:tcW w:type="dxa" w:w="1700"/>
            <w:shd w:fill="F7F9FC" w:color="auto" w:val="clear"/>
            <w:tcMar>
              <w:top w:type="dxa" w:w="60"/>
              <w:left w:type="dxa" w:w="100"/>
              <w:bottom w:type="dxa" w:w="60"/>
              <w:right w:type="dxa" w:w="100"/>
            </w:tcMar>
            <w:vAlign w:val="top"/>
          </w:tcPr>
          <w:p>
            <w:r>
              <w:rPr>
                <w:sz w:val="14"/>
                <w:szCs w:val="14"/>
              </w:rPr>
              <w:t xml:space="preserve">Municipal coastal wells</w:t>
            </w:r>
          </w:p>
        </w:tc>
        <w:tc>
          <w:tcPr>
            <w:tcW w:type="dxa" w:w="750"/>
            <w:shd w:fill="F7F9FC" w:color="auto" w:val="clear"/>
            <w:tcMar>
              <w:top w:type="dxa" w:w="60"/>
              <w:left w:type="dxa" w:w="100"/>
              <w:bottom w:type="dxa" w:w="60"/>
              <w:right w:type="dxa" w:w="100"/>
            </w:tcMar>
            <w:vAlign w:val="top"/>
          </w:tcPr>
          <w:p>
            <w:r>
              <w:rPr>
                <w:sz w:val="14"/>
                <w:szCs w:val="14"/>
              </w:rPr>
              <w:t xml:space="preserve">40</w:t>
            </w:r>
          </w:p>
        </w:tc>
        <w:tc>
          <w:tcPr>
            <w:tcW w:type="dxa" w:w="800"/>
            <w:shd w:fill="F7F9FC" w:color="auto" w:val="clear"/>
            <w:tcMar>
              <w:top w:type="dxa" w:w="60"/>
              <w:left w:type="dxa" w:w="100"/>
              <w:bottom w:type="dxa" w:w="60"/>
              <w:right w:type="dxa" w:w="100"/>
            </w:tcMar>
            <w:vAlign w:val="top"/>
          </w:tcPr>
          <w:p>
            <w:r>
              <w:rPr>
                <w:sz w:val="14"/>
                <w:szCs w:val="14"/>
              </w:rPr>
              <w:t xml:space="preserve">0%</w:t>
            </w:r>
          </w:p>
        </w:tc>
        <w:tc>
          <w:tcPr>
            <w:tcW w:type="dxa" w:w="1000"/>
            <w:shd w:fill="F7F9FC" w:color="auto" w:val="clear"/>
            <w:tcMar>
              <w:top w:type="dxa" w:w="60"/>
              <w:left w:type="dxa" w:w="100"/>
              <w:bottom w:type="dxa" w:w="60"/>
              <w:right w:type="dxa" w:w="100"/>
            </w:tcMar>
            <w:vAlign w:val="top"/>
          </w:tcPr>
          <w:p>
            <w:r>
              <w:rPr>
                <w:sz w:val="14"/>
                <w:szCs w:val="14"/>
              </w:rPr>
              <w:t xml:space="preserve">0.2–2</w:t>
            </w:r>
          </w:p>
        </w:tc>
        <w:tc>
          <w:tcPr>
            <w:tcW w:type="dxa" w:w="2000"/>
            <w:shd w:fill="F7F9FC" w:color="auto" w:val="clear"/>
            <w:tcMar>
              <w:top w:type="dxa" w:w="60"/>
              <w:left w:type="dxa" w:w="100"/>
              <w:bottom w:type="dxa" w:w="60"/>
              <w:right w:type="dxa" w:w="100"/>
            </w:tcMar>
            <w:vAlign w:val="top"/>
          </w:tcPr>
          <w:p>
            <w:r>
              <w:rPr>
                <w:sz w:val="14"/>
                <w:szCs w:val="14"/>
              </w:rPr>
              <w:t xml:space="preserve">0.0067 / −0.0001 ± 0.0051</w:t>
            </w:r>
          </w:p>
        </w:tc>
        <w:tc>
          <w:tcPr>
            <w:tcW w:type="dxa" w:w="1900"/>
            <w:shd w:fill="F7F9FC" w:color="auto" w:val="clear"/>
            <w:tcMar>
              <w:top w:type="dxa" w:w="60"/>
              <w:left w:type="dxa" w:w="100"/>
              <w:bottom w:type="dxa" w:w="60"/>
              <w:right w:type="dxa" w:w="100"/>
            </w:tcMar>
            <w:vAlign w:val="top"/>
          </w:tcPr>
          <w:p>
            <w:r>
              <w:rPr>
                <w:sz w:val="14"/>
                <w:szCs w:val="14"/>
              </w:rPr>
              <w:t xml:space="preserve">0.0146 / −0.095 ± 0.046</w:t>
            </w:r>
          </w:p>
        </w:tc>
        <w:tc>
          <w:tcPr>
            <w:tcW w:type="dxa" w:w="1488"/>
            <w:shd w:fill="F7F9FC" w:color="auto" w:val="clear"/>
            <w:tcMar>
              <w:top w:type="dxa" w:w="60"/>
              <w:left w:type="dxa" w:w="100"/>
              <w:bottom w:type="dxa" w:w="60"/>
              <w:right w:type="dxa" w:w="100"/>
            </w:tcMar>
            <w:vAlign w:val="top"/>
          </w:tcPr>
          <w:p>
            <w:r>
              <w:rPr>
                <w:sz w:val="14"/>
                <w:szCs w:val="14"/>
              </w:rPr>
              <w:t xml:space="preserve">1.4 / 2.6</w:t>
            </w:r>
          </w:p>
        </w:tc>
      </w:tr>
      <w:tr>
        <w:trPr>
          <w:cantSplit/>
        </w:trPr>
        <w:tc>
          <w:tcPr>
            <w:tcW w:type="dxa" w:w="1700"/>
            <w:tcMar>
              <w:top w:type="dxa" w:w="60"/>
              <w:left w:type="dxa" w:w="100"/>
              <w:bottom w:type="dxa" w:w="60"/>
              <w:right w:type="dxa" w:w="100"/>
            </w:tcMar>
            <w:vAlign w:val="top"/>
          </w:tcPr>
          <w:p>
            <w:r>
              <w:rPr>
                <w:sz w:val="14"/>
                <w:szCs w:val="14"/>
              </w:rPr>
              <w:t xml:space="preserve">Research campaign</w:t>
            </w:r>
          </w:p>
        </w:tc>
        <w:tc>
          <w:tcPr>
            <w:tcW w:type="dxa" w:w="750"/>
            <w:tcMar>
              <w:top w:type="dxa" w:w="60"/>
              <w:left w:type="dxa" w:w="100"/>
              <w:bottom w:type="dxa" w:w="60"/>
              <w:right w:type="dxa" w:w="100"/>
            </w:tcMar>
            <w:vAlign w:val="top"/>
          </w:tcPr>
          <w:p>
            <w:r>
              <w:rPr>
                <w:sz w:val="14"/>
                <w:szCs w:val="14"/>
              </w:rPr>
              <w:t xml:space="preserve">24</w:t>
            </w:r>
          </w:p>
        </w:tc>
        <w:tc>
          <w:tcPr>
            <w:tcW w:type="dxa" w:w="800"/>
            <w:tcMar>
              <w:top w:type="dxa" w:w="60"/>
              <w:left w:type="dxa" w:w="100"/>
              <w:bottom w:type="dxa" w:w="60"/>
              <w:right w:type="dxa" w:w="100"/>
            </w:tcMar>
            <w:vAlign w:val="top"/>
          </w:tcPr>
          <w:p>
            <w:r>
              <w:rPr>
                <w:sz w:val="14"/>
                <w:szCs w:val="14"/>
              </w:rPr>
              <w:t xml:space="preserve">50%</w:t>
            </w:r>
          </w:p>
        </w:tc>
        <w:tc>
          <w:tcPr>
            <w:tcW w:type="dxa" w:w="1000"/>
            <w:tcMar>
              <w:top w:type="dxa" w:w="60"/>
              <w:left w:type="dxa" w:w="100"/>
              <w:bottom w:type="dxa" w:w="60"/>
              <w:right w:type="dxa" w:w="100"/>
            </w:tcMar>
            <w:vAlign w:val="top"/>
          </w:tcPr>
          <w:p>
            <w:r>
              <w:rPr>
                <w:sz w:val="14"/>
                <w:szCs w:val="14"/>
              </w:rPr>
              <w:t xml:space="preserve">0.2–14.5</w:t>
            </w:r>
          </w:p>
        </w:tc>
        <w:tc>
          <w:tcPr>
            <w:tcW w:type="dxa" w:w="2000"/>
            <w:tcMar>
              <w:top w:type="dxa" w:w="60"/>
              <w:left w:type="dxa" w:w="100"/>
              <w:bottom w:type="dxa" w:w="60"/>
              <w:right w:type="dxa" w:w="100"/>
            </w:tcMar>
            <w:vAlign w:val="top"/>
          </w:tcPr>
          <w:p>
            <w:r>
              <w:rPr>
                <w:sz w:val="14"/>
                <w:szCs w:val="14"/>
              </w:rPr>
              <w:t xml:space="preserve">0.0237 / +0.0261 ± 0.0111</w:t>
            </w:r>
          </w:p>
        </w:tc>
        <w:tc>
          <w:tcPr>
            <w:tcW w:type="dxa" w:w="1900"/>
            <w:tcMar>
              <w:top w:type="dxa" w:w="60"/>
              <w:left w:type="dxa" w:w="100"/>
              <w:bottom w:type="dxa" w:w="60"/>
              <w:right w:type="dxa" w:w="100"/>
            </w:tcMar>
            <w:vAlign w:val="top"/>
          </w:tcPr>
          <w:p>
            <w:r>
              <w:rPr>
                <w:sz w:val="14"/>
                <w:szCs w:val="14"/>
              </w:rPr>
              <w:t xml:space="preserve">0.0717 / +0.121 ± 0.051</w:t>
            </w:r>
          </w:p>
        </w:tc>
        <w:tc>
          <w:tcPr>
            <w:tcW w:type="dxa" w:w="1488"/>
            <w:tcMar>
              <w:top w:type="dxa" w:w="60"/>
              <w:left w:type="dxa" w:w="100"/>
              <w:bottom w:type="dxa" w:w="60"/>
              <w:right w:type="dxa" w:w="100"/>
            </w:tcMar>
            <w:vAlign w:val="top"/>
          </w:tcPr>
          <w:p>
            <w:r>
              <w:rPr>
                <w:sz w:val="14"/>
                <w:szCs w:val="14"/>
              </w:rPr>
              <w:t xml:space="preserve">3.7 / 12.0</w:t>
            </w:r>
          </w:p>
        </w:tc>
      </w:tr>
    </w:tbl>
    <w:p>
      <w:pPr>
        <w:spacing w:after="160"/>
      </w:pPr>
    </w:p>
    <w:p>
      <w:pPr>
        <w:spacing w:after="120"/>
      </w:pPr>
      <w:r>
        <w:rPr>
          <w:i/>
          <w:iCs/>
          <w:color w:val="5B6573"/>
          <w:sz w:val="18"/>
          <w:szCs w:val="18"/>
        </w:rPr>
        <w:t xml:space="preserve">Table 9.1. The value of merging each holder alone, in loss units, mean over 200 aquifers. Predicted: decision value from the Gram matrix (Proposition B3 of review 55). Realised: expected fall of the true loss when the records are merged. The utility itself has 60 records, 90% pumped high, 4–10 km from the sea.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1150"/>
        <w:gridCol w:w="1650"/>
        <w:gridCol w:w="1100"/>
        <w:gridCol w:w="1150"/>
        <w:gridCol w:w="1600"/>
        <w:gridCol w:w="1088"/>
      </w:tblGrid>
      <w:tr>
        <w:trPr>
          <w:cantSplit/>
          <w:tblHeader/>
        </w:trPr>
        <w:tc>
          <w:tcPr>
            <w:tcW w:type="dxa" w:w="1900"/>
            <w:shd w:fill="1F3864" w:color="auto" w:val="clear"/>
            <w:tcMar>
              <w:top w:type="dxa" w:w="60"/>
              <w:left w:type="dxa" w:w="100"/>
              <w:bottom w:type="dxa" w:w="60"/>
              <w:right w:type="dxa" w:w="100"/>
            </w:tcMar>
            <w:vAlign w:val="top"/>
          </w:tcPr>
          <w:p>
            <w:r>
              <w:rPr>
                <w:b/>
                <w:bCs/>
                <w:color w:val="FFFFFF"/>
                <w:sz w:val="14"/>
                <w:szCs w:val="14"/>
              </w:rPr>
              <w:t xml:space="preserve">Pair</w:t>
            </w:r>
          </w:p>
        </w:tc>
        <w:tc>
          <w:tcPr>
            <w:tcW w:type="dxa" w:w="1150"/>
            <w:shd w:fill="1F3864" w:color="auto" w:val="clear"/>
            <w:tcMar>
              <w:top w:type="dxa" w:w="60"/>
              <w:left w:type="dxa" w:w="100"/>
              <w:bottom w:type="dxa" w:w="60"/>
              <w:right w:type="dxa" w:w="100"/>
            </w:tcMar>
            <w:vAlign w:val="top"/>
          </w:tcPr>
          <w:p>
            <w:r>
              <w:rPr>
                <w:b/>
                <w:bCs/>
                <w:color w:val="FFFFFF"/>
                <w:sz w:val="14"/>
                <w:szCs w:val="14"/>
              </w:rPr>
              <w:t xml:space="preserve">Physics: predicted synergy</w:t>
            </w:r>
          </w:p>
        </w:tc>
        <w:tc>
          <w:tcPr>
            <w:tcW w:type="dxa" w:w="1650"/>
            <w:shd w:fill="1F3864" w:color="auto" w:val="clear"/>
            <w:tcMar>
              <w:top w:type="dxa" w:w="60"/>
              <w:left w:type="dxa" w:w="100"/>
              <w:bottom w:type="dxa" w:w="60"/>
              <w:right w:type="dxa" w:w="100"/>
            </w:tcMar>
            <w:vAlign w:val="top"/>
          </w:tcPr>
          <w:p>
            <w:r>
              <w:rPr>
                <w:b/>
                <w:bCs/>
                <w:color w:val="FFFFFF"/>
                <w:sz w:val="14"/>
                <w:szCs w:val="14"/>
              </w:rPr>
              <w:t xml:space="preserve">Physics: realised synergy (95% CI)</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Physics: predicted &gt; 0 in</w:t>
            </w:r>
          </w:p>
        </w:tc>
        <w:tc>
          <w:tcPr>
            <w:tcW w:type="dxa" w:w="1150"/>
            <w:shd w:fill="1F3864" w:color="auto" w:val="clear"/>
            <w:tcMar>
              <w:top w:type="dxa" w:w="60"/>
              <w:left w:type="dxa" w:w="100"/>
              <w:bottom w:type="dxa" w:w="60"/>
              <w:right w:type="dxa" w:w="100"/>
            </w:tcMar>
            <w:vAlign w:val="top"/>
          </w:tcPr>
          <w:p>
            <w:r>
              <w:rPr>
                <w:b/>
                <w:bCs/>
                <w:color w:val="FFFFFF"/>
                <w:sz w:val="14"/>
                <w:szCs w:val="14"/>
              </w:rPr>
              <w:t xml:space="preserve">Local: predicted synergy</w:t>
            </w:r>
          </w:p>
        </w:tc>
        <w:tc>
          <w:tcPr>
            <w:tcW w:type="dxa" w:w="1600"/>
            <w:shd w:fill="1F3864" w:color="auto" w:val="clear"/>
            <w:tcMar>
              <w:top w:type="dxa" w:w="60"/>
              <w:left w:type="dxa" w:w="100"/>
              <w:bottom w:type="dxa" w:w="60"/>
              <w:right w:type="dxa" w:w="100"/>
            </w:tcMar>
            <w:vAlign w:val="top"/>
          </w:tcPr>
          <w:p>
            <w:r>
              <w:rPr>
                <w:b/>
                <w:bCs/>
                <w:color w:val="FFFFFF"/>
                <w:sz w:val="14"/>
                <w:szCs w:val="14"/>
              </w:rPr>
              <w:t xml:space="preserve">Local: realised synergy (95% CI)</w:t>
            </w:r>
          </w:p>
        </w:tc>
        <w:tc>
          <w:tcPr>
            <w:tcW w:type="dxa" w:w="1088"/>
            <w:shd w:fill="1F3864" w:color="auto" w:val="clear"/>
            <w:tcMar>
              <w:top w:type="dxa" w:w="60"/>
              <w:left w:type="dxa" w:w="100"/>
              <w:bottom w:type="dxa" w:w="60"/>
              <w:right w:type="dxa" w:w="100"/>
            </w:tcMar>
            <w:vAlign w:val="top"/>
          </w:tcPr>
          <w:p>
            <w:r>
              <w:rPr>
                <w:b/>
                <w:bCs/>
                <w:color w:val="FFFFFF"/>
                <w:sz w:val="14"/>
                <w:szCs w:val="14"/>
              </w:rPr>
              <w:t xml:space="preserve">Local: predicted &gt; 0 in</w:t>
            </w:r>
          </w:p>
        </w:tc>
      </w:tr>
      <w:tr>
        <w:trPr>
          <w:cantSplit/>
        </w:trPr>
        <w:tc>
          <w:tcPr>
            <w:tcW w:type="dxa" w:w="1900"/>
            <w:tcMar>
              <w:top w:type="dxa" w:w="60"/>
              <w:left w:type="dxa" w:w="100"/>
              <w:bottom w:type="dxa" w:w="60"/>
              <w:right w:type="dxa" w:w="100"/>
            </w:tcMar>
            <w:vAlign w:val="top"/>
          </w:tcPr>
          <w:p>
            <w:r>
              <w:rPr>
                <w:sz w:val="14"/>
                <w:szCs w:val="14"/>
              </w:rPr>
              <w:t xml:space="preserve">agency + irrigators</w:t>
            </w:r>
          </w:p>
        </w:tc>
        <w:tc>
          <w:tcPr>
            <w:tcW w:type="dxa" w:w="1150"/>
            <w:tcMar>
              <w:top w:type="dxa" w:w="60"/>
              <w:left w:type="dxa" w:w="100"/>
              <w:bottom w:type="dxa" w:w="60"/>
              <w:right w:type="dxa" w:w="100"/>
            </w:tcMar>
            <w:vAlign w:val="top"/>
          </w:tcPr>
          <w:p>
            <w:r>
              <w:rPr>
                <w:sz w:val="14"/>
                <w:szCs w:val="14"/>
              </w:rPr>
              <w:t xml:space="preserve">−0.0305</w:t>
            </w:r>
          </w:p>
        </w:tc>
        <w:tc>
          <w:tcPr>
            <w:tcW w:type="dxa" w:w="1650"/>
            <w:tcMar>
              <w:top w:type="dxa" w:w="60"/>
              <w:left w:type="dxa" w:w="100"/>
              <w:bottom w:type="dxa" w:w="60"/>
              <w:right w:type="dxa" w:w="100"/>
            </w:tcMar>
            <w:vAlign w:val="top"/>
          </w:tcPr>
          <w:p>
            <w:r>
              <w:rPr>
                <w:sz w:val="14"/>
                <w:szCs w:val="14"/>
              </w:rPr>
              <w:t xml:space="preserve">−0.0266 ± 0.0107</w:t>
            </w:r>
          </w:p>
        </w:tc>
        <w:tc>
          <w:tcPr>
            <w:tcW w:type="dxa" w:w="1100"/>
            <w:tcMar>
              <w:top w:type="dxa" w:w="60"/>
              <w:left w:type="dxa" w:w="100"/>
              <w:bottom w:type="dxa" w:w="60"/>
              <w:right w:type="dxa" w:w="100"/>
            </w:tcMar>
            <w:vAlign w:val="top"/>
          </w:tcPr>
          <w:p>
            <w:r>
              <w:rPr>
                <w:sz w:val="14"/>
                <w:szCs w:val="14"/>
              </w:rPr>
              <w:t xml:space="preserve">1%</w:t>
            </w:r>
          </w:p>
        </w:tc>
        <w:tc>
          <w:tcPr>
            <w:tcW w:type="dxa" w:w="1150"/>
            <w:tcMar>
              <w:top w:type="dxa" w:w="60"/>
              <w:left w:type="dxa" w:w="100"/>
              <w:bottom w:type="dxa" w:w="60"/>
              <w:right w:type="dxa" w:w="100"/>
            </w:tcMar>
            <w:vAlign w:val="top"/>
          </w:tcPr>
          <w:p>
            <w:r>
              <w:rPr>
                <w:sz w:val="14"/>
                <w:szCs w:val="14"/>
              </w:rPr>
              <w:t xml:space="preserve">−0.0742</w:t>
            </w:r>
          </w:p>
        </w:tc>
        <w:tc>
          <w:tcPr>
            <w:tcW w:type="dxa" w:w="1600"/>
            <w:tcMar>
              <w:top w:type="dxa" w:w="60"/>
              <w:left w:type="dxa" w:w="100"/>
              <w:bottom w:type="dxa" w:w="60"/>
              <w:right w:type="dxa" w:w="100"/>
            </w:tcMar>
            <w:vAlign w:val="top"/>
          </w:tcPr>
          <w:p>
            <w:r>
              <w:rPr>
                <w:sz w:val="14"/>
                <w:szCs w:val="14"/>
              </w:rPr>
              <w:t xml:space="preserve">−0.179 ± 0.057</w:t>
            </w:r>
          </w:p>
        </w:tc>
        <w:tc>
          <w:tcPr>
            <w:tcW w:type="dxa" w:w="1088"/>
            <w:tcMar>
              <w:top w:type="dxa" w:w="60"/>
              <w:left w:type="dxa" w:w="100"/>
              <w:bottom w:type="dxa" w:w="60"/>
              <w:right w:type="dxa" w:w="100"/>
            </w:tcMar>
            <w:vAlign w:val="top"/>
          </w:tcPr>
          <w:p>
            <w:r>
              <w:rPr>
                <w:sz w:val="14"/>
                <w:szCs w:val="14"/>
              </w:rPr>
              <w:t xml:space="preserve">1%</w:t>
            </w:r>
          </w:p>
        </w:tc>
      </w:tr>
      <w:tr>
        <w:trPr>
          <w:cantSplit/>
        </w:trPr>
        <w:tc>
          <w:tcPr>
            <w:tcW w:type="dxa" w:w="1900"/>
            <w:shd w:fill="F7F9FC" w:color="auto" w:val="clear"/>
            <w:tcMar>
              <w:top w:type="dxa" w:w="60"/>
              <w:left w:type="dxa" w:w="100"/>
              <w:bottom w:type="dxa" w:w="60"/>
              <w:right w:type="dxa" w:w="100"/>
            </w:tcMar>
            <w:vAlign w:val="top"/>
          </w:tcPr>
          <w:p>
            <w:r>
              <w:rPr>
                <w:sz w:val="14"/>
                <w:szCs w:val="14"/>
              </w:rPr>
              <w:t xml:space="preserve">agency + hotels</w:t>
            </w:r>
          </w:p>
        </w:tc>
        <w:tc>
          <w:tcPr>
            <w:tcW w:type="dxa" w:w="1150"/>
            <w:shd w:fill="F7F9FC" w:color="auto" w:val="clear"/>
            <w:tcMar>
              <w:top w:type="dxa" w:w="60"/>
              <w:left w:type="dxa" w:w="100"/>
              <w:bottom w:type="dxa" w:w="60"/>
              <w:right w:type="dxa" w:w="100"/>
            </w:tcMar>
            <w:vAlign w:val="top"/>
          </w:tcPr>
          <w:p>
            <w:r>
              <w:rPr>
                <w:sz w:val="14"/>
                <w:szCs w:val="14"/>
              </w:rPr>
              <w:t xml:space="preserve">−0.0155</w:t>
            </w:r>
          </w:p>
        </w:tc>
        <w:tc>
          <w:tcPr>
            <w:tcW w:type="dxa" w:w="1650"/>
            <w:shd w:fill="F7F9FC" w:color="auto" w:val="clear"/>
            <w:tcMar>
              <w:top w:type="dxa" w:w="60"/>
              <w:left w:type="dxa" w:w="100"/>
              <w:bottom w:type="dxa" w:w="60"/>
              <w:right w:type="dxa" w:w="100"/>
            </w:tcMar>
            <w:vAlign w:val="top"/>
          </w:tcPr>
          <w:p>
            <w:r>
              <w:rPr>
                <w:sz w:val="14"/>
                <w:szCs w:val="14"/>
              </w:rPr>
              <w:t xml:space="preserve">−0.0081 ± 0.0137</w:t>
            </w:r>
          </w:p>
        </w:tc>
        <w:tc>
          <w:tcPr>
            <w:tcW w:type="dxa" w:w="1100"/>
            <w:shd w:fill="F7F9FC" w:color="auto" w:val="clear"/>
            <w:tcMar>
              <w:top w:type="dxa" w:w="60"/>
              <w:left w:type="dxa" w:w="100"/>
              <w:bottom w:type="dxa" w:w="60"/>
              <w:right w:type="dxa" w:w="100"/>
            </w:tcMar>
            <w:vAlign w:val="top"/>
          </w:tcPr>
          <w:p>
            <w:r>
              <w:rPr>
                <w:sz w:val="14"/>
                <w:szCs w:val="14"/>
              </w:rPr>
              <w:t xml:space="preserve">7%</w:t>
            </w:r>
          </w:p>
        </w:tc>
        <w:tc>
          <w:tcPr>
            <w:tcW w:type="dxa" w:w="1150"/>
            <w:shd w:fill="F7F9FC" w:color="auto" w:val="clear"/>
            <w:tcMar>
              <w:top w:type="dxa" w:w="60"/>
              <w:left w:type="dxa" w:w="100"/>
              <w:bottom w:type="dxa" w:w="60"/>
              <w:right w:type="dxa" w:w="100"/>
            </w:tcMar>
            <w:vAlign w:val="top"/>
          </w:tcPr>
          <w:p>
            <w:r>
              <w:rPr>
                <w:sz w:val="14"/>
                <w:szCs w:val="14"/>
              </w:rPr>
              <w:t xml:space="preserve">−0.0307</w:t>
            </w:r>
          </w:p>
        </w:tc>
        <w:tc>
          <w:tcPr>
            <w:tcW w:type="dxa" w:w="1600"/>
            <w:shd w:fill="F7F9FC" w:color="auto" w:val="clear"/>
            <w:tcMar>
              <w:top w:type="dxa" w:w="60"/>
              <w:left w:type="dxa" w:w="100"/>
              <w:bottom w:type="dxa" w:w="60"/>
              <w:right w:type="dxa" w:w="100"/>
            </w:tcMar>
            <w:vAlign w:val="top"/>
          </w:tcPr>
          <w:p>
            <w:r>
              <w:rPr>
                <w:sz w:val="14"/>
                <w:szCs w:val="14"/>
              </w:rPr>
              <w:t xml:space="preserve">−0.115 ± 0.052</w:t>
            </w:r>
          </w:p>
        </w:tc>
        <w:tc>
          <w:tcPr>
            <w:tcW w:type="dxa" w:w="1088"/>
            <w:shd w:fill="F7F9FC" w:color="auto" w:val="clear"/>
            <w:tcMar>
              <w:top w:type="dxa" w:w="60"/>
              <w:left w:type="dxa" w:w="100"/>
              <w:bottom w:type="dxa" w:w="60"/>
              <w:right w:type="dxa" w:w="100"/>
            </w:tcMar>
            <w:vAlign w:val="top"/>
          </w:tcPr>
          <w:p>
            <w:r>
              <w:rPr>
                <w:sz w:val="14"/>
                <w:szCs w:val="14"/>
              </w:rPr>
              <w:t xml:space="preserve">5%</w:t>
            </w:r>
          </w:p>
        </w:tc>
      </w:tr>
      <w:tr>
        <w:trPr>
          <w:cantSplit/>
        </w:trPr>
        <w:tc>
          <w:tcPr>
            <w:tcW w:type="dxa" w:w="1900"/>
            <w:tcMar>
              <w:top w:type="dxa" w:w="60"/>
              <w:left w:type="dxa" w:w="100"/>
              <w:bottom w:type="dxa" w:w="60"/>
              <w:right w:type="dxa" w:w="100"/>
            </w:tcMar>
            <w:vAlign w:val="top"/>
          </w:tcPr>
          <w:p>
            <w:r>
              <w:rPr>
                <w:sz w:val="14"/>
                <w:szCs w:val="14"/>
              </w:rPr>
              <w:t xml:space="preserve">agency + municipal</w:t>
            </w:r>
          </w:p>
        </w:tc>
        <w:tc>
          <w:tcPr>
            <w:tcW w:type="dxa" w:w="1150"/>
            <w:tcMar>
              <w:top w:type="dxa" w:w="60"/>
              <w:left w:type="dxa" w:w="100"/>
              <w:bottom w:type="dxa" w:w="60"/>
              <w:right w:type="dxa" w:w="100"/>
            </w:tcMar>
            <w:vAlign w:val="top"/>
          </w:tcPr>
          <w:p>
            <w:r>
              <w:rPr>
                <w:sz w:val="14"/>
                <w:szCs w:val="14"/>
              </w:rPr>
              <w:t xml:space="preserve">−0.0051</w:t>
            </w:r>
          </w:p>
        </w:tc>
        <w:tc>
          <w:tcPr>
            <w:tcW w:type="dxa" w:w="1650"/>
            <w:tcMar>
              <w:top w:type="dxa" w:w="60"/>
              <w:left w:type="dxa" w:w="100"/>
              <w:bottom w:type="dxa" w:w="60"/>
              <w:right w:type="dxa" w:w="100"/>
            </w:tcMar>
            <w:vAlign w:val="top"/>
          </w:tcPr>
          <w:p>
            <w:r>
              <w:rPr>
                <w:sz w:val="14"/>
                <w:szCs w:val="14"/>
              </w:rPr>
              <w:t xml:space="preserve">−0.0000 ± 0.0051</w:t>
            </w:r>
          </w:p>
        </w:tc>
        <w:tc>
          <w:tcPr>
            <w:tcW w:type="dxa" w:w="1100"/>
            <w:tcMar>
              <w:top w:type="dxa" w:w="60"/>
              <w:left w:type="dxa" w:w="100"/>
              <w:bottom w:type="dxa" w:w="60"/>
              <w:right w:type="dxa" w:w="100"/>
            </w:tcMar>
            <w:vAlign w:val="top"/>
          </w:tcPr>
          <w:p>
            <w:r>
              <w:rPr>
                <w:sz w:val="14"/>
                <w:szCs w:val="14"/>
              </w:rPr>
              <w:t xml:space="preserve">10%</w:t>
            </w:r>
          </w:p>
        </w:tc>
        <w:tc>
          <w:tcPr>
            <w:tcW w:type="dxa" w:w="1150"/>
            <w:tcMar>
              <w:top w:type="dxa" w:w="60"/>
              <w:left w:type="dxa" w:w="100"/>
              <w:bottom w:type="dxa" w:w="60"/>
              <w:right w:type="dxa" w:w="100"/>
            </w:tcMar>
            <w:vAlign w:val="top"/>
          </w:tcPr>
          <w:p>
            <w:r>
              <w:rPr>
                <w:sz w:val="14"/>
                <w:szCs w:val="14"/>
              </w:rPr>
              <w:t xml:space="preserve">−0.0140</w:t>
            </w:r>
          </w:p>
        </w:tc>
        <w:tc>
          <w:tcPr>
            <w:tcW w:type="dxa" w:w="1600"/>
            <w:tcMar>
              <w:top w:type="dxa" w:w="60"/>
              <w:left w:type="dxa" w:w="100"/>
              <w:bottom w:type="dxa" w:w="60"/>
              <w:right w:type="dxa" w:w="100"/>
            </w:tcMar>
            <w:vAlign w:val="top"/>
          </w:tcPr>
          <w:p>
            <w:r>
              <w:rPr>
                <w:sz w:val="14"/>
                <w:szCs w:val="14"/>
              </w:rPr>
              <w:t xml:space="preserve">+0.092 ± 0.046</w:t>
            </w:r>
          </w:p>
        </w:tc>
        <w:tc>
          <w:tcPr>
            <w:tcW w:type="dxa" w:w="1088"/>
            <w:tcMar>
              <w:top w:type="dxa" w:w="60"/>
              <w:left w:type="dxa" w:w="100"/>
              <w:bottom w:type="dxa" w:w="60"/>
              <w:right w:type="dxa" w:w="100"/>
            </w:tcMar>
            <w:vAlign w:val="top"/>
          </w:tcPr>
          <w:p>
            <w:r>
              <w:rPr>
                <w:sz w:val="14"/>
                <w:szCs w:val="14"/>
              </w:rPr>
              <w:t xml:space="preserve">2%</w:t>
            </w:r>
          </w:p>
        </w:tc>
      </w:tr>
      <w:tr>
        <w:trPr>
          <w:cantSplit/>
        </w:trPr>
        <w:tc>
          <w:tcPr>
            <w:tcW w:type="dxa" w:w="1900"/>
            <w:shd w:fill="F7F9FC" w:color="auto" w:val="clear"/>
            <w:tcMar>
              <w:top w:type="dxa" w:w="60"/>
              <w:left w:type="dxa" w:w="100"/>
              <w:bottom w:type="dxa" w:w="60"/>
              <w:right w:type="dxa" w:w="100"/>
            </w:tcMar>
            <w:vAlign w:val="top"/>
          </w:tcPr>
          <w:p>
            <w:r>
              <w:rPr>
                <w:sz w:val="14"/>
                <w:szCs w:val="14"/>
              </w:rPr>
              <w:t xml:space="preserve">agency + research</w:t>
            </w:r>
          </w:p>
        </w:tc>
        <w:tc>
          <w:tcPr>
            <w:tcW w:type="dxa" w:w="1150"/>
            <w:shd w:fill="F7F9FC" w:color="auto" w:val="clear"/>
            <w:tcMar>
              <w:top w:type="dxa" w:w="60"/>
              <w:left w:type="dxa" w:w="100"/>
              <w:bottom w:type="dxa" w:w="60"/>
              <w:right w:type="dxa" w:w="100"/>
            </w:tcMar>
            <w:vAlign w:val="top"/>
          </w:tcPr>
          <w:p>
            <w:r>
              <w:rPr>
                <w:sz w:val="14"/>
                <w:szCs w:val="14"/>
              </w:rPr>
              <w:t xml:space="preserve">−0.0158</w:t>
            </w:r>
          </w:p>
        </w:tc>
        <w:tc>
          <w:tcPr>
            <w:tcW w:type="dxa" w:w="1650"/>
            <w:shd w:fill="F7F9FC" w:color="auto" w:val="clear"/>
            <w:tcMar>
              <w:top w:type="dxa" w:w="60"/>
              <w:left w:type="dxa" w:w="100"/>
              <w:bottom w:type="dxa" w:w="60"/>
              <w:right w:type="dxa" w:w="100"/>
            </w:tcMar>
            <w:vAlign w:val="top"/>
          </w:tcPr>
          <w:p>
            <w:r>
              <w:rPr>
                <w:sz w:val="14"/>
                <w:szCs w:val="14"/>
              </w:rPr>
              <w:t xml:space="preserve">−0.0180 ± 0.0086</w:t>
            </w:r>
          </w:p>
        </w:tc>
        <w:tc>
          <w:tcPr>
            <w:tcW w:type="dxa" w:w="1100"/>
            <w:shd w:fill="F7F9FC" w:color="auto" w:val="clear"/>
            <w:tcMar>
              <w:top w:type="dxa" w:w="60"/>
              <w:left w:type="dxa" w:w="100"/>
              <w:bottom w:type="dxa" w:w="60"/>
              <w:right w:type="dxa" w:w="100"/>
            </w:tcMar>
            <w:vAlign w:val="top"/>
          </w:tcPr>
          <w:p>
            <w:r>
              <w:rPr>
                <w:sz w:val="14"/>
                <w:szCs w:val="14"/>
              </w:rPr>
              <w:t xml:space="preserve">2%</w:t>
            </w:r>
          </w:p>
        </w:tc>
        <w:tc>
          <w:tcPr>
            <w:tcW w:type="dxa" w:w="1150"/>
            <w:shd w:fill="F7F9FC" w:color="auto" w:val="clear"/>
            <w:tcMar>
              <w:top w:type="dxa" w:w="60"/>
              <w:left w:type="dxa" w:w="100"/>
              <w:bottom w:type="dxa" w:w="60"/>
              <w:right w:type="dxa" w:w="100"/>
            </w:tcMar>
            <w:vAlign w:val="top"/>
          </w:tcPr>
          <w:p>
            <w:r>
              <w:rPr>
                <w:sz w:val="14"/>
                <w:szCs w:val="14"/>
              </w:rPr>
              <w:t xml:space="preserve">−0.0372</w:t>
            </w:r>
          </w:p>
        </w:tc>
        <w:tc>
          <w:tcPr>
            <w:tcW w:type="dxa" w:w="1600"/>
            <w:shd w:fill="F7F9FC" w:color="auto" w:val="clear"/>
            <w:tcMar>
              <w:top w:type="dxa" w:w="60"/>
              <w:left w:type="dxa" w:w="100"/>
              <w:bottom w:type="dxa" w:w="60"/>
              <w:right w:type="dxa" w:w="100"/>
            </w:tcMar>
            <w:vAlign w:val="top"/>
          </w:tcPr>
          <w:p>
            <w:r>
              <w:rPr>
                <w:sz w:val="14"/>
                <w:szCs w:val="14"/>
              </w:rPr>
              <w:t xml:space="preserve">−0.111 ± 0.047</w:t>
            </w:r>
          </w:p>
        </w:tc>
        <w:tc>
          <w:tcPr>
            <w:tcW w:type="dxa" w:w="1088"/>
            <w:shd w:fill="F7F9FC" w:color="auto" w:val="clear"/>
            <w:tcMar>
              <w:top w:type="dxa" w:w="60"/>
              <w:left w:type="dxa" w:w="100"/>
              <w:bottom w:type="dxa" w:w="60"/>
              <w:right w:type="dxa" w:w="100"/>
            </w:tcMar>
            <w:vAlign w:val="top"/>
          </w:tcPr>
          <w:p>
            <w:r>
              <w:rPr>
                <w:sz w:val="14"/>
                <w:szCs w:val="14"/>
              </w:rPr>
              <w:t xml:space="preserve">2%</w:t>
            </w:r>
          </w:p>
        </w:tc>
      </w:tr>
      <w:tr>
        <w:trPr>
          <w:cantSplit/>
        </w:trPr>
        <w:tc>
          <w:tcPr>
            <w:tcW w:type="dxa" w:w="1900"/>
            <w:tcMar>
              <w:top w:type="dxa" w:w="60"/>
              <w:left w:type="dxa" w:w="100"/>
              <w:bottom w:type="dxa" w:w="60"/>
              <w:right w:type="dxa" w:w="100"/>
            </w:tcMar>
            <w:vAlign w:val="top"/>
          </w:tcPr>
          <w:p>
            <w:r>
              <w:rPr>
                <w:sz w:val="14"/>
                <w:szCs w:val="14"/>
              </w:rPr>
              <w:t xml:space="preserve">irrigators + hotels</w:t>
            </w:r>
          </w:p>
        </w:tc>
        <w:tc>
          <w:tcPr>
            <w:tcW w:type="dxa" w:w="1150"/>
            <w:tcMar>
              <w:top w:type="dxa" w:w="60"/>
              <w:left w:type="dxa" w:w="100"/>
              <w:bottom w:type="dxa" w:w="60"/>
              <w:right w:type="dxa" w:w="100"/>
            </w:tcMar>
            <w:vAlign w:val="top"/>
          </w:tcPr>
          <w:p>
            <w:r>
              <w:rPr>
                <w:sz w:val="14"/>
                <w:szCs w:val="14"/>
              </w:rPr>
              <w:t xml:space="preserve">−0.0234</w:t>
            </w:r>
          </w:p>
        </w:tc>
        <w:tc>
          <w:tcPr>
            <w:tcW w:type="dxa" w:w="1650"/>
            <w:tcMar>
              <w:top w:type="dxa" w:w="60"/>
              <w:left w:type="dxa" w:w="100"/>
              <w:bottom w:type="dxa" w:w="60"/>
              <w:right w:type="dxa" w:w="100"/>
            </w:tcMar>
            <w:vAlign w:val="top"/>
          </w:tcPr>
          <w:p>
            <w:r>
              <w:rPr>
                <w:sz w:val="14"/>
                <w:szCs w:val="14"/>
              </w:rPr>
              <w:t xml:space="preserve">−0.0160 ± 0.0164</w:t>
            </w:r>
          </w:p>
        </w:tc>
        <w:tc>
          <w:tcPr>
            <w:tcW w:type="dxa" w:w="1100"/>
            <w:tcMar>
              <w:top w:type="dxa" w:w="60"/>
              <w:left w:type="dxa" w:w="100"/>
              <w:bottom w:type="dxa" w:w="60"/>
              <w:right w:type="dxa" w:w="100"/>
            </w:tcMar>
            <w:vAlign w:val="top"/>
          </w:tcPr>
          <w:p>
            <w:r>
              <w:rPr>
                <w:sz w:val="14"/>
                <w:szCs w:val="14"/>
              </w:rPr>
              <w:t xml:space="preserve">4%</w:t>
            </w:r>
          </w:p>
        </w:tc>
        <w:tc>
          <w:tcPr>
            <w:tcW w:type="dxa" w:w="1150"/>
            <w:tcMar>
              <w:top w:type="dxa" w:w="60"/>
              <w:left w:type="dxa" w:w="100"/>
              <w:bottom w:type="dxa" w:w="60"/>
              <w:right w:type="dxa" w:w="100"/>
            </w:tcMar>
            <w:vAlign w:val="top"/>
          </w:tcPr>
          <w:p>
            <w:r>
              <w:rPr>
                <w:sz w:val="14"/>
                <w:szCs w:val="14"/>
              </w:rPr>
              <w:t xml:space="preserve">−0.0790</w:t>
            </w:r>
          </w:p>
        </w:tc>
        <w:tc>
          <w:tcPr>
            <w:tcW w:type="dxa" w:w="1600"/>
            <w:tcMar>
              <w:top w:type="dxa" w:w="60"/>
              <w:left w:type="dxa" w:w="100"/>
              <w:bottom w:type="dxa" w:w="60"/>
              <w:right w:type="dxa" w:w="100"/>
            </w:tcMar>
            <w:vAlign w:val="top"/>
          </w:tcPr>
          <w:p>
            <w:r>
              <w:rPr>
                <w:sz w:val="14"/>
                <w:szCs w:val="14"/>
              </w:rPr>
              <w:t xml:space="preserve">−0.120 ± 0.056</w:t>
            </w:r>
          </w:p>
        </w:tc>
        <w:tc>
          <w:tcPr>
            <w:tcW w:type="dxa" w:w="1088"/>
            <w:tcMar>
              <w:top w:type="dxa" w:w="60"/>
              <w:left w:type="dxa" w:w="100"/>
              <w:bottom w:type="dxa" w:w="60"/>
              <w:right w:type="dxa" w:w="100"/>
            </w:tcMar>
            <w:vAlign w:val="top"/>
          </w:tcPr>
          <w:p>
            <w:r>
              <w:rPr>
                <w:sz w:val="14"/>
                <w:szCs w:val="14"/>
              </w:rPr>
              <w:t xml:space="preserve">1%</w:t>
            </w:r>
          </w:p>
        </w:tc>
      </w:tr>
      <w:tr>
        <w:trPr>
          <w:cantSplit/>
        </w:trPr>
        <w:tc>
          <w:tcPr>
            <w:tcW w:type="dxa" w:w="1900"/>
            <w:shd w:fill="F7F9FC" w:color="auto" w:val="clear"/>
            <w:tcMar>
              <w:top w:type="dxa" w:w="60"/>
              <w:left w:type="dxa" w:w="100"/>
              <w:bottom w:type="dxa" w:w="60"/>
              <w:right w:type="dxa" w:w="100"/>
            </w:tcMar>
            <w:vAlign w:val="top"/>
          </w:tcPr>
          <w:p>
            <w:r>
              <w:rPr>
                <w:sz w:val="14"/>
                <w:szCs w:val="14"/>
              </w:rPr>
              <w:t xml:space="preserve">irrigators + municipal</w:t>
            </w:r>
          </w:p>
        </w:tc>
        <w:tc>
          <w:tcPr>
            <w:tcW w:type="dxa" w:w="1150"/>
            <w:shd w:fill="F7F9FC" w:color="auto" w:val="clear"/>
            <w:tcMar>
              <w:top w:type="dxa" w:w="60"/>
              <w:left w:type="dxa" w:w="100"/>
              <w:bottom w:type="dxa" w:w="60"/>
              <w:right w:type="dxa" w:w="100"/>
            </w:tcMar>
            <w:vAlign w:val="top"/>
          </w:tcPr>
          <w:p>
            <w:r>
              <w:rPr>
                <w:sz w:val="14"/>
                <w:szCs w:val="14"/>
              </w:rPr>
              <w:t xml:space="preserve">+0.0000</w:t>
            </w:r>
          </w:p>
        </w:tc>
        <w:tc>
          <w:tcPr>
            <w:tcW w:type="dxa" w:w="1650"/>
            <w:shd w:fill="F7F9FC" w:color="auto" w:val="clear"/>
            <w:tcMar>
              <w:top w:type="dxa" w:w="60"/>
              <w:left w:type="dxa" w:w="100"/>
              <w:bottom w:type="dxa" w:w="60"/>
              <w:right w:type="dxa" w:w="100"/>
            </w:tcMar>
            <w:vAlign w:val="top"/>
          </w:tcPr>
          <w:p>
            <w:r>
              <w:rPr>
                <w:sz w:val="14"/>
                <w:szCs w:val="14"/>
              </w:rPr>
              <w:t xml:space="preserve">+0.0045 ± 0.0054</w:t>
            </w:r>
          </w:p>
        </w:tc>
        <w:tc>
          <w:tcPr>
            <w:tcW w:type="dxa" w:w="1100"/>
            <w:shd w:fill="F7F9FC" w:color="auto" w:val="clear"/>
            <w:tcMar>
              <w:top w:type="dxa" w:w="60"/>
              <w:left w:type="dxa" w:w="100"/>
              <w:bottom w:type="dxa" w:w="60"/>
              <w:right w:type="dxa" w:w="100"/>
            </w:tcMar>
            <w:vAlign w:val="top"/>
          </w:tcPr>
          <w:p>
            <w:r>
              <w:rPr>
                <w:sz w:val="14"/>
                <w:szCs w:val="14"/>
              </w:rPr>
              <w:t xml:space="preserve">53%</w:t>
            </w:r>
          </w:p>
        </w:tc>
        <w:tc>
          <w:tcPr>
            <w:tcW w:type="dxa" w:w="1150"/>
            <w:shd w:fill="F7F9FC" w:color="auto" w:val="clear"/>
            <w:tcMar>
              <w:top w:type="dxa" w:w="60"/>
              <w:left w:type="dxa" w:w="100"/>
              <w:bottom w:type="dxa" w:w="60"/>
              <w:right w:type="dxa" w:w="100"/>
            </w:tcMar>
            <w:vAlign w:val="top"/>
          </w:tcPr>
          <w:p>
            <w:r>
              <w:rPr>
                <w:sz w:val="14"/>
                <w:szCs w:val="14"/>
              </w:rPr>
              <w:t xml:space="preserve">−0.0050</w:t>
            </w:r>
          </w:p>
        </w:tc>
        <w:tc>
          <w:tcPr>
            <w:tcW w:type="dxa" w:w="1600"/>
            <w:shd w:fill="F7F9FC" w:color="auto" w:val="clear"/>
            <w:tcMar>
              <w:top w:type="dxa" w:w="60"/>
              <w:left w:type="dxa" w:w="100"/>
              <w:bottom w:type="dxa" w:w="60"/>
              <w:right w:type="dxa" w:w="100"/>
            </w:tcMar>
            <w:vAlign w:val="top"/>
          </w:tcPr>
          <w:p>
            <w:r>
              <w:rPr>
                <w:sz w:val="14"/>
                <w:szCs w:val="14"/>
              </w:rPr>
              <w:t xml:space="preserve">+0.097 ± 0.046</w:t>
            </w:r>
          </w:p>
        </w:tc>
        <w:tc>
          <w:tcPr>
            <w:tcW w:type="dxa" w:w="1088"/>
            <w:shd w:fill="F7F9FC" w:color="auto" w:val="clear"/>
            <w:tcMar>
              <w:top w:type="dxa" w:w="60"/>
              <w:left w:type="dxa" w:w="100"/>
              <w:bottom w:type="dxa" w:w="60"/>
              <w:right w:type="dxa" w:w="100"/>
            </w:tcMar>
            <w:vAlign w:val="top"/>
          </w:tcPr>
          <w:p>
            <w:r>
              <w:rPr>
                <w:sz w:val="14"/>
                <w:szCs w:val="14"/>
              </w:rPr>
              <w:t xml:space="preserve">34%</w:t>
            </w:r>
          </w:p>
        </w:tc>
      </w:tr>
      <w:tr>
        <w:trPr>
          <w:cantSplit/>
        </w:trPr>
        <w:tc>
          <w:tcPr>
            <w:tcW w:type="dxa" w:w="1900"/>
            <w:tcMar>
              <w:top w:type="dxa" w:w="60"/>
              <w:left w:type="dxa" w:w="100"/>
              <w:bottom w:type="dxa" w:w="60"/>
              <w:right w:type="dxa" w:w="100"/>
            </w:tcMar>
            <w:vAlign w:val="top"/>
          </w:tcPr>
          <w:p>
            <w:r>
              <w:rPr>
                <w:sz w:val="14"/>
                <w:szCs w:val="14"/>
              </w:rPr>
              <w:t xml:space="preserve">irrigators + research</w:t>
            </w:r>
          </w:p>
        </w:tc>
        <w:tc>
          <w:tcPr>
            <w:tcW w:type="dxa" w:w="1150"/>
            <w:tcMar>
              <w:top w:type="dxa" w:w="60"/>
              <w:left w:type="dxa" w:w="100"/>
              <w:bottom w:type="dxa" w:w="60"/>
              <w:right w:type="dxa" w:w="100"/>
            </w:tcMar>
            <w:vAlign w:val="top"/>
          </w:tcPr>
          <w:p>
            <w:r>
              <w:rPr>
                <w:sz w:val="14"/>
                <w:szCs w:val="14"/>
              </w:rPr>
              <w:t xml:space="preserve">−0.0176</w:t>
            </w:r>
          </w:p>
        </w:tc>
        <w:tc>
          <w:tcPr>
            <w:tcW w:type="dxa" w:w="1650"/>
            <w:tcMar>
              <w:top w:type="dxa" w:w="60"/>
              <w:left w:type="dxa" w:w="100"/>
              <w:bottom w:type="dxa" w:w="60"/>
              <w:right w:type="dxa" w:w="100"/>
            </w:tcMar>
            <w:vAlign w:val="top"/>
          </w:tcPr>
          <w:p>
            <w:r>
              <w:rPr>
                <w:sz w:val="14"/>
                <w:szCs w:val="14"/>
              </w:rPr>
              <w:t xml:space="preserve">−0.0220 ± 0.0105</w:t>
            </w:r>
          </w:p>
        </w:tc>
        <w:tc>
          <w:tcPr>
            <w:tcW w:type="dxa" w:w="1100"/>
            <w:tcMar>
              <w:top w:type="dxa" w:w="60"/>
              <w:left w:type="dxa" w:w="100"/>
              <w:bottom w:type="dxa" w:w="60"/>
              <w:right w:type="dxa" w:w="100"/>
            </w:tcMar>
            <w:vAlign w:val="top"/>
          </w:tcPr>
          <w:p>
            <w:r>
              <w:rPr>
                <w:sz w:val="14"/>
                <w:szCs w:val="14"/>
              </w:rPr>
              <w:t xml:space="preserve">4%</w:t>
            </w:r>
          </w:p>
        </w:tc>
        <w:tc>
          <w:tcPr>
            <w:tcW w:type="dxa" w:w="1150"/>
            <w:tcMar>
              <w:top w:type="dxa" w:w="60"/>
              <w:left w:type="dxa" w:w="100"/>
              <w:bottom w:type="dxa" w:w="60"/>
              <w:right w:type="dxa" w:w="100"/>
            </w:tcMar>
            <w:vAlign w:val="top"/>
          </w:tcPr>
          <w:p>
            <w:r>
              <w:rPr>
                <w:sz w:val="14"/>
                <w:szCs w:val="14"/>
              </w:rPr>
              <w:t xml:space="preserve">−0.0538</w:t>
            </w:r>
          </w:p>
        </w:tc>
        <w:tc>
          <w:tcPr>
            <w:tcW w:type="dxa" w:w="1600"/>
            <w:tcMar>
              <w:top w:type="dxa" w:w="60"/>
              <w:left w:type="dxa" w:w="100"/>
              <w:bottom w:type="dxa" w:w="60"/>
              <w:right w:type="dxa" w:w="100"/>
            </w:tcMar>
            <w:vAlign w:val="top"/>
          </w:tcPr>
          <w:p>
            <w:r>
              <w:rPr>
                <w:sz w:val="14"/>
                <w:szCs w:val="14"/>
              </w:rPr>
              <w:t xml:space="preserve">−0.108 ± 0.050</w:t>
            </w:r>
          </w:p>
        </w:tc>
        <w:tc>
          <w:tcPr>
            <w:tcW w:type="dxa" w:w="1088"/>
            <w:tcMar>
              <w:top w:type="dxa" w:w="60"/>
              <w:left w:type="dxa" w:w="100"/>
              <w:bottom w:type="dxa" w:w="60"/>
              <w:right w:type="dxa" w:w="100"/>
            </w:tcMar>
            <w:vAlign w:val="top"/>
          </w:tcPr>
          <w:p>
            <w:r>
              <w:rPr>
                <w:sz w:val="14"/>
                <w:szCs w:val="14"/>
              </w:rPr>
              <w:t xml:space="preserve">1%</w:t>
            </w:r>
          </w:p>
        </w:tc>
      </w:tr>
      <w:tr>
        <w:trPr>
          <w:cantSplit/>
        </w:trPr>
        <w:tc>
          <w:tcPr>
            <w:tcW w:type="dxa" w:w="1900"/>
            <w:shd w:fill="F7F9FC" w:color="auto" w:val="clear"/>
            <w:tcMar>
              <w:top w:type="dxa" w:w="60"/>
              <w:left w:type="dxa" w:w="100"/>
              <w:bottom w:type="dxa" w:w="60"/>
              <w:right w:type="dxa" w:w="100"/>
            </w:tcMar>
            <w:vAlign w:val="top"/>
          </w:tcPr>
          <w:p>
            <w:r>
              <w:rPr>
                <w:sz w:val="14"/>
                <w:szCs w:val="14"/>
              </w:rPr>
              <w:t xml:space="preserve">hotels + municipal</w:t>
            </w:r>
          </w:p>
        </w:tc>
        <w:tc>
          <w:tcPr>
            <w:tcW w:type="dxa" w:w="1150"/>
            <w:shd w:fill="F7F9FC" w:color="auto" w:val="clear"/>
            <w:tcMar>
              <w:top w:type="dxa" w:w="60"/>
              <w:left w:type="dxa" w:w="100"/>
              <w:bottom w:type="dxa" w:w="60"/>
              <w:right w:type="dxa" w:w="100"/>
            </w:tcMar>
            <w:vAlign w:val="top"/>
          </w:tcPr>
          <w:p>
            <w:r>
              <w:rPr>
                <w:sz w:val="14"/>
                <w:szCs w:val="14"/>
              </w:rPr>
              <w:t xml:space="preserve">+0.0111</w:t>
            </w:r>
          </w:p>
        </w:tc>
        <w:tc>
          <w:tcPr>
            <w:tcW w:type="dxa" w:w="1650"/>
            <w:shd w:fill="F7F9FC" w:color="auto" w:val="clear"/>
            <w:tcMar>
              <w:top w:type="dxa" w:w="60"/>
              <w:left w:type="dxa" w:w="100"/>
              <w:bottom w:type="dxa" w:w="60"/>
              <w:right w:type="dxa" w:w="100"/>
            </w:tcMar>
            <w:vAlign w:val="top"/>
          </w:tcPr>
          <w:p>
            <w:r>
              <w:rPr>
                <w:sz w:val="14"/>
                <w:szCs w:val="14"/>
              </w:rPr>
              <w:t xml:space="preserve">+0.0235 ± 0.0151</w:t>
            </w:r>
          </w:p>
        </w:tc>
        <w:tc>
          <w:tcPr>
            <w:tcW w:type="dxa" w:w="1100"/>
            <w:shd w:fill="F7F9FC" w:color="auto" w:val="clear"/>
            <w:tcMar>
              <w:top w:type="dxa" w:w="60"/>
              <w:left w:type="dxa" w:w="100"/>
              <w:bottom w:type="dxa" w:w="60"/>
              <w:right w:type="dxa" w:w="100"/>
            </w:tcMar>
            <w:vAlign w:val="top"/>
          </w:tcPr>
          <w:p>
            <w:r>
              <w:rPr>
                <w:sz w:val="14"/>
                <w:szCs w:val="14"/>
              </w:rPr>
              <w:t xml:space="preserve">96%</w:t>
            </w:r>
          </w:p>
        </w:tc>
        <w:tc>
          <w:tcPr>
            <w:tcW w:type="dxa" w:w="1150"/>
            <w:shd w:fill="F7F9FC" w:color="auto" w:val="clear"/>
            <w:tcMar>
              <w:top w:type="dxa" w:w="60"/>
              <w:left w:type="dxa" w:w="100"/>
              <w:bottom w:type="dxa" w:w="60"/>
              <w:right w:type="dxa" w:w="100"/>
            </w:tcMar>
            <w:vAlign w:val="top"/>
          </w:tcPr>
          <w:p>
            <w:r>
              <w:rPr>
                <w:sz w:val="14"/>
                <w:szCs w:val="14"/>
              </w:rPr>
              <w:t xml:space="preserve">+0.0123</w:t>
            </w:r>
          </w:p>
        </w:tc>
        <w:tc>
          <w:tcPr>
            <w:tcW w:type="dxa" w:w="1600"/>
            <w:shd w:fill="F7F9FC" w:color="auto" w:val="clear"/>
            <w:tcMar>
              <w:top w:type="dxa" w:w="60"/>
              <w:left w:type="dxa" w:w="100"/>
              <w:bottom w:type="dxa" w:w="60"/>
              <w:right w:type="dxa" w:w="100"/>
            </w:tcMar>
            <w:vAlign w:val="top"/>
          </w:tcPr>
          <w:p>
            <w:r>
              <w:rPr>
                <w:sz w:val="14"/>
                <w:szCs w:val="14"/>
              </w:rPr>
              <w:t xml:space="preserve">+0.105 ± 0.039</w:t>
            </w:r>
          </w:p>
        </w:tc>
        <w:tc>
          <w:tcPr>
            <w:tcW w:type="dxa" w:w="1088"/>
            <w:shd w:fill="F7F9FC" w:color="auto" w:val="clear"/>
            <w:tcMar>
              <w:top w:type="dxa" w:w="60"/>
              <w:left w:type="dxa" w:w="100"/>
              <w:bottom w:type="dxa" w:w="60"/>
              <w:right w:type="dxa" w:w="100"/>
            </w:tcMar>
            <w:vAlign w:val="top"/>
          </w:tcPr>
          <w:p>
            <w:r>
              <w:rPr>
                <w:sz w:val="14"/>
                <w:szCs w:val="14"/>
              </w:rPr>
              <w:t xml:space="preserve">100%</w:t>
            </w:r>
          </w:p>
        </w:tc>
      </w:tr>
      <w:tr>
        <w:trPr>
          <w:cantSplit/>
        </w:trPr>
        <w:tc>
          <w:tcPr>
            <w:tcW w:type="dxa" w:w="1900"/>
            <w:tcMar>
              <w:top w:type="dxa" w:w="60"/>
              <w:left w:type="dxa" w:w="100"/>
              <w:bottom w:type="dxa" w:w="60"/>
              <w:right w:type="dxa" w:w="100"/>
            </w:tcMar>
            <w:vAlign w:val="top"/>
          </w:tcPr>
          <w:p>
            <w:r>
              <w:rPr>
                <w:sz w:val="14"/>
                <w:szCs w:val="14"/>
              </w:rPr>
              <w:t xml:space="preserve">hotels + research</w:t>
            </w:r>
          </w:p>
        </w:tc>
        <w:tc>
          <w:tcPr>
            <w:tcW w:type="dxa" w:w="1150"/>
            <w:tcMar>
              <w:top w:type="dxa" w:w="60"/>
              <w:left w:type="dxa" w:w="100"/>
              <w:bottom w:type="dxa" w:w="60"/>
              <w:right w:type="dxa" w:w="100"/>
            </w:tcMar>
            <w:vAlign w:val="top"/>
          </w:tcPr>
          <w:p>
            <w:r>
              <w:rPr>
                <w:sz w:val="14"/>
                <w:szCs w:val="14"/>
              </w:rPr>
              <w:t xml:space="preserve">−0.0109</w:t>
            </w:r>
          </w:p>
        </w:tc>
        <w:tc>
          <w:tcPr>
            <w:tcW w:type="dxa" w:w="1650"/>
            <w:tcMar>
              <w:top w:type="dxa" w:w="60"/>
              <w:left w:type="dxa" w:w="100"/>
              <w:bottom w:type="dxa" w:w="60"/>
              <w:right w:type="dxa" w:w="100"/>
            </w:tcMar>
            <w:vAlign w:val="top"/>
          </w:tcPr>
          <w:p>
            <w:r>
              <w:rPr>
                <w:sz w:val="14"/>
                <w:szCs w:val="14"/>
              </w:rPr>
              <w:t xml:space="preserve">−0.0094 ± 0.0148</w:t>
            </w:r>
          </w:p>
        </w:tc>
        <w:tc>
          <w:tcPr>
            <w:tcW w:type="dxa" w:w="1100"/>
            <w:tcMar>
              <w:top w:type="dxa" w:w="60"/>
              <w:left w:type="dxa" w:w="100"/>
              <w:bottom w:type="dxa" w:w="60"/>
              <w:right w:type="dxa" w:w="100"/>
            </w:tcMar>
            <w:vAlign w:val="top"/>
          </w:tcPr>
          <w:p>
            <w:r>
              <w:rPr>
                <w:sz w:val="14"/>
                <w:szCs w:val="14"/>
              </w:rPr>
              <w:t xml:space="preserve">17%</w:t>
            </w:r>
          </w:p>
        </w:tc>
        <w:tc>
          <w:tcPr>
            <w:tcW w:type="dxa" w:w="1150"/>
            <w:tcMar>
              <w:top w:type="dxa" w:w="60"/>
              <w:left w:type="dxa" w:w="100"/>
              <w:bottom w:type="dxa" w:w="60"/>
              <w:right w:type="dxa" w:w="100"/>
            </w:tcMar>
            <w:vAlign w:val="top"/>
          </w:tcPr>
          <w:p>
            <w:r>
              <w:rPr>
                <w:sz w:val="14"/>
                <w:szCs w:val="14"/>
              </w:rPr>
              <w:t xml:space="preserve">−0.0356</w:t>
            </w:r>
          </w:p>
        </w:tc>
        <w:tc>
          <w:tcPr>
            <w:tcW w:type="dxa" w:w="1600"/>
            <w:tcMar>
              <w:top w:type="dxa" w:w="60"/>
              <w:left w:type="dxa" w:w="100"/>
              <w:bottom w:type="dxa" w:w="60"/>
              <w:right w:type="dxa" w:w="100"/>
            </w:tcMar>
            <w:vAlign w:val="top"/>
          </w:tcPr>
          <w:p>
            <w:r>
              <w:rPr>
                <w:sz w:val="14"/>
                <w:szCs w:val="14"/>
              </w:rPr>
              <w:t xml:space="preserve">−0.076 ± 0.049</w:t>
            </w:r>
          </w:p>
        </w:tc>
        <w:tc>
          <w:tcPr>
            <w:tcW w:type="dxa" w:w="1088"/>
            <w:tcMar>
              <w:top w:type="dxa" w:w="60"/>
              <w:left w:type="dxa" w:w="100"/>
              <w:bottom w:type="dxa" w:w="60"/>
              <w:right w:type="dxa" w:w="100"/>
            </w:tcMar>
            <w:vAlign w:val="top"/>
          </w:tcPr>
          <w:p>
            <w:r>
              <w:rPr>
                <w:sz w:val="14"/>
                <w:szCs w:val="14"/>
              </w:rPr>
              <w:t xml:space="preserve">4%</w:t>
            </w:r>
          </w:p>
        </w:tc>
      </w:tr>
      <w:tr>
        <w:trPr>
          <w:cantSplit/>
        </w:trPr>
        <w:tc>
          <w:tcPr>
            <w:tcW w:type="dxa" w:w="1900"/>
            <w:shd w:fill="F7F9FC" w:color="auto" w:val="clear"/>
            <w:tcMar>
              <w:top w:type="dxa" w:w="60"/>
              <w:left w:type="dxa" w:w="100"/>
              <w:bottom w:type="dxa" w:w="60"/>
              <w:right w:type="dxa" w:w="100"/>
            </w:tcMar>
            <w:vAlign w:val="top"/>
          </w:tcPr>
          <w:p>
            <w:r>
              <w:rPr>
                <w:sz w:val="14"/>
                <w:szCs w:val="14"/>
              </w:rPr>
              <w:t xml:space="preserve">municipal + research</w:t>
            </w:r>
          </w:p>
        </w:tc>
        <w:tc>
          <w:tcPr>
            <w:tcW w:type="dxa" w:w="1150"/>
            <w:shd w:fill="F7F9FC" w:color="auto" w:val="clear"/>
            <w:tcMar>
              <w:top w:type="dxa" w:w="60"/>
              <w:left w:type="dxa" w:w="100"/>
              <w:bottom w:type="dxa" w:w="60"/>
              <w:right w:type="dxa" w:w="100"/>
            </w:tcMar>
            <w:vAlign w:val="top"/>
          </w:tcPr>
          <w:p>
            <w:r>
              <w:rPr>
                <w:sz w:val="14"/>
                <w:szCs w:val="14"/>
              </w:rPr>
              <w:t xml:space="preserve">−0.0013</w:t>
            </w:r>
          </w:p>
        </w:tc>
        <w:tc>
          <w:tcPr>
            <w:tcW w:type="dxa" w:w="1650"/>
            <w:shd w:fill="F7F9FC" w:color="auto" w:val="clear"/>
            <w:tcMar>
              <w:top w:type="dxa" w:w="60"/>
              <w:left w:type="dxa" w:w="100"/>
              <w:bottom w:type="dxa" w:w="60"/>
              <w:right w:type="dxa" w:w="100"/>
            </w:tcMar>
            <w:vAlign w:val="top"/>
          </w:tcPr>
          <w:p>
            <w:r>
              <w:rPr>
                <w:sz w:val="14"/>
                <w:szCs w:val="14"/>
              </w:rPr>
              <w:t xml:space="preserve">+0.0006 ± 0.0043</w:t>
            </w:r>
          </w:p>
        </w:tc>
        <w:tc>
          <w:tcPr>
            <w:tcW w:type="dxa" w:w="1100"/>
            <w:shd w:fill="F7F9FC" w:color="auto" w:val="clear"/>
            <w:tcMar>
              <w:top w:type="dxa" w:w="60"/>
              <w:left w:type="dxa" w:w="100"/>
              <w:bottom w:type="dxa" w:w="60"/>
              <w:right w:type="dxa" w:w="100"/>
            </w:tcMar>
            <w:vAlign w:val="top"/>
          </w:tcPr>
          <w:p>
            <w:r>
              <w:rPr>
                <w:sz w:val="14"/>
                <w:szCs w:val="14"/>
              </w:rPr>
              <w:t xml:space="preserve">37%</w:t>
            </w:r>
          </w:p>
        </w:tc>
        <w:tc>
          <w:tcPr>
            <w:tcW w:type="dxa" w:w="1150"/>
            <w:shd w:fill="F7F9FC" w:color="auto" w:val="clear"/>
            <w:tcMar>
              <w:top w:type="dxa" w:w="60"/>
              <w:left w:type="dxa" w:w="100"/>
              <w:bottom w:type="dxa" w:w="60"/>
              <w:right w:type="dxa" w:w="100"/>
            </w:tcMar>
            <w:vAlign w:val="top"/>
          </w:tcPr>
          <w:p>
            <w:r>
              <w:rPr>
                <w:sz w:val="14"/>
                <w:szCs w:val="14"/>
              </w:rPr>
              <w:t xml:space="preserve">−0.0073</w:t>
            </w:r>
          </w:p>
        </w:tc>
        <w:tc>
          <w:tcPr>
            <w:tcW w:type="dxa" w:w="1600"/>
            <w:shd w:fill="F7F9FC" w:color="auto" w:val="clear"/>
            <w:tcMar>
              <w:top w:type="dxa" w:w="60"/>
              <w:left w:type="dxa" w:w="100"/>
              <w:bottom w:type="dxa" w:w="60"/>
              <w:right w:type="dxa" w:w="100"/>
            </w:tcMar>
            <w:vAlign w:val="top"/>
          </w:tcPr>
          <w:p>
            <w:r>
              <w:rPr>
                <w:sz w:val="14"/>
                <w:szCs w:val="14"/>
              </w:rPr>
              <w:t xml:space="preserve">+0.079 ± 0.041</w:t>
            </w:r>
          </w:p>
        </w:tc>
        <w:tc>
          <w:tcPr>
            <w:tcW w:type="dxa" w:w="1088"/>
            <w:shd w:fill="F7F9FC" w:color="auto" w:val="clear"/>
            <w:tcMar>
              <w:top w:type="dxa" w:w="60"/>
              <w:left w:type="dxa" w:w="100"/>
              <w:bottom w:type="dxa" w:w="60"/>
              <w:right w:type="dxa" w:w="100"/>
            </w:tcMar>
            <w:vAlign w:val="top"/>
          </w:tcPr>
          <w:p>
            <w:r>
              <w:rPr>
                <w:sz w:val="14"/>
                <w:szCs w:val="14"/>
              </w:rPr>
              <w:t xml:space="preserve">14%</w:t>
            </w:r>
          </w:p>
        </w:tc>
      </w:tr>
    </w:tbl>
    <w:p>
      <w:pPr>
        <w:spacing w:after="160"/>
      </w:pPr>
    </w:p>
    <w:p>
      <w:pPr>
        <w:spacing w:after="120"/>
      </w:pPr>
      <w:r>
        <w:rPr>
          <w:i/>
          <w:iCs/>
          <w:color w:val="5B6573"/>
          <w:sz w:val="18"/>
          <w:szCs w:val="18"/>
        </w:rPr>
        <w:t xml:space="preserve">Table 9.2. Synergy </w:t>
      </w:r>
      <m:oMath>
        <m:r>
          <m:t>V</m:t>
        </m:r>
        <m:d>
          <m:dPr>
            <m:begChr m:val="("/>
            <m:sepChr m:val=""/>
            <m:endChr m:val=")"/>
            <m:grow/>
          </m:dPr>
          <m:e>
            <m:r>
              <m:rPr>
                <m:sty m:val="p"/>
              </m:rPr>
              <m:t>{</m:t>
            </m:r>
            <m:r>
              <m:t>i</m:t>
            </m:r>
            <m:r>
              <m:rPr>
                <m:sty m:val="p"/>
              </m:rPr>
              <m:t>,</m:t>
            </m:r>
            <m:r>
              <m:t>j</m:t>
            </m:r>
            <m:r>
              <m:rPr>
                <m:sty m:val="p"/>
              </m:rPr>
              <m:t>}</m:t>
            </m:r>
          </m:e>
        </m:d>
        <m:r>
          <m:rPr>
            <m:sty m:val="p"/>
          </m:rPr>
          <m:t>−</m:t>
        </m:r>
        <m:r>
          <m:t>V</m:t>
        </m:r>
        <m:d>
          <m:dPr>
            <m:begChr m:val="("/>
            <m:sepChr m:val=""/>
            <m:endChr m:val=")"/>
            <m:grow/>
          </m:dPr>
          <m:e>
            <m:r>
              <m:rPr>
                <m:sty m:val="p"/>
              </m:rPr>
              <m:t>{</m:t>
            </m:r>
            <m:r>
              <m:t>i</m:t>
            </m:r>
            <m:r>
              <m:rPr>
                <m:sty m:val="p"/>
              </m:rPr>
              <m:t>}</m:t>
            </m:r>
          </m:e>
        </m:d>
        <m:r>
          <m:rPr>
            <m:sty m:val="p"/>
          </m:rPr>
          <m:t>−</m:t>
        </m:r>
        <m:r>
          <m:t>V</m:t>
        </m:r>
        <m:d>
          <m:dPr>
            <m:begChr m:val="("/>
            <m:sepChr m:val=""/>
            <m:endChr m:val=")"/>
            <m:grow/>
          </m:dPr>
          <m:e>
            <m:r>
              <m:rPr>
                <m:sty m:val="p"/>
              </m:rPr>
              <m:t>{</m:t>
            </m:r>
            <m:r>
              <m:t>j</m:t>
            </m:r>
            <m:r>
              <m:rPr>
                <m:sty m:val="p"/>
              </m:rPr>
              <m:t>}</m:t>
            </m:r>
          </m:e>
        </m:d>
      </m:oMath>
      <w:r>
        <w:rPr>
          <w:i/>
          <w:iCs/>
          <w:color w:val="5B6573"/>
          <w:sz w:val="18"/>
          <w:szCs w:val="18"/>
        </w:rPr>
        <w:t xml:space="preserve">, in loss units, mean over 200 aquifers; negative values mean substitutes, positive values complements. "Predicted &gt; 0 in" is the share of aquifers in which the pair is predicted to be complementary.</w:t>
      </w:r>
    </w:p>
    <w:p>
      <w:pPr>
        <w:keepNext/>
        <w:spacing w:after="60" w:before="120"/>
        <w:jc w:val="center"/>
      </w:pPr>
      <w:r>
        <w:drawing>
          <wp:inline distT="0" distB="0" distL="0" distR="0">
            <wp:extent cx="5943600" cy="4667250"/>
            <wp:effectExtent t="0" r="0" b="0" l="0"/>
            <wp:docPr id="1" name="Four panels: value of each holder merged alone, pairwise synergies, net benefit of five merge policies against merge cost, and agreement of private with non-private analysis against the privacy budget" descr="Four panels: value of each holder merged alone, pairwise synergies, net benefit of five merge policies against merge cost, and agreement of private with non-private analysis against the privacy budget" title="Four panels: value of each holder merged alone, pairwise synergies, net benefit of five merge policies against merge cost, and agreement of private with non-private analysis against the privacy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667250"/>
                    </a:xfrm>
                    <a:prstGeom prst="rect">
                      <a:avLst/>
                    </a:prstGeom>
                  </pic:spPr>
                </pic:pic>
              </a:graphicData>
            </a:graphic>
          </wp:inline>
        </w:drawing>
      </w:r>
    </w:p>
    <w:p>
      <w:pPr>
        <w:spacing w:after="200"/>
        <w:jc w:val="both"/>
      </w:pPr>
      <w:r>
        <w:rPr>
          <w:b/>
          <w:bCs/>
          <w:color w:val="3A4350"/>
          <w:sz w:val="18"/>
          <w:szCs w:val="18"/>
        </w:rPr>
        <w:t xml:space="preserve">Figure K1.</w:t>
      </w:r>
      <w:r>
        <w:rPr>
          <w:color w:val="3A4350"/>
          <w:sz w:val="18"/>
          <w:szCs w:val="18"/>
        </w:rPr>
        <w:t xml:space="preserve"> (a) Value of merging each holder alone: predicted (bars) and realised (points, 95% intervals) for both models. (b) Synergy of every pair: predicted (bars) and realised (points). (c) Net benefit of five merge policies against the cost of one merge (solid: physics-informed model; dashed: local statistical model). (d) Privacy with one release per holder: share of aquifers in which the private optimal coalition equals the non-private one, and Kendall τ between private and non-private Shapley rankings.</w:t>
      </w:r>
    </w:p>
    <w:p>
      <w:pPr>
        <w:pStyle w:val="Heading3"/>
      </w:pPr>
      <w:r>
        <w:rPr>
          <w:color w:val="1F3864"/>
        </w:rPr>
        <w:t xml:space="preserve">9.7 What the test shows</w:t>
      </w:r>
    </w:p>
    <w:p>
      <w:pPr>
        <w:pStyle w:val="ListParagraph"/>
        <w:numPr>
          <w:ilvl w:val="0"/>
          <w:numId w:val="2"/>
        </w:numPr>
        <w:spacing w:after="60"/>
        <w:jc w:val="both"/>
      </w:pPr>
      <w:r>
        <w:rPr>
          <w:b/>
          <w:bCs/>
        </w:rPr>
        <w:t xml:space="preserve">One pumping regime alone is worth little, and can mislead.</w:t>
      </w:r>
      <w:r>
        <w:t xml:space="preserve"> With the physics-informed model the municipal wells, whose 40 well-seasons are all pumped low, are predicted to be worth 0.0067 alone and realise −0.0001 ± 0.0051, no different from zero, as Proposition K2 (i) expects. The coastal hotels, all pumped hard, are worth more (0.0337 predicted) because the physics-informed baseline is partly known, so part (i) holds only approximately. With the local statistical model the municipal wells are predicted to help (0.0146) but in fact </w:t>
      </w:r>
      <w:r>
        <w:rPr>
          <w:b/>
          <w:bCs/>
        </w:rPr>
        <w:t xml:space="preserve">harm</w:t>
      </w:r>
      <w:r>
        <w:t xml:space="preserve"> the decisions (−0.095 ± 0.046). Our reading is that, without physics to anchor the effect, coastal records of one regime shift the baseline and, through the posterior correlation with the effect, the effect estimates at the coast. This is the failure the robust-combination papers of Part I warn about [R3, R4]: a model-based value is only as good as the model.</w:t>
      </w:r>
    </w:p>
    <w:p>
      <w:pPr>
        <w:pStyle w:val="ListParagraph"/>
        <w:numPr>
          <w:ilvl w:val="0"/>
          <w:numId w:val="2"/>
        </w:numPr>
        <w:spacing w:after="60"/>
        <w:jc w:val="both"/>
      </w:pPr>
      <w:r>
        <w:rPr>
          <w:b/>
          <w:bCs/>
        </w:rPr>
        <w:t xml:space="preserve">Complementarity is real, predicted and rare.</w:t>
      </w:r>
      <w:r>
        <w:t xml:space="preserve"> Of the ten pairs, only hotels + municipal is predicted to be complementary in most aquifers (96% with the physics-informed model, 100% with the local one, Table 9.2). Its realised synergy is positive in both: +0.0235 ± 0.0151 and +0.105 ± 0.039. Every other pair is a substitute or neutral. With the local model the realised synergy of every pair containing the municipal wells is positive, but there it mostly measures a partner cancelling the harm the municipal records do alone, not new information. Overall the value saturates (Proposition K2 (iii)): the grand coalition is predicted to be worth 0.0746 against 0.1548 for the sum of the five holders alone (0.243 against 0.469 with the local model).</w:t>
      </w:r>
    </w:p>
    <w:p>
      <w:pPr>
        <w:pStyle w:val="ListParagraph"/>
        <w:numPr>
          <w:ilvl w:val="0"/>
          <w:numId w:val="2"/>
        </w:numPr>
        <w:spacing w:after="60"/>
        <w:jc w:val="both"/>
      </w:pPr>
      <w:r>
        <w:rPr>
          <w:b/>
          <w:bCs/>
        </w:rPr>
        <w:t xml:space="preserve">Which coalition and in what order: adaptive is never worse, and merging everyone stops paying quickly.</w:t>
      </w:r>
      <w:r>
        <w:t xml:space="preserve"> When merges are free, merging all five holders is best and beats the best single merge of review 55 by +0.0203 ± 0.0062 (physics) and +0.046 ± 0.015 (local) loss units (Table 9.3, Figure K1c). Once a merge costs something, the picture splits by model. With the physics-informed model the utility's own records already decide well, the optimal coalition shrinks to 1.70 holders at a cost of 0.01, and the best single merge, greedy, the optimal coalition and the adaptive rule are within 0.0018 of each other (adaptive minus optimal +0.0018 ± 0.0030); merging everyone then gains only 0.0052 and loses 0.0448 at a cost of 0.02. With the local model, where merges are worth more, the adaptive rule is the best policy at a cost of 0.01 (0.2135 against 0.2035 for the optimal fixed coalition, difference +0.0100 ± 0.0100) and at 0.02 (+0.0039 ± 0.0037), both at the edge of significance. Greedy merging chooses the same coalition as the optimum in at least 89.5% of aquifers at every cost, because the game is almost everywhere one of substitutes, the setting in which greedy rules are good [B2, B3]. The hindsight oracle is far above every policy (0.0606 and 0.2687 at a cost of 0.01); it knows the realised gains and is an upper bound, not a target.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800"/>
        <w:gridCol w:w="1000"/>
        <w:gridCol w:w="900"/>
        <w:gridCol w:w="1100"/>
        <w:gridCol w:w="950"/>
        <w:gridCol w:w="1000"/>
        <w:gridCol w:w="1100"/>
        <w:gridCol w:w="1488"/>
      </w:tblGrid>
      <w:tr>
        <w:trPr>
          <w:cantSplit/>
          <w:tblHeader/>
        </w:trPr>
        <w:tc>
          <w:tcPr>
            <w:tcW w:type="dxa" w:w="1300"/>
            <w:shd w:fill="1F3864" w:color="auto" w:val="clear"/>
            <w:tcMar>
              <w:top w:type="dxa" w:w="60"/>
              <w:left w:type="dxa" w:w="100"/>
              <w:bottom w:type="dxa" w:w="60"/>
              <w:right w:type="dxa" w:w="100"/>
            </w:tcMar>
            <w:vAlign w:val="top"/>
          </w:tcPr>
          <w:p>
            <w:r>
              <w:rPr>
                <w:b/>
                <w:bCs/>
                <w:color w:val="FFFFFF"/>
                <w:sz w:val="14"/>
                <w:szCs w:val="14"/>
              </w:rPr>
              <w:t xml:space="preserve">Model</w:t>
            </w:r>
          </w:p>
        </w:tc>
        <w:tc>
          <w:tcPr>
            <w:tcW w:type="dxa" w:w="800"/>
            <w:shd w:fill="1F3864" w:color="auto" w:val="clear"/>
            <w:tcMar>
              <w:top w:type="dxa" w:w="60"/>
              <w:left w:type="dxa" w:w="100"/>
              <w:bottom w:type="dxa" w:w="60"/>
              <w:right w:type="dxa" w:w="100"/>
            </w:tcMar>
            <w:vAlign w:val="top"/>
          </w:tcPr>
          <w:p>
            <w:r>
              <w:rPr>
                <w:b/>
                <w:bCs/>
                <w:color w:val="FFFFFF"/>
                <w:sz w:val="14"/>
                <w:szCs w:val="14"/>
              </w:rPr>
              <w:t xml:space="preserve">Cost of a merge</w:t>
            </w:r>
          </w:p>
        </w:tc>
        <w:tc>
          <w:tcPr>
            <w:tcW w:type="dxa" w:w="1000"/>
            <w:shd w:fill="1F3864" w:color="auto" w:val="clear"/>
            <w:tcMar>
              <w:top w:type="dxa" w:w="60"/>
              <w:left w:type="dxa" w:w="100"/>
              <w:bottom w:type="dxa" w:w="60"/>
              <w:right w:type="dxa" w:w="100"/>
            </w:tcMar>
            <w:vAlign w:val="top"/>
          </w:tcPr>
          <w:p>
            <w:r>
              <w:rPr>
                <w:b/>
                <w:bCs/>
                <w:color w:val="FFFFFF"/>
                <w:sz w:val="14"/>
                <w:szCs w:val="14"/>
              </w:rPr>
              <w:t xml:space="preserve">Best single holder</w:t>
            </w:r>
          </w:p>
        </w:tc>
        <w:tc>
          <w:tcPr>
            <w:tcW w:type="dxa" w:w="900"/>
            <w:shd w:fill="1F3864" w:color="auto" w:val="clear"/>
            <w:tcMar>
              <w:top w:type="dxa" w:w="60"/>
              <w:left w:type="dxa" w:w="100"/>
              <w:bottom w:type="dxa" w:w="60"/>
              <w:right w:type="dxa" w:w="100"/>
            </w:tcMar>
            <w:vAlign w:val="top"/>
          </w:tcPr>
          <w:p>
            <w:r>
              <w:rPr>
                <w:b/>
                <w:bCs/>
                <w:color w:val="FFFFFF"/>
                <w:sz w:val="14"/>
                <w:szCs w:val="14"/>
              </w:rPr>
              <w:t xml:space="preserve">Greedy</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Optimal fixed coalition</w:t>
            </w:r>
          </w:p>
        </w:tc>
        <w:tc>
          <w:tcPr>
            <w:tcW w:type="dxa" w:w="950"/>
            <w:shd w:fill="1F3864" w:color="auto" w:val="clear"/>
            <w:tcMar>
              <w:top w:type="dxa" w:w="60"/>
              <w:left w:type="dxa" w:w="100"/>
              <w:bottom w:type="dxa" w:w="60"/>
              <w:right w:type="dxa" w:w="100"/>
            </w:tcMar>
            <w:vAlign w:val="top"/>
          </w:tcPr>
          <w:p>
            <w:r>
              <w:rPr>
                <w:b/>
                <w:bCs/>
                <w:color w:val="FFFFFF"/>
                <w:sz w:val="14"/>
                <w:szCs w:val="14"/>
              </w:rPr>
              <w:t xml:space="preserve">Adaptive</w:t>
            </w:r>
          </w:p>
        </w:tc>
        <w:tc>
          <w:tcPr>
            <w:tcW w:type="dxa" w:w="1000"/>
            <w:shd w:fill="1F3864" w:color="auto" w:val="clear"/>
            <w:tcMar>
              <w:top w:type="dxa" w:w="60"/>
              <w:left w:type="dxa" w:w="100"/>
              <w:bottom w:type="dxa" w:w="60"/>
              <w:right w:type="dxa" w:w="100"/>
            </w:tcMar>
            <w:vAlign w:val="top"/>
          </w:tcPr>
          <w:p>
            <w:r>
              <w:rPr>
                <w:b/>
                <w:bCs/>
                <w:color w:val="FFFFFF"/>
                <w:sz w:val="14"/>
                <w:szCs w:val="14"/>
              </w:rPr>
              <w:t xml:space="preserve">All holders</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Oracle (hindsight)</w:t>
            </w:r>
          </w:p>
        </w:tc>
        <w:tc>
          <w:tcPr>
            <w:tcW w:type="dxa" w:w="1488"/>
            <w:shd w:fill="1F3864" w:color="auto" w:val="clear"/>
            <w:tcMar>
              <w:top w:type="dxa" w:w="60"/>
              <w:left w:type="dxa" w:w="100"/>
              <w:bottom w:type="dxa" w:w="60"/>
              <w:right w:type="dxa" w:w="100"/>
            </w:tcMar>
            <w:vAlign w:val="top"/>
          </w:tcPr>
          <w:p>
            <w:r>
              <w:rPr>
                <w:b/>
                <w:bCs/>
                <w:color w:val="FFFFFF"/>
                <w:sz w:val="14"/>
                <w:szCs w:val="14"/>
              </w:rPr>
              <w:t xml:space="preserve">Holders merged: optimal / adaptive</w:t>
            </w:r>
          </w:p>
        </w:tc>
      </w:tr>
      <w:tr>
        <w:trPr>
          <w:cantSplit/>
        </w:trPr>
        <w:tc>
          <w:tcPr>
            <w:tcW w:type="dxa" w:w="1300"/>
            <w:tcMar>
              <w:top w:type="dxa" w:w="60"/>
              <w:left w:type="dxa" w:w="100"/>
              <w:bottom w:type="dxa" w:w="60"/>
              <w:right w:type="dxa" w:w="100"/>
            </w:tcMar>
            <w:vAlign w:val="top"/>
          </w:tcPr>
          <w:p>
            <w:r>
              <w:rPr>
                <w:sz w:val="14"/>
                <w:szCs w:val="14"/>
              </w:rPr>
              <w:t xml:space="preserve">Physics-informed</w:t>
            </w:r>
          </w:p>
        </w:tc>
        <w:tc>
          <w:tcPr>
            <w:tcW w:type="dxa" w:w="800"/>
            <w:tcMar>
              <w:top w:type="dxa" w:w="60"/>
              <w:left w:type="dxa" w:w="100"/>
              <w:bottom w:type="dxa" w:w="60"/>
              <w:right w:type="dxa" w:w="100"/>
            </w:tcMar>
            <w:vAlign w:val="top"/>
          </w:tcPr>
          <w:p>
            <w:r>
              <w:rPr>
                <w:sz w:val="14"/>
                <w:szCs w:val="14"/>
              </w:rPr>
              <w:t xml:space="preserve">0.00</w:t>
            </w:r>
          </w:p>
        </w:tc>
        <w:tc>
          <w:tcPr>
            <w:tcW w:type="dxa" w:w="1000"/>
            <w:tcMar>
              <w:top w:type="dxa" w:w="60"/>
              <w:left w:type="dxa" w:w="100"/>
              <w:bottom w:type="dxa" w:w="60"/>
              <w:right w:type="dxa" w:w="100"/>
            </w:tcMar>
            <w:vAlign w:val="top"/>
          </w:tcPr>
          <w:p>
            <w:r>
              <w:rPr>
                <w:sz w:val="14"/>
                <w:szCs w:val="14"/>
              </w:rPr>
              <w:t xml:space="preserve">+0.0349</w:t>
            </w:r>
          </w:p>
        </w:tc>
        <w:tc>
          <w:tcPr>
            <w:tcW w:type="dxa" w:w="900"/>
            <w:tcMar>
              <w:top w:type="dxa" w:w="60"/>
              <w:left w:type="dxa" w:w="100"/>
              <w:bottom w:type="dxa" w:w="60"/>
              <w:right w:type="dxa" w:w="100"/>
            </w:tcMar>
            <w:vAlign w:val="top"/>
          </w:tcPr>
          <w:p>
            <w:r>
              <w:rPr>
                <w:sz w:val="14"/>
                <w:szCs w:val="14"/>
              </w:rPr>
              <w:t xml:space="preserve">+0.0552</w:t>
            </w:r>
          </w:p>
        </w:tc>
        <w:tc>
          <w:tcPr>
            <w:tcW w:type="dxa" w:w="1100"/>
            <w:tcMar>
              <w:top w:type="dxa" w:w="60"/>
              <w:left w:type="dxa" w:w="100"/>
              <w:bottom w:type="dxa" w:w="60"/>
              <w:right w:type="dxa" w:w="100"/>
            </w:tcMar>
            <w:vAlign w:val="top"/>
          </w:tcPr>
          <w:p>
            <w:r>
              <w:rPr>
                <w:sz w:val="14"/>
                <w:szCs w:val="14"/>
              </w:rPr>
              <w:t xml:space="preserve">+0.0552</w:t>
            </w:r>
          </w:p>
        </w:tc>
        <w:tc>
          <w:tcPr>
            <w:tcW w:type="dxa" w:w="950"/>
            <w:tcMar>
              <w:top w:type="dxa" w:w="60"/>
              <w:left w:type="dxa" w:w="100"/>
              <w:bottom w:type="dxa" w:w="60"/>
              <w:right w:type="dxa" w:w="100"/>
            </w:tcMar>
            <w:vAlign w:val="top"/>
          </w:tcPr>
          <w:p>
            <w:r>
              <w:rPr>
                <w:sz w:val="14"/>
                <w:szCs w:val="14"/>
              </w:rPr>
              <w:t xml:space="preserve">+0.0552</w:t>
            </w:r>
          </w:p>
        </w:tc>
        <w:tc>
          <w:tcPr>
            <w:tcW w:type="dxa" w:w="1000"/>
            <w:tcMar>
              <w:top w:type="dxa" w:w="60"/>
              <w:left w:type="dxa" w:w="100"/>
              <w:bottom w:type="dxa" w:w="60"/>
              <w:right w:type="dxa" w:w="100"/>
            </w:tcMar>
            <w:vAlign w:val="top"/>
          </w:tcPr>
          <w:p>
            <w:r>
              <w:rPr>
                <w:sz w:val="14"/>
                <w:szCs w:val="14"/>
              </w:rPr>
              <w:t xml:space="preserve">+0.0552</w:t>
            </w:r>
          </w:p>
        </w:tc>
        <w:tc>
          <w:tcPr>
            <w:tcW w:type="dxa" w:w="1100"/>
            <w:tcMar>
              <w:top w:type="dxa" w:w="60"/>
              <w:left w:type="dxa" w:w="100"/>
              <w:bottom w:type="dxa" w:w="60"/>
              <w:right w:type="dxa" w:w="100"/>
            </w:tcMar>
            <w:vAlign w:val="top"/>
          </w:tcPr>
          <w:p>
            <w:r>
              <w:rPr>
                <w:sz w:val="14"/>
                <w:szCs w:val="14"/>
              </w:rPr>
              <w:t xml:space="preserve">+0.0756</w:t>
            </w:r>
          </w:p>
        </w:tc>
        <w:tc>
          <w:tcPr>
            <w:tcW w:type="dxa" w:w="1488"/>
            <w:tcMar>
              <w:top w:type="dxa" w:w="60"/>
              <w:left w:type="dxa" w:w="100"/>
              <w:bottom w:type="dxa" w:w="60"/>
              <w:right w:type="dxa" w:w="100"/>
            </w:tcMar>
            <w:vAlign w:val="top"/>
          </w:tcPr>
          <w:p>
            <w:r>
              <w:rPr>
                <w:sz w:val="14"/>
                <w:szCs w:val="14"/>
              </w:rPr>
              <w:t xml:space="preserve">5.00 / 4.98</w:t>
            </w:r>
          </w:p>
        </w:tc>
      </w:tr>
      <w:tr>
        <w:trPr>
          <w:cantSplit/>
        </w:trPr>
        <w:tc>
          <w:tcPr>
            <w:tcW w:type="dxa" w:w="1300"/>
            <w:shd w:fill="F7F9FC" w:color="auto" w:val="clear"/>
            <w:tcMar>
              <w:top w:type="dxa" w:w="60"/>
              <w:left w:type="dxa" w:w="100"/>
              <w:bottom w:type="dxa" w:w="60"/>
              <w:right w:type="dxa" w:w="100"/>
            </w:tcMar>
            <w:vAlign w:val="top"/>
          </w:tcPr>
          <w:p/>
        </w:tc>
        <w:tc>
          <w:tcPr>
            <w:tcW w:type="dxa" w:w="800"/>
            <w:shd w:fill="F7F9FC" w:color="auto" w:val="clear"/>
            <w:tcMar>
              <w:top w:type="dxa" w:w="60"/>
              <w:left w:type="dxa" w:w="100"/>
              <w:bottom w:type="dxa" w:w="60"/>
              <w:right w:type="dxa" w:w="100"/>
            </w:tcMar>
            <w:vAlign w:val="top"/>
          </w:tcPr>
          <w:p>
            <w:r>
              <w:rPr>
                <w:sz w:val="14"/>
                <w:szCs w:val="14"/>
              </w:rPr>
              <w:t xml:space="preserve">0.01</w:t>
            </w:r>
          </w:p>
        </w:tc>
        <w:tc>
          <w:tcPr>
            <w:tcW w:type="dxa" w:w="1000"/>
            <w:shd w:fill="F7F9FC" w:color="auto" w:val="clear"/>
            <w:tcMar>
              <w:top w:type="dxa" w:w="60"/>
              <w:left w:type="dxa" w:w="100"/>
              <w:bottom w:type="dxa" w:w="60"/>
              <w:right w:type="dxa" w:w="100"/>
            </w:tcMar>
            <w:vAlign w:val="top"/>
          </w:tcPr>
          <w:p>
            <w:r>
              <w:rPr>
                <w:sz w:val="14"/>
                <w:szCs w:val="14"/>
              </w:rPr>
              <w:t xml:space="preserve">+0.0252</w:t>
            </w:r>
          </w:p>
        </w:tc>
        <w:tc>
          <w:tcPr>
            <w:tcW w:type="dxa" w:w="900"/>
            <w:shd w:fill="F7F9FC" w:color="auto" w:val="clear"/>
            <w:tcMar>
              <w:top w:type="dxa" w:w="60"/>
              <w:left w:type="dxa" w:w="100"/>
              <w:bottom w:type="dxa" w:w="60"/>
              <w:right w:type="dxa" w:w="100"/>
            </w:tcMar>
            <w:vAlign w:val="top"/>
          </w:tcPr>
          <w:p>
            <w:r>
              <w:rPr>
                <w:sz w:val="14"/>
                <w:szCs w:val="14"/>
              </w:rPr>
              <w:t xml:space="preserve">+0.0240</w:t>
            </w:r>
          </w:p>
        </w:tc>
        <w:tc>
          <w:tcPr>
            <w:tcW w:type="dxa" w:w="1100"/>
            <w:shd w:fill="F7F9FC" w:color="auto" w:val="clear"/>
            <w:tcMar>
              <w:top w:type="dxa" w:w="60"/>
              <w:left w:type="dxa" w:w="100"/>
              <w:bottom w:type="dxa" w:w="60"/>
              <w:right w:type="dxa" w:w="100"/>
            </w:tcMar>
            <w:vAlign w:val="top"/>
          </w:tcPr>
          <w:p>
            <w:r>
              <w:rPr>
                <w:sz w:val="14"/>
                <w:szCs w:val="14"/>
              </w:rPr>
              <w:t xml:space="preserve">+0.0237</w:t>
            </w:r>
          </w:p>
        </w:tc>
        <w:tc>
          <w:tcPr>
            <w:tcW w:type="dxa" w:w="950"/>
            <w:shd w:fill="F7F9FC" w:color="auto" w:val="clear"/>
            <w:tcMar>
              <w:top w:type="dxa" w:w="60"/>
              <w:left w:type="dxa" w:w="100"/>
              <w:bottom w:type="dxa" w:w="60"/>
              <w:right w:type="dxa" w:w="100"/>
            </w:tcMar>
            <w:vAlign w:val="top"/>
          </w:tcPr>
          <w:p>
            <w:r>
              <w:rPr>
                <w:sz w:val="14"/>
                <w:szCs w:val="14"/>
              </w:rPr>
              <w:t xml:space="preserve">+0.0255</w:t>
            </w:r>
          </w:p>
        </w:tc>
        <w:tc>
          <w:tcPr>
            <w:tcW w:type="dxa" w:w="1000"/>
            <w:shd w:fill="F7F9FC" w:color="auto" w:val="clear"/>
            <w:tcMar>
              <w:top w:type="dxa" w:w="60"/>
              <w:left w:type="dxa" w:w="100"/>
              <w:bottom w:type="dxa" w:w="60"/>
              <w:right w:type="dxa" w:w="100"/>
            </w:tcMar>
            <w:vAlign w:val="top"/>
          </w:tcPr>
          <w:p>
            <w:r>
              <w:rPr>
                <w:sz w:val="14"/>
                <w:szCs w:val="14"/>
              </w:rPr>
              <w:t xml:space="preserve">+0.0052</w:t>
            </w:r>
          </w:p>
        </w:tc>
        <w:tc>
          <w:tcPr>
            <w:tcW w:type="dxa" w:w="1100"/>
            <w:shd w:fill="F7F9FC" w:color="auto" w:val="clear"/>
            <w:tcMar>
              <w:top w:type="dxa" w:w="60"/>
              <w:left w:type="dxa" w:w="100"/>
              <w:bottom w:type="dxa" w:w="60"/>
              <w:right w:type="dxa" w:w="100"/>
            </w:tcMar>
            <w:vAlign w:val="top"/>
          </w:tcPr>
          <w:p>
            <w:r>
              <w:rPr>
                <w:sz w:val="14"/>
                <w:szCs w:val="14"/>
              </w:rPr>
              <w:t xml:space="preserve">+0.0606</w:t>
            </w:r>
          </w:p>
        </w:tc>
        <w:tc>
          <w:tcPr>
            <w:tcW w:type="dxa" w:w="1488"/>
            <w:shd w:fill="F7F9FC" w:color="auto" w:val="clear"/>
            <w:tcMar>
              <w:top w:type="dxa" w:w="60"/>
              <w:left w:type="dxa" w:w="100"/>
              <w:bottom w:type="dxa" w:w="60"/>
              <w:right w:type="dxa" w:w="100"/>
            </w:tcMar>
            <w:vAlign w:val="top"/>
          </w:tcPr>
          <w:p>
            <w:r>
              <w:rPr>
                <w:sz w:val="14"/>
                <w:szCs w:val="14"/>
              </w:rPr>
              <w:t xml:space="preserve">1.70 / 1.83</w:t>
            </w:r>
          </w:p>
        </w:tc>
      </w:tr>
      <w:tr>
        <w:trPr>
          <w:cantSplit/>
        </w:trPr>
        <w:tc>
          <w:tcPr>
            <w:tcW w:type="dxa" w:w="1300"/>
            <w:tcMar>
              <w:top w:type="dxa" w:w="60"/>
              <w:left w:type="dxa" w:w="100"/>
              <w:bottom w:type="dxa" w:w="60"/>
              <w:right w:type="dxa" w:w="100"/>
            </w:tcMar>
            <w:vAlign w:val="top"/>
          </w:tcPr>
          <w:p/>
        </w:tc>
        <w:tc>
          <w:tcPr>
            <w:tcW w:type="dxa" w:w="800"/>
            <w:tcMar>
              <w:top w:type="dxa" w:w="60"/>
              <w:left w:type="dxa" w:w="100"/>
              <w:bottom w:type="dxa" w:w="60"/>
              <w:right w:type="dxa" w:w="100"/>
            </w:tcMar>
            <w:vAlign w:val="top"/>
          </w:tcPr>
          <w:p>
            <w:r>
              <w:rPr>
                <w:sz w:val="14"/>
                <w:szCs w:val="14"/>
              </w:rPr>
              <w:t xml:space="preserve">0.02</w:t>
            </w:r>
          </w:p>
        </w:tc>
        <w:tc>
          <w:tcPr>
            <w:tcW w:type="dxa" w:w="1000"/>
            <w:tcMar>
              <w:top w:type="dxa" w:w="60"/>
              <w:left w:type="dxa" w:w="100"/>
              <w:bottom w:type="dxa" w:w="60"/>
              <w:right w:type="dxa" w:w="100"/>
            </w:tcMar>
            <w:vAlign w:val="top"/>
          </w:tcPr>
          <w:p>
            <w:r>
              <w:rPr>
                <w:sz w:val="14"/>
                <w:szCs w:val="14"/>
              </w:rPr>
              <w:t xml:space="preserve">+0.0161</w:t>
            </w:r>
          </w:p>
        </w:tc>
        <w:tc>
          <w:tcPr>
            <w:tcW w:type="dxa" w:w="900"/>
            <w:tcMar>
              <w:top w:type="dxa" w:w="60"/>
              <w:left w:type="dxa" w:w="100"/>
              <w:bottom w:type="dxa" w:w="60"/>
              <w:right w:type="dxa" w:w="100"/>
            </w:tcMar>
            <w:vAlign w:val="top"/>
          </w:tcPr>
          <w:p>
            <w:r>
              <w:rPr>
                <w:sz w:val="14"/>
                <w:szCs w:val="14"/>
              </w:rPr>
              <w:t xml:space="preserve">+0.0154</w:t>
            </w:r>
          </w:p>
        </w:tc>
        <w:tc>
          <w:tcPr>
            <w:tcW w:type="dxa" w:w="1100"/>
            <w:tcMar>
              <w:top w:type="dxa" w:w="60"/>
              <w:left w:type="dxa" w:w="100"/>
              <w:bottom w:type="dxa" w:w="60"/>
              <w:right w:type="dxa" w:w="100"/>
            </w:tcMar>
            <w:vAlign w:val="top"/>
          </w:tcPr>
          <w:p>
            <w:r>
              <w:rPr>
                <w:sz w:val="14"/>
                <w:szCs w:val="14"/>
              </w:rPr>
              <w:t xml:space="preserve">+0.0160</w:t>
            </w:r>
          </w:p>
        </w:tc>
        <w:tc>
          <w:tcPr>
            <w:tcW w:type="dxa" w:w="950"/>
            <w:tcMar>
              <w:top w:type="dxa" w:w="60"/>
              <w:left w:type="dxa" w:w="100"/>
              <w:bottom w:type="dxa" w:w="60"/>
              <w:right w:type="dxa" w:w="100"/>
            </w:tcMar>
            <w:vAlign w:val="top"/>
          </w:tcPr>
          <w:p>
            <w:r>
              <w:rPr>
                <w:sz w:val="14"/>
                <w:szCs w:val="14"/>
              </w:rPr>
              <w:t xml:space="preserve">+0.0145</w:t>
            </w:r>
          </w:p>
        </w:tc>
        <w:tc>
          <w:tcPr>
            <w:tcW w:type="dxa" w:w="1000"/>
            <w:tcMar>
              <w:top w:type="dxa" w:w="60"/>
              <w:left w:type="dxa" w:w="100"/>
              <w:bottom w:type="dxa" w:w="60"/>
              <w:right w:type="dxa" w:w="100"/>
            </w:tcMar>
            <w:vAlign w:val="top"/>
          </w:tcPr>
          <w:p>
            <w:r>
              <w:rPr>
                <w:sz w:val="14"/>
                <w:szCs w:val="14"/>
              </w:rPr>
              <w:t xml:space="preserve">−0.0448</w:t>
            </w:r>
          </w:p>
        </w:tc>
        <w:tc>
          <w:tcPr>
            <w:tcW w:type="dxa" w:w="1100"/>
            <w:tcMar>
              <w:top w:type="dxa" w:w="60"/>
              <w:left w:type="dxa" w:w="100"/>
              <w:bottom w:type="dxa" w:w="60"/>
              <w:right w:type="dxa" w:w="100"/>
            </w:tcMar>
            <w:vAlign w:val="top"/>
          </w:tcPr>
          <w:p>
            <w:r>
              <w:rPr>
                <w:sz w:val="14"/>
                <w:szCs w:val="14"/>
              </w:rPr>
              <w:t xml:space="preserve">+0.0513</w:t>
            </w:r>
          </w:p>
        </w:tc>
        <w:tc>
          <w:tcPr>
            <w:tcW w:type="dxa" w:w="1488"/>
            <w:tcMar>
              <w:top w:type="dxa" w:w="60"/>
              <w:left w:type="dxa" w:w="100"/>
              <w:bottom w:type="dxa" w:w="60"/>
              <w:right w:type="dxa" w:w="100"/>
            </w:tcMar>
            <w:vAlign w:val="top"/>
          </w:tcPr>
          <w:p>
            <w:r>
              <w:rPr>
                <w:sz w:val="14"/>
                <w:szCs w:val="14"/>
              </w:rPr>
              <w:t xml:space="preserve">1.05 / 1.19</w:t>
            </w:r>
          </w:p>
        </w:tc>
      </w:tr>
      <w:tr>
        <w:trPr>
          <w:cantSplit/>
        </w:trPr>
        <w:tc>
          <w:tcPr>
            <w:tcW w:type="dxa" w:w="1300"/>
            <w:shd w:fill="F7F9FC" w:color="auto" w:val="clear"/>
            <w:tcMar>
              <w:top w:type="dxa" w:w="60"/>
              <w:left w:type="dxa" w:w="100"/>
              <w:bottom w:type="dxa" w:w="60"/>
              <w:right w:type="dxa" w:w="100"/>
            </w:tcMar>
            <w:vAlign w:val="top"/>
          </w:tcPr>
          <w:p/>
        </w:tc>
        <w:tc>
          <w:tcPr>
            <w:tcW w:type="dxa" w:w="800"/>
            <w:shd w:fill="F7F9FC" w:color="auto" w:val="clear"/>
            <w:tcMar>
              <w:top w:type="dxa" w:w="60"/>
              <w:left w:type="dxa" w:w="100"/>
              <w:bottom w:type="dxa" w:w="60"/>
              <w:right w:type="dxa" w:w="100"/>
            </w:tcMar>
            <w:vAlign w:val="top"/>
          </w:tcPr>
          <w:p>
            <w:r>
              <w:rPr>
                <w:sz w:val="14"/>
                <w:szCs w:val="14"/>
              </w:rPr>
              <w:t xml:space="preserve">0.04</w:t>
            </w:r>
          </w:p>
        </w:tc>
        <w:tc>
          <w:tcPr>
            <w:tcW w:type="dxa" w:w="1000"/>
            <w:shd w:fill="F7F9FC" w:color="auto" w:val="clear"/>
            <w:tcMar>
              <w:top w:type="dxa" w:w="60"/>
              <w:left w:type="dxa" w:w="100"/>
              <w:bottom w:type="dxa" w:w="60"/>
              <w:right w:type="dxa" w:w="100"/>
            </w:tcMar>
            <w:vAlign w:val="top"/>
          </w:tcPr>
          <w:p>
            <w:r>
              <w:rPr>
                <w:sz w:val="14"/>
                <w:szCs w:val="14"/>
              </w:rPr>
              <w:t xml:space="preserve">+0.0057</w:t>
            </w:r>
          </w:p>
        </w:tc>
        <w:tc>
          <w:tcPr>
            <w:tcW w:type="dxa" w:w="900"/>
            <w:shd w:fill="F7F9FC" w:color="auto" w:val="clear"/>
            <w:tcMar>
              <w:top w:type="dxa" w:w="60"/>
              <w:left w:type="dxa" w:w="100"/>
              <w:bottom w:type="dxa" w:w="60"/>
              <w:right w:type="dxa" w:w="100"/>
            </w:tcMar>
            <w:vAlign w:val="top"/>
          </w:tcPr>
          <w:p>
            <w:r>
              <w:rPr>
                <w:sz w:val="14"/>
                <w:szCs w:val="14"/>
              </w:rPr>
              <w:t xml:space="preserve">+0.0057</w:t>
            </w:r>
          </w:p>
        </w:tc>
        <w:tc>
          <w:tcPr>
            <w:tcW w:type="dxa" w:w="1100"/>
            <w:shd w:fill="F7F9FC" w:color="auto" w:val="clear"/>
            <w:tcMar>
              <w:top w:type="dxa" w:w="60"/>
              <w:left w:type="dxa" w:w="100"/>
              <w:bottom w:type="dxa" w:w="60"/>
              <w:right w:type="dxa" w:w="100"/>
            </w:tcMar>
            <w:vAlign w:val="top"/>
          </w:tcPr>
          <w:p>
            <w:r>
              <w:rPr>
                <w:sz w:val="14"/>
                <w:szCs w:val="14"/>
              </w:rPr>
              <w:t xml:space="preserve">+0.0057</w:t>
            </w:r>
          </w:p>
        </w:tc>
        <w:tc>
          <w:tcPr>
            <w:tcW w:type="dxa" w:w="950"/>
            <w:shd w:fill="F7F9FC" w:color="auto" w:val="clear"/>
            <w:tcMar>
              <w:top w:type="dxa" w:w="60"/>
              <w:left w:type="dxa" w:w="100"/>
              <w:bottom w:type="dxa" w:w="60"/>
              <w:right w:type="dxa" w:w="100"/>
            </w:tcMar>
            <w:vAlign w:val="top"/>
          </w:tcPr>
          <w:p>
            <w:r>
              <w:rPr>
                <w:sz w:val="14"/>
                <w:szCs w:val="14"/>
              </w:rPr>
              <w:t xml:space="preserve">+0.0055</w:t>
            </w:r>
          </w:p>
        </w:tc>
        <w:tc>
          <w:tcPr>
            <w:tcW w:type="dxa" w:w="1000"/>
            <w:shd w:fill="F7F9FC" w:color="auto" w:val="clear"/>
            <w:tcMar>
              <w:top w:type="dxa" w:w="60"/>
              <w:left w:type="dxa" w:w="100"/>
              <w:bottom w:type="dxa" w:w="60"/>
              <w:right w:type="dxa" w:w="100"/>
            </w:tcMar>
            <w:vAlign w:val="top"/>
          </w:tcPr>
          <w:p>
            <w:r>
              <w:rPr>
                <w:sz w:val="14"/>
                <w:szCs w:val="14"/>
              </w:rPr>
              <w:t xml:space="preserve">−0.1448</w:t>
            </w:r>
          </w:p>
        </w:tc>
        <w:tc>
          <w:tcPr>
            <w:tcW w:type="dxa" w:w="1100"/>
            <w:shd w:fill="F7F9FC" w:color="auto" w:val="clear"/>
            <w:tcMar>
              <w:top w:type="dxa" w:w="60"/>
              <w:left w:type="dxa" w:w="100"/>
              <w:bottom w:type="dxa" w:w="60"/>
              <w:right w:type="dxa" w:w="100"/>
            </w:tcMar>
            <w:vAlign w:val="top"/>
          </w:tcPr>
          <w:p>
            <w:r>
              <w:rPr>
                <w:sz w:val="14"/>
                <w:szCs w:val="14"/>
              </w:rPr>
              <w:t xml:space="preserve">+0.0395</w:t>
            </w:r>
          </w:p>
        </w:tc>
        <w:tc>
          <w:tcPr>
            <w:tcW w:type="dxa" w:w="1488"/>
            <w:shd w:fill="F7F9FC" w:color="auto" w:val="clear"/>
            <w:tcMar>
              <w:top w:type="dxa" w:w="60"/>
              <w:left w:type="dxa" w:w="100"/>
              <w:bottom w:type="dxa" w:w="60"/>
              <w:right w:type="dxa" w:w="100"/>
            </w:tcMar>
            <w:vAlign w:val="top"/>
          </w:tcPr>
          <w:p>
            <w:r>
              <w:rPr>
                <w:sz w:val="14"/>
                <w:szCs w:val="14"/>
              </w:rPr>
              <w:t xml:space="preserve">0.60 / 0.62</w:t>
            </w:r>
          </w:p>
        </w:tc>
      </w:tr>
      <w:tr>
        <w:trPr>
          <w:cantSplit/>
        </w:trPr>
        <w:tc>
          <w:tcPr>
            <w:tcW w:type="dxa" w:w="1300"/>
            <w:tcMar>
              <w:top w:type="dxa" w:w="60"/>
              <w:left w:type="dxa" w:w="100"/>
              <w:bottom w:type="dxa" w:w="60"/>
              <w:right w:type="dxa" w:w="100"/>
            </w:tcMar>
            <w:vAlign w:val="top"/>
          </w:tcPr>
          <w:p>
            <w:r>
              <w:rPr>
                <w:sz w:val="14"/>
                <w:szCs w:val="14"/>
              </w:rPr>
              <w:t xml:space="preserve">Local statistical</w:t>
            </w:r>
          </w:p>
        </w:tc>
        <w:tc>
          <w:tcPr>
            <w:tcW w:type="dxa" w:w="800"/>
            <w:tcMar>
              <w:top w:type="dxa" w:w="60"/>
              <w:left w:type="dxa" w:w="100"/>
              <w:bottom w:type="dxa" w:w="60"/>
              <w:right w:type="dxa" w:w="100"/>
            </w:tcMar>
            <w:vAlign w:val="top"/>
          </w:tcPr>
          <w:p>
            <w:r>
              <w:rPr>
                <w:sz w:val="14"/>
                <w:szCs w:val="14"/>
              </w:rPr>
              <w:t xml:space="preserve">0.00</w:t>
            </w:r>
          </w:p>
        </w:tc>
        <w:tc>
          <w:tcPr>
            <w:tcW w:type="dxa" w:w="1000"/>
            <w:tcMar>
              <w:top w:type="dxa" w:w="60"/>
              <w:left w:type="dxa" w:w="100"/>
              <w:bottom w:type="dxa" w:w="60"/>
              <w:right w:type="dxa" w:w="100"/>
            </w:tcMar>
            <w:vAlign w:val="top"/>
          </w:tcPr>
          <w:p>
            <w:r>
              <w:rPr>
                <w:sz w:val="14"/>
                <w:szCs w:val="14"/>
              </w:rPr>
              <w:t xml:space="preserve">+0.2052</w:t>
            </w:r>
          </w:p>
        </w:tc>
        <w:tc>
          <w:tcPr>
            <w:tcW w:type="dxa" w:w="900"/>
            <w:tcMar>
              <w:top w:type="dxa" w:w="60"/>
              <w:left w:type="dxa" w:w="100"/>
              <w:bottom w:type="dxa" w:w="60"/>
              <w:right w:type="dxa" w:w="100"/>
            </w:tcMar>
            <w:vAlign w:val="top"/>
          </w:tcPr>
          <w:p>
            <w:r>
              <w:rPr>
                <w:sz w:val="14"/>
                <w:szCs w:val="14"/>
              </w:rPr>
              <w:t xml:space="preserve">+0.2509</w:t>
            </w:r>
          </w:p>
        </w:tc>
        <w:tc>
          <w:tcPr>
            <w:tcW w:type="dxa" w:w="1100"/>
            <w:tcMar>
              <w:top w:type="dxa" w:w="60"/>
              <w:left w:type="dxa" w:w="100"/>
              <w:bottom w:type="dxa" w:w="60"/>
              <w:right w:type="dxa" w:w="100"/>
            </w:tcMar>
            <w:vAlign w:val="top"/>
          </w:tcPr>
          <w:p>
            <w:r>
              <w:rPr>
                <w:sz w:val="14"/>
                <w:szCs w:val="14"/>
              </w:rPr>
              <w:t xml:space="preserve">+0.2509</w:t>
            </w:r>
          </w:p>
        </w:tc>
        <w:tc>
          <w:tcPr>
            <w:tcW w:type="dxa" w:w="950"/>
            <w:tcMar>
              <w:top w:type="dxa" w:w="60"/>
              <w:left w:type="dxa" w:w="100"/>
              <w:bottom w:type="dxa" w:w="60"/>
              <w:right w:type="dxa" w:w="100"/>
            </w:tcMar>
            <w:vAlign w:val="top"/>
          </w:tcPr>
          <w:p>
            <w:r>
              <w:rPr>
                <w:sz w:val="14"/>
                <w:szCs w:val="14"/>
              </w:rPr>
              <w:t xml:space="preserve">+0.2509</w:t>
            </w:r>
          </w:p>
        </w:tc>
        <w:tc>
          <w:tcPr>
            <w:tcW w:type="dxa" w:w="1000"/>
            <w:tcMar>
              <w:top w:type="dxa" w:w="60"/>
              <w:left w:type="dxa" w:w="100"/>
              <w:bottom w:type="dxa" w:w="60"/>
              <w:right w:type="dxa" w:w="100"/>
            </w:tcMar>
            <w:vAlign w:val="top"/>
          </w:tcPr>
          <w:p>
            <w:r>
              <w:rPr>
                <w:sz w:val="14"/>
                <w:szCs w:val="14"/>
              </w:rPr>
              <w:t xml:space="preserve">+0.2509</w:t>
            </w:r>
          </w:p>
        </w:tc>
        <w:tc>
          <w:tcPr>
            <w:tcW w:type="dxa" w:w="1100"/>
            <w:tcMar>
              <w:top w:type="dxa" w:w="60"/>
              <w:left w:type="dxa" w:w="100"/>
              <w:bottom w:type="dxa" w:w="60"/>
              <w:right w:type="dxa" w:w="100"/>
            </w:tcMar>
            <w:vAlign w:val="top"/>
          </w:tcPr>
          <w:p>
            <w:r>
              <w:rPr>
                <w:sz w:val="14"/>
                <w:szCs w:val="14"/>
              </w:rPr>
              <w:t xml:space="preserve">+0.2902</w:t>
            </w:r>
          </w:p>
        </w:tc>
        <w:tc>
          <w:tcPr>
            <w:tcW w:type="dxa" w:w="1488"/>
            <w:tcMar>
              <w:top w:type="dxa" w:w="60"/>
              <w:left w:type="dxa" w:w="100"/>
              <w:bottom w:type="dxa" w:w="60"/>
              <w:right w:type="dxa" w:w="100"/>
            </w:tcMar>
            <w:vAlign w:val="top"/>
          </w:tcPr>
          <w:p>
            <w:r>
              <w:rPr>
                <w:sz w:val="14"/>
                <w:szCs w:val="14"/>
              </w:rPr>
              <w:t xml:space="preserve">5.00 / 4.99</w:t>
            </w:r>
          </w:p>
        </w:tc>
      </w:tr>
      <w:tr>
        <w:trPr>
          <w:cantSplit/>
        </w:trPr>
        <w:tc>
          <w:tcPr>
            <w:tcW w:type="dxa" w:w="1300"/>
            <w:shd w:fill="F7F9FC" w:color="auto" w:val="clear"/>
            <w:tcMar>
              <w:top w:type="dxa" w:w="60"/>
              <w:left w:type="dxa" w:w="100"/>
              <w:bottom w:type="dxa" w:w="60"/>
              <w:right w:type="dxa" w:w="100"/>
            </w:tcMar>
            <w:vAlign w:val="top"/>
          </w:tcPr>
          <w:p/>
        </w:tc>
        <w:tc>
          <w:tcPr>
            <w:tcW w:type="dxa" w:w="800"/>
            <w:shd w:fill="F7F9FC" w:color="auto" w:val="clear"/>
            <w:tcMar>
              <w:top w:type="dxa" w:w="60"/>
              <w:left w:type="dxa" w:w="100"/>
              <w:bottom w:type="dxa" w:w="60"/>
              <w:right w:type="dxa" w:w="100"/>
            </w:tcMar>
            <w:vAlign w:val="top"/>
          </w:tcPr>
          <w:p>
            <w:r>
              <w:rPr>
                <w:sz w:val="14"/>
                <w:szCs w:val="14"/>
              </w:rPr>
              <w:t xml:space="preserve">0.01</w:t>
            </w:r>
          </w:p>
        </w:tc>
        <w:tc>
          <w:tcPr>
            <w:tcW w:type="dxa" w:w="1000"/>
            <w:shd w:fill="F7F9FC" w:color="auto" w:val="clear"/>
            <w:tcMar>
              <w:top w:type="dxa" w:w="60"/>
              <w:left w:type="dxa" w:w="100"/>
              <w:bottom w:type="dxa" w:w="60"/>
              <w:right w:type="dxa" w:w="100"/>
            </w:tcMar>
            <w:vAlign w:val="top"/>
          </w:tcPr>
          <w:p>
            <w:r>
              <w:rPr>
                <w:sz w:val="14"/>
                <w:szCs w:val="14"/>
              </w:rPr>
              <w:t xml:space="preserve">+0.1952</w:t>
            </w:r>
          </w:p>
        </w:tc>
        <w:tc>
          <w:tcPr>
            <w:tcW w:type="dxa" w:w="900"/>
            <w:shd w:fill="F7F9FC" w:color="auto" w:val="clear"/>
            <w:tcMar>
              <w:top w:type="dxa" w:w="60"/>
              <w:left w:type="dxa" w:w="100"/>
              <w:bottom w:type="dxa" w:w="60"/>
              <w:right w:type="dxa" w:w="100"/>
            </w:tcMar>
            <w:vAlign w:val="top"/>
          </w:tcPr>
          <w:p>
            <w:r>
              <w:rPr>
                <w:sz w:val="14"/>
                <w:szCs w:val="14"/>
              </w:rPr>
              <w:t xml:space="preserve">+0.2089</w:t>
            </w:r>
          </w:p>
        </w:tc>
        <w:tc>
          <w:tcPr>
            <w:tcW w:type="dxa" w:w="1100"/>
            <w:shd w:fill="F7F9FC" w:color="auto" w:val="clear"/>
            <w:tcMar>
              <w:top w:type="dxa" w:w="60"/>
              <w:left w:type="dxa" w:w="100"/>
              <w:bottom w:type="dxa" w:w="60"/>
              <w:right w:type="dxa" w:w="100"/>
            </w:tcMar>
            <w:vAlign w:val="top"/>
          </w:tcPr>
          <w:p>
            <w:r>
              <w:rPr>
                <w:sz w:val="14"/>
                <w:szCs w:val="14"/>
              </w:rPr>
              <w:t xml:space="preserve">+0.2035</w:t>
            </w:r>
          </w:p>
        </w:tc>
        <w:tc>
          <w:tcPr>
            <w:tcW w:type="dxa" w:w="950"/>
            <w:shd w:fill="F7F9FC" w:color="auto" w:val="clear"/>
            <w:tcMar>
              <w:top w:type="dxa" w:w="60"/>
              <w:left w:type="dxa" w:w="100"/>
              <w:bottom w:type="dxa" w:w="60"/>
              <w:right w:type="dxa" w:w="100"/>
            </w:tcMar>
            <w:vAlign w:val="top"/>
          </w:tcPr>
          <w:p>
            <w:r>
              <w:rPr>
                <w:sz w:val="14"/>
                <w:szCs w:val="14"/>
              </w:rPr>
              <w:t xml:space="preserve">+0.2135</w:t>
            </w:r>
          </w:p>
        </w:tc>
        <w:tc>
          <w:tcPr>
            <w:tcW w:type="dxa" w:w="1000"/>
            <w:shd w:fill="F7F9FC" w:color="auto" w:val="clear"/>
            <w:tcMar>
              <w:top w:type="dxa" w:w="60"/>
              <w:left w:type="dxa" w:w="100"/>
              <w:bottom w:type="dxa" w:w="60"/>
              <w:right w:type="dxa" w:w="100"/>
            </w:tcMar>
            <w:vAlign w:val="top"/>
          </w:tcPr>
          <w:p>
            <w:r>
              <w:rPr>
                <w:sz w:val="14"/>
                <w:szCs w:val="14"/>
              </w:rPr>
              <w:t xml:space="preserve">+0.2009</w:t>
            </w:r>
          </w:p>
        </w:tc>
        <w:tc>
          <w:tcPr>
            <w:tcW w:type="dxa" w:w="1100"/>
            <w:shd w:fill="F7F9FC" w:color="auto" w:val="clear"/>
            <w:tcMar>
              <w:top w:type="dxa" w:w="60"/>
              <w:left w:type="dxa" w:w="100"/>
              <w:bottom w:type="dxa" w:w="60"/>
              <w:right w:type="dxa" w:w="100"/>
            </w:tcMar>
            <w:vAlign w:val="top"/>
          </w:tcPr>
          <w:p>
            <w:r>
              <w:rPr>
                <w:sz w:val="14"/>
                <w:szCs w:val="14"/>
              </w:rPr>
              <w:t xml:space="preserve">+0.2687</w:t>
            </w:r>
          </w:p>
        </w:tc>
        <w:tc>
          <w:tcPr>
            <w:tcW w:type="dxa" w:w="1488"/>
            <w:shd w:fill="F7F9FC" w:color="auto" w:val="clear"/>
            <w:tcMar>
              <w:top w:type="dxa" w:w="60"/>
              <w:left w:type="dxa" w:w="100"/>
              <w:bottom w:type="dxa" w:w="60"/>
              <w:right w:type="dxa" w:w="100"/>
            </w:tcMar>
            <w:vAlign w:val="top"/>
          </w:tcPr>
          <w:p>
            <w:r>
              <w:rPr>
                <w:sz w:val="14"/>
                <w:szCs w:val="14"/>
              </w:rPr>
              <w:t xml:space="preserve">3.30 / 3.23</w:t>
            </w:r>
          </w:p>
        </w:tc>
      </w:tr>
      <w:tr>
        <w:trPr>
          <w:cantSplit/>
        </w:trPr>
        <w:tc>
          <w:tcPr>
            <w:tcW w:type="dxa" w:w="1300"/>
            <w:tcMar>
              <w:top w:type="dxa" w:w="60"/>
              <w:left w:type="dxa" w:w="100"/>
              <w:bottom w:type="dxa" w:w="60"/>
              <w:right w:type="dxa" w:w="100"/>
            </w:tcMar>
            <w:vAlign w:val="top"/>
          </w:tcPr>
          <w:p/>
        </w:tc>
        <w:tc>
          <w:tcPr>
            <w:tcW w:type="dxa" w:w="800"/>
            <w:tcMar>
              <w:top w:type="dxa" w:w="60"/>
              <w:left w:type="dxa" w:w="100"/>
              <w:bottom w:type="dxa" w:w="60"/>
              <w:right w:type="dxa" w:w="100"/>
            </w:tcMar>
            <w:vAlign w:val="top"/>
          </w:tcPr>
          <w:p>
            <w:r>
              <w:rPr>
                <w:sz w:val="14"/>
                <w:szCs w:val="14"/>
              </w:rPr>
              <w:t xml:space="preserve">0.02</w:t>
            </w:r>
          </w:p>
        </w:tc>
        <w:tc>
          <w:tcPr>
            <w:tcW w:type="dxa" w:w="1000"/>
            <w:tcMar>
              <w:top w:type="dxa" w:w="60"/>
              <w:left w:type="dxa" w:w="100"/>
              <w:bottom w:type="dxa" w:w="60"/>
              <w:right w:type="dxa" w:w="100"/>
            </w:tcMar>
            <w:vAlign w:val="top"/>
          </w:tcPr>
          <w:p>
            <w:r>
              <w:rPr>
                <w:sz w:val="14"/>
                <w:szCs w:val="14"/>
              </w:rPr>
              <w:t xml:space="preserve">+0.1853</w:t>
            </w:r>
          </w:p>
        </w:tc>
        <w:tc>
          <w:tcPr>
            <w:tcW w:type="dxa" w:w="900"/>
            <w:tcMar>
              <w:top w:type="dxa" w:w="60"/>
              <w:left w:type="dxa" w:w="100"/>
              <w:bottom w:type="dxa" w:w="60"/>
              <w:right w:type="dxa" w:w="100"/>
            </w:tcMar>
            <w:vAlign w:val="top"/>
          </w:tcPr>
          <w:p>
            <w:r>
              <w:rPr>
                <w:sz w:val="14"/>
                <w:szCs w:val="14"/>
              </w:rPr>
              <w:t xml:space="preserve">+0.1870</w:t>
            </w:r>
          </w:p>
        </w:tc>
        <w:tc>
          <w:tcPr>
            <w:tcW w:type="dxa" w:w="1100"/>
            <w:tcMar>
              <w:top w:type="dxa" w:w="60"/>
              <w:left w:type="dxa" w:w="100"/>
              <w:bottom w:type="dxa" w:w="60"/>
              <w:right w:type="dxa" w:w="100"/>
            </w:tcMar>
            <w:vAlign w:val="top"/>
          </w:tcPr>
          <w:p>
            <w:r>
              <w:rPr>
                <w:sz w:val="14"/>
                <w:szCs w:val="14"/>
              </w:rPr>
              <w:t xml:space="preserve">+0.1869</w:t>
            </w:r>
          </w:p>
        </w:tc>
        <w:tc>
          <w:tcPr>
            <w:tcW w:type="dxa" w:w="950"/>
            <w:tcMar>
              <w:top w:type="dxa" w:w="60"/>
              <w:left w:type="dxa" w:w="100"/>
              <w:bottom w:type="dxa" w:w="60"/>
              <w:right w:type="dxa" w:w="100"/>
            </w:tcMar>
            <w:vAlign w:val="top"/>
          </w:tcPr>
          <w:p>
            <w:r>
              <w:rPr>
                <w:sz w:val="14"/>
                <w:szCs w:val="14"/>
              </w:rPr>
              <w:t xml:space="preserve">+0.1908</w:t>
            </w:r>
          </w:p>
        </w:tc>
        <w:tc>
          <w:tcPr>
            <w:tcW w:type="dxa" w:w="1000"/>
            <w:tcMar>
              <w:top w:type="dxa" w:w="60"/>
              <w:left w:type="dxa" w:w="100"/>
              <w:bottom w:type="dxa" w:w="60"/>
              <w:right w:type="dxa" w:w="100"/>
            </w:tcMar>
            <w:vAlign w:val="top"/>
          </w:tcPr>
          <w:p>
            <w:r>
              <w:rPr>
                <w:sz w:val="14"/>
                <w:szCs w:val="14"/>
              </w:rPr>
              <w:t xml:space="preserve">+0.1509</w:t>
            </w:r>
          </w:p>
        </w:tc>
        <w:tc>
          <w:tcPr>
            <w:tcW w:type="dxa" w:w="1100"/>
            <w:tcMar>
              <w:top w:type="dxa" w:w="60"/>
              <w:left w:type="dxa" w:w="100"/>
              <w:bottom w:type="dxa" w:w="60"/>
              <w:right w:type="dxa" w:w="100"/>
            </w:tcMar>
            <w:vAlign w:val="top"/>
          </w:tcPr>
          <w:p>
            <w:r>
              <w:rPr>
                <w:sz w:val="14"/>
                <w:szCs w:val="14"/>
              </w:rPr>
              <w:t xml:space="preserve">+0.2540</w:t>
            </w:r>
          </w:p>
        </w:tc>
        <w:tc>
          <w:tcPr>
            <w:tcW w:type="dxa" w:w="1488"/>
            <w:tcMar>
              <w:top w:type="dxa" w:w="60"/>
              <w:left w:type="dxa" w:w="100"/>
              <w:bottom w:type="dxa" w:w="60"/>
              <w:right w:type="dxa" w:w="100"/>
            </w:tcMar>
            <w:vAlign w:val="top"/>
          </w:tcPr>
          <w:p>
            <w:r>
              <w:rPr>
                <w:sz w:val="14"/>
                <w:szCs w:val="14"/>
              </w:rPr>
              <w:t xml:space="preserve">2.41 / 2.43</w:t>
            </w:r>
          </w:p>
        </w:tc>
      </w:tr>
      <w:tr>
        <w:trPr>
          <w:cantSplit/>
        </w:trPr>
        <w:tc>
          <w:tcPr>
            <w:tcW w:type="dxa" w:w="1300"/>
            <w:shd w:fill="F7F9FC" w:color="auto" w:val="clear"/>
            <w:tcMar>
              <w:top w:type="dxa" w:w="60"/>
              <w:left w:type="dxa" w:w="100"/>
              <w:bottom w:type="dxa" w:w="60"/>
              <w:right w:type="dxa" w:w="100"/>
            </w:tcMar>
            <w:vAlign w:val="top"/>
          </w:tcPr>
          <w:p/>
        </w:tc>
        <w:tc>
          <w:tcPr>
            <w:tcW w:type="dxa" w:w="800"/>
            <w:shd w:fill="F7F9FC" w:color="auto" w:val="clear"/>
            <w:tcMar>
              <w:top w:type="dxa" w:w="60"/>
              <w:left w:type="dxa" w:w="100"/>
              <w:bottom w:type="dxa" w:w="60"/>
              <w:right w:type="dxa" w:w="100"/>
            </w:tcMar>
            <w:vAlign w:val="top"/>
          </w:tcPr>
          <w:p>
            <w:r>
              <w:rPr>
                <w:sz w:val="14"/>
                <w:szCs w:val="14"/>
              </w:rPr>
              <w:t xml:space="preserve">0.04</w:t>
            </w:r>
          </w:p>
        </w:tc>
        <w:tc>
          <w:tcPr>
            <w:tcW w:type="dxa" w:w="1000"/>
            <w:shd w:fill="F7F9FC" w:color="auto" w:val="clear"/>
            <w:tcMar>
              <w:top w:type="dxa" w:w="60"/>
              <w:left w:type="dxa" w:w="100"/>
              <w:bottom w:type="dxa" w:w="60"/>
              <w:right w:type="dxa" w:w="100"/>
            </w:tcMar>
            <w:vAlign w:val="top"/>
          </w:tcPr>
          <w:p>
            <w:r>
              <w:rPr>
                <w:sz w:val="14"/>
                <w:szCs w:val="14"/>
              </w:rPr>
              <w:t xml:space="preserve">+0.1655</w:t>
            </w:r>
          </w:p>
        </w:tc>
        <w:tc>
          <w:tcPr>
            <w:tcW w:type="dxa" w:w="900"/>
            <w:shd w:fill="F7F9FC" w:color="auto" w:val="clear"/>
            <w:tcMar>
              <w:top w:type="dxa" w:w="60"/>
              <w:left w:type="dxa" w:w="100"/>
              <w:bottom w:type="dxa" w:w="60"/>
              <w:right w:type="dxa" w:w="100"/>
            </w:tcMar>
            <w:vAlign w:val="top"/>
          </w:tcPr>
          <w:p>
            <w:r>
              <w:rPr>
                <w:sz w:val="14"/>
                <w:szCs w:val="14"/>
              </w:rPr>
              <w:t xml:space="preserve">+0.1623</w:t>
            </w:r>
          </w:p>
        </w:tc>
        <w:tc>
          <w:tcPr>
            <w:tcW w:type="dxa" w:w="1100"/>
            <w:shd w:fill="F7F9FC" w:color="auto" w:val="clear"/>
            <w:tcMar>
              <w:top w:type="dxa" w:w="60"/>
              <w:left w:type="dxa" w:w="100"/>
              <w:bottom w:type="dxa" w:w="60"/>
              <w:right w:type="dxa" w:w="100"/>
            </w:tcMar>
            <w:vAlign w:val="top"/>
          </w:tcPr>
          <w:p>
            <w:r>
              <w:rPr>
                <w:sz w:val="14"/>
                <w:szCs w:val="14"/>
              </w:rPr>
              <w:t xml:space="preserve">+0.1619</w:t>
            </w:r>
          </w:p>
        </w:tc>
        <w:tc>
          <w:tcPr>
            <w:tcW w:type="dxa" w:w="950"/>
            <w:shd w:fill="F7F9FC" w:color="auto" w:val="clear"/>
            <w:tcMar>
              <w:top w:type="dxa" w:w="60"/>
              <w:left w:type="dxa" w:w="100"/>
              <w:bottom w:type="dxa" w:w="60"/>
              <w:right w:type="dxa" w:w="100"/>
            </w:tcMar>
            <w:vAlign w:val="top"/>
          </w:tcPr>
          <w:p>
            <w:r>
              <w:rPr>
                <w:sz w:val="14"/>
                <w:szCs w:val="14"/>
              </w:rPr>
              <w:t xml:space="preserve">+0.1623</w:t>
            </w:r>
          </w:p>
        </w:tc>
        <w:tc>
          <w:tcPr>
            <w:tcW w:type="dxa" w:w="1000"/>
            <w:shd w:fill="F7F9FC" w:color="auto" w:val="clear"/>
            <w:tcMar>
              <w:top w:type="dxa" w:w="60"/>
              <w:left w:type="dxa" w:w="100"/>
              <w:bottom w:type="dxa" w:w="60"/>
              <w:right w:type="dxa" w:w="100"/>
            </w:tcMar>
            <w:vAlign w:val="top"/>
          </w:tcPr>
          <w:p>
            <w:r>
              <w:rPr>
                <w:sz w:val="14"/>
                <w:szCs w:val="14"/>
              </w:rPr>
              <w:t xml:space="preserve">+0.0509</w:t>
            </w:r>
          </w:p>
        </w:tc>
        <w:tc>
          <w:tcPr>
            <w:tcW w:type="dxa" w:w="1100"/>
            <w:shd w:fill="F7F9FC" w:color="auto" w:val="clear"/>
            <w:tcMar>
              <w:top w:type="dxa" w:w="60"/>
              <w:left w:type="dxa" w:w="100"/>
              <w:bottom w:type="dxa" w:w="60"/>
              <w:right w:type="dxa" w:w="100"/>
            </w:tcMar>
            <w:vAlign w:val="top"/>
          </w:tcPr>
          <w:p>
            <w:r>
              <w:rPr>
                <w:sz w:val="14"/>
                <w:szCs w:val="14"/>
              </w:rPr>
              <w:t xml:space="preserve">+0.2339</w:t>
            </w:r>
          </w:p>
        </w:tc>
        <w:tc>
          <w:tcPr>
            <w:tcW w:type="dxa" w:w="1488"/>
            <w:shd w:fill="F7F9FC" w:color="auto" w:val="clear"/>
            <w:tcMar>
              <w:top w:type="dxa" w:w="60"/>
              <w:left w:type="dxa" w:w="100"/>
              <w:bottom w:type="dxa" w:w="60"/>
              <w:right w:type="dxa" w:w="100"/>
            </w:tcMar>
            <w:vAlign w:val="top"/>
          </w:tcPr>
          <w:p>
            <w:r>
              <w:rPr>
                <w:sz w:val="14"/>
                <w:szCs w:val="14"/>
              </w:rPr>
              <w:t xml:space="preserve">1.54 / 1.61</w:t>
            </w:r>
          </w:p>
        </w:tc>
      </w:tr>
    </w:tbl>
    <w:p>
      <w:pPr>
        <w:spacing w:after="160"/>
      </w:pPr>
    </w:p>
    <w:p>
      <w:pPr>
        <w:spacing w:after="120"/>
      </w:pPr>
      <w:r>
        <w:rPr>
          <w:i/>
          <w:iCs/>
          <w:color w:val="5B6573"/>
          <w:sz w:val="18"/>
          <w:szCs w:val="18"/>
        </w:rPr>
        <w:t xml:space="preserve">Table 9.3. Net benefit (realised gain minus cost of the merges), in loss units, mean over 200 aquifers. Best single holder: BASHKIMI-GO of review 55; it merges nothing when no single value exceeds the cost.</w:t>
      </w:r>
    </w:p>
    <w:p>
      <w:pPr>
        <w:pStyle w:val="ListParagraph"/>
        <w:numPr>
          <w:ilvl w:val="0"/>
          <w:numId w:val="2"/>
        </w:numPr>
        <w:spacing w:after="60"/>
        <w:jc w:val="both"/>
      </w:pPr>
      <w:r>
        <w:rPr>
          <w:b/>
          <w:bCs/>
        </w:rPr>
        <w:t xml:space="preserve">Who deserves what: Shapley is fair but not stable; paying the complementary pair jointly is both.</w:t>
      </w:r>
      <w:r>
        <w:t xml:space="preserve"> With the utility as a veto player its Shapley share is 63% (physics) and 62% (local) of the value of the grand coalition (Table 9.4). Per record the hotels are the most valuable holder in both models (5.8 against 0.6 ×10⁻⁴ for the agency's records with the physics-informed model). But the game is never convex, and the Shapley division lies in the core in only 2.5% and 2.0% of aquifers. In the rest, the utility and some holders would do better by leaving the others out. Paying each holder its own marginal contribution to the grand coalition is no better (4.0% and 0.0%): the diagnosis is that the hotels' and the municipal wells' marginal contributions each contain their joint gain, which is then paid twice. Paying the pair once, jointly, as Proposition K3 (iv) suggests, gives a division that is stable in 88% and 65.5% of aquifers and leaves the utility a similar share (64% and 60%). These are statements about predicted values. On realised gains, which are noisy and not monotone, almost no division is stable, and the predicted Shapley shares correlate only weakly with the realised ones aquifer by aquifer (r = 0.21 and 0.25); with the local model the municipal wells receive a positive predicted share (0.0104) although their realised share is negative (-0.0167).</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500"/>
        <w:gridCol w:w="1100"/>
        <w:gridCol w:w="1000"/>
        <w:gridCol w:w="1100"/>
        <w:gridCol w:w="1200"/>
        <w:gridCol w:w="1100"/>
        <w:gridCol w:w="1100"/>
        <w:gridCol w:w="1538"/>
      </w:tblGrid>
      <w:tr>
        <w:trPr>
          <w:cantSplit/>
          <w:tblHeader/>
        </w:trPr>
        <w:tc>
          <w:tcPr>
            <w:tcW w:type="dxa" w:w="1500"/>
            <w:shd w:fill="1F3864" w:color="auto" w:val="clear"/>
            <w:tcMar>
              <w:top w:type="dxa" w:w="60"/>
              <w:left w:type="dxa" w:w="100"/>
              <w:bottom w:type="dxa" w:w="60"/>
              <w:right w:type="dxa" w:w="100"/>
            </w:tcMar>
            <w:vAlign w:val="top"/>
          </w:tcPr>
          <w:p>
            <w:r>
              <w:rPr>
                <w:b/>
                <w:bCs/>
                <w:color w:val="FFFFFF"/>
                <w:sz w:val="14"/>
                <w:szCs w:val="14"/>
              </w:rPr>
              <w:t xml:space="preserve">Model</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Utility share (Shapley)</w:t>
            </w:r>
          </w:p>
        </w:tc>
        <w:tc>
          <w:tcPr>
            <w:tcW w:type="dxa" w:w="1000"/>
            <w:shd w:fill="1F3864" w:color="auto" w:val="clear"/>
            <w:tcMar>
              <w:top w:type="dxa" w:w="60"/>
              <w:left w:type="dxa" w:w="100"/>
              <w:bottom w:type="dxa" w:w="60"/>
              <w:right w:type="dxa" w:w="100"/>
            </w:tcMar>
            <w:vAlign w:val="top"/>
          </w:tcPr>
          <w:p>
            <w:r>
              <w:rPr>
                <w:b/>
                <w:bCs/>
                <w:color w:val="FFFFFF"/>
                <w:sz w:val="14"/>
                <w:szCs w:val="14"/>
              </w:rPr>
              <w:t xml:space="preserve">Game convex in</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Shapley in core in</w:t>
            </w:r>
          </w:p>
        </w:tc>
        <w:tc>
          <w:tcPr>
            <w:tcW w:type="dxa" w:w="1200"/>
            <w:shd w:fill="1F3864" w:color="auto" w:val="clear"/>
            <w:tcMar>
              <w:top w:type="dxa" w:w="60"/>
              <w:left w:type="dxa" w:w="100"/>
              <w:bottom w:type="dxa" w:w="60"/>
              <w:right w:type="dxa" w:w="100"/>
            </w:tcMar>
            <w:vAlign w:val="top"/>
          </w:tcPr>
          <w:p>
            <w:r>
              <w:rPr>
                <w:b/>
                <w:bCs/>
                <w:color w:val="FFFFFF"/>
                <w:sz w:val="14"/>
                <w:szCs w:val="14"/>
              </w:rPr>
              <w:t xml:space="preserve">Marginal rule in core in</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Pair rule in core in</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Utility share (pair rule)</w:t>
            </w:r>
          </w:p>
        </w:tc>
        <w:tc>
          <w:tcPr>
            <w:tcW w:type="dxa" w:w="1538"/>
            <w:shd w:fill="1F3864" w:color="auto" w:val="clear"/>
            <w:tcMar>
              <w:top w:type="dxa" w:w="60"/>
              <w:left w:type="dxa" w:w="100"/>
              <w:bottom w:type="dxa" w:w="60"/>
              <w:right w:type="dxa" w:w="100"/>
            </w:tcMar>
            <w:vAlign w:val="top"/>
          </w:tcPr>
          <w:p>
            <w:r>
              <w:rPr>
                <w:b/>
                <w:bCs/>
                <w:color w:val="FFFFFF"/>
                <w:sz w:val="14"/>
                <w:szCs w:val="14"/>
              </w:rPr>
              <w:t xml:space="preserve">Correlation of predicted and realised Shapley</w:t>
            </w:r>
          </w:p>
        </w:tc>
      </w:tr>
      <w:tr>
        <w:trPr>
          <w:cantSplit/>
        </w:trPr>
        <w:tc>
          <w:tcPr>
            <w:tcW w:type="dxa" w:w="1500"/>
            <w:tcMar>
              <w:top w:type="dxa" w:w="60"/>
              <w:left w:type="dxa" w:w="100"/>
              <w:bottom w:type="dxa" w:w="60"/>
              <w:right w:type="dxa" w:w="100"/>
            </w:tcMar>
            <w:vAlign w:val="top"/>
          </w:tcPr>
          <w:p>
            <w:r>
              <w:rPr>
                <w:sz w:val="14"/>
                <w:szCs w:val="14"/>
              </w:rPr>
              <w:t xml:space="preserve">Physics-informed</w:t>
            </w:r>
          </w:p>
        </w:tc>
        <w:tc>
          <w:tcPr>
            <w:tcW w:type="dxa" w:w="1100"/>
            <w:tcMar>
              <w:top w:type="dxa" w:w="60"/>
              <w:left w:type="dxa" w:w="100"/>
              <w:bottom w:type="dxa" w:w="60"/>
              <w:right w:type="dxa" w:w="100"/>
            </w:tcMar>
            <w:vAlign w:val="top"/>
          </w:tcPr>
          <w:p>
            <w:r>
              <w:rPr>
                <w:sz w:val="14"/>
                <w:szCs w:val="14"/>
              </w:rPr>
              <w:t xml:space="preserve">63%</w:t>
            </w:r>
          </w:p>
        </w:tc>
        <w:tc>
          <w:tcPr>
            <w:tcW w:type="dxa" w:w="1000"/>
            <w:tcMar>
              <w:top w:type="dxa" w:w="60"/>
              <w:left w:type="dxa" w:w="100"/>
              <w:bottom w:type="dxa" w:w="60"/>
              <w:right w:type="dxa" w:w="100"/>
            </w:tcMar>
            <w:vAlign w:val="top"/>
          </w:tcPr>
          <w:p>
            <w:r>
              <w:rPr>
                <w:sz w:val="14"/>
                <w:szCs w:val="14"/>
              </w:rPr>
              <w:t xml:space="preserve">0%</w:t>
            </w:r>
          </w:p>
        </w:tc>
        <w:tc>
          <w:tcPr>
            <w:tcW w:type="dxa" w:w="1100"/>
            <w:tcMar>
              <w:top w:type="dxa" w:w="60"/>
              <w:left w:type="dxa" w:w="100"/>
              <w:bottom w:type="dxa" w:w="60"/>
              <w:right w:type="dxa" w:w="100"/>
            </w:tcMar>
            <w:vAlign w:val="top"/>
          </w:tcPr>
          <w:p>
            <w:r>
              <w:rPr>
                <w:sz w:val="14"/>
                <w:szCs w:val="14"/>
              </w:rPr>
              <w:t xml:space="preserve">2.5%</w:t>
            </w:r>
          </w:p>
        </w:tc>
        <w:tc>
          <w:tcPr>
            <w:tcW w:type="dxa" w:w="1200"/>
            <w:tcMar>
              <w:top w:type="dxa" w:w="60"/>
              <w:left w:type="dxa" w:w="100"/>
              <w:bottom w:type="dxa" w:w="60"/>
              <w:right w:type="dxa" w:w="100"/>
            </w:tcMar>
            <w:vAlign w:val="top"/>
          </w:tcPr>
          <w:p>
            <w:r>
              <w:rPr>
                <w:sz w:val="14"/>
                <w:szCs w:val="14"/>
              </w:rPr>
              <w:t xml:space="preserve">4.0%</w:t>
            </w:r>
          </w:p>
        </w:tc>
        <w:tc>
          <w:tcPr>
            <w:tcW w:type="dxa" w:w="1100"/>
            <w:tcMar>
              <w:top w:type="dxa" w:w="60"/>
              <w:left w:type="dxa" w:w="100"/>
              <w:bottom w:type="dxa" w:w="60"/>
              <w:right w:type="dxa" w:w="100"/>
            </w:tcMar>
            <w:vAlign w:val="top"/>
          </w:tcPr>
          <w:p>
            <w:r>
              <w:rPr>
                <w:sz w:val="14"/>
                <w:szCs w:val="14"/>
              </w:rPr>
              <w:t xml:space="preserve">88.0%</w:t>
            </w:r>
          </w:p>
        </w:tc>
        <w:tc>
          <w:tcPr>
            <w:tcW w:type="dxa" w:w="1100"/>
            <w:tcMar>
              <w:top w:type="dxa" w:w="60"/>
              <w:left w:type="dxa" w:w="100"/>
              <w:bottom w:type="dxa" w:w="60"/>
              <w:right w:type="dxa" w:w="100"/>
            </w:tcMar>
            <w:vAlign w:val="top"/>
          </w:tcPr>
          <w:p>
            <w:r>
              <w:rPr>
                <w:sz w:val="14"/>
                <w:szCs w:val="14"/>
              </w:rPr>
              <w:t xml:space="preserve">64%</w:t>
            </w:r>
          </w:p>
        </w:tc>
        <w:tc>
          <w:tcPr>
            <w:tcW w:type="dxa" w:w="1538"/>
            <w:tcMar>
              <w:top w:type="dxa" w:w="60"/>
              <w:left w:type="dxa" w:w="100"/>
              <w:bottom w:type="dxa" w:w="60"/>
              <w:right w:type="dxa" w:w="100"/>
            </w:tcMar>
            <w:vAlign w:val="top"/>
          </w:tcPr>
          <w:p>
            <w:r>
              <w:rPr>
                <w:sz w:val="14"/>
                <w:szCs w:val="14"/>
              </w:rPr>
              <w:t xml:space="preserve">0.21</w:t>
            </w:r>
          </w:p>
        </w:tc>
      </w:tr>
      <w:tr>
        <w:trPr>
          <w:cantSplit/>
        </w:trPr>
        <w:tc>
          <w:tcPr>
            <w:tcW w:type="dxa" w:w="1500"/>
            <w:shd w:fill="F7F9FC" w:color="auto" w:val="clear"/>
            <w:tcMar>
              <w:top w:type="dxa" w:w="60"/>
              <w:left w:type="dxa" w:w="100"/>
              <w:bottom w:type="dxa" w:w="60"/>
              <w:right w:type="dxa" w:w="100"/>
            </w:tcMar>
            <w:vAlign w:val="top"/>
          </w:tcPr>
          <w:p>
            <w:r>
              <w:rPr>
                <w:sz w:val="14"/>
                <w:szCs w:val="14"/>
              </w:rPr>
              <w:t xml:space="preserve">Local statistical</w:t>
            </w:r>
          </w:p>
        </w:tc>
        <w:tc>
          <w:tcPr>
            <w:tcW w:type="dxa" w:w="1100"/>
            <w:shd w:fill="F7F9FC" w:color="auto" w:val="clear"/>
            <w:tcMar>
              <w:top w:type="dxa" w:w="60"/>
              <w:left w:type="dxa" w:w="100"/>
              <w:bottom w:type="dxa" w:w="60"/>
              <w:right w:type="dxa" w:w="100"/>
            </w:tcMar>
            <w:vAlign w:val="top"/>
          </w:tcPr>
          <w:p>
            <w:r>
              <w:rPr>
                <w:sz w:val="14"/>
                <w:szCs w:val="14"/>
              </w:rPr>
              <w:t xml:space="preserve">62%</w:t>
            </w:r>
          </w:p>
        </w:tc>
        <w:tc>
          <w:tcPr>
            <w:tcW w:type="dxa" w:w="1000"/>
            <w:shd w:fill="F7F9FC" w:color="auto" w:val="clear"/>
            <w:tcMar>
              <w:top w:type="dxa" w:w="60"/>
              <w:left w:type="dxa" w:w="100"/>
              <w:bottom w:type="dxa" w:w="60"/>
              <w:right w:type="dxa" w:w="100"/>
            </w:tcMar>
            <w:vAlign w:val="top"/>
          </w:tcPr>
          <w:p>
            <w:r>
              <w:rPr>
                <w:sz w:val="14"/>
                <w:szCs w:val="14"/>
              </w:rPr>
              <w:t xml:space="preserve">0%</w:t>
            </w:r>
          </w:p>
        </w:tc>
        <w:tc>
          <w:tcPr>
            <w:tcW w:type="dxa" w:w="1100"/>
            <w:shd w:fill="F7F9FC" w:color="auto" w:val="clear"/>
            <w:tcMar>
              <w:top w:type="dxa" w:w="60"/>
              <w:left w:type="dxa" w:w="100"/>
              <w:bottom w:type="dxa" w:w="60"/>
              <w:right w:type="dxa" w:w="100"/>
            </w:tcMar>
            <w:vAlign w:val="top"/>
          </w:tcPr>
          <w:p>
            <w:r>
              <w:rPr>
                <w:sz w:val="14"/>
                <w:szCs w:val="14"/>
              </w:rPr>
              <w:t xml:space="preserve">2.0%</w:t>
            </w:r>
          </w:p>
        </w:tc>
        <w:tc>
          <w:tcPr>
            <w:tcW w:type="dxa" w:w="1200"/>
            <w:shd w:fill="F7F9FC" w:color="auto" w:val="clear"/>
            <w:tcMar>
              <w:top w:type="dxa" w:w="60"/>
              <w:left w:type="dxa" w:w="100"/>
              <w:bottom w:type="dxa" w:w="60"/>
              <w:right w:type="dxa" w:w="100"/>
            </w:tcMar>
            <w:vAlign w:val="top"/>
          </w:tcPr>
          <w:p>
            <w:r>
              <w:rPr>
                <w:sz w:val="14"/>
                <w:szCs w:val="14"/>
              </w:rPr>
              <w:t xml:space="preserve">0.0%</w:t>
            </w:r>
          </w:p>
        </w:tc>
        <w:tc>
          <w:tcPr>
            <w:tcW w:type="dxa" w:w="1100"/>
            <w:shd w:fill="F7F9FC" w:color="auto" w:val="clear"/>
            <w:tcMar>
              <w:top w:type="dxa" w:w="60"/>
              <w:left w:type="dxa" w:w="100"/>
              <w:bottom w:type="dxa" w:w="60"/>
              <w:right w:type="dxa" w:w="100"/>
            </w:tcMar>
            <w:vAlign w:val="top"/>
          </w:tcPr>
          <w:p>
            <w:r>
              <w:rPr>
                <w:sz w:val="14"/>
                <w:szCs w:val="14"/>
              </w:rPr>
              <w:t xml:space="preserve">65.5%</w:t>
            </w:r>
          </w:p>
        </w:tc>
        <w:tc>
          <w:tcPr>
            <w:tcW w:type="dxa" w:w="1100"/>
            <w:shd w:fill="F7F9FC" w:color="auto" w:val="clear"/>
            <w:tcMar>
              <w:top w:type="dxa" w:w="60"/>
              <w:left w:type="dxa" w:w="100"/>
              <w:bottom w:type="dxa" w:w="60"/>
              <w:right w:type="dxa" w:w="100"/>
            </w:tcMar>
            <w:vAlign w:val="top"/>
          </w:tcPr>
          <w:p>
            <w:r>
              <w:rPr>
                <w:sz w:val="14"/>
                <w:szCs w:val="14"/>
              </w:rPr>
              <w:t xml:space="preserve">60%</w:t>
            </w:r>
          </w:p>
        </w:tc>
        <w:tc>
          <w:tcPr>
            <w:tcW w:type="dxa" w:w="1538"/>
            <w:shd w:fill="F7F9FC" w:color="auto" w:val="clear"/>
            <w:tcMar>
              <w:top w:type="dxa" w:w="60"/>
              <w:left w:type="dxa" w:w="100"/>
              <w:bottom w:type="dxa" w:w="60"/>
              <w:right w:type="dxa" w:w="100"/>
            </w:tcMar>
            <w:vAlign w:val="top"/>
          </w:tcPr>
          <w:p>
            <w:r>
              <w:rPr>
                <w:sz w:val="14"/>
                <w:szCs w:val="14"/>
              </w:rPr>
              <w:t xml:space="preserve">0.25</w:t>
            </w:r>
          </w:p>
        </w:tc>
      </w:tr>
    </w:tbl>
    <w:p>
      <w:pPr>
        <w:spacing w:after="160"/>
      </w:pPr>
    </w:p>
    <w:p>
      <w:pPr>
        <w:spacing w:after="120"/>
      </w:pPr>
      <w:r>
        <w:rPr>
          <w:i/>
          <w:iCs/>
          <w:color w:val="5B6573"/>
          <w:sz w:val="18"/>
          <w:szCs w:val="18"/>
        </w:rPr>
        <w:t xml:space="preserve">Table 9.4. Shares of the value of the grand coalition in the six-player game with the utility as a veto player, 200 aquifers. Marginal rule: each holder receives </w:t>
      </w:r>
      <m:oMath>
        <m:r>
          <m:t>V</m:t>
        </m:r>
        <m:d>
          <m:dPr>
            <m:begChr m:val="("/>
            <m:sepChr m:val=""/>
            <m:endChr m:val=")"/>
            <m:grow/>
          </m:dPr>
          <m:e>
            <m:r>
              <m:t>N</m:t>
            </m:r>
          </m:e>
        </m:d>
        <m:r>
          <m:rPr>
            <m:sty m:val="p"/>
          </m:rPr>
          <m:t>−</m:t>
        </m:r>
        <m:r>
          <m:t>V</m:t>
        </m:r>
        <m:d>
          <m:dPr>
            <m:begChr m:val="("/>
            <m:sepChr m:val=""/>
            <m:endChr m:val=")"/>
            <m:grow/>
          </m:dPr>
          <m:e>
            <m:r>
              <m:t>N</m:t>
            </m:r>
            <m:r>
              <m:rPr>
                <m:sty m:val="p"/>
              </m:rPr>
              <m:t>∖</m:t>
            </m:r>
            <m:r>
              <m:t>k</m:t>
            </m:r>
          </m:e>
        </m:d>
      </m:oMath>
      <w:r>
        <w:rPr>
          <w:i/>
          <w:iCs/>
          <w:color w:val="5B6573"/>
          <w:sz w:val="18"/>
          <w:szCs w:val="18"/>
        </w:rPr>
        <w:t xml:space="preserve"> and the utility the rest. Pair rule: the same, but the hotels and the municipal wells receive jointly </w:t>
      </w:r>
      <m:oMath>
        <m:r>
          <m:t>V</m:t>
        </m:r>
        <m:d>
          <m:dPr>
            <m:begChr m:val="("/>
            <m:sepChr m:val=""/>
            <m:endChr m:val=")"/>
            <m:grow/>
          </m:dPr>
          <m:e>
            <m:r>
              <m:t>N</m:t>
            </m:r>
          </m:e>
        </m:d>
        <m:r>
          <m:rPr>
            <m:sty m:val="p"/>
          </m:rPr>
          <m:t>−</m:t>
        </m:r>
        <m:r>
          <m:t>V</m:t>
        </m:r>
        <m:d>
          <m:dPr>
            <m:begChr m:val="("/>
            <m:sepChr m:val=""/>
            <m:endChr m:val=")"/>
            <m:grow/>
          </m:dPr>
          <m:e>
            <m:r>
              <m:t>N</m:t>
            </m:r>
            <m:r>
              <m:rPr>
                <m:sty m:val="p"/>
              </m:rPr>
              <m:t>∖</m:t>
            </m:r>
            <m:r>
              <m:rPr>
                <m:sty m:val="p"/>
              </m:rPr>
              <m:t>{</m:t>
            </m:r>
            <m:r>
              <m:rPr>
                <m:nor/>
              </m:rPr>
              <m:t>hotels</m:t>
            </m:r>
            <m:r>
              <m:rPr>
                <m:sty m:val="p"/>
              </m:rPr>
              <m:t>,</m:t>
            </m:r>
            <m:r>
              <m:rPr>
                <m:nor/>
              </m:rPr>
              <m:t>municipal</m:t>
            </m:r>
            <m:r>
              <m:rPr>
                <m:sty m:val="p"/>
              </m:rPr>
              <m:t>}</m:t>
            </m:r>
          </m:e>
        </m:d>
      </m:oMath>
      <w:r>
        <w:rPr>
          <w:i/>
          <w:iCs/>
          <w:color w:val="5B6573"/>
          <w:sz w:val="18"/>
          <w:szCs w:val="18"/>
        </w:rPr>
        <w:t xml:space="preserve">, split in proportion to their individual marginal contributions; stability is checked against every coalition, including those that split the pair.</w:t>
      </w:r>
    </w:p>
    <w:p>
      <w:pPr>
        <w:pStyle w:val="ListParagraph"/>
        <w:numPr>
          <w:ilvl w:val="0"/>
          <w:numId w:val="2"/>
        </w:numPr>
        <w:spacing w:after="60"/>
        <w:jc w:val="both"/>
      </w:pPr>
      <w:r>
        <w:rPr>
          <w:b/>
          <w:bCs/>
        </w:rPr>
        <w:t xml:space="preserve">Banzhaf is not more robust here.</w:t>
      </w:r>
      <w:r>
        <w:t xml:space="preserve"> The claim that the Banzhaf value is more robust to noise in the coalition values than the Shapley value [D1 of review 55] does not show on these games: the Kendall τ of the noisy with the noise-free ranking, Shapley / Banzhaf, is σ = 0.001: 0.96 / 0.95; σ = 0.003: 0.90 / 0.90; σ = 0.01: 0.72 / 0.73 with the physics-informed model and σ = 0.001: 0.99 / 0.99; σ = 0.003: 0.98 / 0.98; σ = 0.01: 0.94 / 0.94 with the local one; no difference exceeds 0.01.</w:t>
      </w:r>
    </w:p>
    <w:p>
      <w:pPr>
        <w:pStyle w:val="ListParagraph"/>
        <w:numPr>
          <w:ilvl w:val="0"/>
          <w:numId w:val="2"/>
        </w:numPr>
        <w:spacing w:after="60"/>
        <w:jc w:val="both"/>
      </w:pPr>
      <w:r>
        <w:rPr>
          <w:b/>
          <w:bCs/>
        </w:rPr>
        <w:t xml:space="preserve">One private release per holder is enough to choose and to share.</w:t>
      </w:r>
      <w:r>
        <w:t xml:space="preserve"> With noise added once per holder, the agreement of the private Shapley ranking with the non-private one rises from 0.39 at </w:t>
      </w:r>
      <m:oMath>
        <m:r>
          <m:t>ε</m:t>
        </m:r>
        <m:r>
          <m:rPr>
            <m:sty m:val="p"/>
          </m:rPr>
          <m:t>=</m:t>
        </m:r>
        <m:r>
          <m:t>1</m:t>
        </m:r>
      </m:oMath>
      <w:r>
        <w:t xml:space="preserve"> to 0.73 at </w:t>
      </w:r>
      <m:oMath>
        <m:r>
          <m:t>ε</m:t>
        </m:r>
        <m:r>
          <m:rPr>
            <m:sty m:val="p"/>
          </m:rPr>
          <m:t>=</m:t>
        </m:r>
        <m:r>
          <m:t>30</m:t>
        </m:r>
      </m:oMath>
      <w:r>
        <w:t xml:space="preserve"> (physics) and from 0.40 to 0.83 (local) (Table 9.5, Figure K1d). The private optimal coalition is often not exactly the non-private one, because several coalitions are close in value, but its net benefit is close: at a cost of 0.01 and </w:t>
      </w:r>
      <m:oMath>
        <m:r>
          <m:t>ε</m:t>
        </m:r>
        <m:r>
          <m:rPr>
            <m:sty m:val="p"/>
          </m:rPr>
          <m:t>=</m:t>
        </m:r>
        <m:r>
          <m:t>1</m:t>
        </m:r>
      </m:oMath>
      <w:r>
        <w:t xml:space="preserve"> it keeps 94% (physics) and 88% (local) of the non-private net benefit. Releasing the 31 coalition values one by one would multiply the noise by four at the same budget (Proposition K1). Clipping never overstated a coalition value in any aquifer (mean understatement 0.0083 and 0.0297).</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500"/>
        <w:gridCol w:w="600"/>
        <w:gridCol w:w="1500"/>
        <w:gridCol w:w="2300"/>
        <w:gridCol w:w="1900"/>
        <w:gridCol w:w="1838"/>
      </w:tblGrid>
      <w:tr>
        <w:trPr>
          <w:cantSplit/>
          <w:tblHeader/>
        </w:trPr>
        <w:tc>
          <w:tcPr>
            <w:tcW w:type="dxa" w:w="1500"/>
            <w:shd w:fill="1F3864" w:color="auto" w:val="clear"/>
            <w:tcMar>
              <w:top w:type="dxa" w:w="60"/>
              <w:left w:type="dxa" w:w="100"/>
              <w:bottom w:type="dxa" w:w="60"/>
              <w:right w:type="dxa" w:w="100"/>
            </w:tcMar>
            <w:vAlign w:val="top"/>
          </w:tcPr>
          <w:p>
            <w:r>
              <w:rPr>
                <w:b/>
                <w:bCs/>
                <w:color w:val="FFFFFF"/>
                <w:sz w:val="14"/>
                <w:szCs w:val="14"/>
              </w:rPr>
              <w:t xml:space="preserve">Model</w:t>
            </w:r>
          </w:p>
        </w:tc>
        <w:tc>
          <w:tcPr>
            <w:tcW w:type="dxa" w:w="600"/>
            <w:shd w:fill="1F3864" w:color="auto" w:val="clear"/>
            <w:tcMar>
              <w:top w:type="dxa" w:w="60"/>
              <w:left w:type="dxa" w:w="100"/>
              <w:bottom w:type="dxa" w:w="60"/>
              <w:right w:type="dxa" w:w="100"/>
            </w:tcMar>
            <w:vAlign w:val="top"/>
          </w:tcPr>
          <w:p>
            <w:r>
              <w:rPr>
                <w:b/>
                <w:bCs/>
                <w:color w:val="FFFFFF"/>
                <w:sz w:val="14"/>
                <w:szCs w:val="14"/>
              </w:rPr>
              <w:t xml:space="preserve">ε</w:t>
            </w:r>
          </w:p>
        </w:tc>
        <w:tc>
          <w:tcPr>
            <w:tcW w:type="dxa" w:w="1500"/>
            <w:shd w:fill="1F3864" w:color="auto" w:val="clear"/>
            <w:tcMar>
              <w:top w:type="dxa" w:w="60"/>
              <w:left w:type="dxa" w:w="100"/>
              <w:bottom w:type="dxa" w:w="60"/>
              <w:right w:type="dxa" w:w="100"/>
            </w:tcMar>
            <w:vAlign w:val="top"/>
          </w:tcPr>
          <w:p>
            <w:r>
              <w:rPr>
                <w:b/>
                <w:bCs/>
                <w:color w:val="FFFFFF"/>
                <w:sz w:val="14"/>
                <w:szCs w:val="14"/>
              </w:rPr>
              <w:t xml:space="preserve">Kendall τ of the Shapley ranking</w:t>
            </w:r>
          </w:p>
        </w:tc>
        <w:tc>
          <w:tcPr>
            <w:tcW w:type="dxa" w:w="2300"/>
            <w:shd w:fill="1F3864" w:color="auto" w:val="clear"/>
            <w:tcMar>
              <w:top w:type="dxa" w:w="60"/>
              <w:left w:type="dxa" w:w="100"/>
              <w:bottom w:type="dxa" w:w="60"/>
              <w:right w:type="dxa" w:w="100"/>
            </w:tcMar>
            <w:vAlign w:val="top"/>
          </w:tcPr>
          <w:p>
            <w:r>
              <w:rPr>
                <w:b/>
                <w:bCs/>
                <w:color w:val="FFFFFF"/>
                <w:sz w:val="14"/>
                <w:szCs w:val="14"/>
              </w:rPr>
              <w:t xml:space="preserve">Same optimal coalition at cost 0.01 / 0.02 / 0.04</w:t>
            </w:r>
          </w:p>
        </w:tc>
        <w:tc>
          <w:tcPr>
            <w:tcW w:type="dxa" w:w="1900"/>
            <w:shd w:fill="1F3864" w:color="auto" w:val="clear"/>
            <w:tcMar>
              <w:top w:type="dxa" w:w="60"/>
              <w:left w:type="dxa" w:w="100"/>
              <w:bottom w:type="dxa" w:w="60"/>
              <w:right w:type="dxa" w:w="100"/>
            </w:tcMar>
            <w:vAlign w:val="top"/>
          </w:tcPr>
          <w:p>
            <w:r>
              <w:rPr>
                <w:b/>
                <w:bCs/>
                <w:color w:val="FFFFFF"/>
                <w:sz w:val="14"/>
                <w:szCs w:val="14"/>
              </w:rPr>
              <w:t xml:space="preserve">Net benefit at cost 0.01 (non-private)</w:t>
            </w:r>
          </w:p>
        </w:tc>
        <w:tc>
          <w:tcPr>
            <w:tcW w:type="dxa" w:w="1838"/>
            <w:shd w:fill="1F3864" w:color="auto" w:val="clear"/>
            <w:tcMar>
              <w:top w:type="dxa" w:w="60"/>
              <w:left w:type="dxa" w:w="100"/>
              <w:bottom w:type="dxa" w:w="60"/>
              <w:right w:type="dxa" w:w="100"/>
            </w:tcMar>
            <w:vAlign w:val="top"/>
          </w:tcPr>
          <w:p>
            <w:r>
              <w:rPr>
                <w:b/>
                <w:bCs/>
                <w:color w:val="FFFFFF"/>
                <w:sz w:val="14"/>
                <w:szCs w:val="14"/>
              </w:rPr>
              <w:t xml:space="preserve">Net benefit at cost 0.02 (non-private)</w:t>
            </w:r>
          </w:p>
        </w:tc>
      </w:tr>
      <w:tr>
        <w:trPr>
          <w:cantSplit/>
        </w:trPr>
        <w:tc>
          <w:tcPr>
            <w:tcW w:type="dxa" w:w="1500"/>
            <w:tcMar>
              <w:top w:type="dxa" w:w="60"/>
              <w:left w:type="dxa" w:w="100"/>
              <w:bottom w:type="dxa" w:w="60"/>
              <w:right w:type="dxa" w:w="100"/>
            </w:tcMar>
            <w:vAlign w:val="top"/>
          </w:tcPr>
          <w:p>
            <w:r>
              <w:rPr>
                <w:sz w:val="14"/>
                <w:szCs w:val="14"/>
              </w:rPr>
              <w:t xml:space="preserve">Physics-informed</w:t>
            </w:r>
          </w:p>
        </w:tc>
        <w:tc>
          <w:tcPr>
            <w:tcW w:type="dxa" w:w="600"/>
            <w:tcMar>
              <w:top w:type="dxa" w:w="60"/>
              <w:left w:type="dxa" w:w="100"/>
              <w:bottom w:type="dxa" w:w="60"/>
              <w:right w:type="dxa" w:w="100"/>
            </w:tcMar>
            <w:vAlign w:val="top"/>
          </w:tcPr>
          <w:p>
            <w:r>
              <w:rPr>
                <w:sz w:val="14"/>
                <w:szCs w:val="14"/>
              </w:rPr>
              <w:t xml:space="preserve">1</w:t>
            </w:r>
          </w:p>
        </w:tc>
        <w:tc>
          <w:tcPr>
            <w:tcW w:type="dxa" w:w="1500"/>
            <w:tcMar>
              <w:top w:type="dxa" w:w="60"/>
              <w:left w:type="dxa" w:w="100"/>
              <w:bottom w:type="dxa" w:w="60"/>
              <w:right w:type="dxa" w:w="100"/>
            </w:tcMar>
            <w:vAlign w:val="top"/>
          </w:tcPr>
          <w:p>
            <w:r>
              <w:rPr>
                <w:sz w:val="14"/>
                <w:szCs w:val="14"/>
              </w:rPr>
              <w:t xml:space="preserve">0.39</w:t>
            </w:r>
          </w:p>
        </w:tc>
        <w:tc>
          <w:tcPr>
            <w:tcW w:type="dxa" w:w="2300"/>
            <w:tcMar>
              <w:top w:type="dxa" w:w="60"/>
              <w:left w:type="dxa" w:w="100"/>
              <w:bottom w:type="dxa" w:w="60"/>
              <w:right w:type="dxa" w:w="100"/>
            </w:tcMar>
            <w:vAlign w:val="top"/>
          </w:tcPr>
          <w:p>
            <w:r>
              <w:rPr>
                <w:sz w:val="14"/>
                <w:szCs w:val="14"/>
              </w:rPr>
              <w:t xml:space="preserve">20% / 44% / 66%</w:t>
            </w:r>
          </w:p>
        </w:tc>
        <w:tc>
          <w:tcPr>
            <w:tcW w:type="dxa" w:w="1900"/>
            <w:tcMar>
              <w:top w:type="dxa" w:w="60"/>
              <w:left w:type="dxa" w:w="100"/>
              <w:bottom w:type="dxa" w:w="60"/>
              <w:right w:type="dxa" w:w="100"/>
            </w:tcMar>
            <w:vAlign w:val="top"/>
          </w:tcPr>
          <w:p>
            <w:r>
              <w:rPr>
                <w:sz w:val="14"/>
                <w:szCs w:val="14"/>
              </w:rPr>
              <w:t xml:space="preserve">+0.0224 (+0.0237)</w:t>
            </w:r>
          </w:p>
        </w:tc>
        <w:tc>
          <w:tcPr>
            <w:tcW w:type="dxa" w:w="1838"/>
            <w:tcMar>
              <w:top w:type="dxa" w:w="60"/>
              <w:left w:type="dxa" w:w="100"/>
              <w:bottom w:type="dxa" w:w="60"/>
              <w:right w:type="dxa" w:w="100"/>
            </w:tcMar>
            <w:vAlign w:val="top"/>
          </w:tcPr>
          <w:p>
            <w:r>
              <w:rPr>
                <w:sz w:val="14"/>
                <w:szCs w:val="14"/>
              </w:rPr>
              <w:t xml:space="preserve">+0.0137 (+0.0160)</w:t>
            </w:r>
          </w:p>
        </w:tc>
      </w:tr>
      <w:tr>
        <w:trPr>
          <w:cantSplit/>
        </w:trPr>
        <w:tc>
          <w:tcPr>
            <w:tcW w:type="dxa" w:w="1500"/>
            <w:shd w:fill="F7F9FC" w:color="auto" w:val="clear"/>
            <w:tcMar>
              <w:top w:type="dxa" w:w="60"/>
              <w:left w:type="dxa" w:w="100"/>
              <w:bottom w:type="dxa" w:w="60"/>
              <w:right w:type="dxa" w:w="100"/>
            </w:tcMar>
            <w:vAlign w:val="top"/>
          </w:tcPr>
          <w:p/>
        </w:tc>
        <w:tc>
          <w:tcPr>
            <w:tcW w:type="dxa" w:w="600"/>
            <w:shd w:fill="F7F9FC" w:color="auto" w:val="clear"/>
            <w:tcMar>
              <w:top w:type="dxa" w:w="60"/>
              <w:left w:type="dxa" w:w="100"/>
              <w:bottom w:type="dxa" w:w="60"/>
              <w:right w:type="dxa" w:w="100"/>
            </w:tcMar>
            <w:vAlign w:val="top"/>
          </w:tcPr>
          <w:p>
            <w:r>
              <w:rPr>
                <w:sz w:val="14"/>
                <w:szCs w:val="14"/>
              </w:rPr>
              <w:t xml:space="preserve">3</w:t>
            </w:r>
          </w:p>
        </w:tc>
        <w:tc>
          <w:tcPr>
            <w:tcW w:type="dxa" w:w="1500"/>
            <w:shd w:fill="F7F9FC" w:color="auto" w:val="clear"/>
            <w:tcMar>
              <w:top w:type="dxa" w:w="60"/>
              <w:left w:type="dxa" w:w="100"/>
              <w:bottom w:type="dxa" w:w="60"/>
              <w:right w:type="dxa" w:w="100"/>
            </w:tcMar>
            <w:vAlign w:val="top"/>
          </w:tcPr>
          <w:p>
            <w:r>
              <w:rPr>
                <w:sz w:val="14"/>
                <w:szCs w:val="14"/>
              </w:rPr>
              <w:t xml:space="preserve">0.58</w:t>
            </w:r>
          </w:p>
        </w:tc>
        <w:tc>
          <w:tcPr>
            <w:tcW w:type="dxa" w:w="2300"/>
            <w:shd w:fill="F7F9FC" w:color="auto" w:val="clear"/>
            <w:tcMar>
              <w:top w:type="dxa" w:w="60"/>
              <w:left w:type="dxa" w:w="100"/>
              <w:bottom w:type="dxa" w:w="60"/>
              <w:right w:type="dxa" w:w="100"/>
            </w:tcMar>
            <w:vAlign w:val="top"/>
          </w:tcPr>
          <w:p>
            <w:r>
              <w:rPr>
                <w:sz w:val="14"/>
                <w:szCs w:val="14"/>
              </w:rPr>
              <w:t xml:space="preserve">35% / 65% / 76%</w:t>
            </w:r>
          </w:p>
        </w:tc>
        <w:tc>
          <w:tcPr>
            <w:tcW w:type="dxa" w:w="1900"/>
            <w:shd w:fill="F7F9FC" w:color="auto" w:val="clear"/>
            <w:tcMar>
              <w:top w:type="dxa" w:w="60"/>
              <w:left w:type="dxa" w:w="100"/>
              <w:bottom w:type="dxa" w:w="60"/>
              <w:right w:type="dxa" w:w="100"/>
            </w:tcMar>
            <w:vAlign w:val="top"/>
          </w:tcPr>
          <w:p>
            <w:r>
              <w:rPr>
                <w:sz w:val="14"/>
                <w:szCs w:val="14"/>
              </w:rPr>
              <w:t xml:space="preserve">+0.0252 (+0.0237)</w:t>
            </w:r>
          </w:p>
        </w:tc>
        <w:tc>
          <w:tcPr>
            <w:tcW w:type="dxa" w:w="1838"/>
            <w:shd w:fill="F7F9FC" w:color="auto" w:val="clear"/>
            <w:tcMar>
              <w:top w:type="dxa" w:w="60"/>
              <w:left w:type="dxa" w:w="100"/>
              <w:bottom w:type="dxa" w:w="60"/>
              <w:right w:type="dxa" w:w="100"/>
            </w:tcMar>
            <w:vAlign w:val="top"/>
          </w:tcPr>
          <w:p>
            <w:r>
              <w:rPr>
                <w:sz w:val="14"/>
                <w:szCs w:val="14"/>
              </w:rPr>
              <w:t xml:space="preserve">+0.0158 (+0.0160)</w:t>
            </w:r>
          </w:p>
        </w:tc>
      </w:tr>
      <w:tr>
        <w:trPr>
          <w:cantSplit/>
        </w:trPr>
        <w:tc>
          <w:tcPr>
            <w:tcW w:type="dxa" w:w="1500"/>
            <w:tcMar>
              <w:top w:type="dxa" w:w="60"/>
              <w:left w:type="dxa" w:w="100"/>
              <w:bottom w:type="dxa" w:w="60"/>
              <w:right w:type="dxa" w:w="100"/>
            </w:tcMar>
            <w:vAlign w:val="top"/>
          </w:tcPr>
          <w:p/>
        </w:tc>
        <w:tc>
          <w:tcPr>
            <w:tcW w:type="dxa" w:w="600"/>
            <w:tcMar>
              <w:top w:type="dxa" w:w="60"/>
              <w:left w:type="dxa" w:w="100"/>
              <w:bottom w:type="dxa" w:w="60"/>
              <w:right w:type="dxa" w:w="100"/>
            </w:tcMar>
            <w:vAlign w:val="top"/>
          </w:tcPr>
          <w:p>
            <w:r>
              <w:rPr>
                <w:sz w:val="14"/>
                <w:szCs w:val="14"/>
              </w:rPr>
              <w:t xml:space="preserve">10</w:t>
            </w:r>
          </w:p>
        </w:tc>
        <w:tc>
          <w:tcPr>
            <w:tcW w:type="dxa" w:w="1500"/>
            <w:tcMar>
              <w:top w:type="dxa" w:w="60"/>
              <w:left w:type="dxa" w:w="100"/>
              <w:bottom w:type="dxa" w:w="60"/>
              <w:right w:type="dxa" w:w="100"/>
            </w:tcMar>
            <w:vAlign w:val="top"/>
          </w:tcPr>
          <w:p>
            <w:r>
              <w:rPr>
                <w:sz w:val="14"/>
                <w:szCs w:val="14"/>
              </w:rPr>
              <w:t xml:space="preserve">0.69</w:t>
            </w:r>
          </w:p>
        </w:tc>
        <w:tc>
          <w:tcPr>
            <w:tcW w:type="dxa" w:w="2300"/>
            <w:tcMar>
              <w:top w:type="dxa" w:w="60"/>
              <w:left w:type="dxa" w:w="100"/>
              <w:bottom w:type="dxa" w:w="60"/>
              <w:right w:type="dxa" w:w="100"/>
            </w:tcMar>
            <w:vAlign w:val="top"/>
          </w:tcPr>
          <w:p>
            <w:r>
              <w:rPr>
                <w:sz w:val="14"/>
                <w:szCs w:val="14"/>
              </w:rPr>
              <w:t xml:space="preserve">45% / 67% / 81%</w:t>
            </w:r>
          </w:p>
        </w:tc>
        <w:tc>
          <w:tcPr>
            <w:tcW w:type="dxa" w:w="1900"/>
            <w:tcMar>
              <w:top w:type="dxa" w:w="60"/>
              <w:left w:type="dxa" w:w="100"/>
              <w:bottom w:type="dxa" w:w="60"/>
              <w:right w:type="dxa" w:w="100"/>
            </w:tcMar>
            <w:vAlign w:val="top"/>
          </w:tcPr>
          <w:p>
            <w:r>
              <w:rPr>
                <w:sz w:val="14"/>
                <w:szCs w:val="14"/>
              </w:rPr>
              <w:t xml:space="preserve">+0.0265 (+0.0237)</w:t>
            </w:r>
          </w:p>
        </w:tc>
        <w:tc>
          <w:tcPr>
            <w:tcW w:type="dxa" w:w="1838"/>
            <w:tcMar>
              <w:top w:type="dxa" w:w="60"/>
              <w:left w:type="dxa" w:w="100"/>
              <w:bottom w:type="dxa" w:w="60"/>
              <w:right w:type="dxa" w:w="100"/>
            </w:tcMar>
            <w:vAlign w:val="top"/>
          </w:tcPr>
          <w:p>
            <w:r>
              <w:rPr>
                <w:sz w:val="14"/>
                <w:szCs w:val="14"/>
              </w:rPr>
              <w:t xml:space="preserve">+0.0192 (+0.0160)</w:t>
            </w:r>
          </w:p>
        </w:tc>
      </w:tr>
      <w:tr>
        <w:trPr>
          <w:cantSplit/>
        </w:trPr>
        <w:tc>
          <w:tcPr>
            <w:tcW w:type="dxa" w:w="1500"/>
            <w:shd w:fill="F7F9FC" w:color="auto" w:val="clear"/>
            <w:tcMar>
              <w:top w:type="dxa" w:w="60"/>
              <w:left w:type="dxa" w:w="100"/>
              <w:bottom w:type="dxa" w:w="60"/>
              <w:right w:type="dxa" w:w="100"/>
            </w:tcMar>
            <w:vAlign w:val="top"/>
          </w:tcPr>
          <w:p/>
        </w:tc>
        <w:tc>
          <w:tcPr>
            <w:tcW w:type="dxa" w:w="600"/>
            <w:shd w:fill="F7F9FC" w:color="auto" w:val="clear"/>
            <w:tcMar>
              <w:top w:type="dxa" w:w="60"/>
              <w:left w:type="dxa" w:w="100"/>
              <w:bottom w:type="dxa" w:w="60"/>
              <w:right w:type="dxa" w:w="100"/>
            </w:tcMar>
            <w:vAlign w:val="top"/>
          </w:tcPr>
          <w:p>
            <w:r>
              <w:rPr>
                <w:sz w:val="14"/>
                <w:szCs w:val="14"/>
              </w:rPr>
              <w:t xml:space="preserve">30</w:t>
            </w:r>
          </w:p>
        </w:tc>
        <w:tc>
          <w:tcPr>
            <w:tcW w:type="dxa" w:w="1500"/>
            <w:shd w:fill="F7F9FC" w:color="auto" w:val="clear"/>
            <w:tcMar>
              <w:top w:type="dxa" w:w="60"/>
              <w:left w:type="dxa" w:w="100"/>
              <w:bottom w:type="dxa" w:w="60"/>
              <w:right w:type="dxa" w:w="100"/>
            </w:tcMar>
            <w:vAlign w:val="top"/>
          </w:tcPr>
          <w:p>
            <w:r>
              <w:rPr>
                <w:sz w:val="14"/>
                <w:szCs w:val="14"/>
              </w:rPr>
              <w:t xml:space="preserve">0.73</w:t>
            </w:r>
          </w:p>
        </w:tc>
        <w:tc>
          <w:tcPr>
            <w:tcW w:type="dxa" w:w="2300"/>
            <w:shd w:fill="F7F9FC" w:color="auto" w:val="clear"/>
            <w:tcMar>
              <w:top w:type="dxa" w:w="60"/>
              <w:left w:type="dxa" w:w="100"/>
              <w:bottom w:type="dxa" w:w="60"/>
              <w:right w:type="dxa" w:w="100"/>
            </w:tcMar>
            <w:vAlign w:val="top"/>
          </w:tcPr>
          <w:p>
            <w:r>
              <w:rPr>
                <w:sz w:val="14"/>
                <w:szCs w:val="14"/>
              </w:rPr>
              <w:t xml:space="preserve">55% / 69% / 83%</w:t>
            </w:r>
          </w:p>
        </w:tc>
        <w:tc>
          <w:tcPr>
            <w:tcW w:type="dxa" w:w="1900"/>
            <w:shd w:fill="F7F9FC" w:color="auto" w:val="clear"/>
            <w:tcMar>
              <w:top w:type="dxa" w:w="60"/>
              <w:left w:type="dxa" w:w="100"/>
              <w:bottom w:type="dxa" w:w="60"/>
              <w:right w:type="dxa" w:w="100"/>
            </w:tcMar>
            <w:vAlign w:val="top"/>
          </w:tcPr>
          <w:p>
            <w:r>
              <w:rPr>
                <w:sz w:val="14"/>
                <w:szCs w:val="14"/>
              </w:rPr>
              <w:t xml:space="preserve">+0.0276 (+0.0237)</w:t>
            </w:r>
          </w:p>
        </w:tc>
        <w:tc>
          <w:tcPr>
            <w:tcW w:type="dxa" w:w="1838"/>
            <w:shd w:fill="F7F9FC" w:color="auto" w:val="clear"/>
            <w:tcMar>
              <w:top w:type="dxa" w:w="60"/>
              <w:left w:type="dxa" w:w="100"/>
              <w:bottom w:type="dxa" w:w="60"/>
              <w:right w:type="dxa" w:w="100"/>
            </w:tcMar>
            <w:vAlign w:val="top"/>
          </w:tcPr>
          <w:p>
            <w:r>
              <w:rPr>
                <w:sz w:val="14"/>
                <w:szCs w:val="14"/>
              </w:rPr>
              <w:t xml:space="preserve">+0.0150 (+0.0160)</w:t>
            </w:r>
          </w:p>
        </w:tc>
      </w:tr>
      <w:tr>
        <w:trPr>
          <w:cantSplit/>
        </w:trPr>
        <w:tc>
          <w:tcPr>
            <w:tcW w:type="dxa" w:w="1500"/>
            <w:tcMar>
              <w:top w:type="dxa" w:w="60"/>
              <w:left w:type="dxa" w:w="100"/>
              <w:bottom w:type="dxa" w:w="60"/>
              <w:right w:type="dxa" w:w="100"/>
            </w:tcMar>
            <w:vAlign w:val="top"/>
          </w:tcPr>
          <w:p>
            <w:r>
              <w:rPr>
                <w:sz w:val="14"/>
                <w:szCs w:val="14"/>
              </w:rPr>
              <w:t xml:space="preserve">Local statistical</w:t>
            </w:r>
          </w:p>
        </w:tc>
        <w:tc>
          <w:tcPr>
            <w:tcW w:type="dxa" w:w="600"/>
            <w:tcMar>
              <w:top w:type="dxa" w:w="60"/>
              <w:left w:type="dxa" w:w="100"/>
              <w:bottom w:type="dxa" w:w="60"/>
              <w:right w:type="dxa" w:w="100"/>
            </w:tcMar>
            <w:vAlign w:val="top"/>
          </w:tcPr>
          <w:p>
            <w:r>
              <w:rPr>
                <w:sz w:val="14"/>
                <w:szCs w:val="14"/>
              </w:rPr>
              <w:t xml:space="preserve">1</w:t>
            </w:r>
          </w:p>
        </w:tc>
        <w:tc>
          <w:tcPr>
            <w:tcW w:type="dxa" w:w="1500"/>
            <w:tcMar>
              <w:top w:type="dxa" w:w="60"/>
              <w:left w:type="dxa" w:w="100"/>
              <w:bottom w:type="dxa" w:w="60"/>
              <w:right w:type="dxa" w:w="100"/>
            </w:tcMar>
            <w:vAlign w:val="top"/>
          </w:tcPr>
          <w:p>
            <w:r>
              <w:rPr>
                <w:sz w:val="14"/>
                <w:szCs w:val="14"/>
              </w:rPr>
              <w:t xml:space="preserve">0.40</w:t>
            </w:r>
          </w:p>
        </w:tc>
        <w:tc>
          <w:tcPr>
            <w:tcW w:type="dxa" w:w="2300"/>
            <w:tcMar>
              <w:top w:type="dxa" w:w="60"/>
              <w:left w:type="dxa" w:w="100"/>
              <w:bottom w:type="dxa" w:w="60"/>
              <w:right w:type="dxa" w:w="100"/>
            </w:tcMar>
            <w:vAlign w:val="top"/>
          </w:tcPr>
          <w:p>
            <w:r>
              <w:rPr>
                <w:sz w:val="14"/>
                <w:szCs w:val="14"/>
              </w:rPr>
              <w:t xml:space="preserve">1% / 2% / 20%</w:t>
            </w:r>
          </w:p>
        </w:tc>
        <w:tc>
          <w:tcPr>
            <w:tcW w:type="dxa" w:w="1900"/>
            <w:tcMar>
              <w:top w:type="dxa" w:w="60"/>
              <w:left w:type="dxa" w:w="100"/>
              <w:bottom w:type="dxa" w:w="60"/>
              <w:right w:type="dxa" w:w="100"/>
            </w:tcMar>
            <w:vAlign w:val="top"/>
          </w:tcPr>
          <w:p>
            <w:r>
              <w:rPr>
                <w:sz w:val="14"/>
                <w:szCs w:val="14"/>
              </w:rPr>
              <w:t xml:space="preserve">+0.1788 (+0.2035)</w:t>
            </w:r>
          </w:p>
        </w:tc>
        <w:tc>
          <w:tcPr>
            <w:tcW w:type="dxa" w:w="1838"/>
            <w:tcMar>
              <w:top w:type="dxa" w:w="60"/>
              <w:left w:type="dxa" w:w="100"/>
              <w:bottom w:type="dxa" w:w="60"/>
              <w:right w:type="dxa" w:w="100"/>
            </w:tcMar>
            <w:vAlign w:val="top"/>
          </w:tcPr>
          <w:p>
            <w:r>
              <w:rPr>
                <w:sz w:val="14"/>
                <w:szCs w:val="14"/>
              </w:rPr>
              <w:t xml:space="preserve">+0.1539 (+0.1869)</w:t>
            </w:r>
          </w:p>
        </w:tc>
      </w:tr>
      <w:tr>
        <w:trPr>
          <w:cantSplit/>
        </w:trPr>
        <w:tc>
          <w:tcPr>
            <w:tcW w:type="dxa" w:w="1500"/>
            <w:shd w:fill="F7F9FC" w:color="auto" w:val="clear"/>
            <w:tcMar>
              <w:top w:type="dxa" w:w="60"/>
              <w:left w:type="dxa" w:w="100"/>
              <w:bottom w:type="dxa" w:w="60"/>
              <w:right w:type="dxa" w:w="100"/>
            </w:tcMar>
            <w:vAlign w:val="top"/>
          </w:tcPr>
          <w:p/>
        </w:tc>
        <w:tc>
          <w:tcPr>
            <w:tcW w:type="dxa" w:w="600"/>
            <w:shd w:fill="F7F9FC" w:color="auto" w:val="clear"/>
            <w:tcMar>
              <w:top w:type="dxa" w:w="60"/>
              <w:left w:type="dxa" w:w="100"/>
              <w:bottom w:type="dxa" w:w="60"/>
              <w:right w:type="dxa" w:w="100"/>
            </w:tcMar>
            <w:vAlign w:val="top"/>
          </w:tcPr>
          <w:p>
            <w:r>
              <w:rPr>
                <w:sz w:val="14"/>
                <w:szCs w:val="14"/>
              </w:rPr>
              <w:t xml:space="preserve">3</w:t>
            </w:r>
          </w:p>
        </w:tc>
        <w:tc>
          <w:tcPr>
            <w:tcW w:type="dxa" w:w="1500"/>
            <w:shd w:fill="F7F9FC" w:color="auto" w:val="clear"/>
            <w:tcMar>
              <w:top w:type="dxa" w:w="60"/>
              <w:left w:type="dxa" w:w="100"/>
              <w:bottom w:type="dxa" w:w="60"/>
              <w:right w:type="dxa" w:w="100"/>
            </w:tcMar>
            <w:vAlign w:val="top"/>
          </w:tcPr>
          <w:p>
            <w:r>
              <w:rPr>
                <w:sz w:val="14"/>
                <w:szCs w:val="14"/>
              </w:rPr>
              <w:t xml:space="preserve">0.60</w:t>
            </w:r>
          </w:p>
        </w:tc>
        <w:tc>
          <w:tcPr>
            <w:tcW w:type="dxa" w:w="2300"/>
            <w:shd w:fill="F7F9FC" w:color="auto" w:val="clear"/>
            <w:tcMar>
              <w:top w:type="dxa" w:w="60"/>
              <w:left w:type="dxa" w:w="100"/>
              <w:bottom w:type="dxa" w:w="60"/>
              <w:right w:type="dxa" w:w="100"/>
            </w:tcMar>
            <w:vAlign w:val="top"/>
          </w:tcPr>
          <w:p>
            <w:r>
              <w:rPr>
                <w:sz w:val="14"/>
                <w:szCs w:val="14"/>
              </w:rPr>
              <w:t xml:space="preserve">8% / 8% / 35%</w:t>
            </w:r>
          </w:p>
        </w:tc>
        <w:tc>
          <w:tcPr>
            <w:tcW w:type="dxa" w:w="1900"/>
            <w:shd w:fill="F7F9FC" w:color="auto" w:val="clear"/>
            <w:tcMar>
              <w:top w:type="dxa" w:w="60"/>
              <w:left w:type="dxa" w:w="100"/>
              <w:bottom w:type="dxa" w:w="60"/>
              <w:right w:type="dxa" w:w="100"/>
            </w:tcMar>
            <w:vAlign w:val="top"/>
          </w:tcPr>
          <w:p>
            <w:r>
              <w:rPr>
                <w:sz w:val="14"/>
                <w:szCs w:val="14"/>
              </w:rPr>
              <w:t xml:space="preserve">+0.2170 (+0.2035)</w:t>
            </w:r>
          </w:p>
        </w:tc>
        <w:tc>
          <w:tcPr>
            <w:tcW w:type="dxa" w:w="1838"/>
            <w:shd w:fill="F7F9FC" w:color="auto" w:val="clear"/>
            <w:tcMar>
              <w:top w:type="dxa" w:w="60"/>
              <w:left w:type="dxa" w:w="100"/>
              <w:bottom w:type="dxa" w:w="60"/>
              <w:right w:type="dxa" w:w="100"/>
            </w:tcMar>
            <w:vAlign w:val="top"/>
          </w:tcPr>
          <w:p>
            <w:r>
              <w:rPr>
                <w:sz w:val="14"/>
                <w:szCs w:val="14"/>
              </w:rPr>
              <w:t xml:space="preserve">+0.1811 (+0.1869)</w:t>
            </w:r>
          </w:p>
        </w:tc>
      </w:tr>
      <w:tr>
        <w:trPr>
          <w:cantSplit/>
        </w:trPr>
        <w:tc>
          <w:tcPr>
            <w:tcW w:type="dxa" w:w="1500"/>
            <w:tcMar>
              <w:top w:type="dxa" w:w="60"/>
              <w:left w:type="dxa" w:w="100"/>
              <w:bottom w:type="dxa" w:w="60"/>
              <w:right w:type="dxa" w:w="100"/>
            </w:tcMar>
            <w:vAlign w:val="top"/>
          </w:tcPr>
          <w:p/>
        </w:tc>
        <w:tc>
          <w:tcPr>
            <w:tcW w:type="dxa" w:w="600"/>
            <w:tcMar>
              <w:top w:type="dxa" w:w="60"/>
              <w:left w:type="dxa" w:w="100"/>
              <w:bottom w:type="dxa" w:w="60"/>
              <w:right w:type="dxa" w:w="100"/>
            </w:tcMar>
            <w:vAlign w:val="top"/>
          </w:tcPr>
          <w:p>
            <w:r>
              <w:rPr>
                <w:sz w:val="14"/>
                <w:szCs w:val="14"/>
              </w:rPr>
              <w:t xml:space="preserve">10</w:t>
            </w:r>
          </w:p>
        </w:tc>
        <w:tc>
          <w:tcPr>
            <w:tcW w:type="dxa" w:w="1500"/>
            <w:tcMar>
              <w:top w:type="dxa" w:w="60"/>
              <w:left w:type="dxa" w:w="100"/>
              <w:bottom w:type="dxa" w:w="60"/>
              <w:right w:type="dxa" w:w="100"/>
            </w:tcMar>
            <w:vAlign w:val="top"/>
          </w:tcPr>
          <w:p>
            <w:r>
              <w:rPr>
                <w:sz w:val="14"/>
                <w:szCs w:val="14"/>
              </w:rPr>
              <w:t xml:space="preserve">0.73</w:t>
            </w:r>
          </w:p>
        </w:tc>
        <w:tc>
          <w:tcPr>
            <w:tcW w:type="dxa" w:w="2300"/>
            <w:tcMar>
              <w:top w:type="dxa" w:w="60"/>
              <w:left w:type="dxa" w:w="100"/>
              <w:bottom w:type="dxa" w:w="60"/>
              <w:right w:type="dxa" w:w="100"/>
            </w:tcMar>
            <w:vAlign w:val="top"/>
          </w:tcPr>
          <w:p>
            <w:r>
              <w:rPr>
                <w:sz w:val="14"/>
                <w:szCs w:val="14"/>
              </w:rPr>
              <w:t xml:space="preserve">30% / 30% / 46%</w:t>
            </w:r>
          </w:p>
        </w:tc>
        <w:tc>
          <w:tcPr>
            <w:tcW w:type="dxa" w:w="1900"/>
            <w:tcMar>
              <w:top w:type="dxa" w:w="60"/>
              <w:left w:type="dxa" w:w="100"/>
              <w:bottom w:type="dxa" w:w="60"/>
              <w:right w:type="dxa" w:w="100"/>
            </w:tcMar>
            <w:vAlign w:val="top"/>
          </w:tcPr>
          <w:p>
            <w:r>
              <w:rPr>
                <w:sz w:val="14"/>
                <w:szCs w:val="14"/>
              </w:rPr>
              <w:t xml:space="preserve">+0.2114 (+0.2035)</w:t>
            </w:r>
          </w:p>
        </w:tc>
        <w:tc>
          <w:tcPr>
            <w:tcW w:type="dxa" w:w="1838"/>
            <w:tcMar>
              <w:top w:type="dxa" w:w="60"/>
              <w:left w:type="dxa" w:w="100"/>
              <w:bottom w:type="dxa" w:w="60"/>
              <w:right w:type="dxa" w:w="100"/>
            </w:tcMar>
            <w:vAlign w:val="top"/>
          </w:tcPr>
          <w:p>
            <w:r>
              <w:rPr>
                <w:sz w:val="14"/>
                <w:szCs w:val="14"/>
              </w:rPr>
              <w:t xml:space="preserve">+0.1969 (+0.1869)</w:t>
            </w:r>
          </w:p>
        </w:tc>
      </w:tr>
      <w:tr>
        <w:trPr>
          <w:cantSplit/>
        </w:trPr>
        <w:tc>
          <w:tcPr>
            <w:tcW w:type="dxa" w:w="1500"/>
            <w:shd w:fill="F7F9FC" w:color="auto" w:val="clear"/>
            <w:tcMar>
              <w:top w:type="dxa" w:w="60"/>
              <w:left w:type="dxa" w:w="100"/>
              <w:bottom w:type="dxa" w:w="60"/>
              <w:right w:type="dxa" w:w="100"/>
            </w:tcMar>
            <w:vAlign w:val="top"/>
          </w:tcPr>
          <w:p/>
        </w:tc>
        <w:tc>
          <w:tcPr>
            <w:tcW w:type="dxa" w:w="600"/>
            <w:shd w:fill="F7F9FC" w:color="auto" w:val="clear"/>
            <w:tcMar>
              <w:top w:type="dxa" w:w="60"/>
              <w:left w:type="dxa" w:w="100"/>
              <w:bottom w:type="dxa" w:w="60"/>
              <w:right w:type="dxa" w:w="100"/>
            </w:tcMar>
            <w:vAlign w:val="top"/>
          </w:tcPr>
          <w:p>
            <w:r>
              <w:rPr>
                <w:sz w:val="14"/>
                <w:szCs w:val="14"/>
              </w:rPr>
              <w:t xml:space="preserve">30</w:t>
            </w:r>
          </w:p>
        </w:tc>
        <w:tc>
          <w:tcPr>
            <w:tcW w:type="dxa" w:w="1500"/>
            <w:shd w:fill="F7F9FC" w:color="auto" w:val="clear"/>
            <w:tcMar>
              <w:top w:type="dxa" w:w="60"/>
              <w:left w:type="dxa" w:w="100"/>
              <w:bottom w:type="dxa" w:w="60"/>
              <w:right w:type="dxa" w:w="100"/>
            </w:tcMar>
            <w:vAlign w:val="top"/>
          </w:tcPr>
          <w:p>
            <w:r>
              <w:rPr>
                <w:sz w:val="14"/>
                <w:szCs w:val="14"/>
              </w:rPr>
              <w:t xml:space="preserve">0.83</w:t>
            </w:r>
          </w:p>
        </w:tc>
        <w:tc>
          <w:tcPr>
            <w:tcW w:type="dxa" w:w="2300"/>
            <w:shd w:fill="F7F9FC" w:color="auto" w:val="clear"/>
            <w:tcMar>
              <w:top w:type="dxa" w:w="60"/>
              <w:left w:type="dxa" w:w="100"/>
              <w:bottom w:type="dxa" w:w="60"/>
              <w:right w:type="dxa" w:w="100"/>
            </w:tcMar>
            <w:vAlign w:val="top"/>
          </w:tcPr>
          <w:p>
            <w:r>
              <w:rPr>
                <w:sz w:val="14"/>
                <w:szCs w:val="14"/>
              </w:rPr>
              <w:t xml:space="preserve">39% / 64% / 55%</w:t>
            </w:r>
          </w:p>
        </w:tc>
        <w:tc>
          <w:tcPr>
            <w:tcW w:type="dxa" w:w="1900"/>
            <w:shd w:fill="F7F9FC" w:color="auto" w:val="clear"/>
            <w:tcMar>
              <w:top w:type="dxa" w:w="60"/>
              <w:left w:type="dxa" w:w="100"/>
              <w:bottom w:type="dxa" w:w="60"/>
              <w:right w:type="dxa" w:w="100"/>
            </w:tcMar>
            <w:vAlign w:val="top"/>
          </w:tcPr>
          <w:p>
            <w:r>
              <w:rPr>
                <w:sz w:val="14"/>
                <w:szCs w:val="14"/>
              </w:rPr>
              <w:t xml:space="preserve">+0.2100 (+0.2035)</w:t>
            </w:r>
          </w:p>
        </w:tc>
        <w:tc>
          <w:tcPr>
            <w:tcW w:type="dxa" w:w="1838"/>
            <w:shd w:fill="F7F9FC" w:color="auto" w:val="clear"/>
            <w:tcMar>
              <w:top w:type="dxa" w:w="60"/>
              <w:left w:type="dxa" w:w="100"/>
              <w:bottom w:type="dxa" w:w="60"/>
              <w:right w:type="dxa" w:w="100"/>
            </w:tcMar>
            <w:vAlign w:val="top"/>
          </w:tcPr>
          <w:p>
            <w:r>
              <w:rPr>
                <w:sz w:val="14"/>
                <w:szCs w:val="14"/>
              </w:rPr>
              <w:t xml:space="preserve">+0.1883 (+0.1869)</w:t>
            </w:r>
          </w:p>
        </w:tc>
      </w:tr>
    </w:tbl>
    <w:p>
      <w:pPr>
        <w:spacing w:after="160"/>
      </w:pPr>
    </w:p>
    <w:p>
      <w:pPr>
        <w:spacing w:after="120"/>
      </w:pPr>
      <w:r>
        <w:rPr>
          <w:i/>
          <w:iCs/>
          <w:color w:val="5B6573"/>
          <w:sz w:val="18"/>
          <w:szCs w:val="18"/>
        </w:rPr>
        <w:t xml:space="preserve">Table 9.5. Privacy with one release per holder: clipped whitened information plus Gaussian noise at </w:t>
      </w:r>
      <m:oMath>
        <m:d>
          <m:dPr>
            <m:begChr m:val="("/>
            <m:sepChr m:val=""/>
            <m:endChr m:val=")"/>
            <m:grow/>
          </m:dPr>
          <m:e>
            <m:r>
              <m:t>ε</m:t>
            </m:r>
            <m:r>
              <m:rPr>
                <m:sty m:val="p"/>
              </m:rPr>
              <m:t>,</m:t>
            </m:r>
            <m:sSup>
              <m:e>
                <m:r>
                  <m:t>10</m:t>
                </m:r>
              </m:e>
              <m:sup>
                <m:r>
                  <m:rPr>
                    <m:sty m:val="p"/>
                  </m:rPr>
                  <m:t>−</m:t>
                </m:r>
                <m:r>
                  <m:t>6</m:t>
                </m:r>
              </m:sup>
            </m:sSup>
          </m:e>
        </m:d>
      </m:oMath>
      <w:r>
        <w:rPr>
          <w:i/>
          <w:iCs/>
          <w:color w:val="5B6573"/>
          <w:sz w:val="18"/>
          <w:szCs w:val="18"/>
        </w:rPr>
        <w:t xml:space="preserve">, all 31 coalition values by post-processing. One well-season is the protected unit. Net benefit in loss units; the non-private optimal fixed coalition is in brackets.</w:t>
      </w:r>
    </w:p>
    <w:p>
      <w:pPr>
        <w:pStyle w:val="ListParagraph"/>
        <w:numPr>
          <w:ilvl w:val="0"/>
          <w:numId w:val="2"/>
        </w:numPr>
        <w:spacing w:after="60"/>
        <w:jc w:val="both"/>
      </w:pPr>
      <w:r>
        <w:rPr>
          <w:b/>
          <w:bCs/>
        </w:rPr>
        <w:t xml:space="preserve">Physics is still worth more than the coalition.</w:t>
      </w:r>
      <w:r>
        <w:t xml:space="preserve"> The physics-informed model without any merge has a mean loss of 0.499; the local statistical model after merging all five holders has 0.516. The predicted coalition values are calibrated on average (slope of realised on predicted 0.92 and 0.98), but the physics-informed model overstates them (mean 0.055 predicted, 0.040 realised) and the local model understates them (0.172 and 0.197).</w:t>
      </w:r>
    </w:p>
    <w:p>
      <w:pPr>
        <w:pStyle w:val="Heading3"/>
      </w:pPr>
      <w:r>
        <w:rPr>
          <w:color w:val="1F3864"/>
        </w:rPr>
        <w:t xml:space="preserve">9.8 What it means for Fushë-Kuqe, and the limits</w:t>
      </w:r>
    </w:p>
    <w:p>
      <w:pPr>
        <w:spacing w:after="120"/>
        <w:jc w:val="both"/>
      </w:pPr>
      <w:r>
        <w:t xml:space="preserve">For the utility and the COST Action the order of work is: build the CATE model on the groundwater model first; ask every holder for one clipped, privatised summary of its records, computed on secret shares; value all coalitions from those summaries at no extra privacy cost; look for pairs whose predicted synergy is positive, here the hotels and the municipal wells, which see opposite pumping regimes at the coast; merge adaptively, one holder at a time, and stop when no merge pays its cost; and share the value by paying complementary holders jointly, which is stable where the Shapley division is not. The limits: aquifers, chemistry and holders are simulated, not observed; the models are linear-Gaussian with known noise; treatment is binary and each holder's pumping is assumed unconfounded given the model; the cost of a merge is the same for every holder; stability is checked on predicted values, not on realised ones; the complementary pair is named from the predicted synergies rather than found by a general block-search algorithm; and the secure computation is the faithful simulation of review 55, not a deployed protocol.</w:t>
      </w:r>
    </w:p>
    <w:p>
      <w:pPr>
        <w:pStyle w:val="Heading1"/>
      </w:pPr>
      <w:r>
        <w:rPr>
          <w:color w:val="1F3864"/>
        </w:rPr>
        <w:t xml:space="preserve">10. References</w:t>
      </w:r>
    </w:p>
    <w:p>
      <w:pPr>
        <w:pStyle w:val="Heading3"/>
      </w:pPr>
      <w:r>
        <w:rPr>
          <w:color w:val="1F3864"/>
        </w:rPr>
        <w:t xml:space="preserve">References of Part I and section 9 (classical literature and the anchor paper)</w:t>
      </w:r>
    </w:p>
    <w:p>
      <w:pPr>
        <w:tabs>
          <w:tab w:val="left" w:pos="567"/>
        </w:tabs>
        <w:spacing w:after="50"/>
        <w:ind w:left="567" w:hanging="567"/>
        <w:jc w:val="left"/>
      </w:pPr>
      <w:r>
        <w:rPr>
          <w:b/>
          <w:bCs/>
          <w:color w:val="1F3864"/>
          <w:sz w:val="17"/>
          <w:szCs w:val="17"/>
        </w:rPr>
        <w:t xml:space="preserve">[B1]	</w:t>
      </w:r>
      <w:r>
        <w:rPr>
          <w:sz w:val="17"/>
          <w:szCs w:val="17"/>
        </w:rPr>
        <w:t xml:space="preserve">Fawkes, J., Ter-Minassian, L., Ivanova, D., Shalit, U. &amp; Holmes, C. (2025). Is merging worth it? Securely evaluating the information gain for causal dataset acquisition. In </w:t>
      </w:r>
      <w:r>
        <w:rPr>
          <w:i/>
          <w:iCs/>
          <w:sz w:val="17"/>
          <w:szCs w:val="17"/>
        </w:rPr>
        <w:t xml:space="preserve">Proceedings of the 28th International Conference on Artificial Intelligence and Statistics (AISTATS 2025)</w:t>
      </w:r>
      <w:r>
        <w:rPr>
          <w:sz w:val="17"/>
          <w:szCs w:val="17"/>
        </w:rPr>
        <w:t xml:space="preserve">, PMLR 258, 1423–1431.</w:t>
      </w:r>
      <w:r>
        <w:rPr>
          <w:sz w:val="17"/>
          <w:szCs w:val="17"/>
        </w:rPr>
        <w:t xml:space="preserve"> </w:t>
      </w:r>
      <w:hyperlink w:history="1" r:id="rIdukl9mh8i5ps_p07r7jqf6">
        <w:r>
          <w:rPr>
            <w:color w:val="1D4ED8"/>
            <w:sz w:val="17"/>
            <w:szCs w:val="17"/>
            <w:u w:val="single"/>
          </w:rPr>
          <w:t xml:space="preserve">https://proceedings.mlr.press/v258/fawkes25a.html</w:t>
        </w:r>
      </w:hyperlink>
    </w:p>
    <w:p>
      <w:pPr>
        <w:tabs>
          <w:tab w:val="left" w:pos="567"/>
        </w:tabs>
        <w:spacing w:after="50"/>
        <w:ind w:left="567" w:hanging="567"/>
        <w:jc w:val="left"/>
      </w:pPr>
      <w:r>
        <w:rPr>
          <w:b/>
          <w:bCs/>
          <w:color w:val="1F3864"/>
          <w:sz w:val="17"/>
          <w:szCs w:val="17"/>
        </w:rPr>
        <w:t xml:space="preserve">[B2]	</w:t>
      </w:r>
      <w:r>
        <w:rPr>
          <w:sz w:val="17"/>
          <w:szCs w:val="17"/>
        </w:rPr>
        <w:t xml:space="preserve">Nemhauser, G. L., Wolsey, L. A. &amp; Fisher, M. L. (1978). An analysis of approximations for maximizing submodular set functions—I. </w:t>
      </w:r>
      <w:r>
        <w:rPr>
          <w:i/>
          <w:iCs/>
          <w:sz w:val="17"/>
          <w:szCs w:val="17"/>
        </w:rPr>
        <w:t xml:space="preserve">Mathematical Programming</w:t>
      </w:r>
      <w:r>
        <w:rPr>
          <w:sz w:val="17"/>
          <w:szCs w:val="17"/>
        </w:rPr>
        <w:t xml:space="preserve">, 14, 265–294.</w:t>
      </w:r>
      <w:r>
        <w:rPr>
          <w:sz w:val="17"/>
          <w:szCs w:val="17"/>
        </w:rPr>
        <w:t xml:space="preserve"> </w:t>
      </w:r>
      <w:hyperlink w:history="1" r:id="rIdbfqbtsj0sbefahjsvyphr">
        <w:r>
          <w:rPr>
            <w:color w:val="1D4ED8"/>
            <w:sz w:val="17"/>
            <w:szCs w:val="17"/>
            <w:u w:val="single"/>
          </w:rPr>
          <w:t xml:space="preserve">https://doi.org/10.1007/BF01588971</w:t>
        </w:r>
      </w:hyperlink>
    </w:p>
    <w:p>
      <w:pPr>
        <w:tabs>
          <w:tab w:val="left" w:pos="567"/>
        </w:tabs>
        <w:spacing w:after="50"/>
        <w:ind w:left="567" w:hanging="567"/>
        <w:jc w:val="left"/>
      </w:pPr>
      <w:r>
        <w:rPr>
          <w:b/>
          <w:bCs/>
          <w:color w:val="1F3864"/>
          <w:sz w:val="17"/>
          <w:szCs w:val="17"/>
        </w:rPr>
        <w:t xml:space="preserve">[B3]	</w:t>
      </w:r>
      <w:r>
        <w:rPr>
          <w:sz w:val="17"/>
          <w:szCs w:val="17"/>
        </w:rPr>
        <w:t xml:space="preserve">Golovin, D. &amp; Krause, A. (2011). Adaptive submodularity: Theory and applications in active learning and stochastic optimization. </w:t>
      </w:r>
      <w:r>
        <w:rPr>
          <w:i/>
          <w:iCs/>
          <w:sz w:val="17"/>
          <w:szCs w:val="17"/>
        </w:rPr>
        <w:t xml:space="preserve">Journal of Artificial Intelligence Research</w:t>
      </w:r>
      <w:r>
        <w:rPr>
          <w:sz w:val="17"/>
          <w:szCs w:val="17"/>
        </w:rPr>
        <w:t xml:space="preserve">, 42, 427–486.</w:t>
      </w:r>
      <w:r>
        <w:rPr>
          <w:sz w:val="17"/>
          <w:szCs w:val="17"/>
        </w:rPr>
        <w:t xml:space="preserve"> </w:t>
      </w:r>
      <w:hyperlink w:history="1" r:id="rIdsvmlkwo7gkdkk7hczghek">
        <w:r>
          <w:rPr>
            <w:color w:val="1D4ED8"/>
            <w:sz w:val="17"/>
            <w:szCs w:val="17"/>
            <w:u w:val="single"/>
          </w:rPr>
          <w:t xml:space="preserve">https://doi.org/10.1613/jair.3278</w:t>
        </w:r>
      </w:hyperlink>
    </w:p>
    <w:p>
      <w:pPr>
        <w:tabs>
          <w:tab w:val="left" w:pos="567"/>
        </w:tabs>
        <w:spacing w:after="50"/>
        <w:ind w:left="567" w:hanging="567"/>
        <w:jc w:val="left"/>
      </w:pPr>
      <w:r>
        <w:rPr>
          <w:b/>
          <w:bCs/>
          <w:color w:val="1F3864"/>
          <w:sz w:val="17"/>
          <w:szCs w:val="17"/>
        </w:rPr>
        <w:t xml:space="preserve">[B4]	</w:t>
      </w:r>
      <w:r>
        <w:rPr>
          <w:sz w:val="17"/>
          <w:szCs w:val="17"/>
        </w:rPr>
        <w:t xml:space="preserve">Weitzman, M. L. (1979). Optimal search for the best alternative. </w:t>
      </w:r>
      <w:r>
        <w:rPr>
          <w:i/>
          <w:iCs/>
          <w:sz w:val="17"/>
          <w:szCs w:val="17"/>
        </w:rPr>
        <w:t xml:space="preserve">Econometrica</w:t>
      </w:r>
      <w:r>
        <w:rPr>
          <w:sz w:val="17"/>
          <w:szCs w:val="17"/>
        </w:rPr>
        <w:t xml:space="preserve">, 47(3), 641–654 (DOI not verified).</w:t>
      </w:r>
    </w:p>
    <w:p>
      <w:pPr>
        <w:tabs>
          <w:tab w:val="left" w:pos="567"/>
        </w:tabs>
        <w:spacing w:after="50"/>
        <w:ind w:left="567" w:hanging="567"/>
        <w:jc w:val="left"/>
      </w:pPr>
      <w:r>
        <w:rPr>
          <w:b/>
          <w:bCs/>
          <w:color w:val="1F3864"/>
          <w:sz w:val="17"/>
          <w:szCs w:val="17"/>
        </w:rPr>
        <w:t xml:space="preserve">[B5]	</w:t>
      </w:r>
      <w:r>
        <w:rPr>
          <w:sz w:val="17"/>
          <w:szCs w:val="17"/>
        </w:rPr>
        <w:t xml:space="preserve">Shapley, L. S. (1953). A value for n-person games. In Kuhn, H. W. &amp; Tucker, A. W. (eds.), </w:t>
      </w:r>
      <w:r>
        <w:rPr>
          <w:i/>
          <w:iCs/>
          <w:sz w:val="17"/>
          <w:szCs w:val="17"/>
        </w:rPr>
        <w:t xml:space="preserve">Contributions to the Theory of Games II</w:t>
      </w:r>
      <w:r>
        <w:rPr>
          <w:sz w:val="17"/>
          <w:szCs w:val="17"/>
        </w:rPr>
        <w:t xml:space="preserve">, Annals of Mathematics Studies 28, 307–317. Princeton University Press.</w:t>
      </w:r>
    </w:p>
    <w:p>
      <w:pPr>
        <w:tabs>
          <w:tab w:val="left" w:pos="567"/>
        </w:tabs>
        <w:spacing w:after="50"/>
        <w:ind w:left="567" w:hanging="567"/>
        <w:jc w:val="left"/>
      </w:pPr>
      <w:r>
        <w:rPr>
          <w:b/>
          <w:bCs/>
          <w:color w:val="1F3864"/>
          <w:sz w:val="17"/>
          <w:szCs w:val="17"/>
        </w:rPr>
        <w:t xml:space="preserve">[B6]	</w:t>
      </w:r>
      <w:r>
        <w:rPr>
          <w:sz w:val="17"/>
          <w:szCs w:val="17"/>
        </w:rPr>
        <w:t xml:space="preserve">Shapley, L. S. (1971). Cores of convex games. </w:t>
      </w:r>
      <w:r>
        <w:rPr>
          <w:i/>
          <w:iCs/>
          <w:sz w:val="17"/>
          <w:szCs w:val="17"/>
        </w:rPr>
        <w:t xml:space="preserve">International Journal of Game Theory</w:t>
      </w:r>
      <w:r>
        <w:rPr>
          <w:sz w:val="17"/>
          <w:szCs w:val="17"/>
        </w:rPr>
        <w:t xml:space="preserve">, 1, 11–26.</w:t>
      </w:r>
      <w:r>
        <w:rPr>
          <w:sz w:val="17"/>
          <w:szCs w:val="17"/>
        </w:rPr>
        <w:t xml:space="preserve"> </w:t>
      </w:r>
      <w:hyperlink w:history="1" r:id="rIdkm73qlcbelhtxgo39_eky">
        <w:r>
          <w:rPr>
            <w:color w:val="1D4ED8"/>
            <w:sz w:val="17"/>
            <w:szCs w:val="17"/>
            <w:u w:val="single"/>
          </w:rPr>
          <w:t xml:space="preserve">https://doi.org/10.1007/BF01753431</w:t>
        </w:r>
      </w:hyperlink>
    </w:p>
    <w:p>
      <w:pPr>
        <w:tabs>
          <w:tab w:val="left" w:pos="567"/>
        </w:tabs>
        <w:spacing w:after="50"/>
        <w:ind w:left="567" w:hanging="567"/>
        <w:jc w:val="left"/>
      </w:pPr>
      <w:r>
        <w:rPr>
          <w:b/>
          <w:bCs/>
          <w:color w:val="1F3864"/>
          <w:sz w:val="17"/>
          <w:szCs w:val="17"/>
        </w:rPr>
        <w:t xml:space="preserve">[B7]	</w:t>
      </w:r>
      <w:r>
        <w:rPr>
          <w:sz w:val="17"/>
          <w:szCs w:val="17"/>
        </w:rPr>
        <w:t xml:space="preserve">Banzhaf, J. F. (1965). Weighted voting doesn't work: a mathematical analysis. </w:t>
      </w:r>
      <w:r>
        <w:rPr>
          <w:i/>
          <w:iCs/>
          <w:sz w:val="17"/>
          <w:szCs w:val="17"/>
        </w:rPr>
        <w:t xml:space="preserve">Rutgers Law Review</w:t>
      </w:r>
      <w:r>
        <w:rPr>
          <w:sz w:val="17"/>
          <w:szCs w:val="17"/>
        </w:rPr>
        <w:t xml:space="preserve">, 19, 317–343.</w:t>
      </w:r>
    </w:p>
    <w:p>
      <w:pPr>
        <w:tabs>
          <w:tab w:val="left" w:pos="567"/>
        </w:tabs>
        <w:spacing w:after="50"/>
        <w:ind w:left="567" w:hanging="567"/>
        <w:jc w:val="left"/>
      </w:pPr>
      <w:r>
        <w:rPr>
          <w:b/>
          <w:bCs/>
          <w:color w:val="1F3864"/>
          <w:sz w:val="17"/>
          <w:szCs w:val="17"/>
        </w:rPr>
        <w:t xml:space="preserve">[B8]	</w:t>
      </w:r>
      <w:r>
        <w:rPr>
          <w:sz w:val="17"/>
          <w:szCs w:val="17"/>
        </w:rPr>
        <w:t xml:space="preserve">Dwork, C. &amp; Roth, A. (2014). The algorithmic foundations of differential privacy. </w:t>
      </w:r>
      <w:r>
        <w:rPr>
          <w:i/>
          <w:iCs/>
          <w:sz w:val="17"/>
          <w:szCs w:val="17"/>
        </w:rPr>
        <w:t xml:space="preserve">Foundations and Trends in Theoretical Computer Science</w:t>
      </w:r>
      <w:r>
        <w:rPr>
          <w:sz w:val="17"/>
          <w:szCs w:val="17"/>
        </w:rPr>
        <w:t xml:space="preserve">, 9(3–4), 211–407.</w:t>
      </w:r>
      <w:r>
        <w:rPr>
          <w:sz w:val="17"/>
          <w:szCs w:val="17"/>
        </w:rPr>
        <w:t xml:space="preserve"> </w:t>
      </w:r>
      <w:hyperlink w:history="1" r:id="rIdtwpc41tnscrcjkkk0g0ry">
        <w:r>
          <w:rPr>
            <w:color w:val="1D4ED8"/>
            <w:sz w:val="17"/>
            <w:szCs w:val="17"/>
            <w:u w:val="single"/>
          </w:rPr>
          <w:t xml:space="preserve">https://doi.org/10.1561/0400000042</w:t>
        </w:r>
      </w:hyperlink>
    </w:p>
    <w:p>
      <w:pPr>
        <w:tabs>
          <w:tab w:val="left" w:pos="567"/>
        </w:tabs>
        <w:spacing w:after="50"/>
        <w:ind w:left="567" w:hanging="567"/>
        <w:jc w:val="left"/>
      </w:pPr>
      <w:r>
        <w:rPr>
          <w:b/>
          <w:bCs/>
          <w:color w:val="1F3864"/>
          <w:sz w:val="17"/>
          <w:szCs w:val="17"/>
        </w:rPr>
        <w:t xml:space="preserve">[B9]	</w:t>
      </w:r>
      <w:r>
        <w:rPr>
          <w:sz w:val="17"/>
          <w:szCs w:val="17"/>
        </w:rPr>
        <w:t xml:space="preserve">James, W. &amp; Stein, C. (1961). Estimation with quadratic loss. In </w:t>
      </w:r>
      <w:r>
        <w:rPr>
          <w:i/>
          <w:iCs/>
          <w:sz w:val="17"/>
          <w:szCs w:val="17"/>
        </w:rPr>
        <w:t xml:space="preserve">Proceedings of the Fourth Berkeley Symposium on Mathematical Statistics and Probability</w:t>
      </w:r>
      <w:r>
        <w:rPr>
          <w:sz w:val="17"/>
          <w:szCs w:val="17"/>
        </w:rPr>
        <w:t xml:space="preserve">, Vol. 1, 361–379. University of California Press.</w:t>
      </w:r>
    </w:p>
    <w:p>
      <w:pPr>
        <w:pStyle w:val="Heading3"/>
      </w:pPr>
      <w:r>
        <w:rPr>
          <w:color w:val="1F3864"/>
        </w:rPr>
        <w:t xml:space="preserve">References of Part II (the 20 papers)</w:t>
      </w:r>
    </w:p>
    <w:p>
      <w:pPr>
        <w:tabs>
          <w:tab w:val="left" w:pos="567"/>
        </w:tabs>
        <w:spacing w:after="50"/>
        <w:ind w:left="567" w:hanging="567"/>
        <w:jc w:val="left"/>
      </w:pPr>
      <w:r>
        <w:rPr>
          <w:b/>
          <w:bCs/>
          <w:color w:val="1E3A8A"/>
          <w:sz w:val="17"/>
          <w:szCs w:val="17"/>
        </w:rPr>
        <w:t xml:space="preserve">[S1]	</w:t>
      </w:r>
      <w:r>
        <w:rPr>
          <w:sz w:val="17"/>
          <w:szCs w:val="17"/>
        </w:rPr>
        <w:t xml:space="preserve">Huan, S., Guinness, J., Katzfuss, M., Owhadi, H. &amp; Schäfer, F. (2025). Sparse inverse Cholesky factorization of dense kernel matrices by greedy conditional selection. </w:t>
      </w:r>
      <w:r>
        <w:rPr>
          <w:i/>
          <w:iCs/>
          <w:sz w:val="17"/>
          <w:szCs w:val="17"/>
        </w:rPr>
        <w:t xml:space="preserve">SIAM/ASA Journal on Uncertainty Quantification</w:t>
      </w:r>
      <w:r>
        <w:rPr>
          <w:sz w:val="17"/>
          <w:szCs w:val="17"/>
        </w:rPr>
        <w:t xml:space="preserve">, 13(3), 1649–1679.</w:t>
      </w:r>
      <w:r>
        <w:rPr>
          <w:sz w:val="17"/>
          <w:szCs w:val="17"/>
        </w:rPr>
        <w:t xml:space="preserve"> </w:t>
      </w:r>
      <w:hyperlink w:history="1" r:id="rIdrkdxwyt6ffoc7yobnywph">
        <w:r>
          <w:rPr>
            <w:color w:val="1D4ED8"/>
            <w:sz w:val="17"/>
            <w:szCs w:val="17"/>
            <w:u w:val="single"/>
          </w:rPr>
          <w:t xml:space="preserve">https://doi.org/10.1137/23M1606253</w:t>
        </w:r>
      </w:hyperlink>
    </w:p>
    <w:p>
      <w:pPr>
        <w:tabs>
          <w:tab w:val="left" w:pos="567"/>
        </w:tabs>
        <w:spacing w:after="50"/>
        <w:ind w:left="567" w:hanging="567"/>
        <w:jc w:val="left"/>
      </w:pPr>
      <w:r>
        <w:rPr>
          <w:b/>
          <w:bCs/>
          <w:color w:val="1E3A8A"/>
          <w:sz w:val="17"/>
          <w:szCs w:val="17"/>
        </w:rPr>
        <w:t xml:space="preserve">[S2]	</w:t>
      </w:r>
      <w:r>
        <w:rPr>
          <w:sz w:val="17"/>
          <w:szCs w:val="17"/>
        </w:rPr>
        <w:t xml:space="preserve">Sun, H., Dalca, A. V. &amp; Bouman, K. L. (2020). Learning a probabilistic strategy for computational imaging sensor selection. </w:t>
      </w:r>
      <w:r>
        <w:rPr>
          <w:i/>
          <w:iCs/>
          <w:sz w:val="17"/>
          <w:szCs w:val="17"/>
        </w:rPr>
        <w:t xml:space="preserve">2020 IEEE International Conference on Computational Photography (ICCP)</w:t>
      </w:r>
      <w:r>
        <w:rPr>
          <w:sz w:val="17"/>
          <w:szCs w:val="17"/>
        </w:rPr>
        <w:t xml:space="preserve">. IEEE (pages and DOI not verified).</w:t>
      </w:r>
      <w:r>
        <w:rPr>
          <w:sz w:val="17"/>
          <w:szCs w:val="17"/>
        </w:rPr>
        <w:t xml:space="preserve"> </w:t>
      </w:r>
      <w:hyperlink w:history="1" r:id="rIdnn6nkl2byz_n46smkgkcb">
        <w:r>
          <w:rPr>
            <w:color w:val="1D4ED8"/>
            <w:sz w:val="17"/>
            <w:szCs w:val="17"/>
            <w:u w:val="single"/>
          </w:rPr>
          <w:t xml:space="preserve">https://authors.library.caltech.edu/records/r5pjt-ezf04</w:t>
        </w:r>
      </w:hyperlink>
    </w:p>
    <w:p>
      <w:pPr>
        <w:tabs>
          <w:tab w:val="left" w:pos="567"/>
        </w:tabs>
        <w:spacing w:after="50"/>
        <w:ind w:left="567" w:hanging="567"/>
        <w:jc w:val="left"/>
      </w:pPr>
      <w:r>
        <w:rPr>
          <w:b/>
          <w:bCs/>
          <w:color w:val="1E3A8A"/>
          <w:sz w:val="17"/>
          <w:szCs w:val="17"/>
        </w:rPr>
        <w:t xml:space="preserve">[S3]	</w:t>
      </w:r>
      <w:r>
        <w:rPr>
          <w:sz w:val="17"/>
          <w:szCs w:val="17"/>
        </w:rPr>
        <w:t xml:space="preserve">Zheng, S., Hayden, D., Pacheco, J. &amp; Fisher, J. W., III (2020). Sequential Bayesian experimental design with variable cost structure. </w:t>
      </w:r>
      <w:r>
        <w:rPr>
          <w:i/>
          <w:iCs/>
          <w:sz w:val="17"/>
          <w:szCs w:val="17"/>
        </w:rPr>
        <w:t xml:space="preserve">Advances in Neural Information Processing Systems</w:t>
      </w:r>
      <w:r>
        <w:rPr>
          <w:sz w:val="17"/>
          <w:szCs w:val="17"/>
        </w:rPr>
        <w:t xml:space="preserve"> 33 (pages not verified).</w:t>
      </w:r>
      <w:r>
        <w:rPr>
          <w:sz w:val="17"/>
          <w:szCs w:val="17"/>
        </w:rPr>
        <w:t xml:space="preserve"> </w:t>
      </w:r>
      <w:hyperlink w:history="1" r:id="rIdniwcwip3i7hsad92shkev">
        <w:r>
          <w:rPr>
            <w:color w:val="1D4ED8"/>
            <w:sz w:val="17"/>
            <w:szCs w:val="17"/>
            <w:u w:val="single"/>
          </w:rPr>
          <w:t xml:space="preserve">https://papers.nips.cc/paper/2020/hash/2adee8815dd939548ee6b2772524b6f2-Abstract.html</w:t>
        </w:r>
      </w:hyperlink>
    </w:p>
    <w:p>
      <w:pPr>
        <w:tabs>
          <w:tab w:val="left" w:pos="567"/>
        </w:tabs>
        <w:spacing w:after="50"/>
        <w:ind w:left="567" w:hanging="567"/>
        <w:jc w:val="left"/>
      </w:pPr>
      <w:r>
        <w:rPr>
          <w:b/>
          <w:bCs/>
          <w:color w:val="1E3A8A"/>
          <w:sz w:val="17"/>
          <w:szCs w:val="17"/>
        </w:rPr>
        <w:t xml:space="preserve">[S4]	</w:t>
      </w:r>
      <w:r>
        <w:rPr>
          <w:sz w:val="17"/>
          <w:szCs w:val="17"/>
        </w:rPr>
        <w:t xml:space="preserve">Kossen, J., Farquhar, S., Gal, Y. &amp; Rainforth, T. (2021). Active testing: sample-efficient model evaluation. </w:t>
      </w:r>
      <w:r>
        <w:rPr>
          <w:i/>
          <w:iCs/>
          <w:sz w:val="17"/>
          <w:szCs w:val="17"/>
        </w:rPr>
        <w:t xml:space="preserve">Proceedings of the 38th International Conference on Machine Learning</w:t>
      </w:r>
      <w:r>
        <w:rPr>
          <w:sz w:val="17"/>
          <w:szCs w:val="17"/>
        </w:rPr>
        <w:t xml:space="preserve">, PMLR 139, 5753–5763.</w:t>
      </w:r>
      <w:r>
        <w:rPr>
          <w:sz w:val="17"/>
          <w:szCs w:val="17"/>
        </w:rPr>
        <w:t xml:space="preserve"> </w:t>
      </w:r>
      <w:hyperlink w:history="1" r:id="rId8dqxd-xhtxnze2yux5jn7">
        <w:r>
          <w:rPr>
            <w:color w:val="1D4ED8"/>
            <w:sz w:val="17"/>
            <w:szCs w:val="17"/>
            <w:u w:val="single"/>
          </w:rPr>
          <w:t xml:space="preserve">https://proceedings.mlr.press/v139/kossen21a.html</w:t>
        </w:r>
      </w:hyperlink>
    </w:p>
    <w:p>
      <w:pPr>
        <w:tabs>
          <w:tab w:val="left" w:pos="567"/>
        </w:tabs>
        <w:spacing w:after="50"/>
        <w:ind w:left="567" w:hanging="567"/>
        <w:jc w:val="left"/>
      </w:pPr>
      <w:r>
        <w:rPr>
          <w:b/>
          <w:bCs/>
          <w:color w:val="1E3A8A"/>
          <w:sz w:val="17"/>
          <w:szCs w:val="17"/>
        </w:rPr>
        <w:t xml:space="preserve">[S5]	</w:t>
      </w:r>
      <w:r>
        <w:rPr>
          <w:sz w:val="17"/>
          <w:szCs w:val="17"/>
        </w:rPr>
        <w:t xml:space="preserve">Beyhaghi, H. &amp; Cai, L. (2023). Pandora's problem with nonobligatory inspection: optimal structure and a PTAS. </w:t>
      </w:r>
      <w:r>
        <w:rPr>
          <w:i/>
          <w:iCs/>
          <w:sz w:val="17"/>
          <w:szCs w:val="17"/>
        </w:rPr>
        <w:t xml:space="preserve">Proceedings of the 55th Annual ACM Symposium on Theory of Computing (STOC 2023)</w:t>
      </w:r>
      <w:r>
        <w:rPr>
          <w:sz w:val="17"/>
          <w:szCs w:val="17"/>
        </w:rPr>
        <w:t xml:space="preserve">, 803–816.</w:t>
      </w:r>
      <w:r>
        <w:rPr>
          <w:sz w:val="17"/>
          <w:szCs w:val="17"/>
        </w:rPr>
        <w:t xml:space="preserve"> </w:t>
      </w:r>
      <w:hyperlink w:history="1" r:id="rIda9mlu48-n4l3klergofly">
        <w:r>
          <w:rPr>
            <w:color w:val="1D4ED8"/>
            <w:sz w:val="17"/>
            <w:szCs w:val="17"/>
            <w:u w:val="single"/>
          </w:rPr>
          <w:t xml:space="preserve">https://arxiv.org/abs/2212.01524</w:t>
        </w:r>
      </w:hyperlink>
    </w:p>
    <w:p>
      <w:pPr>
        <w:tabs>
          <w:tab w:val="left" w:pos="567"/>
        </w:tabs>
        <w:spacing w:after="50"/>
        <w:ind w:left="567" w:hanging="567"/>
        <w:jc w:val="left"/>
      </w:pPr>
      <w:r>
        <w:rPr>
          <w:b/>
          <w:bCs/>
          <w:color w:val="0F766E"/>
          <w:sz w:val="17"/>
          <w:szCs w:val="17"/>
        </w:rPr>
        <w:t xml:space="preserve">[R1]	</w:t>
      </w:r>
      <w:r>
        <w:rPr>
          <w:sz w:val="17"/>
          <w:szCs w:val="17"/>
        </w:rPr>
        <w:t xml:space="preserve">Chen, J. &amp; Ritzwoller, D. M. (2023). Semiparametric estimation of long-term treatment effects. </w:t>
      </w:r>
      <w:r>
        <w:rPr>
          <w:i/>
          <w:iCs/>
          <w:sz w:val="17"/>
          <w:szCs w:val="17"/>
        </w:rPr>
        <w:t xml:space="preserve">Journal of Econometrics</w:t>
      </w:r>
      <w:r>
        <w:rPr>
          <w:sz w:val="17"/>
          <w:szCs w:val="17"/>
        </w:rPr>
        <w:t xml:space="preserve">, 237(2).</w:t>
      </w:r>
      <w:r>
        <w:rPr>
          <w:sz w:val="17"/>
          <w:szCs w:val="17"/>
        </w:rPr>
        <w:t xml:space="preserve"> </w:t>
      </w:r>
      <w:hyperlink w:history="1" r:id="rIdthlejojy-tnz_pweww1yz">
        <w:r>
          <w:rPr>
            <w:color w:val="1D4ED8"/>
            <w:sz w:val="17"/>
            <w:szCs w:val="17"/>
            <w:u w:val="single"/>
          </w:rPr>
          <w:t xml:space="preserve">https://ideas.repec.org/a/eee/econom/v237y2023i2s0304407623002610.html</w:t>
        </w:r>
      </w:hyperlink>
    </w:p>
    <w:p>
      <w:pPr>
        <w:tabs>
          <w:tab w:val="left" w:pos="567"/>
        </w:tabs>
        <w:spacing w:after="50"/>
        <w:ind w:left="567" w:hanging="567"/>
        <w:jc w:val="left"/>
      </w:pPr>
      <w:r>
        <w:rPr>
          <w:b/>
          <w:bCs/>
          <w:color w:val="0F766E"/>
          <w:sz w:val="17"/>
          <w:szCs w:val="17"/>
        </w:rPr>
        <w:t xml:space="preserve">[R2]	</w:t>
      </w:r>
      <w:r>
        <w:rPr>
          <w:sz w:val="17"/>
          <w:szCs w:val="17"/>
        </w:rPr>
        <w:t xml:space="preserve">Huang, M., Egami, N., Hartman, E. &amp; Miratrix, L. (2023). Leveraging population outcomes to improve the generalization of experimental results: Application to the JTPA study. </w:t>
      </w:r>
      <w:r>
        <w:rPr>
          <w:i/>
          <w:iCs/>
          <w:sz w:val="17"/>
          <w:szCs w:val="17"/>
        </w:rPr>
        <w:t xml:space="preserve">Annals of Applied Statistics</w:t>
      </w:r>
      <w:r>
        <w:rPr>
          <w:sz w:val="17"/>
          <w:szCs w:val="17"/>
        </w:rPr>
        <w:t xml:space="preserve">, 17(3), 2139–2164.</w:t>
      </w:r>
      <w:r>
        <w:rPr>
          <w:sz w:val="17"/>
          <w:szCs w:val="17"/>
        </w:rPr>
        <w:t xml:space="preserve"> </w:t>
      </w:r>
      <w:hyperlink w:history="1" r:id="rIdln2imh6xbjniwcljm8hfh">
        <w:r>
          <w:rPr>
            <w:color w:val="1D4ED8"/>
            <w:sz w:val="17"/>
            <w:szCs w:val="17"/>
            <w:u w:val="single"/>
          </w:rPr>
          <w:t xml:space="preserve">https://doi.org/10.1214/22-AOAS1712</w:t>
        </w:r>
      </w:hyperlink>
    </w:p>
    <w:p>
      <w:pPr>
        <w:tabs>
          <w:tab w:val="left" w:pos="567"/>
        </w:tabs>
        <w:spacing w:after="50"/>
        <w:ind w:left="567" w:hanging="567"/>
        <w:jc w:val="left"/>
      </w:pPr>
      <w:r>
        <w:rPr>
          <w:b/>
          <w:bCs/>
          <w:color w:val="0F766E"/>
          <w:sz w:val="17"/>
          <w:szCs w:val="17"/>
        </w:rPr>
        <w:t xml:space="preserve">[R3]	</w:t>
      </w:r>
      <w:r>
        <w:rPr>
          <w:sz w:val="17"/>
          <w:szCs w:val="17"/>
        </w:rPr>
        <w:t xml:space="preserve">Hussain, Z. M., Oberst, M., Shih, M.-C. &amp; Sontag, D. (2022). Falsification before extrapolation in causal effect estimation. </w:t>
      </w:r>
      <w:r>
        <w:rPr>
          <w:i/>
          <w:iCs/>
          <w:sz w:val="17"/>
          <w:szCs w:val="17"/>
        </w:rPr>
        <w:t xml:space="preserve">Advances in Neural Information Processing Systems</w:t>
      </w:r>
      <w:r>
        <w:rPr>
          <w:sz w:val="17"/>
          <w:szCs w:val="17"/>
        </w:rPr>
        <w:t xml:space="preserve"> 35.</w:t>
      </w:r>
      <w:r>
        <w:rPr>
          <w:sz w:val="17"/>
          <w:szCs w:val="17"/>
        </w:rPr>
        <w:t xml:space="preserve"> </w:t>
      </w:r>
      <w:hyperlink w:history="1" r:id="rIdmckv1e3lk-w29ocfbbmzt">
        <w:r>
          <w:rPr>
            <w:color w:val="1D4ED8"/>
            <w:sz w:val="17"/>
            <w:szCs w:val="17"/>
            <w:u w:val="single"/>
          </w:rPr>
          <w:t xml:space="preserve">https://papers.neurips.cc/paper_files/paper/2022/file/28b5dfc51e5ae12d84fb7c6172a00df4-Paper-Conference.pdf</w:t>
        </w:r>
      </w:hyperlink>
    </w:p>
    <w:p>
      <w:pPr>
        <w:tabs>
          <w:tab w:val="left" w:pos="567"/>
        </w:tabs>
        <w:spacing w:after="50"/>
        <w:ind w:left="567" w:hanging="567"/>
        <w:jc w:val="left"/>
      </w:pPr>
      <w:r>
        <w:rPr>
          <w:b/>
          <w:bCs/>
          <w:color w:val="0F766E"/>
          <w:sz w:val="17"/>
          <w:szCs w:val="17"/>
        </w:rPr>
        <w:t xml:space="preserve">[R4]	</w:t>
      </w:r>
      <w:r>
        <w:rPr>
          <w:sz w:val="17"/>
          <w:szCs w:val="17"/>
        </w:rPr>
        <w:t xml:space="preserve">Fan, J., Gao, C. &amp; Klusowski, J. M. (2025). Robust transfer learning with unreliable source data. </w:t>
      </w:r>
      <w:r>
        <w:rPr>
          <w:i/>
          <w:iCs/>
          <w:sz w:val="17"/>
          <w:szCs w:val="17"/>
        </w:rPr>
        <w:t xml:space="preserve">Annals of Statistics</w:t>
      </w:r>
      <w:r>
        <w:rPr>
          <w:sz w:val="17"/>
          <w:szCs w:val="17"/>
        </w:rPr>
        <w:t xml:space="preserve">, 53(4), 1728–1752.</w:t>
      </w:r>
      <w:r>
        <w:rPr>
          <w:sz w:val="17"/>
          <w:szCs w:val="17"/>
        </w:rPr>
        <w:t xml:space="preserve"> </w:t>
      </w:r>
      <w:hyperlink w:history="1" r:id="rIdj4tu9jdqgtiykyekjouv8">
        <w:r>
          <w:rPr>
            <w:color w:val="1D4ED8"/>
            <w:sz w:val="17"/>
            <w:szCs w:val="17"/>
            <w:u w:val="single"/>
          </w:rPr>
          <w:t xml:space="preserve">https://collaborate.princeton.edu/en/publications/robust-transfer-learning-with-unreliable-source-data/</w:t>
        </w:r>
      </w:hyperlink>
    </w:p>
    <w:p>
      <w:pPr>
        <w:tabs>
          <w:tab w:val="left" w:pos="567"/>
        </w:tabs>
        <w:spacing w:after="50"/>
        <w:ind w:left="567" w:hanging="567"/>
        <w:jc w:val="left"/>
      </w:pPr>
      <w:r>
        <w:rPr>
          <w:b/>
          <w:bCs/>
          <w:color w:val="0F766E"/>
          <w:sz w:val="17"/>
          <w:szCs w:val="17"/>
        </w:rPr>
        <w:t xml:space="preserve">[R5]	</w:t>
      </w:r>
      <w:r>
        <w:rPr>
          <w:sz w:val="17"/>
          <w:szCs w:val="17"/>
        </w:rPr>
        <w:t xml:space="preserve">Nicholson, G., Lehmann, B., Padellini, T. et al. (2022). Improving local prevalence estimates of SARS-CoV-2 infections using a causal debiasing framework. </w:t>
      </w:r>
      <w:r>
        <w:rPr>
          <w:i/>
          <w:iCs/>
          <w:sz w:val="17"/>
          <w:szCs w:val="17"/>
        </w:rPr>
        <w:t xml:space="preserve">Nature Microbiology</w:t>
      </w:r>
      <w:r>
        <w:rPr>
          <w:sz w:val="17"/>
          <w:szCs w:val="17"/>
        </w:rPr>
        <w:t xml:space="preserve">, 7(1), 97–107.</w:t>
      </w:r>
      <w:r>
        <w:rPr>
          <w:sz w:val="17"/>
          <w:szCs w:val="17"/>
        </w:rPr>
        <w:t xml:space="preserve"> </w:t>
      </w:r>
      <w:hyperlink w:history="1" r:id="rIdf_stulex3_q4zq6ai82oo">
        <w:r>
          <w:rPr>
            <w:color w:val="1D4ED8"/>
            <w:sz w:val="17"/>
            <w:szCs w:val="17"/>
            <w:u w:val="single"/>
          </w:rPr>
          <w:t xml:space="preserve">https://doi.org/10.1038/s41564-021-01029-0</w:t>
        </w:r>
      </w:hyperlink>
    </w:p>
    <w:p>
      <w:pPr>
        <w:tabs>
          <w:tab w:val="left" w:pos="567"/>
        </w:tabs>
        <w:spacing w:after="50"/>
        <w:ind w:left="567" w:hanging="567"/>
        <w:jc w:val="left"/>
      </w:pPr>
      <w:r>
        <w:rPr>
          <w:b/>
          <w:bCs/>
          <w:color w:val="9A3412"/>
          <w:sz w:val="17"/>
          <w:szCs w:val="17"/>
        </w:rPr>
        <w:t xml:space="preserve">[C1]	</w:t>
      </w:r>
      <w:r>
        <w:rPr>
          <w:sz w:val="17"/>
          <w:szCs w:val="17"/>
        </w:rPr>
        <w:t xml:space="preserve">Alabi, D. G. &amp; Vadhan, S. P. (2023). Differentially private hypothesis testing for linear regression. </w:t>
      </w:r>
      <w:r>
        <w:rPr>
          <w:i/>
          <w:iCs/>
          <w:sz w:val="17"/>
          <w:szCs w:val="17"/>
        </w:rPr>
        <w:t xml:space="preserve">Journal of Machine Learning Research</w:t>
      </w:r>
      <w:r>
        <w:rPr>
          <w:sz w:val="17"/>
          <w:szCs w:val="17"/>
        </w:rPr>
        <w:t xml:space="preserve">, 24(361), 1–50.</w:t>
      </w:r>
      <w:r>
        <w:rPr>
          <w:sz w:val="17"/>
          <w:szCs w:val="17"/>
        </w:rPr>
        <w:t xml:space="preserve"> </w:t>
      </w:r>
      <w:hyperlink w:history="1" r:id="rIduzlgqcknghnxrgfjycfwm">
        <w:r>
          <w:rPr>
            <w:color w:val="1D4ED8"/>
            <w:sz w:val="17"/>
            <w:szCs w:val="17"/>
            <w:u w:val="single"/>
          </w:rPr>
          <w:t xml:space="preserve">https://jmlr.org/papers/v24/23-0045.html</w:t>
        </w:r>
      </w:hyperlink>
    </w:p>
    <w:p>
      <w:pPr>
        <w:tabs>
          <w:tab w:val="left" w:pos="567"/>
        </w:tabs>
        <w:spacing w:after="50"/>
        <w:ind w:left="567" w:hanging="567"/>
        <w:jc w:val="left"/>
      </w:pPr>
      <w:r>
        <w:rPr>
          <w:b/>
          <w:bCs/>
          <w:color w:val="9A3412"/>
          <w:sz w:val="17"/>
          <w:szCs w:val="17"/>
        </w:rPr>
        <w:t xml:space="preserve">[C2]	</w:t>
      </w:r>
      <w:r>
        <w:rPr>
          <w:sz w:val="17"/>
          <w:szCs w:val="17"/>
        </w:rPr>
        <w:t xml:space="preserve">Brown, G., Hayase, J., Hopkins, S., Kong, W., Liu, X., Oh, S., Perdomo, J. C. &amp; Smith, A. (2024). Insufficient statistics perturbation: stable estimators for private least squares (extended abstract). </w:t>
      </w:r>
      <w:r>
        <w:rPr>
          <w:i/>
          <w:iCs/>
          <w:sz w:val="17"/>
          <w:szCs w:val="17"/>
        </w:rPr>
        <w:t xml:space="preserve">Proceedings of the Thirty Seventh Conference on Learning Theory</w:t>
      </w:r>
      <w:r>
        <w:rPr>
          <w:sz w:val="17"/>
          <w:szCs w:val="17"/>
        </w:rPr>
        <w:t xml:space="preserve">, PMLR 247, 750–751.</w:t>
      </w:r>
      <w:r>
        <w:rPr>
          <w:sz w:val="17"/>
          <w:szCs w:val="17"/>
        </w:rPr>
        <w:t xml:space="preserve"> </w:t>
      </w:r>
      <w:hyperlink w:history="1" r:id="rIdzmxfsxb38y34aancpczq2">
        <w:r>
          <w:rPr>
            <w:color w:val="1D4ED8"/>
            <w:sz w:val="17"/>
            <w:szCs w:val="17"/>
            <w:u w:val="single"/>
          </w:rPr>
          <w:t xml:space="preserve">https://proceedings.mlr.press/v247/brown24b.html</w:t>
        </w:r>
      </w:hyperlink>
    </w:p>
    <w:p>
      <w:pPr>
        <w:tabs>
          <w:tab w:val="left" w:pos="567"/>
        </w:tabs>
        <w:spacing w:after="50"/>
        <w:ind w:left="567" w:hanging="567"/>
        <w:jc w:val="left"/>
      </w:pPr>
      <w:r>
        <w:rPr>
          <w:b/>
          <w:bCs/>
          <w:color w:val="9A3412"/>
          <w:sz w:val="17"/>
          <w:szCs w:val="17"/>
        </w:rPr>
        <w:t xml:space="preserve">[C3]	</w:t>
      </w:r>
      <w:r>
        <w:rPr>
          <w:sz w:val="17"/>
          <w:szCs w:val="17"/>
        </w:rPr>
        <w:t xml:space="preserve">Jewson, J., Ghalebikesabi, S. &amp; Holmes, C. (2023). Differentially private statistical inference through β-divergence one posterior sampling. </w:t>
      </w:r>
      <w:r>
        <w:rPr>
          <w:i/>
          <w:iCs/>
          <w:sz w:val="17"/>
          <w:szCs w:val="17"/>
        </w:rPr>
        <w:t xml:space="preserve">Advances in Neural Information Processing Systems</w:t>
      </w:r>
      <w:r>
        <w:rPr>
          <w:sz w:val="17"/>
          <w:szCs w:val="17"/>
        </w:rPr>
        <w:t xml:space="preserve">, 36 (pages not verified).</w:t>
      </w:r>
      <w:r>
        <w:rPr>
          <w:sz w:val="17"/>
          <w:szCs w:val="17"/>
        </w:rPr>
        <w:t xml:space="preserve"> </w:t>
      </w:r>
      <w:hyperlink w:history="1" r:id="rIdeerothhhrtdqt8odhw57m">
        <w:r>
          <w:rPr>
            <w:color w:val="1D4ED8"/>
            <w:sz w:val="17"/>
            <w:szCs w:val="17"/>
            <w:u w:val="single"/>
          </w:rPr>
          <w:t xml:space="preserve">https://neurips.cc/virtual/2023/poster/72662</w:t>
        </w:r>
      </w:hyperlink>
    </w:p>
    <w:p>
      <w:pPr>
        <w:tabs>
          <w:tab w:val="left" w:pos="567"/>
        </w:tabs>
        <w:spacing w:after="50"/>
        <w:ind w:left="567" w:hanging="567"/>
        <w:jc w:val="left"/>
      </w:pPr>
      <w:r>
        <w:rPr>
          <w:b/>
          <w:bCs/>
          <w:color w:val="9A3412"/>
          <w:sz w:val="17"/>
          <w:szCs w:val="17"/>
        </w:rPr>
        <w:t xml:space="preserve">[C4]	</w:t>
      </w:r>
      <w:r>
        <w:rPr>
          <w:sz w:val="17"/>
          <w:szCs w:val="17"/>
        </w:rPr>
        <w:t xml:space="preserve">Wang, J. T., Mahloujifar, S., Wu, T., Jia, R. &amp; Mittal, P. (2023). A randomized approach to tight privacy accounting. </w:t>
      </w:r>
      <w:r>
        <w:rPr>
          <w:i/>
          <w:iCs/>
          <w:sz w:val="17"/>
          <w:szCs w:val="17"/>
        </w:rPr>
        <w:t xml:space="preserve">Advances in Neural Information Processing Systems</w:t>
      </w:r>
      <w:r>
        <w:rPr>
          <w:sz w:val="17"/>
          <w:szCs w:val="17"/>
        </w:rPr>
        <w:t xml:space="preserve">, 36 (pages not verified).</w:t>
      </w:r>
      <w:r>
        <w:rPr>
          <w:sz w:val="17"/>
          <w:szCs w:val="17"/>
        </w:rPr>
        <w:t xml:space="preserve"> </w:t>
      </w:r>
      <w:hyperlink w:history="1" r:id="rIdt3alkwgv7rds90stoojzn">
        <w:r>
          <w:rPr>
            <w:color w:val="1D4ED8"/>
            <w:sz w:val="17"/>
            <w:szCs w:val="17"/>
            <w:u w:val="single"/>
          </w:rPr>
          <w:t xml:space="preserve">https://proceedings.neurips.cc/paper_files/paper/2023/hash/6ae7df1f40f5faeda474b36b61197822-Abstract.html</w:t>
        </w:r>
      </w:hyperlink>
    </w:p>
    <w:p>
      <w:pPr>
        <w:tabs>
          <w:tab w:val="left" w:pos="567"/>
        </w:tabs>
        <w:spacing w:after="50"/>
        <w:ind w:left="567" w:hanging="567"/>
        <w:jc w:val="left"/>
      </w:pPr>
      <w:r>
        <w:rPr>
          <w:b/>
          <w:bCs/>
          <w:color w:val="9A3412"/>
          <w:sz w:val="17"/>
          <w:szCs w:val="17"/>
        </w:rPr>
        <w:t xml:space="preserve">[C5]	</w:t>
      </w:r>
      <w:r>
        <w:rPr>
          <w:sz w:val="17"/>
          <w:szCs w:val="17"/>
        </w:rPr>
        <w:t xml:space="preserve">Wei, K., Li, J., Ding, M., Ma, C., Yang, H. H., Farokhi, F., Jin, S., Quek, T. Q. S. &amp; Poor, H. V. (2020). Federated learning with differential privacy: algorithms and performance analysis. </w:t>
      </w:r>
      <w:r>
        <w:rPr>
          <w:i/>
          <w:iCs/>
          <w:sz w:val="17"/>
          <w:szCs w:val="17"/>
        </w:rPr>
        <w:t xml:space="preserve">IEEE Transactions on Information Forensics and Security</w:t>
      </w:r>
      <w:r>
        <w:rPr>
          <w:sz w:val="17"/>
          <w:szCs w:val="17"/>
        </w:rPr>
        <w:t xml:space="preserve">, 15, 3454–3469.</w:t>
      </w:r>
      <w:r>
        <w:rPr>
          <w:sz w:val="17"/>
          <w:szCs w:val="17"/>
        </w:rPr>
        <w:t xml:space="preserve"> </w:t>
      </w:r>
      <w:hyperlink w:history="1" r:id="rIdymeb-rud4keashtud3_dy">
        <w:r>
          <w:rPr>
            <w:color w:val="1D4ED8"/>
            <w:sz w:val="17"/>
            <w:szCs w:val="17"/>
            <w:u w:val="single"/>
          </w:rPr>
          <w:t xml:space="preserve">https://ieeexplore.ieee.org/document/9069945</w:t>
        </w:r>
      </w:hyperlink>
    </w:p>
    <w:p>
      <w:pPr>
        <w:tabs>
          <w:tab w:val="left" w:pos="567"/>
        </w:tabs>
        <w:spacing w:after="50"/>
        <w:ind w:left="567" w:hanging="567"/>
        <w:jc w:val="left"/>
      </w:pPr>
      <w:r>
        <w:rPr>
          <w:b/>
          <w:bCs/>
          <w:color w:val="5B21B6"/>
          <w:sz w:val="17"/>
          <w:szCs w:val="17"/>
        </w:rPr>
        <w:t xml:space="preserve">[G1]	</w:t>
      </w:r>
      <w:r>
        <w:rPr>
          <w:sz w:val="17"/>
          <w:szCs w:val="17"/>
        </w:rPr>
        <w:t xml:space="preserve">Wang, J. T., Yang, T., Zou, J., Kwon, Y. &amp; Jia, R. (2024). Rethinking Data Shapley for data selection tasks: misleads and merits. </w:t>
      </w:r>
      <w:r>
        <w:rPr>
          <w:i/>
          <w:iCs/>
          <w:sz w:val="17"/>
          <w:szCs w:val="17"/>
        </w:rPr>
        <w:t xml:space="preserve">Proceedings of the 41st International Conference on Machine Learning</w:t>
      </w:r>
      <w:r>
        <w:rPr>
          <w:sz w:val="17"/>
          <w:szCs w:val="17"/>
        </w:rPr>
        <w:t xml:space="preserve">, PMLR 235, 52033–52063.</w:t>
      </w:r>
      <w:r>
        <w:rPr>
          <w:sz w:val="17"/>
          <w:szCs w:val="17"/>
        </w:rPr>
        <w:t xml:space="preserve"> </w:t>
      </w:r>
      <w:hyperlink w:history="1" r:id="rId5gejzcrdxinb2j48h6fy4">
        <w:r>
          <w:rPr>
            <w:color w:val="1D4ED8"/>
            <w:sz w:val="17"/>
            <w:szCs w:val="17"/>
            <w:u w:val="single"/>
          </w:rPr>
          <w:t xml:space="preserve">https://proceedings.mlr.press/v235/wang24cg.html</w:t>
        </w:r>
      </w:hyperlink>
    </w:p>
    <w:p>
      <w:pPr>
        <w:tabs>
          <w:tab w:val="left" w:pos="567"/>
        </w:tabs>
        <w:spacing w:after="50"/>
        <w:ind w:left="567" w:hanging="567"/>
        <w:jc w:val="left"/>
      </w:pPr>
      <w:r>
        <w:rPr>
          <w:b/>
          <w:bCs/>
          <w:color w:val="5B21B6"/>
          <w:sz w:val="17"/>
          <w:szCs w:val="17"/>
        </w:rPr>
        <w:t xml:space="preserve">[G2]	</w:t>
      </w:r>
      <w:r>
        <w:rPr>
          <w:sz w:val="17"/>
          <w:szCs w:val="17"/>
        </w:rPr>
        <w:t xml:space="preserve">Agarwal, A., Dahleh, M., Horel, T. &amp; Rui, M. (2024). Towards data auctions with externalities. </w:t>
      </w:r>
      <w:r>
        <w:rPr>
          <w:i/>
          <w:iCs/>
          <w:sz w:val="17"/>
          <w:szCs w:val="17"/>
        </w:rPr>
        <w:t xml:space="preserve">Games and Economic Behavior</w:t>
      </w:r>
      <w:r>
        <w:rPr>
          <w:sz w:val="17"/>
          <w:szCs w:val="17"/>
        </w:rPr>
        <w:t xml:space="preserve">, 148, 323–356.</w:t>
      </w:r>
      <w:r>
        <w:rPr>
          <w:sz w:val="17"/>
          <w:szCs w:val="17"/>
        </w:rPr>
        <w:t xml:space="preserve"> </w:t>
      </w:r>
      <w:hyperlink w:history="1" r:id="rIdju16pgxfbauto6vwrj4fu">
        <w:r>
          <w:rPr>
            <w:color w:val="1D4ED8"/>
            <w:sz w:val="17"/>
            <w:szCs w:val="17"/>
            <w:u w:val="single"/>
          </w:rPr>
          <w:t xml:space="preserve">https://doi.org/10.1016/j.geb.2024.09.008</w:t>
        </w:r>
      </w:hyperlink>
    </w:p>
    <w:p>
      <w:pPr>
        <w:tabs>
          <w:tab w:val="left" w:pos="567"/>
        </w:tabs>
        <w:spacing w:after="50"/>
        <w:ind w:left="567" w:hanging="567"/>
        <w:jc w:val="left"/>
      </w:pPr>
      <w:r>
        <w:rPr>
          <w:b/>
          <w:bCs/>
          <w:color w:val="5B21B6"/>
          <w:sz w:val="17"/>
          <w:szCs w:val="17"/>
        </w:rPr>
        <w:t xml:space="preserve">[G3]	</w:t>
      </w:r>
      <w:r>
        <w:rPr>
          <w:sz w:val="17"/>
          <w:szCs w:val="17"/>
        </w:rPr>
        <w:t xml:space="preserve">Hardt, M., Mazumdar, E., Mendler-Dünner, C. &amp; Zrnic, T. (2023). Algorithmic collective action in machine learning. </w:t>
      </w:r>
      <w:r>
        <w:rPr>
          <w:i/>
          <w:iCs/>
          <w:sz w:val="17"/>
          <w:szCs w:val="17"/>
        </w:rPr>
        <w:t xml:space="preserve">Proceedings of the 40th International Conference on Machine Learning</w:t>
      </w:r>
      <w:r>
        <w:rPr>
          <w:sz w:val="17"/>
          <w:szCs w:val="17"/>
        </w:rPr>
        <w:t xml:space="preserve">, PMLR 202, 12570–12586.</w:t>
      </w:r>
      <w:r>
        <w:rPr>
          <w:sz w:val="17"/>
          <w:szCs w:val="17"/>
        </w:rPr>
        <w:t xml:space="preserve"> </w:t>
      </w:r>
      <w:hyperlink w:history="1" r:id="rIdj8m1y-0x_sks5usckn0cv">
        <w:r>
          <w:rPr>
            <w:color w:val="1D4ED8"/>
            <w:sz w:val="17"/>
            <w:szCs w:val="17"/>
            <w:u w:val="single"/>
          </w:rPr>
          <w:t xml:space="preserve">https://proceedings.mlr.press/v202/hardt23a.html</w:t>
        </w:r>
      </w:hyperlink>
    </w:p>
    <w:p>
      <w:pPr>
        <w:tabs>
          <w:tab w:val="left" w:pos="567"/>
        </w:tabs>
        <w:spacing w:after="50"/>
        <w:ind w:left="567" w:hanging="567"/>
        <w:jc w:val="left"/>
      </w:pPr>
      <w:r>
        <w:rPr>
          <w:b/>
          <w:bCs/>
          <w:color w:val="5B21B6"/>
          <w:sz w:val="17"/>
          <w:szCs w:val="17"/>
        </w:rPr>
        <w:t xml:space="preserve">[G4]	</w:t>
      </w:r>
      <w:r>
        <w:rPr>
          <w:sz w:val="17"/>
          <w:szCs w:val="17"/>
        </w:rPr>
        <w:t xml:space="preserve">Zrnic, T., Mazumdar, E., Sastry, S. S. &amp; Jordan, M. I. (2021). Who leads and who follows in strategic classification? </w:t>
      </w:r>
      <w:r>
        <w:rPr>
          <w:i/>
          <w:iCs/>
          <w:sz w:val="17"/>
          <w:szCs w:val="17"/>
        </w:rPr>
        <w:t xml:space="preserve">Advances in Neural Information Processing Systems</w:t>
      </w:r>
      <w:r>
        <w:rPr>
          <w:sz w:val="17"/>
          <w:szCs w:val="17"/>
        </w:rPr>
        <w:t xml:space="preserve">, 34 (pages not verified).</w:t>
      </w:r>
      <w:r>
        <w:rPr>
          <w:sz w:val="17"/>
          <w:szCs w:val="17"/>
        </w:rPr>
        <w:t xml:space="preserve"> </w:t>
      </w:r>
      <w:hyperlink w:history="1" r:id="rIdhpy1-oz4es8kzbo1a1p9c">
        <w:r>
          <w:rPr>
            <w:color w:val="1D4ED8"/>
            <w:sz w:val="17"/>
            <w:szCs w:val="17"/>
            <w:u w:val="single"/>
          </w:rPr>
          <w:t xml:space="preserve">https://neurips.cc/virtual/2021/poster/27087</w:t>
        </w:r>
      </w:hyperlink>
    </w:p>
    <w:p>
      <w:pPr>
        <w:tabs>
          <w:tab w:val="left" w:pos="567"/>
        </w:tabs>
        <w:spacing w:after="50"/>
        <w:ind w:left="567" w:hanging="567"/>
        <w:jc w:val="left"/>
      </w:pPr>
      <w:r>
        <w:rPr>
          <w:b/>
          <w:bCs/>
          <w:color w:val="5B21B6"/>
          <w:sz w:val="17"/>
          <w:szCs w:val="17"/>
        </w:rPr>
        <w:t xml:space="preserve">[G5]	</w:t>
      </w:r>
      <w:r>
        <w:rPr>
          <w:sz w:val="17"/>
          <w:szCs w:val="17"/>
        </w:rPr>
        <w:t xml:space="preserve">Chen, Y., Liu, Y. &amp; Podimata, C. (2020). Learning strategy-aware linear classifiers. </w:t>
      </w:r>
      <w:r>
        <w:rPr>
          <w:i/>
          <w:iCs/>
          <w:sz w:val="17"/>
          <w:szCs w:val="17"/>
        </w:rPr>
        <w:t xml:space="preserve">Advances in Neural Information Processing Systems</w:t>
      </w:r>
      <w:r>
        <w:rPr>
          <w:sz w:val="17"/>
          <w:szCs w:val="17"/>
        </w:rPr>
        <w:t xml:space="preserve">, 33 (pages not verified).</w:t>
      </w:r>
      <w:r>
        <w:rPr>
          <w:sz w:val="17"/>
          <w:szCs w:val="17"/>
        </w:rPr>
        <w:t xml:space="preserve"> </w:t>
      </w:r>
      <w:hyperlink w:history="1" r:id="rIdduvetadel46cascxc6rvk">
        <w:r>
          <w:rPr>
            <w:color w:val="1D4ED8"/>
            <w:sz w:val="17"/>
            <w:szCs w:val="17"/>
            <w:u w:val="single"/>
          </w:rPr>
          <w:t xml:space="preserve">https://proceedings.nips.cc/paper/2020/hash/ae87a54e183c075c494c4d397d126a66-Abstract.html</w:t>
        </w:r>
      </w:hyperlink>
    </w:p>
    <w:p>
      <w:pPr>
        <w:pStyle w:val="Heading3"/>
      </w:pPr>
      <w:r>
        <w:rPr>
          <w:color w:val="1F3864"/>
        </w:rPr>
        <w:t xml:space="preserve">Further reading cited in the text (reserve papers)</w:t>
      </w:r>
    </w:p>
    <w:p>
      <w:pPr>
        <w:tabs>
          <w:tab w:val="left" w:pos="567"/>
        </w:tabs>
        <w:spacing w:after="50"/>
        <w:ind w:left="567" w:hanging="567"/>
        <w:jc w:val="left"/>
      </w:pPr>
      <w:r>
        <w:rPr>
          <w:b/>
          <w:bCs/>
          <w:color w:val="1E3A8A"/>
          <w:sz w:val="17"/>
          <w:szCs w:val="17"/>
        </w:rPr>
        <w:t xml:space="preserve">[SR1]	</w:t>
      </w:r>
      <w:r>
        <w:rPr>
          <w:sz w:val="17"/>
          <w:szCs w:val="17"/>
        </w:rPr>
        <w:t xml:space="preserve">Liang, A. &amp; Mu, X. (2020). Complementary information and learning traps. </w:t>
      </w:r>
      <w:r>
        <w:rPr>
          <w:i/>
          <w:iCs/>
          <w:sz w:val="17"/>
          <w:szCs w:val="17"/>
        </w:rPr>
        <w:t xml:space="preserve">The Quarterly Journal of Economics</w:t>
      </w:r>
      <w:r>
        <w:rPr>
          <w:sz w:val="17"/>
          <w:szCs w:val="17"/>
        </w:rPr>
        <w:t xml:space="preserve">, 135(1), 389–448. </w:t>
      </w:r>
      <w:r>
        <w:rPr>
          <w:i/>
          <w:iCs/>
          <w:sz w:val="17"/>
          <w:szCs w:val="17"/>
        </w:rPr>
        <w:t xml:space="preserve">Why it is useful:</w:t>
      </w:r>
      <w:r>
        <w:rPr>
          <w:sz w:val="17"/>
          <w:szCs w:val="17"/>
        </w:rPr>
        <w:t xml:space="preserve"> Princeton and Penn; complementary information sources can trap a sequence of learners on suboptimal sources, the dynamic face of complementarity between record holders (sections 1.1, 9.7).</w:t>
      </w:r>
      <w:r>
        <w:rPr>
          <w:sz w:val="17"/>
          <w:szCs w:val="17"/>
        </w:rPr>
        <w:t xml:space="preserve"> </w:t>
      </w:r>
      <w:hyperlink w:history="1" r:id="rIdgyqkjc8ktxmisk-y5_xrd">
        <w:r>
          <w:rPr>
            <w:color w:val="1D4ED8"/>
            <w:sz w:val="17"/>
            <w:szCs w:val="17"/>
            <w:u w:val="single"/>
          </w:rPr>
          <w:t xml:space="preserve">https://doi.org/10.1093/qje/qjz033</w:t>
        </w:r>
      </w:hyperlink>
    </w:p>
    <w:p>
      <w:pPr>
        <w:tabs>
          <w:tab w:val="left" w:pos="567"/>
        </w:tabs>
        <w:spacing w:after="50"/>
        <w:ind w:left="567" w:hanging="567"/>
        <w:jc w:val="left"/>
      </w:pPr>
      <w:r>
        <w:rPr>
          <w:b/>
          <w:bCs/>
          <w:color w:val="1E3A8A"/>
          <w:sz w:val="17"/>
          <w:szCs w:val="17"/>
        </w:rPr>
        <w:t xml:space="preserve">[SR2]	</w:t>
      </w:r>
      <w:r>
        <w:rPr>
          <w:sz w:val="17"/>
          <w:szCs w:val="17"/>
        </w:rPr>
        <w:t xml:space="preserve">Choo, D., Shiragur, K. &amp; Uhler, C. (2024). Causal discovery under off-target interventions. </w:t>
      </w:r>
      <w:r>
        <w:rPr>
          <w:i/>
          <w:iCs/>
          <w:sz w:val="17"/>
          <w:szCs w:val="17"/>
        </w:rPr>
        <w:t xml:space="preserve">Proceedings of the 27th International Conference on Artificial Intelligence and Statistics</w:t>
      </w:r>
      <w:r>
        <w:rPr>
          <w:sz w:val="17"/>
          <w:szCs w:val="17"/>
        </w:rPr>
        <w:t xml:space="preserve">, PMLR 238, 1621–1629. </w:t>
      </w:r>
      <w:r>
        <w:rPr>
          <w:i/>
          <w:iCs/>
          <w:sz w:val="17"/>
          <w:szCs w:val="17"/>
        </w:rPr>
        <w:t xml:space="preserve">Why it is useful:</w:t>
      </w:r>
      <w:r>
        <w:rPr>
          <w:sz w:val="17"/>
          <w:szCs w:val="17"/>
        </w:rPr>
        <w:t xml:space="preserve"> MIT, the Broad Institute and NUS; how many imperfect interventions suffice to identify a causal graph when each hits unintended variables (section 1.1).</w:t>
      </w:r>
      <w:r>
        <w:rPr>
          <w:sz w:val="17"/>
          <w:szCs w:val="17"/>
        </w:rPr>
        <w:t xml:space="preserve"> </w:t>
      </w:r>
      <w:hyperlink w:history="1" r:id="rIdpzepin0nfgzndm0mzj-ix">
        <w:r>
          <w:rPr>
            <w:color w:val="1D4ED8"/>
            <w:sz w:val="17"/>
            <w:szCs w:val="17"/>
            <w:u w:val="single"/>
          </w:rPr>
          <w:t xml:space="preserve">https://proceedings.mlr.press/v238/choo24a.html</w:t>
        </w:r>
      </w:hyperlink>
    </w:p>
    <w:p>
      <w:pPr>
        <w:tabs>
          <w:tab w:val="left" w:pos="567"/>
        </w:tabs>
        <w:spacing w:after="50"/>
        <w:ind w:left="567" w:hanging="567"/>
        <w:jc w:val="left"/>
      </w:pPr>
      <w:r>
        <w:rPr>
          <w:b/>
          <w:bCs/>
          <w:color w:val="0F766E"/>
          <w:sz w:val="17"/>
          <w:szCs w:val="17"/>
        </w:rPr>
        <w:t xml:space="preserve">[RR1]	</w:t>
      </w:r>
      <w:r>
        <w:rPr>
          <w:sz w:val="17"/>
          <w:szCs w:val="17"/>
        </w:rPr>
        <w:t xml:space="preserve">Rosenman, E. T. R., Basse, G., Owen, A. &amp; Baiocchi, M. (2023). Combining observational and experimental datasets using shrinkage estimators. </w:t>
      </w:r>
      <w:r>
        <w:rPr>
          <w:i/>
          <w:iCs/>
          <w:sz w:val="17"/>
          <w:szCs w:val="17"/>
        </w:rPr>
        <w:t xml:space="preserve">Biometrics</w:t>
      </w:r>
      <w:r>
        <w:rPr>
          <w:sz w:val="17"/>
          <w:szCs w:val="17"/>
        </w:rPr>
        <w:t xml:space="preserve">, 79(4), 2961–2973. </w:t>
      </w:r>
      <w:r>
        <w:rPr>
          <w:i/>
          <w:iCs/>
          <w:sz w:val="17"/>
          <w:szCs w:val="17"/>
        </w:rPr>
        <w:t xml:space="preserve">Why it is useful:</w:t>
      </w:r>
      <w:r>
        <w:rPr>
          <w:sz w:val="17"/>
          <w:szCs w:val="17"/>
        </w:rPr>
        <w:t xml:space="preserve"> Harvard (Rosenman) and Stanford; shrinkage estimators that combine a small experiment with a large observational study, with weights from an unbiased risk estimate (section 1.2).</w:t>
      </w:r>
      <w:r>
        <w:rPr>
          <w:sz w:val="17"/>
          <w:szCs w:val="17"/>
        </w:rPr>
        <w:t xml:space="preserve"> </w:t>
      </w:r>
      <w:hyperlink w:history="1" r:id="rId_ebjhj8x9ta5fzgwiczfy">
        <w:r>
          <w:rPr>
            <w:color w:val="1D4ED8"/>
            <w:sz w:val="17"/>
            <w:szCs w:val="17"/>
            <w:u w:val="single"/>
          </w:rPr>
          <w:t xml:space="preserve">https://doi.org/10.1111/biom.13827</w:t>
        </w:r>
      </w:hyperlink>
    </w:p>
    <w:p>
      <w:pPr>
        <w:tabs>
          <w:tab w:val="left" w:pos="567"/>
        </w:tabs>
        <w:spacing w:after="50"/>
        <w:ind w:left="567" w:hanging="567"/>
        <w:jc w:val="left"/>
      </w:pPr>
      <w:r>
        <w:rPr>
          <w:b/>
          <w:bCs/>
          <w:color w:val="0F766E"/>
          <w:sz w:val="17"/>
          <w:szCs w:val="17"/>
        </w:rPr>
        <w:t xml:space="preserve">[RR2]	</w:t>
      </w:r>
      <w:r>
        <w:rPr>
          <w:sz w:val="17"/>
          <w:szCs w:val="17"/>
        </w:rPr>
        <w:t xml:space="preserve">Johansson, F., Shalit, U., Kallus, N. &amp; Sontag, D. (2022). Generalization bounds and representation learning for estimation of potential outcomes and causal effects. </w:t>
      </w:r>
      <w:r>
        <w:rPr>
          <w:i/>
          <w:iCs/>
          <w:sz w:val="17"/>
          <w:szCs w:val="17"/>
        </w:rPr>
        <w:t xml:space="preserve">Journal of Machine Learning Research</w:t>
      </w:r>
      <w:r>
        <w:rPr>
          <w:sz w:val="17"/>
          <w:szCs w:val="17"/>
        </w:rPr>
        <w:t xml:space="preserve">, 23(166), 1–50. </w:t>
      </w:r>
      <w:r>
        <w:rPr>
          <w:i/>
          <w:iCs/>
          <w:sz w:val="17"/>
          <w:szCs w:val="17"/>
        </w:rPr>
        <w:t xml:space="preserve">Why it is useful:</w:t>
      </w:r>
      <w:r>
        <w:rPr>
          <w:sz w:val="17"/>
          <w:szCs w:val="17"/>
        </w:rPr>
        <w:t xml:space="preserve"> MIT and Chalmers; generalisation bounds for estimated potential outcomes in terms of the distance between treated and control populations (section 1.2).</w:t>
      </w:r>
      <w:r>
        <w:rPr>
          <w:sz w:val="17"/>
          <w:szCs w:val="17"/>
        </w:rPr>
        <w:t xml:space="preserve"> </w:t>
      </w:r>
      <w:hyperlink w:history="1" r:id="rId2fg9jmb8-ybrlsnpspviy">
        <w:r>
          <w:rPr>
            <w:color w:val="1D4ED8"/>
            <w:sz w:val="17"/>
            <w:szCs w:val="17"/>
            <w:u w:val="single"/>
          </w:rPr>
          <w:t xml:space="preserve">https://jmlr.org/papers/v23/19-511.html</w:t>
        </w:r>
      </w:hyperlink>
    </w:p>
    <w:p>
      <w:pPr>
        <w:tabs>
          <w:tab w:val="left" w:pos="567"/>
        </w:tabs>
        <w:spacing w:after="50"/>
        <w:ind w:left="567" w:hanging="567"/>
        <w:jc w:val="left"/>
      </w:pPr>
      <w:r>
        <w:rPr>
          <w:b/>
          <w:bCs/>
          <w:color w:val="9A3412"/>
          <w:sz w:val="17"/>
          <w:szCs w:val="17"/>
        </w:rPr>
        <w:t xml:space="preserve">[CR1]	</w:t>
      </w:r>
      <w:r>
        <w:rPr>
          <w:sz w:val="17"/>
          <w:szCs w:val="17"/>
        </w:rPr>
        <w:t xml:space="preserve">Dwork, C., Su, W. J. &amp; Zhang, L. (2021). Differentially private false discovery rate control. </w:t>
      </w:r>
      <w:r>
        <w:rPr>
          <w:i/>
          <w:iCs/>
          <w:sz w:val="17"/>
          <w:szCs w:val="17"/>
        </w:rPr>
        <w:t xml:space="preserve">Journal of Privacy and Confidentiality</w:t>
      </w:r>
      <w:r>
        <w:rPr>
          <w:sz w:val="17"/>
          <w:szCs w:val="17"/>
        </w:rPr>
        <w:t xml:space="preserve">, 11(2). </w:t>
      </w:r>
      <w:r>
        <w:rPr>
          <w:i/>
          <w:iCs/>
          <w:sz w:val="17"/>
          <w:szCs w:val="17"/>
        </w:rPr>
        <w:t xml:space="preserve">Why it is useful:</w:t>
      </w:r>
      <w:r>
        <w:rPr>
          <w:sz w:val="17"/>
          <w:szCs w:val="17"/>
        </w:rPr>
        <w:t xml:space="preserve"> Harvard (Dwork), Penn and Google; the first differentially private procedure that controls the false discovery rate (section 1.3).</w:t>
      </w:r>
      <w:r>
        <w:rPr>
          <w:sz w:val="17"/>
          <w:szCs w:val="17"/>
        </w:rPr>
        <w:t xml:space="preserve"> </w:t>
      </w:r>
      <w:hyperlink w:history="1" r:id="rIdgsxtinqod1ljp2z5qycxj">
        <w:r>
          <w:rPr>
            <w:color w:val="1D4ED8"/>
            <w:sz w:val="17"/>
            <w:szCs w:val="17"/>
            <w:u w:val="single"/>
          </w:rPr>
          <w:t xml:space="preserve">https://doi.org/10.29012/jpc.755</w:t>
        </w:r>
      </w:hyperlink>
    </w:p>
    <w:p>
      <w:pPr>
        <w:tabs>
          <w:tab w:val="left" w:pos="567"/>
        </w:tabs>
        <w:spacing w:after="50"/>
        <w:ind w:left="567" w:hanging="567"/>
        <w:jc w:val="left"/>
      </w:pPr>
      <w:r>
        <w:rPr>
          <w:b/>
          <w:bCs/>
          <w:color w:val="9A3412"/>
          <w:sz w:val="17"/>
          <w:szCs w:val="17"/>
        </w:rPr>
        <w:t xml:space="preserve">[CR2]	</w:t>
      </w:r>
      <w:r>
        <w:rPr>
          <w:sz w:val="17"/>
          <w:szCs w:val="17"/>
        </w:rPr>
        <w:t xml:space="preserve">Froelicher, D., Troncoso-Pastoriza, J. R., Raisaro, J. L., Cuendet, M. A., Sousa, J. S., Cho, H., Berger, B., Fellay, J. &amp; Hubaux, J.-P. (2021). Truly privacy-preserving federated analytics for precision medicine with multiparty homomorphic encryption. </w:t>
      </w:r>
      <w:r>
        <w:rPr>
          <w:i/>
          <w:iCs/>
          <w:sz w:val="17"/>
          <w:szCs w:val="17"/>
        </w:rPr>
        <w:t xml:space="preserve">Nature Communications</w:t>
      </w:r>
      <w:r>
        <w:rPr>
          <w:sz w:val="17"/>
          <w:szCs w:val="17"/>
        </w:rPr>
        <w:t xml:space="preserve">, 12, 5910. </w:t>
      </w:r>
      <w:r>
        <w:rPr>
          <w:i/>
          <w:iCs/>
          <w:sz w:val="17"/>
          <w:szCs w:val="17"/>
        </w:rPr>
        <w:t xml:space="preserve">Why it is useful:</w:t>
      </w:r>
      <w:r>
        <w:rPr>
          <w:sz w:val="17"/>
          <w:szCs w:val="17"/>
        </w:rPr>
        <w:t xml:space="preserve"> MIT and the Broad Institute (Berger), EPFL; federated analytics on multiparty homomorphic encryption without exposing intermediate results (section 1.3).</w:t>
      </w:r>
      <w:r>
        <w:rPr>
          <w:sz w:val="17"/>
          <w:szCs w:val="17"/>
        </w:rPr>
        <w:t xml:space="preserve"> </w:t>
      </w:r>
      <w:hyperlink w:history="1" r:id="rId0memwvzhkk7zbt-c3gqsl">
        <w:r>
          <w:rPr>
            <w:color w:val="1D4ED8"/>
            <w:sz w:val="17"/>
            <w:szCs w:val="17"/>
            <w:u w:val="single"/>
          </w:rPr>
          <w:t xml:space="preserve">https://doi.org/10.1038/s41467-021-25972-y</w:t>
        </w:r>
      </w:hyperlink>
    </w:p>
    <w:p>
      <w:pPr>
        <w:tabs>
          <w:tab w:val="left" w:pos="567"/>
        </w:tabs>
        <w:spacing w:after="50"/>
        <w:ind w:left="567" w:hanging="567"/>
        <w:jc w:val="left"/>
      </w:pPr>
      <w:r>
        <w:rPr>
          <w:b/>
          <w:bCs/>
          <w:color w:val="5B21B6"/>
          <w:sz w:val="17"/>
          <w:szCs w:val="17"/>
        </w:rPr>
        <w:t xml:space="preserve">[GR1]	</w:t>
      </w:r>
      <w:r>
        <w:rPr>
          <w:sz w:val="17"/>
          <w:szCs w:val="17"/>
        </w:rPr>
        <w:t xml:space="preserve">Bergemann, D., Bonatti, A. &amp; Gan, T. (2022). The economics of social data. </w:t>
      </w:r>
      <w:r>
        <w:rPr>
          <w:i/>
          <w:iCs/>
          <w:sz w:val="17"/>
          <w:szCs w:val="17"/>
        </w:rPr>
        <w:t xml:space="preserve">The RAND Journal of Economics</w:t>
      </w:r>
      <w:r>
        <w:rPr>
          <w:sz w:val="17"/>
          <w:szCs w:val="17"/>
        </w:rPr>
        <w:t xml:space="preserve">, 53(2), 263–296. </w:t>
      </w:r>
      <w:r>
        <w:rPr>
          <w:i/>
          <w:iCs/>
          <w:sz w:val="17"/>
          <w:szCs w:val="17"/>
        </w:rPr>
        <w:t xml:space="preserve">Why it is useful:</w:t>
      </w:r>
      <w:r>
        <w:rPr>
          <w:sz w:val="17"/>
          <w:szCs w:val="17"/>
        </w:rPr>
        <w:t xml:space="preserve"> MIT (Bonatti) and Yale; social data lower each person's compensation because others' data reveal theirs, the externality between neighbouring wells (section 1.4).</w:t>
      </w:r>
      <w:r>
        <w:rPr>
          <w:sz w:val="17"/>
          <w:szCs w:val="17"/>
        </w:rPr>
        <w:t xml:space="preserve"> </w:t>
      </w:r>
      <w:hyperlink w:history="1" r:id="rId2ehs_hsvxnyh3eku9rr7d">
        <w:r>
          <w:rPr>
            <w:color w:val="1D4ED8"/>
            <w:sz w:val="17"/>
            <w:szCs w:val="17"/>
            <w:u w:val="single"/>
          </w:rPr>
          <w:t xml:space="preserve">https://doi.org/10.1111/1756-2171.12407</w:t>
        </w:r>
      </w:hyperlink>
    </w:p>
    <w:p>
      <w:pPr>
        <w:tabs>
          <w:tab w:val="left" w:pos="567"/>
        </w:tabs>
        <w:spacing w:after="50"/>
        <w:ind w:left="567" w:hanging="567"/>
        <w:jc w:val="left"/>
      </w:pPr>
      <w:r>
        <w:rPr>
          <w:b/>
          <w:bCs/>
          <w:color w:val="5B21B6"/>
          <w:sz w:val="17"/>
          <w:szCs w:val="17"/>
        </w:rPr>
        <w:t xml:space="preserve">[GR2]	</w:t>
      </w:r>
      <w:r>
        <w:rPr>
          <w:sz w:val="17"/>
          <w:szCs w:val="17"/>
        </w:rPr>
        <w:t xml:space="preserve">Ravindranath, S. S., Jiang, Y. &amp; Parkes, D. C. (2023). Data market design through deep learning. </w:t>
      </w:r>
      <w:r>
        <w:rPr>
          <w:i/>
          <w:iCs/>
          <w:sz w:val="17"/>
          <w:szCs w:val="17"/>
        </w:rPr>
        <w:t xml:space="preserve">Advances in Neural Information Processing Systems</w:t>
      </w:r>
      <w:r>
        <w:rPr>
          <w:sz w:val="17"/>
          <w:szCs w:val="17"/>
        </w:rPr>
        <w:t xml:space="preserve">, 36 (pages not verified). </w:t>
      </w:r>
      <w:r>
        <w:rPr>
          <w:i/>
          <w:iCs/>
          <w:sz w:val="17"/>
          <w:szCs w:val="17"/>
        </w:rPr>
        <w:t xml:space="preserve">Why it is useful:</w:t>
      </w:r>
      <w:r>
        <w:rPr>
          <w:sz w:val="17"/>
          <w:szCs w:val="17"/>
        </w:rPr>
        <w:t xml:space="preserve"> Harvard; revenue-optimal data-market menus learned with deep networks (section 1.4).</w:t>
      </w:r>
      <w:r>
        <w:rPr>
          <w:sz w:val="17"/>
          <w:szCs w:val="17"/>
        </w:rPr>
        <w:t xml:space="preserve"> </w:t>
      </w:r>
      <w:hyperlink w:history="1" r:id="rIdcp8awbkvedhxybm6qkavo">
        <w:r>
          <w:rPr>
            <w:color w:val="1D4ED8"/>
            <w:sz w:val="17"/>
            <w:szCs w:val="17"/>
            <w:u w:val="single"/>
          </w:rPr>
          <w:t xml:space="preserve">https://papers.neurips.cc/paper_files/paper/2023/file/1577ea3eaf8dacb99f64e4496c3ecddf-Paper-Conference.pdf</w:t>
        </w:r>
      </w:hyperlink>
    </w:p>
    <w:p>
      <w:pPr>
        <w:spacing w:after="200"/>
      </w:pPr>
    </w:p>
    <w:p>
      <w:pPr>
        <w:spacing w:after="120"/>
      </w:pPr>
      <w:r>
        <w:rPr>
          <w:i/>
          <w:iCs/>
          <w:color w:val="5B6573"/>
          <w:sz w:val="18"/>
          <w:szCs w:val="18"/>
        </w:rPr>
        <w:t xml:space="preserve">Prepared from searches of 26 October 2026. Card codes: S = sequential and adaptive data acquisition, R = robustly combining data sources, C = privacy-preserving computation, G = incentives, cooperative games and collaborative learning; [B…] are references of Part I and section 9, and [SR1]–[GR2] are reserve papers cited as further reading. The code of KOALICIONI-GO is in the repository folder experiments/koalicioni_go; it uses the truth generator and the Bayesian model of BASHKIMI-GO (review 55, experiments/bashkimi_go).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Is merging worth it? II: coalitions, order, stopping and fair shares · Oxford, Caltech, MIT, Princeton, Harvard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f52tfh0a_on7alrgvh-ga" Type="http://schemas.openxmlformats.org/officeDocument/2006/relationships/hyperlink" Target="https://doi.org/10.1137/23M1606253" TargetMode="External"/><Relationship Id="rIde0wa0isv-bzfkfebfrhwg" Type="http://schemas.openxmlformats.org/officeDocument/2006/relationships/hyperlink" Target="https://authors.library.caltech.edu/records/r5pjt-ezf04" TargetMode="External"/><Relationship Id="rIdgavoz9cl9jv7yusoubxvy" Type="http://schemas.openxmlformats.org/officeDocument/2006/relationships/hyperlink" Target="https://papers.nips.cc/paper/2020/hash/2adee8815dd939548ee6b2772524b6f2-Abstract.html" TargetMode="External"/><Relationship Id="rIdrkm5xu69wgybzlo9jg6tv" Type="http://schemas.openxmlformats.org/officeDocument/2006/relationships/hyperlink" Target="https://proceedings.mlr.press/v139/kossen21a.html" TargetMode="External"/><Relationship Id="rIdiuhokxbf1soheb5ogs8zs" Type="http://schemas.openxmlformats.org/officeDocument/2006/relationships/hyperlink" Target="https://arxiv.org/abs/2212.01524" TargetMode="External"/><Relationship Id="rIdwti0bdmt9xvmqic416i2z" Type="http://schemas.openxmlformats.org/officeDocument/2006/relationships/hyperlink" Target="https://ideas.repec.org/a/eee/econom/v237y2023i2s0304407623002610.html" TargetMode="External"/><Relationship Id="rIdtjugz1r5ivkr2307mfnx-" Type="http://schemas.openxmlformats.org/officeDocument/2006/relationships/hyperlink" Target="https://doi.org/10.1214/22-AOAS1712" TargetMode="External"/><Relationship Id="rIdpat2nucdguxfjgr6yccah" Type="http://schemas.openxmlformats.org/officeDocument/2006/relationships/hyperlink" Target="https://papers.neurips.cc/paper_files/paper/2022/file/28b5dfc51e5ae12d84fb7c6172a00df4-Paper-Conference.pdf" TargetMode="External"/><Relationship Id="rIdzaro3wlq4hfcfp2edcjkd" Type="http://schemas.openxmlformats.org/officeDocument/2006/relationships/hyperlink" Target="https://collaborate.princeton.edu/en/publications/robust-transfer-learning-with-unreliable-source-data/" TargetMode="External"/><Relationship Id="rIdjhyihqw_6wfqzwo8vlwoh" Type="http://schemas.openxmlformats.org/officeDocument/2006/relationships/hyperlink" Target="https://doi.org/10.1038/s41564-021-01029-0" TargetMode="External"/><Relationship Id="rIdo4vasxfm9ft4c9dxfkdak" Type="http://schemas.openxmlformats.org/officeDocument/2006/relationships/hyperlink" Target="https://jmlr.org/papers/v24/23-0045.html" TargetMode="External"/><Relationship Id="rIdbb5eeqlgejq6w0ayhxev5" Type="http://schemas.openxmlformats.org/officeDocument/2006/relationships/hyperlink" Target="https://proceedings.mlr.press/v247/brown24b.html" TargetMode="External"/><Relationship Id="rId7yxuopy0hko1nrz-rdwbs" Type="http://schemas.openxmlformats.org/officeDocument/2006/relationships/hyperlink" Target="https://neurips.cc/virtual/2023/poster/72662" TargetMode="External"/><Relationship Id="rIdrlskteqf8qf15f4pbibpg" Type="http://schemas.openxmlformats.org/officeDocument/2006/relationships/hyperlink" Target="https://proceedings.neurips.cc/paper_files/paper/2023/hash/6ae7df1f40f5faeda474b36b61197822-Abstract.html" TargetMode="External"/><Relationship Id="rId_nsxklacrakxpgocnsvws" Type="http://schemas.openxmlformats.org/officeDocument/2006/relationships/hyperlink" Target="https://ieeexplore.ieee.org/document/9069945" TargetMode="External"/><Relationship Id="rIdriamxtp2n9cwokkzthcsw" Type="http://schemas.openxmlformats.org/officeDocument/2006/relationships/hyperlink" Target="https://proceedings.mlr.press/v235/wang24cg.html" TargetMode="External"/><Relationship Id="rIdl6vumsdhar_seszu9ch1p" Type="http://schemas.openxmlformats.org/officeDocument/2006/relationships/hyperlink" Target="https://doi.org/10.1016/j.geb.2024.09.008" TargetMode="External"/><Relationship Id="rIdkfaxitwihsgavxpxub4zb" Type="http://schemas.openxmlformats.org/officeDocument/2006/relationships/hyperlink" Target="https://proceedings.mlr.press/v202/hardt23a.html" TargetMode="External"/><Relationship Id="rId1kmdg0ljleaxu6fveznf5" Type="http://schemas.openxmlformats.org/officeDocument/2006/relationships/hyperlink" Target="https://neurips.cc/virtual/2021/poster/27087" TargetMode="External"/><Relationship Id="rIdbjlwqlvbgyxgvdhywmop1" Type="http://schemas.openxmlformats.org/officeDocument/2006/relationships/hyperlink" Target="https://proceedings.nips.cc/paper/2020/hash/ae87a54e183c075c494c4d397d126a66-Abstract.html" TargetMode="External"/><Relationship Id="rIdukl9mh8i5ps_p07r7jqf6" Type="http://schemas.openxmlformats.org/officeDocument/2006/relationships/hyperlink" Target="https://proceedings.mlr.press/v258/fawkes25a.html" TargetMode="External"/><Relationship Id="rIdbfqbtsj0sbefahjsvyphr" Type="http://schemas.openxmlformats.org/officeDocument/2006/relationships/hyperlink" Target="https://doi.org/10.1007/BF01588971" TargetMode="External"/><Relationship Id="rIdsvmlkwo7gkdkk7hczghek" Type="http://schemas.openxmlformats.org/officeDocument/2006/relationships/hyperlink" Target="https://doi.org/10.1613/jair.3278" TargetMode="External"/><Relationship Id="rIdkm73qlcbelhtxgo39_eky" Type="http://schemas.openxmlformats.org/officeDocument/2006/relationships/hyperlink" Target="https://doi.org/10.1007/BF01753431" TargetMode="External"/><Relationship Id="rIdtwpc41tnscrcjkkk0g0ry" Type="http://schemas.openxmlformats.org/officeDocument/2006/relationships/hyperlink" Target="https://doi.org/10.1561/0400000042" TargetMode="External"/><Relationship Id="rIdrkdxwyt6ffoc7yobnywph" Type="http://schemas.openxmlformats.org/officeDocument/2006/relationships/hyperlink" Target="https://doi.org/10.1137/23M1606253" TargetMode="External"/><Relationship Id="rIdnn6nkl2byz_n46smkgkcb" Type="http://schemas.openxmlformats.org/officeDocument/2006/relationships/hyperlink" Target="https://authors.library.caltech.edu/records/r5pjt-ezf04" TargetMode="External"/><Relationship Id="rIdniwcwip3i7hsad92shkev" Type="http://schemas.openxmlformats.org/officeDocument/2006/relationships/hyperlink" Target="https://papers.nips.cc/paper/2020/hash/2adee8815dd939548ee6b2772524b6f2-Abstract.html" TargetMode="External"/><Relationship Id="rId8dqxd-xhtxnze2yux5jn7" Type="http://schemas.openxmlformats.org/officeDocument/2006/relationships/hyperlink" Target="https://proceedings.mlr.press/v139/kossen21a.html" TargetMode="External"/><Relationship Id="rIda9mlu48-n4l3klergofly" Type="http://schemas.openxmlformats.org/officeDocument/2006/relationships/hyperlink" Target="https://arxiv.org/abs/2212.01524" TargetMode="External"/><Relationship Id="rIdthlejojy-tnz_pweww1yz" Type="http://schemas.openxmlformats.org/officeDocument/2006/relationships/hyperlink" Target="https://ideas.repec.org/a/eee/econom/v237y2023i2s0304407623002610.html" TargetMode="External"/><Relationship Id="rIdln2imh6xbjniwcljm8hfh" Type="http://schemas.openxmlformats.org/officeDocument/2006/relationships/hyperlink" Target="https://doi.org/10.1214/22-AOAS1712" TargetMode="External"/><Relationship Id="rIdmckv1e3lk-w29ocfbbmzt" Type="http://schemas.openxmlformats.org/officeDocument/2006/relationships/hyperlink" Target="https://papers.neurips.cc/paper_files/paper/2022/file/28b5dfc51e5ae12d84fb7c6172a00df4-Paper-Conference.pdf" TargetMode="External"/><Relationship Id="rIdj4tu9jdqgtiykyekjouv8" Type="http://schemas.openxmlformats.org/officeDocument/2006/relationships/hyperlink" Target="https://collaborate.princeton.edu/en/publications/robust-transfer-learning-with-unreliable-source-data/" TargetMode="External"/><Relationship Id="rIdf_stulex3_q4zq6ai82oo" Type="http://schemas.openxmlformats.org/officeDocument/2006/relationships/hyperlink" Target="https://doi.org/10.1038/s41564-021-01029-0" TargetMode="External"/><Relationship Id="rIduzlgqcknghnxrgfjycfwm" Type="http://schemas.openxmlformats.org/officeDocument/2006/relationships/hyperlink" Target="https://jmlr.org/papers/v24/23-0045.html" TargetMode="External"/><Relationship Id="rIdzmxfsxb38y34aancpczq2" Type="http://schemas.openxmlformats.org/officeDocument/2006/relationships/hyperlink" Target="https://proceedings.mlr.press/v247/brown24b.html" TargetMode="External"/><Relationship Id="rIdeerothhhrtdqt8odhw57m" Type="http://schemas.openxmlformats.org/officeDocument/2006/relationships/hyperlink" Target="https://neurips.cc/virtual/2023/poster/72662" TargetMode="External"/><Relationship Id="rIdt3alkwgv7rds90stoojzn" Type="http://schemas.openxmlformats.org/officeDocument/2006/relationships/hyperlink" Target="https://proceedings.neurips.cc/paper_files/paper/2023/hash/6ae7df1f40f5faeda474b36b61197822-Abstract.html" TargetMode="External"/><Relationship Id="rIdymeb-rud4keashtud3_dy" Type="http://schemas.openxmlformats.org/officeDocument/2006/relationships/hyperlink" Target="https://ieeexplore.ieee.org/document/9069945" TargetMode="External"/><Relationship Id="rId5gejzcrdxinb2j48h6fy4" Type="http://schemas.openxmlformats.org/officeDocument/2006/relationships/hyperlink" Target="https://proceedings.mlr.press/v235/wang24cg.html" TargetMode="External"/><Relationship Id="rIdju16pgxfbauto6vwrj4fu" Type="http://schemas.openxmlformats.org/officeDocument/2006/relationships/hyperlink" Target="https://doi.org/10.1016/j.geb.2024.09.008" TargetMode="External"/><Relationship Id="rIdj8m1y-0x_sks5usckn0cv" Type="http://schemas.openxmlformats.org/officeDocument/2006/relationships/hyperlink" Target="https://proceedings.mlr.press/v202/hardt23a.html" TargetMode="External"/><Relationship Id="rIdhpy1-oz4es8kzbo1a1p9c" Type="http://schemas.openxmlformats.org/officeDocument/2006/relationships/hyperlink" Target="https://neurips.cc/virtual/2021/poster/27087" TargetMode="External"/><Relationship Id="rIdduvetadel46cascxc6rvk" Type="http://schemas.openxmlformats.org/officeDocument/2006/relationships/hyperlink" Target="https://proceedings.nips.cc/paper/2020/hash/ae87a54e183c075c494c4d397d126a66-Abstract.html" TargetMode="External"/><Relationship Id="rIdgyqkjc8ktxmisk-y5_xrd" Type="http://schemas.openxmlformats.org/officeDocument/2006/relationships/hyperlink" Target="https://doi.org/10.1093/qje/qjz033" TargetMode="External"/><Relationship Id="rIdpzepin0nfgzndm0mzj-ix" Type="http://schemas.openxmlformats.org/officeDocument/2006/relationships/hyperlink" Target="https://proceedings.mlr.press/v238/choo24a.html" TargetMode="External"/><Relationship Id="rId_ebjhj8x9ta5fzgwiczfy" Type="http://schemas.openxmlformats.org/officeDocument/2006/relationships/hyperlink" Target="https://doi.org/10.1111/biom.13827" TargetMode="External"/><Relationship Id="rId2fg9jmb8-ybrlsnpspviy" Type="http://schemas.openxmlformats.org/officeDocument/2006/relationships/hyperlink" Target="https://jmlr.org/papers/v23/19-511.html" TargetMode="External"/><Relationship Id="rIdgsxtinqod1ljp2z5qycxj" Type="http://schemas.openxmlformats.org/officeDocument/2006/relationships/hyperlink" Target="https://doi.org/10.29012/jpc.755" TargetMode="External"/><Relationship Id="rId0memwvzhkk7zbt-c3gqsl" Type="http://schemas.openxmlformats.org/officeDocument/2006/relationships/hyperlink" Target="https://doi.org/10.1038/s41467-021-25972-y" TargetMode="External"/><Relationship Id="rId2ehs_hsvxnyh3eku9rr7d" Type="http://schemas.openxmlformats.org/officeDocument/2006/relationships/hyperlink" Target="https://doi.org/10.1111/1756-2171.12407" TargetMode="External"/><Relationship Id="rIdcp8awbkvedhxybm6qkavo" Type="http://schemas.openxmlformats.org/officeDocument/2006/relationships/hyperlink" Target="https://papers.neurips.cc/paper_files/paper/2023/file/1577ea3eaf8dacb99f64e4496c3ecddf-Paper-Conference.pdf" TargetMode="External"/><Relationship Id="rId11" Type="http://schemas.openxmlformats.org/officeDocument/2006/relationships/image" Target="media/3950691db47e5d44f3c8633dc77f9b42fc76e3ee.pn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merging worth it? II. Which coalition of well-record holders, in what order, and who deserves what: twenty more papers from Oxford, Caltech, MIT, Princeton and Harvard</dc:title>
  <dc:subject>Literature review: coalitions of data holders, sequential acquisition, robust combination, private computation and cooperative games for causal data merging, 2020–2026</dc:subject>
  <dc:creator>D. Zeqiraj</dc:creator>
  <dc:description>Twenty further papers of 2020–2026 on the topic of the Oxford paper "Is merging worth it?" (AISTATS 2025), none used in review 55: sequential and adaptive data acquisition (5), robustly combining data sources for causal inference (5), privacy-preserving computation for statistical and causal inference (5) and incentives, cooperative games and collaborative learning (5), each with a key equation, why it is among the best and the question it leaves open; a theoretical introduction; and a numerically tested innovation, KOALICIONI-GO (koalicioni: the coalition), which tells the Fushë-Kuqe water utility, before any record is shared, which coalition of record holders to form, in what order to merge, when to stop and how to share the value fairly, with every coalition valued privately at the cost of one release per holder</dc:description>
  <cp:lastModifiedBy>D. Zeqiraj</cp:lastModifiedBy>
  <cp:revision>1</cp:revision>
  <dcterms:created xsi:type="dcterms:W3CDTF">2026-10-26T16:48:09.706Z</dcterms:created>
  <dcterms:modified xsi:type="dcterms:W3CDTF">2026-10-26T16:48:09.706Z</dcterms:modified>
</cp:coreProperties>
</file>

<file path=docProps/custom.xml><?xml version="1.0" encoding="utf-8"?>
<Properties xmlns="http://schemas.openxmlformats.org/officeDocument/2006/custom-properties" xmlns:vt="http://schemas.openxmlformats.org/officeDocument/2006/docPropsVTypes"/>
</file>