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2"/>
        </w:rPr>
        <w:t>Rationale for choosing networking</w:t>
      </w:r>
    </w:p>
    <w:p>
      <w:pPr>
        <w:spacing w:after="120" w:line="276" w:lineRule="auto"/>
      </w:pPr>
      <w:r>
        <w:rPr>
          <w:rFonts w:ascii="Arial" w:hAnsi="Arial"/>
          <w:sz w:val="22"/>
        </w:rPr>
        <w:t>The methods this proposal builds on already exist and have been tested on synthetic aquifers: a coupled variable-density model with its adjoint, a certified chloride alarm, a sampling watch and a pumping rule. What is missing cannot be produced by one research group: testing them on many real aquifers, with each country's records, extremes and institutions. A network is the instrument that fits, for five reasons.</w:t>
      </w:r>
    </w:p>
    <w:p>
      <w:pPr>
        <w:spacing w:after="80"/>
      </w:pPr>
      <w:r>
        <w:rPr>
          <w:rFonts w:ascii="Arial" w:hAnsi="Arial"/>
          <w:b/>
          <w:sz w:val="22"/>
        </w:rPr>
        <w:t xml:space="preserve">1. Transferability. </w:t>
      </w:r>
      <w:r>
        <w:rPr>
          <w:rFonts w:ascii="Arial" w:hAnsi="Arial"/>
          <w:sz w:val="22"/>
        </w:rPr>
        <w:t>Every result is a transferability claim. It must be checked on contrasting coastal aquifers, alluvial, karst and deltaic, whose records are held by national surveys and utilities, are rarely published and are not for sale.</w:t>
      </w:r>
    </w:p>
    <w:p>
      <w:pPr>
        <w:spacing w:after="80"/>
      </w:pPr>
      <w:r>
        <w:rPr>
          <w:rFonts w:ascii="Arial" w:hAnsi="Arial"/>
          <w:b/>
          <w:sz w:val="22"/>
        </w:rPr>
        <w:t xml:space="preserve">2. Extremes are rare at any one site. </w:t>
      </w:r>
      <w:r>
        <w:rPr>
          <w:rFonts w:ascii="Arial" w:hAnsi="Arial"/>
          <w:sz w:val="22"/>
        </w:rPr>
        <w:t>Pooling droughts, intense-rainfall events and pumping changes across many aquifers gives the record that no single site has, as pooled ensembles extend the climate record.</w:t>
      </w:r>
    </w:p>
    <w:p>
      <w:pPr>
        <w:spacing w:after="80"/>
      </w:pPr>
      <w:r>
        <w:rPr>
          <w:rFonts w:ascii="Arial" w:hAnsi="Arial"/>
          <w:b/>
          <w:sz w:val="22"/>
        </w:rPr>
        <w:t xml:space="preserve">3. Decisions are social before they are computational. </w:t>
      </w:r>
      <w:r>
        <w:rPr>
          <w:rFonts w:ascii="Arial" w:hAnsi="Arial"/>
          <w:sz w:val="22"/>
        </w:rPr>
        <w:t>The acceptable share of seasons above 250 mg/L, who gives up water in a drought and when to cut pumping must be agreed by the agencies, utilities and farmers who carry them out; they join a network on equal terms, but rarely a research grant.</w:t>
      </w:r>
    </w:p>
    <w:p>
      <w:pPr>
        <w:spacing w:after="80"/>
      </w:pPr>
      <w:r>
        <w:rPr>
          <w:rFonts w:ascii="Arial" w:hAnsi="Arial"/>
          <w:b/>
          <w:sz w:val="22"/>
        </w:rPr>
        <w:t xml:space="preserve">4. Capacity is uneven. </w:t>
      </w:r>
      <w:r>
        <w:rPr>
          <w:rFonts w:ascii="Arial" w:hAnsi="Arial"/>
          <w:sz w:val="22"/>
        </w:rPr>
        <w:t>Countries with the thinnest coastal monitoring, many of them Inclusiveness Target Countries such as Albania, gain most from Training Schools, Short-Term Scientific Missions and mixed Working Groups.</w:t>
      </w:r>
    </w:p>
    <w:p>
      <w:pPr>
        <w:spacing w:after="80"/>
      </w:pPr>
      <w:r>
        <w:rPr>
          <w:rFonts w:ascii="Arial" w:hAnsi="Arial"/>
          <w:b/>
          <w:sz w:val="22"/>
        </w:rPr>
        <w:t xml:space="preserve">5. Research is already funded. </w:t>
      </w:r>
      <w:r>
        <w:rPr>
          <w:rFonts w:ascii="Arial" w:hAnsi="Arial"/>
          <w:sz w:val="22"/>
        </w:rPr>
        <w:t>Members carry out modelling and fieldwork with their own national and European funding; networking makes their results comparable and puts them into practice.</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