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Arial"/>
          <w:b/>
          <w:i w:val="0"/>
          <w:color w:val="1F3864"/>
          <w:sz w:val="36"/>
        </w:rPr>
        <w:t>CERTAIN-COAST — Partnership</w:t>
      </w:r>
    </w:p>
    <w:p>
      <w:pPr>
        <w:spacing w:after="200" w:before="0"/>
        <w:jc w:val="center"/>
      </w:pPr>
      <w:r>
        <w:rPr>
          <w:rFonts w:ascii="Arial" w:hAnsi="Arial" w:eastAsia="Arial"/>
          <w:b/>
          <w:i w:val="0"/>
          <w:color w:val="1F3864"/>
          <w:sz w:val="24"/>
        </w:rPr>
        <w:t>Certified early warning for seawater intrusion, liquefaction and extreme sea levels at the wellfields, port and energy landfall of a subsiding Adriatic coast</w:t>
      </w:r>
    </w:p>
    <w:p>
      <w:pPr>
        <w:spacing w:after="160" w:before="0"/>
        <w:jc w:val="both"/>
      </w:pPr>
      <w:r>
        <w:rPr>
          <w:rFonts w:ascii="Arial" w:hAnsi="Arial" w:eastAsia="Arial"/>
          <w:b w:val="0"/>
          <w:i w:val="0"/>
          <w:sz w:val="23"/>
        </w:rPr>
        <w:t>The CERTAIN-COAST partnership is built around the decision chain it serves: scientists who measure and model the coast, the operators who run the wellfields, the port and the energy landfall, and the civil-protection authority that acts after an earthquake or a storm. The NATO-country team works where the critical infrastructure is; the partner-country team leads the modelling, the certified alarms and the transfer, and brings a second subsiding coast on which the method is tested for transfer within the project; the end-users co-design the thresholds and run the system after hand-over. Names in square brackets are placeholders for the applicants to fill.</w:t>
      </w:r>
    </w:p>
    <w:p>
      <w:pPr>
        <w:keepNext/>
        <w:spacing w:after="120" w:before="80"/>
      </w:pPr>
      <w:r>
        <w:rPr>
          <w:rFonts w:ascii="Arial" w:hAnsi="Arial" w:eastAsia="Arial"/>
          <w:b/>
          <w:i w:val="0"/>
          <w:color w:val="1F3864"/>
          <w:sz w:val="26"/>
        </w:rPr>
        <w:t>SPS partnership rules used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</w:rPr>
        <w:t>Each proposal is developed jointly by experts from at least one NATO member country and at least one eligible NATO partner country, with a NATO-country Project Director and a partner-country Project Director employed in an eligible partner country.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</w:rPr>
        <w:t>Additional co-directors from NATO or eligible partner countries may be included.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</w:rPr>
        <w:t>Co-directors must belong to government, academic or non-profit institutions; for-profit companies cannot be co-directors.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</w:rPr>
        <w:t>End-users should be based in a NATO or eligible partner country, and the call requires a commitment letter from each end-user.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1"/>
        </w:rPr>
        <w:t xml:space="preserve">• </w:t>
      </w:r>
      <w:r>
        <w:rPr>
          <w:rFonts w:ascii="Arial" w:hAnsi="Arial" w:eastAsia="Arial"/>
          <w:b w:val="0"/>
          <w:i w:val="0"/>
          <w:sz w:val="21"/>
        </w:rPr>
        <w:t>Albania is on the list of NATO member countries; eligible partner countries in the 2027-1 call include, among others, Algeria, Armenia, Australia, Austria, Azerbaijan, Bahrain, Bosnia and Herzegovina, Colombia, Egypt, Georgia, Iraq, Ukraine and Uzbekistan (check the full list in the call).</w:t>
      </w:r>
    </w:p>
    <w:p>
      <w:pPr>
        <w:spacing w:after="40" w:before="60"/>
      </w:pPr>
      <w:r>
        <w:rPr>
          <w:rFonts w:ascii="Arial" w:hAnsi="Arial" w:eastAsia="Arial"/>
          <w:b/>
          <w:i w:val="0"/>
          <w:color w:val="52606D"/>
          <w:sz w:val="19"/>
        </w:rPr>
        <w:t xml:space="preserve">Sources: </w:t>
      </w:r>
      <w:hyperlink r:id="rId9">
        <w:r>
          <w:rPr>
            <w:rFonts w:ascii="Arial" w:hAnsi="Arial"/>
            <w:color w:val="1F5FBF"/>
            <w:u w:val="single"/>
            <w:sz w:val="19"/>
          </w:rPr>
          <w:t xml:space="preserve">SPS call for proposals 2027-1</w:t>
        </w:r>
      </w:hyperlink>
      <w:r>
        <w:rPr>
          <w:rFonts w:ascii="Arial" w:hAnsi="Arial" w:eastAsia="Arial"/>
          <w:b w:val="0"/>
          <w:i w:val="0"/>
          <w:color w:val="52606D"/>
          <w:sz w:val="19"/>
        </w:rPr>
        <w:t xml:space="preserve">; </w:t>
      </w:r>
      <w:hyperlink r:id="rId10">
        <w:r>
          <w:rPr>
            <w:rFonts w:ascii="Arial" w:hAnsi="Arial"/>
            <w:color w:val="1F5FBF"/>
            <w:u w:val="single"/>
            <w:sz w:val="19"/>
          </w:rPr>
          <w:t xml:space="preserve">SPS Multi-Year Project Handbook (2023)</w:t>
        </w:r>
      </w:hyperlink>
      <w:r>
        <w:rPr>
          <w:rFonts w:ascii="Arial" w:hAnsi="Arial" w:eastAsia="Arial"/>
          <w:b w:val="0"/>
          <w:i w:val="0"/>
          <w:color w:val="52606D"/>
          <w:sz w:val="19"/>
        </w:rPr>
        <w:t xml:space="preserve">; </w:t>
      </w:r>
      <w:hyperlink r:id="rId11">
        <w:r>
          <w:rPr>
            <w:rFonts w:ascii="Arial" w:hAnsi="Arial"/>
            <w:color w:val="1F5FBF"/>
            <w:u w:val="single"/>
            <w:sz w:val="19"/>
          </w:rPr>
          <w:t xml:space="preserve">Sample application form, MYP Phase 1</w:t>
        </w:r>
      </w:hyperlink>
      <w:r>
        <w:rPr>
          <w:rFonts w:ascii="Arial" w:hAnsi="Arial" w:eastAsia="Arial"/>
          <w:b w:val="0"/>
          <w:i w:val="0"/>
          <w:color w:val="52606D"/>
          <w:sz w:val="19"/>
        </w:rPr>
        <w:t xml:space="preserve">; </w:t>
      </w:r>
      <w:hyperlink r:id="rId12">
        <w:r>
          <w:rPr>
            <w:rFonts w:ascii="Arial" w:hAnsi="Arial"/>
            <w:color w:val="1F5FBF"/>
            <w:u w:val="single"/>
            <w:sz w:val="19"/>
          </w:rPr>
          <w:t xml:space="preserve">SPS call for proposals 2024</w:t>
        </w:r>
      </w:hyperlink>
      <w:r>
        <w:rPr>
          <w:rFonts w:ascii="Arial" w:hAnsi="Arial" w:eastAsia="Arial"/>
          <w:b w:val="0"/>
          <w:i w:val="0"/>
          <w:color w:val="52606D"/>
          <w:sz w:val="19"/>
        </w:rPr>
        <w:t xml:space="preserve">; </w:t>
      </w:r>
      <w:hyperlink r:id="rId13">
        <w:r>
          <w:rPr>
            <w:rFonts w:ascii="Arial" w:hAnsi="Arial"/>
            <w:color w:val="1F5FBF"/>
            <w:u w:val="single"/>
            <w:sz w:val="19"/>
          </w:rPr>
          <w:t xml:space="preserve">University of Calgary summary of the 2026 call</w:t>
        </w:r>
      </w:hyperlink>
      <w:r>
        <w:rPr>
          <w:rFonts w:ascii="Arial" w:hAnsi="Arial" w:eastAsia="Arial"/>
          <w:b w:val="0"/>
          <w:i w:val="0"/>
          <w:color w:val="52606D"/>
          <w:sz w:val="19"/>
        </w:rPr>
        <w:t xml:space="preserve">; </w:t>
      </w:r>
      <w:hyperlink r:id="rId14">
        <w:r>
          <w:rPr>
            <w:rFonts w:ascii="Arial" w:hAnsi="Arial"/>
            <w:color w:val="1F5FBF"/>
            <w:u w:val="single"/>
            <w:sz w:val="19"/>
          </w:rPr>
          <w:t xml:space="preserve">Summary of the 2027-1 call (Sept. 2026)</w:t>
        </w:r>
      </w:hyperlink>
    </w:p>
    <w:p>
      <w:pPr>
        <w:keepNext/>
        <w:spacing w:after="120" w:before="200"/>
      </w:pPr>
      <w:r>
        <w:rPr>
          <w:rFonts w:ascii="Arial" w:hAnsi="Arial" w:eastAsia="Arial"/>
          <w:b/>
          <w:i w:val="0"/>
          <w:color w:val="1F3864"/>
          <w:sz w:val="27"/>
        </w:rPr>
        <w:t>1. The consortium at a glance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134"/>
        <w:gridCol w:w="2211"/>
        <w:gridCol w:w="2608"/>
        <w:gridCol w:w="1814"/>
      </w:tblGrid>
      <w:tr>
        <w:trPr>
          <w:cantSplit/>
          <w:tblHeader/>
        </w:trPr>
        <w:tc>
          <w:tcPr>
            <w:tcW w:type="dxa" w:w="1871"/>
            <w:shd w:val="clear" w:color="auto" w:fill="1F3864"/>
          </w:tcPr>
          <w:p>
            <w:pPr>
              <w:keepNext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1134"/>
            <w:shd w:val="clear" w:color="auto" w:fill="1F3864"/>
          </w:tcPr>
          <w:p>
            <w:pPr>
              <w:keepNext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Country</w:t>
            </w:r>
          </w:p>
        </w:tc>
        <w:tc>
          <w:tcPr>
            <w:tcW w:type="dxa" w:w="2211"/>
            <w:shd w:val="clear" w:color="auto" w:fill="1F3864"/>
          </w:tcPr>
          <w:p>
            <w:pPr>
              <w:keepNext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Institution</w:t>
            </w:r>
          </w:p>
        </w:tc>
        <w:tc>
          <w:tcPr>
            <w:tcW w:type="dxa" w:w="2608"/>
            <w:shd w:val="clear" w:color="auto" w:fill="1F3864"/>
          </w:tcPr>
          <w:p>
            <w:pPr>
              <w:keepNext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it brings</w:t>
            </w:r>
          </w:p>
        </w:tc>
        <w:tc>
          <w:tcPr>
            <w:tcW w:type="dxa" w:w="1814"/>
            <w:shd w:val="clear" w:color="auto" w:fill="1F3864"/>
          </w:tcPr>
          <w:p>
            <w:pPr>
              <w:keepNext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Main work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NATO-country Project Director (NPD)</w:t>
            </w:r>
          </w:p>
        </w:tc>
        <w:tc>
          <w:tcPr>
            <w:tcW w:type="dxa" w:w="1134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Albania</w:t>
            </w:r>
          </w:p>
        </w:tc>
        <w:tc>
          <w:tcPr>
            <w:tcW w:type="dxa" w:w="2211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[Faculty of Geology and Mining, Polytechnic University of Tirana: to confirm]</w:t>
            </w:r>
          </w:p>
        </w:tc>
        <w:tc>
          <w:tcPr>
            <w:tcW w:type="dxa" w:w="260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Hydrogeology, geodesy, geotechnics; knowledge of the Durrës coast and access to the operators</w:t>
            </w:r>
          </w:p>
        </w:tc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Coordination; WP1, WP4, WP5, WP7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Partner-country Project Director (PPD)</w:t>
            </w:r>
          </w:p>
        </w:tc>
        <w:tc>
          <w:tcPr>
            <w:tcW w:type="dxa" w:w="1134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[Eligible partner country]</w:t>
            </w:r>
          </w:p>
        </w:tc>
        <w:tc>
          <w:tcPr>
            <w:tcW w:type="dxa" w:w="2211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[University or research institute]</w:t>
            </w:r>
          </w:p>
        </w:tc>
        <w:tc>
          <w:tcPr>
            <w:tcW w:type="dxa" w:w="260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Numerical modelling, applied mathematics, uncertainty quantification and machine learning; a subsiding coast for the transfer test</w:t>
            </w:r>
          </w:p>
        </w:tc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WP2, WP3, WP6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Additional NATO co-director (optional)</w:t>
            </w:r>
          </w:p>
        </w:tc>
        <w:tc>
          <w:tcPr>
            <w:tcW w:type="dxa" w:w="1134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[NATO member]</w:t>
            </w:r>
          </w:p>
        </w:tc>
        <w:tc>
          <w:tcPr>
            <w:tcW w:type="dxa" w:w="2211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[Institute with InSAR and seismology]</w:t>
            </w:r>
          </w:p>
        </w:tc>
        <w:tc>
          <w:tcPr>
            <w:tcW w:type="dxa" w:w="260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InSAR time-series processing; ambient-noise seismic interferometry</w:t>
            </w:r>
          </w:p>
        </w:tc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WP1; T4.4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Albanian research partner (candidate)</w:t>
            </w:r>
          </w:p>
        </w:tc>
        <w:tc>
          <w:tcPr>
            <w:tcW w:type="dxa" w:w="1134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Albania</w:t>
            </w:r>
          </w:p>
        </w:tc>
        <w:tc>
          <w:tcPr>
            <w:tcW w:type="dxa" w:w="2211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[e.g. a national geoscience or seismological institute]</w:t>
            </w:r>
          </w:p>
        </w:tc>
        <w:tc>
          <w:tcPr>
            <w:tcW w:type="dxa" w:w="260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Seismic network, hydrometeorological and tide-gauge data</w:t>
            </w:r>
          </w:p>
        </w:tc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WP1, WP4; T5.4</w:t>
            </w:r>
          </w:p>
        </w:tc>
      </w:tr>
      <w:tr>
        <w:trPr>
          <w:cantSplit/>
        </w:trPr>
        <w:tc>
          <w:tcPr>
            <w:tcW w:type="dxa" w:w="1871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End-users (commitment letters)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Albania</w:t>
            </w:r>
          </w:p>
        </w:tc>
        <w:tc>
          <w:tcPr>
            <w:tcW w:type="dxa" w:w="2211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[Durrës water utility]; [Durrës Port Authority]; [energy landfall operator]; [National Civil Protection Agency]</w:t>
            </w:r>
          </w:p>
        </w:tc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Thresholds, site access, data, operation of the system after hand-over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T3.1; WP5; T6.2, T6.4</w:t>
            </w:r>
          </w:p>
        </w:tc>
      </w:tr>
    </w:tbl>
    <w:p>
      <w:pPr>
        <w:spacing w:after="80" w:before="0"/>
      </w:pP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5671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tnershi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6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Arial" w:hAnsi="Arial" w:eastAsia="Arial"/>
          <w:b w:val="0"/>
          <w:i/>
          <w:color w:val="52606D"/>
          <w:sz w:val="20"/>
        </w:rPr>
        <w:t>Figure 1. Structure of the partnership. PD: Project Director.</w:t>
      </w:r>
    </w:p>
    <w:p>
      <w:pPr>
        <w:keepNext/>
        <w:spacing w:after="120" w:before="160"/>
      </w:pPr>
      <w:r>
        <w:rPr>
          <w:rFonts w:ascii="Arial" w:hAnsi="Arial" w:eastAsia="Arial"/>
          <w:b/>
          <w:i w:val="0"/>
          <w:color w:val="1F3864"/>
          <w:sz w:val="27"/>
        </w:rPr>
        <w:t>2. Complementary expertise</w:t>
      </w:r>
    </w:p>
    <w:p>
      <w:pPr>
        <w:spacing w:after="80" w:before="0"/>
        <w:jc w:val="both"/>
      </w:pPr>
      <w:r>
        <w:rPr>
          <w:rFonts w:ascii="Arial" w:hAnsi="Arial" w:eastAsia="Arial"/>
          <w:b w:val="0"/>
          <w:i w:val="0"/>
          <w:sz w:val="22"/>
        </w:rPr>
        <w:t>No single team covers the coupled problem. The expertise is spread so that every hazard and every step of the warning chain has a lead (●) and a second team that contributes (○):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1304"/>
        <w:gridCol w:w="1304"/>
        <w:gridCol w:w="1304"/>
        <w:gridCol w:w="1304"/>
        <w:gridCol w:w="1304"/>
      </w:tblGrid>
      <w:tr>
        <w:trPr>
          <w:cantSplit/>
          <w:tblHeader/>
        </w:trPr>
        <w:tc>
          <w:tcPr>
            <w:tcW w:type="dxa" w:w="3118"/>
            <w:shd w:val="clear" w:color="auto" w:fill="1F3864"/>
          </w:tcPr>
          <w:p>
            <w:pPr>
              <w:keepNext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Expertise</w:t>
            </w:r>
          </w:p>
        </w:tc>
        <w:tc>
          <w:tcPr>
            <w:tcW w:type="dxa" w:w="1304"/>
            <w:shd w:val="clear" w:color="auto" w:fill="1F3864"/>
          </w:tcPr>
          <w:p>
            <w:pPr>
              <w:keepNext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NATO-country PD</w:t>
            </w:r>
          </w:p>
        </w:tc>
        <w:tc>
          <w:tcPr>
            <w:tcW w:type="dxa" w:w="1304"/>
            <w:shd w:val="clear" w:color="auto" w:fill="1F3864"/>
          </w:tcPr>
          <w:p>
            <w:pPr>
              <w:keepNext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Partner-country PD</w:t>
            </w:r>
          </w:p>
        </w:tc>
        <w:tc>
          <w:tcPr>
            <w:tcW w:type="dxa" w:w="1304"/>
            <w:shd w:val="clear" w:color="auto" w:fill="1F3864"/>
          </w:tcPr>
          <w:p>
            <w:pPr>
              <w:keepNext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NATO co-director</w:t>
            </w:r>
          </w:p>
        </w:tc>
        <w:tc>
          <w:tcPr>
            <w:tcW w:type="dxa" w:w="1304"/>
            <w:shd w:val="clear" w:color="auto" w:fill="1F3864"/>
          </w:tcPr>
          <w:p>
            <w:pPr>
              <w:keepNext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Albanian research partner</w:t>
            </w:r>
          </w:p>
        </w:tc>
        <w:tc>
          <w:tcPr>
            <w:tcW w:type="dxa" w:w="1304"/>
            <w:shd w:val="clear" w:color="auto" w:fill="1F3864"/>
          </w:tcPr>
          <w:p>
            <w:pPr>
              <w:keepNext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End-users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Hydrogeology and seawater intrusion</w:t>
            </w:r>
          </w:p>
        </w:tc>
        <w:tc>
          <w:tcPr>
            <w:tcW w:type="dxa" w:w="1304"/>
            <w:shd w:val="clear" w:color="auto" w:fill="DCE6F2"/>
          </w:tcPr>
          <w:p>
            <w:pPr>
              <w:keepNext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1304"/>
          </w:tcPr>
          <w:p>
            <w:pPr>
              <w:keepNext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1304"/>
          </w:tcPr>
          <w:p>
            <w:pPr>
              <w:keepNext/>
              <w:jc w:val="center"/>
            </w:pPr>
            <w:r/>
          </w:p>
        </w:tc>
        <w:tc>
          <w:tcPr>
            <w:tcW w:type="dxa" w:w="1304"/>
          </w:tcPr>
          <w:p>
            <w:pPr>
              <w:keepNext/>
              <w:jc w:val="center"/>
            </w:pPr>
            <w:r/>
          </w:p>
        </w:tc>
        <w:tc>
          <w:tcPr>
            <w:tcW w:type="dxa" w:w="1304"/>
          </w:tcPr>
          <w:p>
            <w:pPr>
              <w:keepNext/>
              <w:jc w:val="center"/>
            </w:pPr>
            <w:r/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Geodesy and InSAR</w:t>
            </w:r>
          </w:p>
        </w:tc>
        <w:tc>
          <w:tcPr>
            <w:tcW w:type="dxa" w:w="1304"/>
            <w:shd w:val="clear" w:color="auto" w:fill="DCE6F2"/>
          </w:tcPr>
          <w:p>
            <w:pPr>
              <w:keepNext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1304"/>
          </w:tcPr>
          <w:p>
            <w:pPr>
              <w:keepNext/>
              <w:jc w:val="center"/>
            </w:pPr>
            <w:r/>
          </w:p>
        </w:tc>
        <w:tc>
          <w:tcPr>
            <w:tcW w:type="dxa" w:w="1304"/>
            <w:shd w:val="clear" w:color="auto" w:fill="DCE6F2"/>
          </w:tcPr>
          <w:p>
            <w:pPr>
              <w:keepNext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1304"/>
          </w:tcPr>
          <w:p>
            <w:pPr>
              <w:keepNext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1304"/>
          </w:tcPr>
          <w:p>
            <w:pPr>
              <w:keepNext/>
              <w:jc w:val="center"/>
            </w:pPr>
            <w:r/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Geotechnics and liquefaction</w:t>
            </w:r>
          </w:p>
        </w:tc>
        <w:tc>
          <w:tcPr>
            <w:tcW w:type="dxa" w:w="1304"/>
            <w:shd w:val="clear" w:color="auto" w:fill="DCE6F2"/>
          </w:tcPr>
          <w:p>
            <w:pPr>
              <w:keepNext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1304"/>
          </w:tcPr>
          <w:p>
            <w:pPr>
              <w:keepNext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1304"/>
          </w:tcPr>
          <w:p>
            <w:pPr>
              <w:keepNext/>
              <w:jc w:val="center"/>
            </w:pPr>
            <w:r/>
          </w:p>
        </w:tc>
        <w:tc>
          <w:tcPr>
            <w:tcW w:type="dxa" w:w="1304"/>
          </w:tcPr>
          <w:p>
            <w:pPr>
              <w:keepNext/>
              <w:jc w:val="center"/>
            </w:pPr>
            <w:r/>
          </w:p>
        </w:tc>
        <w:tc>
          <w:tcPr>
            <w:tcW w:type="dxa" w:w="1304"/>
          </w:tcPr>
          <w:p>
            <w:pPr>
              <w:keepNext/>
              <w:jc w:val="center"/>
            </w:pPr>
            <w:r/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Seismology and ambient noise</w:t>
            </w:r>
          </w:p>
        </w:tc>
        <w:tc>
          <w:tcPr>
            <w:tcW w:type="dxa" w:w="1304"/>
          </w:tcPr>
          <w:p>
            <w:pPr>
              <w:keepNext/>
              <w:jc w:val="center"/>
            </w:pPr>
            <w:r/>
          </w:p>
        </w:tc>
        <w:tc>
          <w:tcPr>
            <w:tcW w:type="dxa" w:w="1304"/>
          </w:tcPr>
          <w:p>
            <w:pPr>
              <w:keepNext/>
              <w:jc w:val="center"/>
            </w:pPr>
            <w:r/>
          </w:p>
        </w:tc>
        <w:tc>
          <w:tcPr>
            <w:tcW w:type="dxa" w:w="1304"/>
            <w:shd w:val="clear" w:color="auto" w:fill="DCE6F2"/>
          </w:tcPr>
          <w:p>
            <w:pPr>
              <w:keepNext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1304"/>
            <w:shd w:val="clear" w:color="auto" w:fill="DCE6F2"/>
          </w:tcPr>
          <w:p>
            <w:pPr>
              <w:keepNext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1304"/>
          </w:tcPr>
          <w:p>
            <w:pPr>
              <w:keepNext/>
              <w:jc w:val="center"/>
            </w:pPr>
            <w:r/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Applied mathematics, uncertainty and machine learning</w:t>
            </w:r>
          </w:p>
        </w:tc>
        <w:tc>
          <w:tcPr>
            <w:tcW w:type="dxa" w:w="1304"/>
          </w:tcPr>
          <w:p>
            <w:pPr>
              <w:keepNext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1304"/>
            <w:shd w:val="clear" w:color="auto" w:fill="DCE6F2"/>
          </w:tcPr>
          <w:p>
            <w:pPr>
              <w:keepNext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1304"/>
          </w:tcPr>
          <w:p>
            <w:pPr>
              <w:keepNext/>
              <w:jc w:val="center"/>
            </w:pPr>
            <w:r/>
          </w:p>
        </w:tc>
        <w:tc>
          <w:tcPr>
            <w:tcW w:type="dxa" w:w="1304"/>
          </w:tcPr>
          <w:p>
            <w:pPr>
              <w:keepNext/>
              <w:jc w:val="center"/>
            </w:pPr>
            <w:r/>
          </w:p>
        </w:tc>
        <w:tc>
          <w:tcPr>
            <w:tcW w:type="dxa" w:w="1304"/>
          </w:tcPr>
          <w:p>
            <w:pPr>
              <w:keepNext/>
              <w:jc w:val="center"/>
            </w:pPr>
            <w:r/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Sea level and extremes</w:t>
            </w:r>
          </w:p>
        </w:tc>
        <w:tc>
          <w:tcPr>
            <w:tcW w:type="dxa" w:w="1304"/>
          </w:tcPr>
          <w:p>
            <w:pPr>
              <w:keepNext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1304"/>
            <w:shd w:val="clear" w:color="auto" w:fill="DCE6F2"/>
          </w:tcPr>
          <w:p>
            <w:pPr>
              <w:keepNext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●</w:t>
            </w:r>
          </w:p>
        </w:tc>
        <w:tc>
          <w:tcPr>
            <w:tcW w:type="dxa" w:w="1304"/>
          </w:tcPr>
          <w:p>
            <w:pPr>
              <w:keepNext/>
              <w:jc w:val="center"/>
            </w:pPr>
            <w:r/>
          </w:p>
        </w:tc>
        <w:tc>
          <w:tcPr>
            <w:tcW w:type="dxa" w:w="1304"/>
          </w:tcPr>
          <w:p>
            <w:pPr>
              <w:keepNext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1304"/>
          </w:tcPr>
          <w:p>
            <w:pPr>
              <w:keepNext/>
              <w:jc w:val="center"/>
            </w:pPr>
            <w:r/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Operation of the assets</w:t>
            </w:r>
          </w:p>
        </w:tc>
        <w:tc>
          <w:tcPr>
            <w:tcW w:type="dxa" w:w="1304"/>
          </w:tcPr>
          <w:p>
            <w:pPr>
              <w:keepNext/>
              <w:jc w:val="center"/>
            </w:pPr>
            <w:r/>
          </w:p>
        </w:tc>
        <w:tc>
          <w:tcPr>
            <w:tcW w:type="dxa" w:w="1304"/>
          </w:tcPr>
          <w:p>
            <w:pPr>
              <w:keepNext/>
              <w:jc w:val="center"/>
            </w:pPr>
            <w:r/>
          </w:p>
        </w:tc>
        <w:tc>
          <w:tcPr>
            <w:tcW w:type="dxa" w:w="1304"/>
          </w:tcPr>
          <w:p>
            <w:pPr>
              <w:keepNext/>
              <w:jc w:val="center"/>
            </w:pPr>
            <w:r/>
          </w:p>
        </w:tc>
        <w:tc>
          <w:tcPr>
            <w:tcW w:type="dxa" w:w="1304"/>
          </w:tcPr>
          <w:p>
            <w:pPr>
              <w:keepNext/>
              <w:jc w:val="center"/>
            </w:pPr>
            <w:r/>
          </w:p>
        </w:tc>
        <w:tc>
          <w:tcPr>
            <w:tcW w:type="dxa" w:w="1304"/>
            <w:shd w:val="clear" w:color="auto" w:fill="DCE6F2"/>
          </w:tcPr>
          <w:p>
            <w:pPr>
              <w:keepNext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●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Civil protection and emergency response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</w:p>
        </w:tc>
        <w:tc>
          <w:tcPr>
            <w:tcW w:type="dxa" w:w="1304"/>
          </w:tcPr>
          <w:p>
            <w:pPr>
              <w:jc w:val="center"/>
            </w:pPr>
            <w:r/>
          </w:p>
        </w:tc>
        <w:tc>
          <w:tcPr>
            <w:tcW w:type="dxa" w:w="1304"/>
          </w:tcPr>
          <w:p>
            <w:pPr>
              <w:jc w:val="center"/>
            </w:pPr>
            <w:r/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1304"/>
            <w:shd w:val="clear" w:color="auto" w:fill="DCE6F2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●</w:t>
            </w:r>
          </w:p>
        </w:tc>
      </w:tr>
    </w:tbl>
    <w:p>
      <w:pPr>
        <w:spacing w:after="80" w:before="0"/>
      </w:pPr>
    </w:p>
    <w:p>
      <w:pPr>
        <w:keepNext/>
        <w:spacing w:after="120" w:before="160"/>
      </w:pPr>
      <w:r>
        <w:rPr>
          <w:rFonts w:ascii="Arial" w:hAnsi="Arial" w:eastAsia="Arial"/>
          <w:b/>
          <w:i w:val="0"/>
          <w:color w:val="1F3864"/>
          <w:sz w:val="27"/>
        </w:rPr>
        <w:t>3. Choosing the partner country</w:t>
      </w:r>
    </w:p>
    <w:p>
      <w:pPr>
        <w:spacing w:after="80" w:before="0"/>
      </w:pPr>
      <w:r>
        <w:rPr>
          <w:rFonts w:ascii="Arial" w:hAnsi="Arial" w:eastAsia="Arial"/>
          <w:b w:val="0"/>
          <w:i w:val="0"/>
          <w:sz w:val="22"/>
        </w:rPr>
        <w:t>The partner country is chosen on four criteria: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2"/>
        </w:rPr>
        <w:t>An existing working relationship</w:t>
      </w:r>
      <w:r>
        <w:rPr>
          <w:rFonts w:ascii="Arial" w:hAnsi="Arial" w:eastAsia="Arial"/>
          <w:b w:val="0"/>
          <w:i w:val="0"/>
          <w:sz w:val="22"/>
        </w:rPr>
        <w:t xml:space="preserve"> with the Albanian team matters more than anything else: a partnership that has already published or worked together is credible to reviewers.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2"/>
        </w:rPr>
        <w:t>A coast that shares the problem</w:t>
      </w:r>
      <w:r>
        <w:rPr>
          <w:rFonts w:ascii="Arial" w:hAnsi="Arial" w:eastAsia="Arial"/>
          <w:b w:val="0"/>
          <w:i w:val="0"/>
          <w:sz w:val="22"/>
        </w:rPr>
        <w:t xml:space="preserve"> (subsidence, intrusion, ports or energy at the coast), so the transfer test in WP6 is real.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2"/>
        </w:rPr>
        <w:t>Strength in the methods the partner leads</w:t>
      </w:r>
      <w:r>
        <w:rPr>
          <w:rFonts w:ascii="Arial" w:hAnsi="Arial" w:eastAsia="Arial"/>
          <w:b w:val="0"/>
          <w:i w:val="0"/>
          <w:sz w:val="22"/>
        </w:rPr>
        <w:t xml:space="preserve"> (modelling, applied mathematics, machine learning), so the partner has a substantive scientific role.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2"/>
        </w:rPr>
        <w:t>Eligibility in the current call</w:t>
      </w:r>
      <w:r>
        <w:rPr>
          <w:rFonts w:ascii="Arial" w:hAnsi="Arial" w:eastAsia="Arial"/>
          <w:b w:val="0"/>
          <w:i w:val="0"/>
          <w:sz w:val="22"/>
        </w:rPr>
        <w:t>, checked on the official list, and a Project Director employed in that country.</w:t>
      </w:r>
    </w:p>
    <w:p>
      <w:pPr>
        <w:spacing w:after="80" w:before="80"/>
      </w:pPr>
      <w:r>
        <w:rPr>
          <w:rFonts w:ascii="Arial" w:hAnsi="Arial" w:eastAsia="Arial"/>
          <w:b w:val="0"/>
          <w:i w:val="0"/>
          <w:sz w:val="22"/>
        </w:rPr>
        <w:t>Options that fit the problem, all on the eligible list of the 2027-1 call: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3061"/>
        <w:gridCol w:w="2948"/>
        <w:gridCol w:w="2154"/>
      </w:tblGrid>
      <w:tr>
        <w:trPr>
          <w:cantSplit/>
          <w:tblHeader/>
        </w:trPr>
        <w:tc>
          <w:tcPr>
            <w:tcW w:type="dxa" w:w="1474"/>
            <w:shd w:val="clear" w:color="auto" w:fill="1F3864"/>
          </w:tcPr>
          <w:p>
            <w:pPr>
              <w:keepNext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Country</w:t>
            </w:r>
          </w:p>
        </w:tc>
        <w:tc>
          <w:tcPr>
            <w:tcW w:type="dxa" w:w="3061"/>
            <w:shd w:val="clear" w:color="auto" w:fill="1F3864"/>
          </w:tcPr>
          <w:p>
            <w:pPr>
              <w:keepNext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Coast</w:t>
            </w:r>
          </w:p>
        </w:tc>
        <w:tc>
          <w:tcPr>
            <w:tcW w:type="dxa" w:w="2948"/>
            <w:shd w:val="clear" w:color="auto" w:fill="1F3864"/>
          </w:tcPr>
          <w:p>
            <w:pPr>
              <w:keepNext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Why it fits</w:t>
            </w:r>
          </w:p>
        </w:tc>
        <w:tc>
          <w:tcPr>
            <w:tcW w:type="dxa" w:w="2154"/>
            <w:shd w:val="clear" w:color="auto" w:fill="1F3864"/>
          </w:tcPr>
          <w:p>
            <w:pPr>
              <w:keepNext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To check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Egypt</w:t>
            </w:r>
          </w:p>
        </w:tc>
        <w:tc>
          <w:tcPr>
            <w:tcW w:type="dxa" w:w="3061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Nile Delta: a low, subsiding delta coast with seawater intrusion into a heavily used aquifer, major ports and energy facilities</w:t>
            </w:r>
          </w:p>
        </w:tc>
        <w:tc>
          <w:tcPr>
            <w:tcW w:type="dxa" w:w="294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The strongest scientific analogue: every part of the method (relative sea level, intrusion, extremes, alarms) transfers directly</w:t>
            </w:r>
          </w:p>
        </w:tc>
        <w:tc>
          <w:tcPr>
            <w:tcW w:type="dxa" w:w="2154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Distance from the Adriatic; data access in the Delta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Georgia</w:t>
            </w:r>
          </w:p>
        </w:tc>
        <w:tc>
          <w:tcPr>
            <w:tcW w:type="dxa" w:w="3061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Black Sea coast with the port of Poti on the Rioni delta and oil terminals on the coast</w:t>
            </w:r>
          </w:p>
        </w:tc>
        <w:tc>
          <w:tcPr>
            <w:tcW w:type="dxa" w:w="294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Port and energy infrastructure on a delta coast; strong security relevance in the Black Sea region</w:t>
            </w:r>
          </w:p>
        </w:tc>
        <w:tc>
          <w:tcPr>
            <w:tcW w:type="dxa" w:w="2154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Size of subsidence and availability of groundwater data to check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Bosnia and Herzegovina</w:t>
            </w:r>
          </w:p>
        </w:tc>
        <w:tc>
          <w:tcPr>
            <w:tcW w:type="dxa" w:w="3061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 short Adriatic coast at Neum; Western Balkan neighbour of Albania</w:t>
            </w:r>
          </w:p>
        </w:tc>
        <w:tc>
          <w:tcPr>
            <w:tcW w:type="dxa" w:w="294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Regional cooperation in the Western Balkans; a partner team can lead modelling and the certified alarms</w:t>
            </w:r>
          </w:p>
        </w:tc>
        <w:tc>
          <w:tcPr>
            <w:tcW w:type="dxa" w:w="2154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Few coastal assets of the same type; the transfer test would be desk-based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Algeria</w:t>
            </w:r>
          </w:p>
        </w:tc>
        <w:tc>
          <w:tcPr>
            <w:tcW w:type="dxa" w:w="3061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Mediterranean coast with coastal aquifers affected by seawater intrusion and large ports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Seawater intrusion and port infrastructure on the same sea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Data access and language of operator materials</w:t>
            </w:r>
          </w:p>
        </w:tc>
      </w:tr>
    </w:tbl>
    <w:p>
      <w:pPr>
        <w:spacing w:after="120" w:before="60"/>
      </w:pPr>
      <w:r>
        <w:rPr>
          <w:rFonts w:ascii="Arial" w:hAnsi="Arial" w:eastAsia="Arial"/>
          <w:b w:val="0"/>
          <w:i/>
          <w:color w:val="52606D"/>
          <w:sz w:val="20"/>
        </w:rPr>
        <w:t>Recommendation: choose the partner with whom the Albanian team already works; among new partners, the Nile Delta gives the strongest scientific analogue for the transfer test.</w:t>
      </w:r>
    </w:p>
    <w:p>
      <w:pPr>
        <w:keepNext/>
        <w:spacing w:after="120" w:before="160"/>
      </w:pPr>
      <w:r>
        <w:rPr>
          <w:rFonts w:ascii="Arial" w:hAnsi="Arial" w:eastAsia="Arial"/>
          <w:b/>
          <w:i w:val="0"/>
          <w:color w:val="1F3864"/>
          <w:sz w:val="27"/>
        </w:rPr>
        <w:t>4. Roles by work package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3175"/>
        <w:gridCol w:w="2608"/>
        <w:gridCol w:w="3118"/>
      </w:tblGrid>
      <w:tr>
        <w:trPr>
          <w:cantSplit/>
          <w:tblHeader/>
        </w:trPr>
        <w:tc>
          <w:tcPr>
            <w:tcW w:type="dxa" w:w="737"/>
            <w:shd w:val="clear" w:color="auto" w:fill="1F3864"/>
          </w:tcPr>
          <w:p>
            <w:pPr>
              <w:keepNext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3175"/>
            <w:shd w:val="clear" w:color="auto" w:fill="1F3864"/>
          </w:tcPr>
          <w:p>
            <w:pPr>
              <w:keepNext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Work package</w:t>
            </w:r>
          </w:p>
        </w:tc>
        <w:tc>
          <w:tcPr>
            <w:tcW w:type="dxa" w:w="2608"/>
            <w:shd w:val="clear" w:color="auto" w:fill="1F3864"/>
          </w:tcPr>
          <w:p>
            <w:pPr>
              <w:keepNext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Lead</w:t>
            </w:r>
          </w:p>
        </w:tc>
        <w:tc>
          <w:tcPr>
            <w:tcW w:type="dxa" w:w="3118"/>
            <w:shd w:val="clear" w:color="auto" w:fill="1F3864"/>
          </w:tcPr>
          <w:p>
            <w:pPr>
              <w:keepNext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Contributors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WP1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Coastal motion and relative sea level</w:t>
            </w:r>
          </w:p>
        </w:tc>
        <w:tc>
          <w:tcPr>
            <w:tcW w:type="dxa" w:w="260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[NPD] or [additional NATO co-director]</w:t>
            </w:r>
          </w:p>
        </w:tc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PPD; Albanian research partner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WP2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Coupled model and certified surrogate</w:t>
            </w:r>
          </w:p>
        </w:tc>
        <w:tc>
          <w:tcPr>
            <w:tcW w:type="dxa" w:w="260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[PPD]</w:t>
            </w:r>
          </w:p>
        </w:tc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NPD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WP3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Certified multi-hazard alarm</w:t>
            </w:r>
          </w:p>
        </w:tc>
        <w:tc>
          <w:tcPr>
            <w:tcW w:type="dxa" w:w="260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[PPD]</w:t>
            </w:r>
          </w:p>
        </w:tc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NPD; end-users (thresholds, T3.1)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WP4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Monitoring network</w:t>
            </w:r>
          </w:p>
        </w:tc>
        <w:tc>
          <w:tcPr>
            <w:tcW w:type="dxa" w:w="260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[NPD]</w:t>
            </w:r>
          </w:p>
        </w:tc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Albanian research partner; additional NATO co-director (T4.4)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WP5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Live demonstration</w:t>
            </w:r>
          </w:p>
        </w:tc>
        <w:tc>
          <w:tcPr>
            <w:tcW w:type="dxa" w:w="260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[NPD]</w:t>
            </w:r>
          </w:p>
        </w:tc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End-users; civil protection; PPD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WP6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Training, transfer and dissemination</w:t>
            </w:r>
          </w:p>
        </w:tc>
        <w:tc>
          <w:tcPr>
            <w:tcW w:type="dxa" w:w="260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[PPD]</w:t>
            </w:r>
          </w:p>
        </w:tc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All partners; end-users (T6.2, T6.4)</w:t>
            </w:r>
          </w:p>
        </w:tc>
      </w:tr>
      <w:tr>
        <w:trPr>
          <w:cantSplit/>
        </w:trPr>
        <w:tc>
          <w:tcPr>
            <w:tcW w:type="dxa" w:w="737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WP7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Management, data and risk</w:t>
            </w:r>
          </w:p>
        </w:tc>
        <w:tc>
          <w:tcPr>
            <w:tcW w:type="dxa" w:w="260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[NPD]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Steering committee</w:t>
            </w:r>
          </w:p>
        </w:tc>
      </w:tr>
    </w:tbl>
    <w:p>
      <w:pPr>
        <w:spacing w:after="120" w:before="60"/>
      </w:pPr>
      <w:r>
        <w:rPr>
          <w:rFonts w:ascii="Arial" w:hAnsi="Arial" w:eastAsia="Arial"/>
          <w:b w:val="0"/>
          <w:i/>
          <w:color w:val="52606D"/>
          <w:sz w:val="20"/>
        </w:rPr>
        <w:t>With the partner-country team leading WP2, WP3 and WP6, the Budget split by recipient should be updated to match.</w:t>
      </w:r>
    </w:p>
    <w:p>
      <w:pPr>
        <w:keepNext/>
        <w:spacing w:after="120" w:before="160"/>
      </w:pPr>
      <w:r>
        <w:rPr>
          <w:rFonts w:ascii="Arial" w:hAnsi="Arial" w:eastAsia="Arial"/>
          <w:b/>
          <w:i w:val="0"/>
          <w:color w:val="1F3864"/>
          <w:sz w:val="27"/>
        </w:rPr>
        <w:t>5. End-users and their commitment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948"/>
        <w:gridCol w:w="2268"/>
        <w:gridCol w:w="2381"/>
      </w:tblGrid>
      <w:tr>
        <w:trPr>
          <w:cantSplit/>
          <w:tblHeader/>
        </w:trPr>
        <w:tc>
          <w:tcPr>
            <w:tcW w:type="dxa" w:w="2041"/>
            <w:shd w:val="clear" w:color="auto" w:fill="1F3864"/>
          </w:tcPr>
          <w:p>
            <w:pPr>
              <w:keepNext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End-user</w:t>
            </w:r>
          </w:p>
        </w:tc>
        <w:tc>
          <w:tcPr>
            <w:tcW w:type="dxa" w:w="2948"/>
            <w:shd w:val="clear" w:color="auto" w:fill="1F3864"/>
          </w:tcPr>
          <w:p>
            <w:pPr>
              <w:keepNext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Role in the project</w:t>
            </w:r>
          </w:p>
        </w:tc>
        <w:tc>
          <w:tcPr>
            <w:tcW w:type="dxa" w:w="2268"/>
            <w:shd w:val="clear" w:color="auto" w:fill="1F3864"/>
          </w:tcPr>
          <w:p>
            <w:pPr>
              <w:keepNext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Provides</w:t>
            </w:r>
          </w:p>
        </w:tc>
        <w:tc>
          <w:tcPr>
            <w:tcW w:type="dxa" w:w="2381"/>
            <w:shd w:val="clear" w:color="auto" w:fill="1F3864"/>
          </w:tcPr>
          <w:p>
            <w:pPr>
              <w:keepNext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Receives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Water utility of the Durrës wellfields</w:t>
            </w:r>
          </w:p>
        </w:tc>
        <w:tc>
          <w:tcPr>
            <w:tcW w:type="dxa" w:w="294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Agrees the chloride threshold and the joint pumping rule; receives intrusion bulletins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Access to wells and records; staff time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Certified intrusion warnings; pumping rule; trained staff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Durrës Port Authority</w:t>
            </w:r>
          </w:p>
        </w:tc>
        <w:tc>
          <w:tcPr>
            <w:tcW w:type="dxa" w:w="294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Agrees liquefaction and water-level thresholds; receives bulletins for the port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Site access for sensors; geotechnical records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Liquefaction and water-level warnings; post-event reports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Operator of the energy landfall</w:t>
            </w:r>
          </w:p>
        </w:tc>
        <w:tc>
          <w:tcPr>
            <w:tcW w:type="dxa" w:w="294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Agrees thresholds for the landfall; receives bulletins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Site access under its security rules; design levels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Stability checks combining shaking, liquefaction and water level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National Civil Protection Agency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Receives one picture of water, port and energy after events; co-designs the post-event protocol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Triggers for the post-event protocol; participation in workshops</w:t>
            </w:r>
          </w:p>
        </w:tc>
        <w:tc>
          <w:tcPr>
            <w:tcW w:type="dxa" w:w="2381"/>
          </w:tcPr>
          <w:p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Post-event reports; procedures; policy brief</w:t>
            </w:r>
          </w:p>
        </w:tc>
      </w:tr>
    </w:tbl>
    <w:p>
      <w:pPr>
        <w:spacing w:after="60" w:before="120"/>
      </w:pPr>
      <w:r>
        <w:rPr>
          <w:rFonts w:ascii="Arial" w:hAnsi="Arial" w:eastAsia="Arial"/>
          <w:b w:val="0"/>
          <w:i w:val="0"/>
          <w:sz w:val="22"/>
        </w:rPr>
        <w:t xml:space="preserve">Each </w:t>
      </w:r>
      <w:r>
        <w:rPr>
          <w:rFonts w:ascii="Arial" w:hAnsi="Arial" w:eastAsia="Arial"/>
          <w:b/>
          <w:i w:val="0"/>
          <w:sz w:val="22"/>
        </w:rPr>
        <w:t>commitment letter</w:t>
      </w:r>
      <w:r>
        <w:rPr>
          <w:rFonts w:ascii="Arial" w:hAnsi="Arial" w:eastAsia="Arial"/>
          <w:b w:val="0"/>
          <w:i w:val="0"/>
          <w:sz w:val="22"/>
        </w:rPr>
        <w:t xml:space="preserve"> states: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 w:val="0"/>
          <w:i w:val="0"/>
          <w:sz w:val="22"/>
        </w:rPr>
        <w:t>the end-user's interest in certified warnings for its asset and the problem they address;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 w:val="0"/>
          <w:i w:val="0"/>
          <w:sz w:val="22"/>
        </w:rPr>
        <w:t>what it will provide (site access, data, staff time for thresholds, workshops and training);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 w:val="0"/>
          <w:i w:val="0"/>
          <w:sz w:val="22"/>
        </w:rPr>
        <w:t>its intention to use the system during the live demonstration and to adopt procedures for it;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 w:val="0"/>
          <w:i w:val="0"/>
          <w:sz w:val="22"/>
        </w:rPr>
        <w:t>the contact person and the security conditions for access and data.</w:t>
      </w:r>
    </w:p>
    <w:p>
      <w:pPr>
        <w:keepNext/>
        <w:spacing w:after="120" w:before="160"/>
      </w:pPr>
      <w:r>
        <w:rPr>
          <w:rFonts w:ascii="Arial" w:hAnsi="Arial" w:eastAsia="Arial"/>
          <w:b/>
          <w:i w:val="0"/>
          <w:color w:val="1F3864"/>
          <w:sz w:val="27"/>
        </w:rPr>
        <w:t>6. Governance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2"/>
        </w:rPr>
        <w:t>Steering committee.</w:t>
      </w:r>
      <w:r>
        <w:rPr>
          <w:rFonts w:ascii="Arial" w:hAnsi="Arial" w:eastAsia="Arial"/>
          <w:b w:val="0"/>
          <w:i w:val="0"/>
          <w:sz w:val="22"/>
        </w:rPr>
        <w:t xml:space="preserve"> The Project Directors and one representative of each end-user; meets every six months and at each milestone, decides on escalated risks within two weeks and approves the go/no-go for live operation (MS4).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2"/>
        </w:rPr>
        <w:t>Work-package leaders.</w:t>
      </w:r>
      <w:r>
        <w:rPr>
          <w:rFonts w:ascii="Arial" w:hAnsi="Arial" w:eastAsia="Arial"/>
          <w:b w:val="0"/>
          <w:i w:val="0"/>
          <w:sz w:val="22"/>
        </w:rPr>
        <w:t xml:space="preserve"> Each work package has one lead institution (Table 4); leaders meet monthly with the coordinator to review progress and the risk indicators (T7.3).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2"/>
        </w:rPr>
        <w:t>Consortium agreement.</w:t>
      </w:r>
      <w:r>
        <w:rPr>
          <w:rFonts w:ascii="Arial" w:hAnsi="Arial" w:eastAsia="Arial"/>
          <w:b w:val="0"/>
          <w:i w:val="0"/>
          <w:sz w:val="22"/>
        </w:rPr>
        <w:t xml:space="preserve"> Signed before the start: roles, budget sharing, ownership and open licences of results, access to operator data (T7.2), and the publication review set out in the Dissemination Plan.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2"/>
        </w:rPr>
        <w:t>Decisions.</w:t>
      </w:r>
      <w:r>
        <w:rPr>
          <w:rFonts w:ascii="Arial" w:hAnsi="Arial" w:eastAsia="Arial"/>
          <w:b w:val="0"/>
          <w:i w:val="0"/>
          <w:sz w:val="22"/>
        </w:rPr>
        <w:t xml:space="preserve"> By consensus where possible; otherwise by majority of the Project Directors, with the NATO-country Project Director accountable for the funds.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2"/>
        </w:rPr>
        <w:t>People.</w:t>
      </w:r>
      <w:r>
        <w:rPr>
          <w:rFonts w:ascii="Arial" w:hAnsi="Arial" w:eastAsia="Arial"/>
          <w:b w:val="0"/>
          <w:i w:val="0"/>
          <w:sz w:val="22"/>
        </w:rPr>
        <w:t xml:space="preserve"> Balanced participation of women and early-career researchers in leadership, exchanges and authorship is monitored and reported.</w:t>
      </w:r>
    </w:p>
    <w:p>
      <w:pPr>
        <w:keepNext/>
        <w:spacing w:after="120" w:before="160"/>
      </w:pPr>
      <w:r>
        <w:rPr>
          <w:rFonts w:ascii="Arial" w:hAnsi="Arial" w:eastAsia="Arial"/>
          <w:b/>
          <w:i w:val="0"/>
          <w:color w:val="1F3864"/>
          <w:sz w:val="27"/>
        </w:rPr>
        <w:t>7. Added value of the partnership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2"/>
        </w:rPr>
        <w:t>For the Alliance:</w:t>
      </w:r>
      <w:r>
        <w:rPr>
          <w:rFonts w:ascii="Arial" w:hAnsi="Arial" w:eastAsia="Arial"/>
          <w:b w:val="0"/>
          <w:i w:val="0"/>
          <w:sz w:val="22"/>
        </w:rPr>
        <w:t xml:space="preserve"> protection of an Ally's water supply, port and energy landfall, with a method that can be applied to other coasts of Allies and partners.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2"/>
        </w:rPr>
        <w:t>For the partner country:</w:t>
      </w:r>
      <w:r>
        <w:rPr>
          <w:rFonts w:ascii="Arial" w:hAnsi="Arial" w:eastAsia="Arial"/>
          <w:b w:val="0"/>
          <w:i w:val="0"/>
          <w:sz w:val="22"/>
        </w:rPr>
        <w:t xml:space="preserve"> leadership of the modelling, the certified alarms and the transfer, training of its young researchers, and a tested method for its own coast.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2"/>
        </w:rPr>
        <w:t>For the end-users:</w:t>
      </w:r>
      <w:r>
        <w:rPr>
          <w:rFonts w:ascii="Arial" w:hAnsi="Arial" w:eastAsia="Arial"/>
          <w:b w:val="0"/>
          <w:i w:val="0"/>
          <w:sz w:val="22"/>
        </w:rPr>
        <w:t xml:space="preserve"> a warning system they help design, run and own, with trained staff and procedures.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2"/>
        </w:rPr>
        <w:t>For science:</w:t>
      </w:r>
      <w:r>
        <w:rPr>
          <w:rFonts w:ascii="Arial" w:hAnsi="Arial" w:eastAsia="Arial"/>
          <w:b w:val="0"/>
          <w:i w:val="0"/>
          <w:sz w:val="22"/>
        </w:rPr>
        <w:t xml:space="preserve"> a joint team that combines field geoscience at critical infrastructure with the mathematics of certified prediction.</w:t>
      </w:r>
    </w:p>
    <w:p>
      <w:pPr>
        <w:keepNext/>
        <w:spacing w:after="120" w:before="160"/>
      </w:pPr>
      <w:r>
        <w:rPr>
          <w:rFonts w:ascii="Arial" w:hAnsi="Arial" w:eastAsia="Arial"/>
          <w:b/>
          <w:i w:val="0"/>
          <w:color w:val="1F3864"/>
          <w:sz w:val="27"/>
        </w:rPr>
        <w:t>8. Checklist before submission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1. </w:t>
      </w:r>
      <w:r>
        <w:rPr>
          <w:rFonts w:ascii="Arial" w:hAnsi="Arial" w:eastAsia="Arial"/>
          <w:b w:val="0"/>
          <w:i w:val="0"/>
          <w:sz w:val="22"/>
        </w:rPr>
        <w:t>Name the partner-country institution and Project Director, and check the country on the official eligible list of the call.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2. </w:t>
      </w:r>
      <w:r>
        <w:rPr>
          <w:rFonts w:ascii="Arial" w:hAnsi="Arial" w:eastAsia="Arial"/>
          <w:b w:val="0"/>
          <w:i w:val="0"/>
          <w:sz w:val="22"/>
        </w:rPr>
        <w:t>Confirm the NATO-country institution and, if wanted, an additional NATO co-director.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3. </w:t>
      </w:r>
      <w:r>
        <w:rPr>
          <w:rFonts w:ascii="Arial" w:hAnsi="Arial" w:eastAsia="Arial"/>
          <w:b w:val="0"/>
          <w:i w:val="0"/>
          <w:sz w:val="22"/>
        </w:rPr>
        <w:t>Obtain a commitment letter from each end-user (water utility, port authority, energy landfall operator, civil protection).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4. </w:t>
      </w:r>
      <w:r>
        <w:rPr>
          <w:rFonts w:ascii="Arial" w:hAnsi="Arial" w:eastAsia="Arial"/>
          <w:b w:val="0"/>
          <w:i w:val="0"/>
          <w:sz w:val="22"/>
        </w:rPr>
        <w:t>Agree the work-package leadership in Table 4 and update the Budget split by recipient accordingly.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5. </w:t>
      </w:r>
      <w:r>
        <w:rPr>
          <w:rFonts w:ascii="Arial" w:hAnsi="Arial" w:eastAsia="Arial"/>
          <w:b w:val="0"/>
          <w:i w:val="0"/>
          <w:sz w:val="22"/>
        </w:rPr>
        <w:t>Draft the consortium agreement, including data access and the publication review.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6. </w:t>
      </w:r>
      <w:r>
        <w:rPr>
          <w:rFonts w:ascii="Arial" w:hAnsi="Arial" w:eastAsia="Arial"/>
          <w:b w:val="0"/>
          <w:i w:val="0"/>
          <w:sz w:val="22"/>
        </w:rPr>
        <w:t>Confirm the call deadline and phase on nato.int: a third-party summary lists 15 November 2026 for the 2027-1 call.</w:t>
      </w:r>
    </w:p>
    <w:p>
      <w:pPr>
        <w:keepNext/>
        <w:spacing w:after="120" w:before="160"/>
      </w:pPr>
      <w:r>
        <w:rPr>
          <w:rFonts w:ascii="Arial" w:hAnsi="Arial" w:eastAsia="Arial"/>
          <w:b/>
          <w:i w:val="0"/>
          <w:color w:val="1F3864"/>
          <w:sz w:val="27"/>
        </w:rPr>
        <w:t>9. What is new in this partnership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2"/>
        </w:rPr>
        <w:t>A partnership built on the decision chain.</w:t>
      </w:r>
      <w:r>
        <w:rPr>
          <w:rFonts w:ascii="Arial" w:hAnsi="Arial" w:eastAsia="Arial"/>
          <w:b w:val="0"/>
          <w:i w:val="0"/>
          <w:sz w:val="22"/>
        </w:rPr>
        <w:t xml:space="preserve"> Scientists, operators and civil protection are partners from the first month, so the thresholds are agreed before the alarms are designed and the users own the system at the end.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2"/>
        </w:rPr>
        <w:t>A twin-coast design.</w:t>
      </w:r>
      <w:r>
        <w:rPr>
          <w:rFonts w:ascii="Arial" w:hAnsi="Arial" w:eastAsia="Arial"/>
          <w:b w:val="0"/>
          <w:i w:val="0"/>
          <w:sz w:val="22"/>
        </w:rPr>
        <w:t xml:space="preserve"> The partner country brings a second subsiding coast, on which the method is tested for transfer within the project, not only promised after it.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2"/>
        </w:rPr>
        <w:t>Leadership, not only participation, for the partner.</w:t>
      </w:r>
      <w:r>
        <w:rPr>
          <w:rFonts w:ascii="Arial" w:hAnsi="Arial" w:eastAsia="Arial"/>
          <w:b w:val="0"/>
          <w:i w:val="0"/>
          <w:sz w:val="22"/>
        </w:rPr>
        <w:t xml:space="preserve"> The partner-country team leads the mathematics, the certified alarms and the transfer, the parts of the project that are most portable.</w:t>
      </w:r>
    </w:p>
    <w:p>
      <w:pPr>
        <w:spacing w:after="60" w:before="0"/>
        <w:ind w:left="283"/>
      </w:pPr>
      <w:r>
        <w:rPr>
          <w:rFonts w:ascii="Arial" w:hAnsi="Arial" w:eastAsia="Arial"/>
          <w:b/>
          <w:i w:val="0"/>
          <w:sz w:val="22"/>
        </w:rPr>
        <w:t xml:space="preserve">• </w:t>
      </w:r>
      <w:r>
        <w:rPr>
          <w:rFonts w:ascii="Arial" w:hAnsi="Arial" w:eastAsia="Arial"/>
          <w:b/>
          <w:i w:val="0"/>
          <w:sz w:val="22"/>
        </w:rPr>
        <w:t>Security built into the partnership.</w:t>
      </w:r>
      <w:r>
        <w:rPr>
          <w:rFonts w:ascii="Arial" w:hAnsi="Arial" w:eastAsia="Arial"/>
          <w:b w:val="0"/>
          <w:i w:val="0"/>
          <w:sz w:val="22"/>
        </w:rPr>
        <w:t xml:space="preserve"> End-users set the security conditions for access and data in their commitment letters, consistent with the two-tier dissemination plan.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ato.int/content/dam/nato/webready/documents/sps/grants/SPS-Call4proposals-2027-1.pdf" TargetMode="External"/><Relationship Id="rId10" Type="http://schemas.openxmlformats.org/officeDocument/2006/relationships/hyperlink" Target="https://www.nato.int/content/dam/nato/webready/documents/sps/grants/2023/SPS_MYP_Handbook.pdf" TargetMode="External"/><Relationship Id="rId11" Type="http://schemas.openxmlformats.org/officeDocument/2006/relationships/hyperlink" Target="https://nato.int/content/dam/nato/webready/documents/sps/grants/2023/Sample-Application-Form-for-MYP-Phase-1.pdf" TargetMode="External"/><Relationship Id="rId12" Type="http://schemas.openxmlformats.org/officeDocument/2006/relationships/hyperlink" Target="https://research-authority.tau.ac.il/sites/resauth.tau.ac.il/files/NATO-SPS-call-for-proposals-2024.pdf" TargetMode="External"/><Relationship Id="rId13" Type="http://schemas.openxmlformats.org/officeDocument/2006/relationships/hyperlink" Target="https://research.ucalgary.ca/opportunity/2026-nato-science-peace-and-security" TargetMode="External"/><Relationship Id="rId14" Type="http://schemas.openxmlformats.org/officeDocument/2006/relationships/hyperlink" Target="https://opportunitiesforyouth.org/2026/09/14/nato-science-for-peace-and-security-programme-2027-call-for-proposals-funding-for-multi-year-projects-and-scientific-events/" TargetMode="External"/><Relationship Id="rId1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