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Timeline</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20" w:before="0"/>
        <w:jc w:val="both"/>
      </w:pPr>
      <w:r>
        <w:rPr>
          <w:rFonts w:ascii="Arial" w:hAnsi="Arial" w:eastAsia="Arial"/>
          <w:b w:val="0"/>
          <w:i w:val="0"/>
          <w:sz w:val="22"/>
        </w:rPr>
        <w:t>CERTAIN-COAST runs for 36 months. Year 1 measures the coast and builds the network, Year 2 builds the model, certifies the alarms and opens the live service, and Year 3 operates it for twelve months and hands it over. The timeline is driven by evidence rather than dates alone: three gates (MS3, MS4, MS5) must be passed before the next stage starts, and buffers sit where the Risk Assessment places the risks. Months count from the start date of the grant; all dates below are consistent with the Work Plan.</w:t>
      </w:r>
    </w:p>
    <w:p>
      <w:pPr>
        <w:keepNext/>
        <w:spacing w:after="120" w:before="40"/>
      </w:pPr>
      <w:r>
        <w:rPr>
          <w:rFonts w:ascii="Arial" w:hAnsi="Arial" w:eastAsia="Arial"/>
          <w:b/>
          <w:i w:val="0"/>
          <w:color w:val="1F3864"/>
          <w:sz w:val="27"/>
        </w:rPr>
        <w:t>1. From application to start</w:t>
      </w:r>
    </w:p>
    <w:tbl>
      <w:tblPr>
        <w:tblStyle w:val="TableGrid"/>
        <w:tblW w:type="auto" w:w="0"/>
        <w:jc w:val="center"/>
        <w:tblLayout w:type="fixed"/>
        <w:tblLook w:firstColumn="1" w:firstRow="1" w:lastColumn="0" w:lastRow="0" w:noHBand="0" w:noVBand="1" w:val="04A0"/>
        <w:tblLayout w:type="fixed"/>
      </w:tblPr>
      <w:tblGrid>
        <w:gridCol w:w="2494"/>
        <w:gridCol w:w="5216"/>
        <w:gridCol w:w="1928"/>
      </w:tblGrid>
      <w:tr>
        <w:trPr>
          <w:cantSplit/>
          <w:tblHeader/>
        </w:trPr>
        <w:tc>
          <w:tcPr>
            <w:tcW w:type="dxa" w:w="2494"/>
            <w:shd w:val="clear" w:color="auto" w:fill="1F3864"/>
          </w:tcPr>
          <w:p>
            <w:pPr>
              <w:keepNext/>
            </w:pPr>
            <w:r/>
            <w:r>
              <w:rPr>
                <w:rFonts w:ascii="Arial" w:hAnsi="Arial" w:eastAsia="Arial"/>
                <w:b/>
                <w:i w:val="0"/>
                <w:color w:val="FFFFFF"/>
                <w:sz w:val="19"/>
              </w:rPr>
              <w:t>When</w:t>
            </w:r>
          </w:p>
        </w:tc>
        <w:tc>
          <w:tcPr>
            <w:tcW w:type="dxa" w:w="5216"/>
            <w:shd w:val="clear" w:color="auto" w:fill="1F3864"/>
          </w:tcPr>
          <w:p>
            <w:pPr>
              <w:keepNext/>
            </w:pPr>
            <w:r/>
            <w:r>
              <w:rPr>
                <w:rFonts w:ascii="Arial" w:hAnsi="Arial" w:eastAsia="Arial"/>
                <w:b/>
                <w:i w:val="0"/>
                <w:color w:val="FFFFFF"/>
                <w:sz w:val="19"/>
              </w:rPr>
              <w:t>What</w:t>
            </w:r>
          </w:p>
        </w:tc>
        <w:tc>
          <w:tcPr>
            <w:tcW w:type="dxa" w:w="1928"/>
            <w:shd w:val="clear" w:color="auto" w:fill="1F3864"/>
          </w:tcPr>
          <w:p>
            <w:pPr>
              <w:keepNext/>
            </w:pPr>
            <w:r/>
            <w:r>
              <w:rPr>
                <w:rFonts w:ascii="Arial" w:hAnsi="Arial" w:eastAsia="Arial"/>
                <w:b/>
                <w:i w:val="0"/>
                <w:color w:val="FFFFFF"/>
                <w:sz w:val="19"/>
              </w:rPr>
              <w:t>Who</w:t>
            </w:r>
          </w:p>
        </w:tc>
      </w:tr>
      <w:tr>
        <w:trPr>
          <w:cantSplit/>
        </w:trPr>
        <w:tc>
          <w:tcPr>
            <w:tcW w:type="dxa" w:w="2494"/>
          </w:tcPr>
          <w:p>
            <w:pPr>
              <w:keepNext/>
            </w:pPr>
            <w:r/>
            <w:r>
              <w:rPr>
                <w:rFonts w:ascii="Arial" w:hAnsi="Arial" w:eastAsia="Arial"/>
                <w:b w:val="0"/>
                <w:i w:val="0"/>
                <w:sz w:val="19"/>
              </w:rPr>
              <w:t>Now</w:t>
            </w:r>
          </w:p>
        </w:tc>
        <w:tc>
          <w:tcPr>
            <w:tcW w:type="dxa" w:w="5216"/>
          </w:tcPr>
          <w:p>
            <w:pPr>
              <w:keepNext/>
            </w:pPr>
            <w:r/>
            <w:r>
              <w:rPr>
                <w:rFonts w:ascii="Arial" w:hAnsi="Arial" w:eastAsia="Arial"/>
                <w:b w:val="0"/>
                <w:i w:val="0"/>
                <w:sz w:val="19"/>
              </w:rPr>
              <w:t>Name the partner-country institution; collect the signed commitment letters; finalise budget and CVs</w:t>
            </w:r>
          </w:p>
        </w:tc>
        <w:tc>
          <w:tcPr>
            <w:tcW w:type="dxa" w:w="1928"/>
          </w:tcPr>
          <w:p>
            <w:pPr>
              <w:keepNext/>
            </w:pPr>
            <w:r/>
            <w:r>
              <w:rPr>
                <w:rFonts w:ascii="Arial" w:hAnsi="Arial" w:eastAsia="Arial"/>
                <w:b w:val="0"/>
                <w:i w:val="0"/>
                <w:sz w:val="19"/>
              </w:rPr>
              <w:t>Applicants</w:t>
            </w:r>
          </w:p>
        </w:tc>
      </w:tr>
      <w:tr>
        <w:trPr>
          <w:cantSplit/>
        </w:trPr>
        <w:tc>
          <w:tcPr>
            <w:tcW w:type="dxa" w:w="2494"/>
          </w:tcPr>
          <w:p>
            <w:pPr>
              <w:keepNext/>
            </w:pPr>
            <w:r/>
            <w:r>
              <w:rPr>
                <w:rFonts w:ascii="Arial" w:hAnsi="Arial" w:eastAsia="Arial"/>
                <w:b w:val="0"/>
                <w:i w:val="0"/>
                <w:sz w:val="19"/>
              </w:rPr>
              <w:t>[15 November 2026: confirm on nato.int]</w:t>
            </w:r>
          </w:p>
        </w:tc>
        <w:tc>
          <w:tcPr>
            <w:tcW w:type="dxa" w:w="5216"/>
          </w:tcPr>
          <w:p>
            <w:pPr>
              <w:keepNext/>
            </w:pPr>
            <w:r/>
            <w:r>
              <w:rPr>
                <w:rFonts w:ascii="Arial" w:hAnsi="Arial" w:eastAsia="Arial"/>
                <w:b w:val="0"/>
                <w:i w:val="0"/>
                <w:sz w:val="19"/>
              </w:rPr>
              <w:t>Submit the application for the SPS call 2027-1 (in the phase the call specifies)</w:t>
            </w:r>
          </w:p>
        </w:tc>
        <w:tc>
          <w:tcPr>
            <w:tcW w:type="dxa" w:w="1928"/>
          </w:tcPr>
          <w:p>
            <w:pPr>
              <w:keepNext/>
            </w:pPr>
            <w:r/>
            <w:r>
              <w:rPr>
                <w:rFonts w:ascii="Arial" w:hAnsi="Arial" w:eastAsia="Arial"/>
                <w:b w:val="0"/>
                <w:i w:val="0"/>
                <w:sz w:val="19"/>
              </w:rPr>
              <w:t>NATO-country Project Director</w:t>
            </w:r>
          </w:p>
        </w:tc>
      </w:tr>
      <w:tr>
        <w:trPr>
          <w:cantSplit/>
        </w:trPr>
        <w:tc>
          <w:tcPr>
            <w:tcW w:type="dxa" w:w="2494"/>
          </w:tcPr>
          <w:p>
            <w:pPr>
              <w:keepNext/>
            </w:pPr>
            <w:r/>
            <w:r>
              <w:rPr>
                <w:rFonts w:ascii="Arial" w:hAnsi="Arial" w:eastAsia="Arial"/>
                <w:b w:val="0"/>
                <w:i w:val="0"/>
                <w:sz w:val="19"/>
              </w:rPr>
              <w:t>[per the call]</w:t>
            </w:r>
          </w:p>
        </w:tc>
        <w:tc>
          <w:tcPr>
            <w:tcW w:type="dxa" w:w="5216"/>
          </w:tcPr>
          <w:p>
            <w:pPr>
              <w:keepNext/>
            </w:pPr>
            <w:r/>
            <w:r>
              <w:rPr>
                <w:rFonts w:ascii="Arial" w:hAnsi="Arial" w:eastAsia="Arial"/>
                <w:b w:val="0"/>
                <w:i w:val="0"/>
                <w:sz w:val="19"/>
              </w:rPr>
              <w:t>Evaluation by the Independent Scientific Evaluation Group; funding decision by the NATO Allies</w:t>
            </w:r>
          </w:p>
        </w:tc>
        <w:tc>
          <w:tcPr>
            <w:tcW w:type="dxa" w:w="1928"/>
          </w:tcPr>
          <w:p>
            <w:pPr>
              <w:keepNext/>
            </w:pPr>
            <w:r/>
            <w:r>
              <w:rPr>
                <w:rFonts w:ascii="Arial" w:hAnsi="Arial" w:eastAsia="Arial"/>
                <w:b w:val="0"/>
                <w:i w:val="0"/>
                <w:sz w:val="19"/>
              </w:rPr>
              <w:t>NATO</w:t>
            </w:r>
          </w:p>
        </w:tc>
      </w:tr>
      <w:tr>
        <w:trPr>
          <w:cantSplit/>
        </w:trPr>
        <w:tc>
          <w:tcPr>
            <w:tcW w:type="dxa" w:w="2494"/>
          </w:tcPr>
          <w:p>
            <w:pPr>
              <w:keepNext/>
            </w:pPr>
            <w:r/>
            <w:r>
              <w:rPr>
                <w:rFonts w:ascii="Arial" w:hAnsi="Arial" w:eastAsia="Arial"/>
                <w:b w:val="0"/>
                <w:i w:val="0"/>
                <w:sz w:val="19"/>
              </w:rPr>
              <w:t>[after approval]</w:t>
            </w:r>
          </w:p>
        </w:tc>
        <w:tc>
          <w:tcPr>
            <w:tcW w:type="dxa" w:w="5216"/>
          </w:tcPr>
          <w:p>
            <w:pPr>
              <w:keepNext/>
            </w:pPr>
            <w:r/>
            <w:r>
              <w:rPr>
                <w:rFonts w:ascii="Arial" w:hAnsi="Arial" w:eastAsia="Arial"/>
                <w:b w:val="0"/>
                <w:i w:val="0"/>
                <w:sz w:val="19"/>
              </w:rPr>
              <w:t>Grant letter; acceptance of the award by the co-directors</w:t>
            </w:r>
          </w:p>
        </w:tc>
        <w:tc>
          <w:tcPr>
            <w:tcW w:type="dxa" w:w="1928"/>
          </w:tcPr>
          <w:p>
            <w:pPr>
              <w:keepNext/>
            </w:pPr>
            <w:r/>
            <w:r>
              <w:rPr>
                <w:rFonts w:ascii="Arial" w:hAnsi="Arial" w:eastAsia="Arial"/>
                <w:b w:val="0"/>
                <w:i w:val="0"/>
                <w:sz w:val="19"/>
              </w:rPr>
              <w:t>All co-directors</w:t>
            </w:r>
          </w:p>
        </w:tc>
      </w:tr>
      <w:tr>
        <w:trPr>
          <w:cantSplit/>
        </w:trPr>
        <w:tc>
          <w:tcPr>
            <w:tcW w:type="dxa" w:w="2494"/>
          </w:tcPr>
          <w:p>
            <w:pPr>
              <w:keepNext/>
            </w:pPr>
            <w:r/>
            <w:r>
              <w:rPr>
                <w:rFonts w:ascii="Arial" w:hAnsi="Arial" w:eastAsia="Arial"/>
                <w:b w:val="0"/>
                <w:i w:val="0"/>
                <w:sz w:val="19"/>
              </w:rPr>
              <w:t>Before Month 1</w:t>
            </w:r>
          </w:p>
        </w:tc>
        <w:tc>
          <w:tcPr>
            <w:tcW w:type="dxa" w:w="5216"/>
          </w:tcPr>
          <w:p>
            <w:pPr>
              <w:keepNext/>
            </w:pPr>
            <w:r/>
            <w:r>
              <w:rPr>
                <w:rFonts w:ascii="Arial" w:hAnsi="Arial" w:eastAsia="Arial"/>
                <w:b w:val="0"/>
                <w:i w:val="0"/>
                <w:sz w:val="19"/>
              </w:rPr>
              <w:t>Draft consortium agreement and access agreements; plan ethics approvals; update equipment quotes</w:t>
            </w:r>
          </w:p>
        </w:tc>
        <w:tc>
          <w:tcPr>
            <w:tcW w:type="dxa" w:w="1928"/>
          </w:tcPr>
          <w:p>
            <w:pPr>
              <w:keepNext/>
            </w:pPr>
            <w:r/>
            <w:r>
              <w:rPr>
                <w:rFonts w:ascii="Arial" w:hAnsi="Arial" w:eastAsia="Arial"/>
                <w:b w:val="0"/>
                <w:i w:val="0"/>
                <w:sz w:val="19"/>
              </w:rPr>
              <w:t>Consortium</w:t>
            </w:r>
          </w:p>
        </w:tc>
      </w:tr>
      <w:tr>
        <w:trPr>
          <w:cantSplit/>
        </w:trPr>
        <w:tc>
          <w:tcPr>
            <w:tcW w:type="dxa" w:w="2494"/>
          </w:tcPr>
          <w:p>
            <w:r/>
            <w:r>
              <w:rPr>
                <w:rFonts w:ascii="Arial" w:hAnsi="Arial" w:eastAsia="Arial"/>
                <w:b w:val="0"/>
                <w:i w:val="0"/>
                <w:sz w:val="19"/>
              </w:rPr>
              <w:t>Month 1</w:t>
            </w:r>
          </w:p>
        </w:tc>
        <w:tc>
          <w:tcPr>
            <w:tcW w:type="dxa" w:w="5216"/>
          </w:tcPr>
          <w:p>
            <w:r/>
            <w:r>
              <w:rPr>
                <w:rFonts w:ascii="Arial" w:hAnsi="Arial" w:eastAsia="Arial"/>
                <w:b w:val="0"/>
                <w:i w:val="0"/>
                <w:sz w:val="19"/>
              </w:rPr>
              <w:t>Project start</w:t>
            </w:r>
          </w:p>
        </w:tc>
        <w:tc>
          <w:tcPr>
            <w:tcW w:type="dxa" w:w="1928"/>
          </w:tcPr>
          <w:p>
            <w:r/>
            <w:r>
              <w:rPr>
                <w:rFonts w:ascii="Arial" w:hAnsi="Arial" w:eastAsia="Arial"/>
                <w:b w:val="0"/>
                <w:i w:val="0"/>
                <w:sz w:val="19"/>
              </w:rPr>
              <w:t>Consortium</w:t>
            </w:r>
          </w:p>
        </w:tc>
      </w:tr>
    </w:tbl>
    <w:p>
      <w:pPr>
        <w:spacing w:after="80" w:before="40"/>
      </w:pPr>
      <w:r>
        <w:rPr>
          <w:rFonts w:ascii="Arial" w:hAnsi="Arial" w:eastAsia="Arial"/>
          <w:b w:val="0"/>
          <w:i/>
          <w:color w:val="52606D"/>
          <w:sz w:val="19"/>
        </w:rPr>
        <w:t>Dates in brackets depend on the call and on NATO's evaluation; confirm them on nato.int.</w:t>
      </w:r>
    </w:p>
    <w:p>
      <w:pPr>
        <w:keepNext/>
        <w:spacing w:after="120" w:before="120"/>
      </w:pPr>
      <w:r>
        <w:rPr>
          <w:rFonts w:ascii="Arial" w:hAnsi="Arial" w:eastAsia="Arial"/>
          <w:b/>
          <w:i w:val="0"/>
          <w:color w:val="1F3864"/>
          <w:sz w:val="27"/>
        </w:rPr>
        <w:t>2. The project year by year</w:t>
      </w:r>
    </w:p>
    <w:p>
      <w:pPr>
        <w:keepNext/>
        <w:spacing w:after="40" w:before="60"/>
      </w:pPr>
      <w:r>
        <w:rPr>
          <w:rFonts w:ascii="Arial" w:hAnsi="Arial" w:eastAsia="Arial"/>
          <w:b/>
          <w:i w:val="0"/>
          <w:color w:val="2E6DB4"/>
          <w:sz w:val="22"/>
        </w:rPr>
        <w:t>Year 1 (Months 1–12): measure and build</w:t>
      </w:r>
    </w:p>
    <w:p>
      <w:pPr>
        <w:spacing w:after="60" w:before="0"/>
        <w:ind w:left="283"/>
      </w:pPr>
      <w:r>
        <w:rPr>
          <w:rFonts w:ascii="Arial" w:hAnsi="Arial" w:eastAsia="Arial"/>
          <w:b/>
          <w:i w:val="0"/>
          <w:sz w:val="20"/>
        </w:rPr>
        <w:t xml:space="preserve">• </w:t>
      </w:r>
      <w:r>
        <w:rPr>
          <w:rFonts w:ascii="Arial" w:hAnsi="Arial" w:eastAsia="Arial"/>
          <w:b w:val="0"/>
          <w:i w:val="0"/>
          <w:sz w:val="20"/>
        </w:rPr>
        <w:t>Access agreements and data management plan by Month 3 (D7.1); kick-off workshop with the operators in Month 2.</w:t>
      </w:r>
    </w:p>
    <w:p>
      <w:pPr>
        <w:spacing w:after="60" w:before="0"/>
        <w:ind w:left="283"/>
      </w:pPr>
      <w:r>
        <w:rPr>
          <w:rFonts w:ascii="Arial" w:hAnsi="Arial" w:eastAsia="Arial"/>
          <w:b/>
          <w:i w:val="0"/>
          <w:sz w:val="20"/>
        </w:rPr>
        <w:t xml:space="preserve">• </w:t>
      </w:r>
      <w:r>
        <w:rPr>
          <w:rFonts w:ascii="Arial" w:hAnsi="Arial" w:eastAsia="Arial"/>
          <w:b w:val="0"/>
          <w:i w:val="0"/>
          <w:sz w:val="20"/>
        </w:rPr>
        <w:t>Network designed for the warnings by Month 6 (D4.1, MS1); equipment ordered in Month 4; installed and streaming by Month 12 (D4.2).</w:t>
      </w:r>
    </w:p>
    <w:p>
      <w:pPr>
        <w:spacing w:after="60" w:before="0"/>
        <w:ind w:left="283"/>
      </w:pPr>
      <w:r>
        <w:rPr>
          <w:rFonts w:ascii="Arial" w:hAnsi="Arial" w:eastAsia="Arial"/>
          <w:b/>
          <w:i w:val="0"/>
          <w:sz w:val="20"/>
        </w:rPr>
        <w:t xml:space="preserve">• </w:t>
      </w:r>
      <w:r>
        <w:rPr>
          <w:rFonts w:ascii="Arial" w:hAnsi="Arial" w:eastAsia="Arial"/>
          <w:b w:val="0"/>
          <w:i w:val="0"/>
          <w:sz w:val="20"/>
        </w:rPr>
        <w:t>InSAR from 2014 onward, GNSS and corner reflectors; elastic and inelastic compaction separated; relative sea level at each asset by Month 12 (D1.1, MS2).</w:t>
      </w:r>
    </w:p>
    <w:p>
      <w:pPr>
        <w:spacing w:after="60" w:before="0"/>
        <w:ind w:left="283"/>
      </w:pPr>
      <w:r>
        <w:rPr>
          <w:rFonts w:ascii="Arial" w:hAnsi="Arial" w:eastAsia="Arial"/>
          <w:b/>
          <w:i w:val="0"/>
          <w:sz w:val="20"/>
        </w:rPr>
        <w:t xml:space="preserve">• </w:t>
      </w:r>
      <w:r>
        <w:rPr>
          <w:rFonts w:ascii="Arial" w:hAnsi="Arial" w:eastAsia="Arial"/>
          <w:b w:val="0"/>
          <w:i w:val="0"/>
          <w:sz w:val="20"/>
        </w:rPr>
        <w:t>Coupled model set up from Month 4; post-event protocol on standby from Month 12.</w:t>
      </w:r>
    </w:p>
    <w:p>
      <w:pPr>
        <w:keepNext/>
        <w:spacing w:after="40" w:before="60"/>
      </w:pPr>
      <w:r>
        <w:rPr>
          <w:rFonts w:ascii="Arial" w:hAnsi="Arial" w:eastAsia="Arial"/>
          <w:b/>
          <w:i w:val="0"/>
          <w:color w:val="2E6DB4"/>
          <w:sz w:val="22"/>
        </w:rPr>
        <w:t>Year 2 (Months 13–24): model, certify, open the service</w:t>
      </w:r>
    </w:p>
    <w:p>
      <w:pPr>
        <w:spacing w:after="60" w:before="0"/>
        <w:ind w:left="283"/>
      </w:pPr>
      <w:r>
        <w:rPr>
          <w:rFonts w:ascii="Arial" w:hAnsi="Arial" w:eastAsia="Arial"/>
          <w:b/>
          <w:i w:val="0"/>
          <w:sz w:val="20"/>
        </w:rPr>
        <w:t xml:space="preserve">• </w:t>
      </w:r>
      <w:r>
        <w:rPr>
          <w:rFonts w:ascii="Arial" w:hAnsi="Arial" w:eastAsia="Arial"/>
          <w:b w:val="0"/>
          <w:i w:val="0"/>
          <w:sz w:val="20"/>
        </w:rPr>
        <w:t>Thresholds and acceptable false-alarm rates agreed with the operators (Months 13–15); training school in Month 14.</w:t>
      </w:r>
    </w:p>
    <w:p>
      <w:pPr>
        <w:spacing w:after="60" w:before="0"/>
        <w:ind w:left="283"/>
      </w:pPr>
      <w:r>
        <w:rPr>
          <w:rFonts w:ascii="Arial" w:hAnsi="Arial" w:eastAsia="Arial"/>
          <w:b/>
          <w:i w:val="0"/>
          <w:sz w:val="20"/>
        </w:rPr>
        <w:t xml:space="preserve">• </w:t>
      </w:r>
      <w:r>
        <w:rPr>
          <w:rFonts w:ascii="Arial" w:hAnsi="Arial" w:eastAsia="Arial"/>
          <w:b w:val="0"/>
          <w:i w:val="0"/>
          <w:sz w:val="20"/>
        </w:rPr>
        <w:t>Coupled model calibrated by Month 18 (D2.1, gate MS3); mid-term workshop in Month 18.</w:t>
      </w:r>
    </w:p>
    <w:p>
      <w:pPr>
        <w:spacing w:after="60" w:before="0"/>
        <w:ind w:left="283"/>
      </w:pPr>
      <w:r>
        <w:rPr>
          <w:rFonts w:ascii="Arial" w:hAnsi="Arial" w:eastAsia="Arial"/>
          <w:b/>
          <w:i w:val="0"/>
          <w:sz w:val="20"/>
        </w:rPr>
        <w:t xml:space="preserve">• </w:t>
      </w:r>
      <w:r>
        <w:rPr>
          <w:rFonts w:ascii="Arial" w:hAnsi="Arial" w:eastAsia="Arial"/>
          <w:b w:val="0"/>
          <w:i w:val="0"/>
          <w:sz w:val="20"/>
        </w:rPr>
        <w:t>Certified surrogate by Month 22 (D2.2); go/no-go for live operation in Month 22 (gate MS4); live bulletins from Month 23.</w:t>
      </w:r>
    </w:p>
    <w:p>
      <w:pPr>
        <w:spacing w:after="60" w:before="0"/>
        <w:ind w:left="283"/>
      </w:pPr>
      <w:r>
        <w:rPr>
          <w:rFonts w:ascii="Arial" w:hAnsi="Arial" w:eastAsia="Arial"/>
          <w:b/>
          <w:i w:val="0"/>
          <w:sz w:val="20"/>
        </w:rPr>
        <w:t xml:space="preserve">• </w:t>
      </w:r>
      <w:r>
        <w:rPr>
          <w:rFonts w:ascii="Arial" w:hAnsi="Arial" w:eastAsia="Arial"/>
          <w:b w:val="0"/>
          <w:i w:val="0"/>
          <w:sz w:val="20"/>
        </w:rPr>
        <w:t>Certified alarm algorithms and proofs by Month 24 (D3.1); first progress report in Month 12, second in Month 24.</w:t>
      </w:r>
    </w:p>
    <w:p>
      <w:pPr>
        <w:keepNext/>
        <w:spacing w:after="40" w:before="60"/>
      </w:pPr>
      <w:r>
        <w:rPr>
          <w:rFonts w:ascii="Arial" w:hAnsi="Arial" w:eastAsia="Arial"/>
          <w:b/>
          <w:i w:val="0"/>
          <w:color w:val="2E6DB4"/>
          <w:sz w:val="22"/>
        </w:rPr>
        <w:t>Year 3 (Months 25–36): operate, verify, hand over</w:t>
      </w:r>
    </w:p>
    <w:p>
      <w:pPr>
        <w:spacing w:after="60" w:before="0"/>
        <w:ind w:left="283"/>
      </w:pPr>
      <w:r>
        <w:rPr>
          <w:rFonts w:ascii="Arial" w:hAnsi="Arial" w:eastAsia="Arial"/>
          <w:b/>
          <w:i w:val="0"/>
          <w:sz w:val="20"/>
        </w:rPr>
        <w:t xml:space="preserve">• </w:t>
      </w:r>
      <w:r>
        <w:rPr>
          <w:rFonts w:ascii="Arial" w:hAnsi="Arial" w:eastAsia="Arial"/>
          <w:b w:val="0"/>
          <w:i w:val="0"/>
          <w:sz w:val="20"/>
        </w:rPr>
        <w:t>Back-testing report and miss-rate targets confirmed by Month 27 (D3.2, gate MS5); joint pumping rule agreed with the utility by Month 33.</w:t>
      </w:r>
    </w:p>
    <w:p>
      <w:pPr>
        <w:spacing w:after="60" w:before="0"/>
        <w:ind w:left="283"/>
      </w:pPr>
      <w:r>
        <w:rPr>
          <w:rFonts w:ascii="Arial" w:hAnsi="Arial" w:eastAsia="Arial"/>
          <w:b/>
          <w:i w:val="0"/>
          <w:sz w:val="20"/>
        </w:rPr>
        <w:t xml:space="preserve">• </w:t>
      </w:r>
      <w:r>
        <w:rPr>
          <w:rFonts w:ascii="Arial" w:hAnsi="Arial" w:eastAsia="Arial"/>
          <w:b w:val="0"/>
          <w:i w:val="0"/>
          <w:sz w:val="20"/>
        </w:rPr>
        <w:t>Maintenance agreement signed by the operators by Month 33; open software and data released in Month 33 (D6.1).</w:t>
      </w:r>
    </w:p>
    <w:p>
      <w:pPr>
        <w:spacing w:after="60" w:before="0"/>
        <w:ind w:left="283"/>
      </w:pPr>
      <w:r>
        <w:rPr>
          <w:rFonts w:ascii="Arial" w:hAnsi="Arial" w:eastAsia="Arial"/>
          <w:b/>
          <w:i w:val="0"/>
          <w:sz w:val="20"/>
        </w:rPr>
        <w:t xml:space="preserve">• </w:t>
      </w:r>
      <w:r>
        <w:rPr>
          <w:rFonts w:ascii="Arial" w:hAnsi="Arial" w:eastAsia="Arial"/>
          <w:b w:val="0"/>
          <w:i w:val="0"/>
          <w:sz w:val="20"/>
        </w:rPr>
        <w:t>Twelve months of live operation completed in Month 34 (D5.1, MS6); operators issue every bulletin in Months 34–36.</w:t>
      </w:r>
    </w:p>
    <w:p>
      <w:pPr>
        <w:spacing w:after="60" w:before="0"/>
        <w:ind w:left="283"/>
      </w:pPr>
      <w:r>
        <w:rPr>
          <w:rFonts w:ascii="Arial" w:hAnsi="Arial" w:eastAsia="Arial"/>
          <w:b/>
          <w:i w:val="0"/>
          <w:sz w:val="20"/>
        </w:rPr>
        <w:t xml:space="preserve">• </w:t>
      </w:r>
      <w:r>
        <w:rPr>
          <w:rFonts w:ascii="Arial" w:hAnsi="Arial" w:eastAsia="Arial"/>
          <w:b w:val="0"/>
          <w:i w:val="0"/>
          <w:sz w:val="20"/>
        </w:rPr>
        <w:t>Transfer workshop in Month 35; procedures and policy brief, final workshop and hand-over in Month 36 (D6.2, MS7, D7.3).</w:t>
      </w:r>
    </w:p>
    <w:p>
      <w:pPr>
        <w:sectPr>
          <w:pgSz w:w="11906" w:h="16838"/>
          <w:pgMar w:top="1020" w:right="1134" w:bottom="1020" w:left="1134" w:header="720" w:footer="720" w:gutter="0"/>
          <w:cols w:space="720"/>
          <w:docGrid w:linePitch="360"/>
        </w:sectPr>
      </w:pPr>
    </w:p>
    <w:p>
      <w:pPr>
        <w:spacing w:after="40" w:before="0"/>
      </w:pPr>
      <w:r>
        <w:rPr>
          <w:rFonts w:ascii="Arial" w:hAnsi="Arial" w:eastAsia="Arial"/>
          <w:b/>
          <w:i w:val="0"/>
          <w:color w:val="1F3864"/>
          <w:sz w:val="27"/>
        </w:rPr>
        <w:t>3. Master timeline</w:t>
      </w:r>
    </w:p>
    <w:p>
      <w:pPr>
        <w:spacing w:after="40" w:before="0"/>
        <w:jc w:val="center"/>
      </w:pPr>
      <w:r>
        <w:drawing>
          <wp:inline xmlns:a="http://schemas.openxmlformats.org/drawingml/2006/main" xmlns:pic="http://schemas.openxmlformats.org/drawingml/2006/picture">
            <wp:extent cx="8712000" cy="5863846"/>
            <wp:docPr id="1" name="Picture 1"/>
            <wp:cNvGraphicFramePr>
              <a:graphicFrameLocks noChangeAspect="1"/>
            </wp:cNvGraphicFramePr>
            <a:graphic>
              <a:graphicData uri="http://schemas.openxmlformats.org/drawingml/2006/picture">
                <pic:pic>
                  <pic:nvPicPr>
                    <pic:cNvPr id="0" name="fig_master_timeline.png"/>
                    <pic:cNvPicPr/>
                  </pic:nvPicPr>
                  <pic:blipFill>
                    <a:blip r:embed="rId9"/>
                    <a:stretch>
                      <a:fillRect/>
                    </a:stretch>
                  </pic:blipFill>
                  <pic:spPr>
                    <a:xfrm>
                      <a:off x="0" y="0"/>
                      <a:ext cx="8712000" cy="5863846"/>
                    </a:xfrm>
                    <a:prstGeom prst="rect"/>
                  </pic:spPr>
                </pic:pic>
              </a:graphicData>
            </a:graphic>
          </wp:inline>
        </w:drawing>
      </w:r>
    </w:p>
    <w:p>
      <w:pPr>
        <w:spacing w:after="40" w:before="0"/>
      </w:pPr>
      <w:r>
        <w:rPr>
          <w:rFonts w:ascii="Arial" w:hAnsi="Arial" w:eastAsia="Arial"/>
          <w:b w:val="0"/>
          <w:i/>
          <w:color w:val="52606D"/>
          <w:sz w:val="19"/>
        </w:rPr>
        <w:t>Figure 1. Master timeline. Bars: work packages; circles: deliverables; diamonds: milestones, with the three evidence gates in orange; shaded band: twelve months of live operation; squares: steering committee; triangles: key events.</w:t>
      </w:r>
    </w:p>
    <w:p>
      <w:pPr>
        <w:sectPr>
          <w:pgSz w:w="16838" w:h="11906" w:orient="landscape"/>
          <w:pgMar w:top="737" w:right="850" w:bottom="737" w:left="850" w:header="720" w:footer="720" w:gutter="0"/>
          <w:cols w:space="720"/>
          <w:docGrid w:linePitch="360"/>
        </w:sectPr>
      </w:pPr>
    </w:p>
    <w:p>
      <w:pPr>
        <w:keepNext/>
        <w:spacing w:after="120" w:before="0"/>
      </w:pPr>
      <w:r>
        <w:rPr>
          <w:rFonts w:ascii="Arial" w:hAnsi="Arial" w:eastAsia="Arial"/>
          <w:b/>
          <w:i w:val="0"/>
          <w:color w:val="1F3864"/>
          <w:sz w:val="27"/>
        </w:rPr>
        <w:t>4. Milestones and gates</w:t>
      </w:r>
    </w:p>
    <w:tbl>
      <w:tblPr>
        <w:tblStyle w:val="TableGrid"/>
        <w:tblW w:type="auto" w:w="0"/>
        <w:jc w:val="center"/>
        <w:tblLayout w:type="fixed"/>
        <w:tblLook w:firstColumn="1" w:firstRow="1" w:lastColumn="0" w:lastRow="0" w:noHBand="0" w:noVBand="1" w:val="04A0"/>
        <w:tblLayout w:type="fixed"/>
      </w:tblPr>
      <w:tblGrid>
        <w:gridCol w:w="794"/>
        <w:gridCol w:w="907"/>
        <w:gridCol w:w="3061"/>
        <w:gridCol w:w="4876"/>
      </w:tblGrid>
      <w:tr>
        <w:trPr>
          <w:cantSplit/>
          <w:tblHeader/>
        </w:trPr>
        <w:tc>
          <w:tcPr>
            <w:tcW w:type="dxa" w:w="794"/>
            <w:shd w:val="clear" w:color="auto" w:fill="1F3864"/>
          </w:tcPr>
          <w:p>
            <w:pPr>
              <w:keepNext/>
            </w:pPr>
            <w:r/>
            <w:r>
              <w:rPr>
                <w:rFonts w:ascii="Arial" w:hAnsi="Arial" w:eastAsia="Arial"/>
                <w:b/>
                <w:i w:val="0"/>
                <w:color w:val="FFFFFF"/>
                <w:sz w:val="20"/>
              </w:rPr>
            </w:r>
          </w:p>
        </w:tc>
        <w:tc>
          <w:tcPr>
            <w:tcW w:type="dxa" w:w="907"/>
            <w:shd w:val="clear" w:color="auto" w:fill="1F3864"/>
          </w:tcPr>
          <w:p>
            <w:pPr>
              <w:keepNext/>
            </w:pPr>
            <w:r/>
            <w:r>
              <w:rPr>
                <w:rFonts w:ascii="Arial" w:hAnsi="Arial" w:eastAsia="Arial"/>
                <w:b/>
                <w:i w:val="0"/>
                <w:color w:val="FFFFFF"/>
                <w:sz w:val="20"/>
              </w:rPr>
              <w:t>Month</w:t>
            </w:r>
          </w:p>
        </w:tc>
        <w:tc>
          <w:tcPr>
            <w:tcW w:type="dxa" w:w="3061"/>
            <w:shd w:val="clear" w:color="auto" w:fill="1F3864"/>
          </w:tcPr>
          <w:p>
            <w:pPr>
              <w:keepNext/>
            </w:pPr>
            <w:r/>
            <w:r>
              <w:rPr>
                <w:rFonts w:ascii="Arial" w:hAnsi="Arial" w:eastAsia="Arial"/>
                <w:b/>
                <w:i w:val="0"/>
                <w:color w:val="FFFFFF"/>
                <w:sz w:val="20"/>
              </w:rPr>
              <w:t>Milestone</w:t>
            </w:r>
          </w:p>
        </w:tc>
        <w:tc>
          <w:tcPr>
            <w:tcW w:type="dxa" w:w="4876"/>
            <w:shd w:val="clear" w:color="auto" w:fill="1F3864"/>
          </w:tcPr>
          <w:p>
            <w:pPr>
              <w:keepNext/>
            </w:pPr>
            <w:r/>
            <w:r>
              <w:rPr>
                <w:rFonts w:ascii="Arial" w:hAnsi="Arial" w:eastAsia="Arial"/>
                <w:b/>
                <w:i w:val="0"/>
                <w:color w:val="FFFFFF"/>
                <w:sz w:val="20"/>
              </w:rPr>
              <w:t>Evidence</w:t>
            </w:r>
          </w:p>
        </w:tc>
      </w:tr>
      <w:tr>
        <w:trPr>
          <w:cantSplit/>
        </w:trPr>
        <w:tc>
          <w:tcPr>
            <w:tcW w:type="dxa" w:w="794"/>
          </w:tcPr>
          <w:p>
            <w:pPr>
              <w:keepNext/>
            </w:pPr>
            <w:r/>
            <w:r>
              <w:rPr>
                <w:rFonts w:ascii="Arial" w:hAnsi="Arial" w:eastAsia="Arial"/>
                <w:b w:val="0"/>
                <w:i w:val="0"/>
                <w:sz w:val="20"/>
              </w:rPr>
              <w:t>MS1</w:t>
            </w:r>
          </w:p>
        </w:tc>
        <w:tc>
          <w:tcPr>
            <w:tcW w:type="dxa" w:w="907"/>
          </w:tcPr>
          <w:p>
            <w:pPr>
              <w:keepNext/>
            </w:pPr>
            <w:r/>
            <w:r>
              <w:rPr>
                <w:rFonts w:ascii="Arial" w:hAnsi="Arial" w:eastAsia="Arial"/>
                <w:b w:val="0"/>
                <w:i w:val="0"/>
                <w:sz w:val="20"/>
              </w:rPr>
              <w:t>M6</w:t>
            </w:r>
          </w:p>
        </w:tc>
        <w:tc>
          <w:tcPr>
            <w:tcW w:type="dxa" w:w="3061"/>
          </w:tcPr>
          <w:p>
            <w:pPr>
              <w:keepNext/>
            </w:pPr>
            <w:r/>
            <w:r>
              <w:rPr>
                <w:rFonts w:ascii="Arial" w:hAnsi="Arial" w:eastAsia="Arial"/>
                <w:b w:val="0"/>
                <w:i w:val="0"/>
                <w:sz w:val="20"/>
              </w:rPr>
              <w:t>Network design agreed</w:t>
            </w:r>
          </w:p>
        </w:tc>
        <w:tc>
          <w:tcPr>
            <w:tcW w:type="dxa" w:w="4876"/>
          </w:tcPr>
          <w:p>
            <w:pPr>
              <w:keepNext/>
            </w:pPr>
            <w:r/>
            <w:r>
              <w:rPr>
                <w:rFonts w:ascii="Arial" w:hAnsi="Arial" w:eastAsia="Arial"/>
                <w:b w:val="0"/>
                <w:i w:val="0"/>
                <w:sz w:val="20"/>
              </w:rPr>
              <w:t>D4.1 approved by the steering committee and the operators</w:t>
            </w:r>
          </w:p>
        </w:tc>
      </w:tr>
      <w:tr>
        <w:trPr>
          <w:cantSplit/>
        </w:trPr>
        <w:tc>
          <w:tcPr>
            <w:tcW w:type="dxa" w:w="794"/>
          </w:tcPr>
          <w:p>
            <w:r/>
            <w:r>
              <w:rPr>
                <w:rFonts w:ascii="Arial" w:hAnsi="Arial" w:eastAsia="Arial"/>
                <w:b w:val="0"/>
                <w:i w:val="0"/>
                <w:sz w:val="20"/>
              </w:rPr>
              <w:t>MS2</w:t>
            </w:r>
          </w:p>
        </w:tc>
        <w:tc>
          <w:tcPr>
            <w:tcW w:type="dxa" w:w="907"/>
          </w:tcPr>
          <w:p>
            <w:r/>
            <w:r>
              <w:rPr>
                <w:rFonts w:ascii="Arial" w:hAnsi="Arial" w:eastAsia="Arial"/>
                <w:b w:val="0"/>
                <w:i w:val="0"/>
                <w:sz w:val="20"/>
              </w:rPr>
              <w:t>M12</w:t>
            </w:r>
          </w:p>
        </w:tc>
        <w:tc>
          <w:tcPr>
            <w:tcW w:type="dxa" w:w="3061"/>
          </w:tcPr>
          <w:p>
            <w:r/>
            <w:r>
              <w:rPr>
                <w:rFonts w:ascii="Arial" w:hAnsi="Arial" w:eastAsia="Arial"/>
                <w:b w:val="0"/>
                <w:i w:val="0"/>
                <w:sz w:val="20"/>
              </w:rPr>
              <w:t>Network streaming; coastal motion known</w:t>
            </w:r>
          </w:p>
        </w:tc>
        <w:tc>
          <w:tcPr>
            <w:tcW w:type="dxa" w:w="4876"/>
          </w:tcPr>
          <w:p>
            <w:r/>
            <w:r>
              <w:rPr>
                <w:rFonts w:ascii="Arial" w:hAnsi="Arial" w:eastAsia="Arial"/>
                <w:b w:val="0"/>
                <w:i w:val="0"/>
                <w:sz w:val="20"/>
              </w:rPr>
              <w:t>D4.2 (≥ 90% data availability over the first month) and D1.1 delivered</w:t>
            </w:r>
          </w:p>
        </w:tc>
      </w:tr>
      <w:tr>
        <w:trPr>
          <w:cantSplit/>
        </w:trPr>
        <w:tc>
          <w:tcPr>
            <w:tcW w:type="dxa" w:w="794"/>
            <w:shd w:val="clear" w:color="auto" w:fill="FDE7C2"/>
          </w:tcPr>
          <w:p>
            <w:r/>
            <w:r>
              <w:rPr>
                <w:rFonts w:ascii="Arial" w:hAnsi="Arial" w:eastAsia="Arial"/>
                <w:b w:val="0"/>
                <w:i w:val="0"/>
                <w:sz w:val="20"/>
              </w:rPr>
              <w:t>MS3</w:t>
            </w:r>
          </w:p>
        </w:tc>
        <w:tc>
          <w:tcPr>
            <w:tcW w:type="dxa" w:w="907"/>
          </w:tcPr>
          <w:p>
            <w:r/>
            <w:r>
              <w:rPr>
                <w:rFonts w:ascii="Arial" w:hAnsi="Arial" w:eastAsia="Arial"/>
                <w:b w:val="0"/>
                <w:i w:val="0"/>
                <w:sz w:val="20"/>
              </w:rPr>
              <w:t>M18</w:t>
            </w:r>
          </w:p>
        </w:tc>
        <w:tc>
          <w:tcPr>
            <w:tcW w:type="dxa" w:w="3061"/>
          </w:tcPr>
          <w:p>
            <w:r/>
            <w:r>
              <w:rPr>
                <w:rFonts w:ascii="Arial" w:hAnsi="Arial" w:eastAsia="Arial"/>
                <w:b w:val="0"/>
                <w:i w:val="0"/>
                <w:sz w:val="20"/>
              </w:rPr>
              <w:t>Coupled model calibrated</w:t>
            </w:r>
          </w:p>
        </w:tc>
        <w:tc>
          <w:tcPr>
            <w:tcW w:type="dxa" w:w="4876"/>
          </w:tcPr>
          <w:p>
            <w:r/>
            <w:r>
              <w:rPr>
                <w:rFonts w:ascii="Arial" w:hAnsi="Arial" w:eastAsia="Arial"/>
                <w:b w:val="0"/>
                <w:i w:val="0"/>
                <w:sz w:val="20"/>
              </w:rPr>
              <w:t>D2.1: held-out observations reproduced within their stated uncertainty</w:t>
            </w:r>
          </w:p>
        </w:tc>
      </w:tr>
      <w:tr>
        <w:trPr>
          <w:cantSplit/>
        </w:trPr>
        <w:tc>
          <w:tcPr>
            <w:tcW w:type="dxa" w:w="794"/>
            <w:shd w:val="clear" w:color="auto" w:fill="FDE7C2"/>
          </w:tcPr>
          <w:p>
            <w:r/>
            <w:r>
              <w:rPr>
                <w:rFonts w:ascii="Arial" w:hAnsi="Arial" w:eastAsia="Arial"/>
                <w:b w:val="0"/>
                <w:i w:val="0"/>
                <w:sz w:val="20"/>
              </w:rPr>
              <w:t>MS4</w:t>
            </w:r>
          </w:p>
        </w:tc>
        <w:tc>
          <w:tcPr>
            <w:tcW w:type="dxa" w:w="907"/>
          </w:tcPr>
          <w:p>
            <w:r/>
            <w:r>
              <w:rPr>
                <w:rFonts w:ascii="Arial" w:hAnsi="Arial" w:eastAsia="Arial"/>
                <w:b w:val="0"/>
                <w:i w:val="0"/>
                <w:sz w:val="20"/>
              </w:rPr>
              <w:t>M22</w:t>
            </w:r>
          </w:p>
        </w:tc>
        <w:tc>
          <w:tcPr>
            <w:tcW w:type="dxa" w:w="3061"/>
          </w:tcPr>
          <w:p>
            <w:r/>
            <w:r>
              <w:rPr>
                <w:rFonts w:ascii="Arial" w:hAnsi="Arial" w:eastAsia="Arial"/>
                <w:b w:val="0"/>
                <w:i w:val="0"/>
                <w:sz w:val="20"/>
              </w:rPr>
              <w:t>Go/no-go for live operation</w:t>
            </w:r>
          </w:p>
        </w:tc>
        <w:tc>
          <w:tcPr>
            <w:tcW w:type="dxa" w:w="4876"/>
          </w:tcPr>
          <w:p>
            <w:r/>
            <w:r>
              <w:rPr>
                <w:rFonts w:ascii="Arial" w:hAnsi="Arial" w:eastAsia="Arial"/>
                <w:b w:val="0"/>
                <w:i w:val="0"/>
                <w:sz w:val="20"/>
              </w:rPr>
              <w:t>D2.2 surrogate error bound met on the test set; alarm prototype passes a dry run</w:t>
            </w:r>
          </w:p>
        </w:tc>
      </w:tr>
      <w:tr>
        <w:trPr>
          <w:cantSplit/>
        </w:trPr>
        <w:tc>
          <w:tcPr>
            <w:tcW w:type="dxa" w:w="794"/>
            <w:shd w:val="clear" w:color="auto" w:fill="FDE7C2"/>
          </w:tcPr>
          <w:p>
            <w:r/>
            <w:r>
              <w:rPr>
                <w:rFonts w:ascii="Arial" w:hAnsi="Arial" w:eastAsia="Arial"/>
                <w:b w:val="0"/>
                <w:i w:val="0"/>
                <w:sz w:val="20"/>
              </w:rPr>
              <w:t>MS5</w:t>
            </w:r>
          </w:p>
        </w:tc>
        <w:tc>
          <w:tcPr>
            <w:tcW w:type="dxa" w:w="907"/>
          </w:tcPr>
          <w:p>
            <w:r/>
            <w:r>
              <w:rPr>
                <w:rFonts w:ascii="Arial" w:hAnsi="Arial" w:eastAsia="Arial"/>
                <w:b w:val="0"/>
                <w:i w:val="0"/>
                <w:sz w:val="20"/>
              </w:rPr>
              <w:t>M27</w:t>
            </w:r>
          </w:p>
        </w:tc>
        <w:tc>
          <w:tcPr>
            <w:tcW w:type="dxa" w:w="3061"/>
          </w:tcPr>
          <w:p>
            <w:r/>
            <w:r>
              <w:rPr>
                <w:rFonts w:ascii="Arial" w:hAnsi="Arial" w:eastAsia="Arial"/>
                <w:b w:val="0"/>
                <w:i w:val="0"/>
                <w:sz w:val="20"/>
              </w:rPr>
              <w:t>Miss-rate targets confirmed in back-testing</w:t>
            </w:r>
          </w:p>
        </w:tc>
        <w:tc>
          <w:tcPr>
            <w:tcW w:type="dxa" w:w="4876"/>
          </w:tcPr>
          <w:p>
            <w:r/>
            <w:r>
              <w:rPr>
                <w:rFonts w:ascii="Arial" w:hAnsi="Arial" w:eastAsia="Arial"/>
                <w:b w:val="0"/>
                <w:i w:val="0"/>
                <w:sz w:val="20"/>
              </w:rPr>
              <w:t>D3.2: each miss rate ≤ α_k with its confidence interval reported</w:t>
            </w:r>
          </w:p>
        </w:tc>
      </w:tr>
      <w:tr>
        <w:trPr>
          <w:cantSplit/>
        </w:trPr>
        <w:tc>
          <w:tcPr>
            <w:tcW w:type="dxa" w:w="794"/>
          </w:tcPr>
          <w:p>
            <w:pPr>
              <w:keepNext/>
            </w:pPr>
            <w:r/>
            <w:r>
              <w:rPr>
                <w:rFonts w:ascii="Arial" w:hAnsi="Arial" w:eastAsia="Arial"/>
                <w:b w:val="0"/>
                <w:i w:val="0"/>
                <w:sz w:val="20"/>
              </w:rPr>
              <w:t>MS6</w:t>
            </w:r>
          </w:p>
        </w:tc>
        <w:tc>
          <w:tcPr>
            <w:tcW w:type="dxa" w:w="907"/>
          </w:tcPr>
          <w:p>
            <w:pPr>
              <w:keepNext/>
            </w:pPr>
            <w:r/>
            <w:r>
              <w:rPr>
                <w:rFonts w:ascii="Arial" w:hAnsi="Arial" w:eastAsia="Arial"/>
                <w:b w:val="0"/>
                <w:i w:val="0"/>
                <w:sz w:val="20"/>
              </w:rPr>
              <w:t>M34</w:t>
            </w:r>
          </w:p>
        </w:tc>
        <w:tc>
          <w:tcPr>
            <w:tcW w:type="dxa" w:w="3061"/>
          </w:tcPr>
          <w:p>
            <w:pPr>
              <w:keepNext/>
            </w:pPr>
            <w:r/>
            <w:r>
              <w:rPr>
                <w:rFonts w:ascii="Arial" w:hAnsi="Arial" w:eastAsia="Arial"/>
                <w:b w:val="0"/>
                <w:i w:val="0"/>
                <w:sz w:val="20"/>
              </w:rPr>
              <w:t>Twelve months of live operation completed</w:t>
            </w:r>
          </w:p>
        </w:tc>
        <w:tc>
          <w:tcPr>
            <w:tcW w:type="dxa" w:w="4876"/>
          </w:tcPr>
          <w:p>
            <w:pPr>
              <w:keepNext/>
            </w:pPr>
            <w:r/>
            <w:r>
              <w:rPr>
                <w:rFonts w:ascii="Arial" w:hAnsi="Arial" w:eastAsia="Arial"/>
                <w:b w:val="0"/>
                <w:i w:val="0"/>
                <w:sz w:val="20"/>
              </w:rPr>
              <w:t>D5.1 with the bulletin log and verified outcomes</w:t>
            </w:r>
          </w:p>
        </w:tc>
      </w:tr>
      <w:tr>
        <w:trPr>
          <w:cantSplit/>
        </w:trPr>
        <w:tc>
          <w:tcPr>
            <w:tcW w:type="dxa" w:w="794"/>
          </w:tcPr>
          <w:p>
            <w:r/>
            <w:r>
              <w:rPr>
                <w:rFonts w:ascii="Arial" w:hAnsi="Arial" w:eastAsia="Arial"/>
                <w:b w:val="0"/>
                <w:i w:val="0"/>
                <w:sz w:val="20"/>
              </w:rPr>
              <w:t>MS7</w:t>
            </w:r>
          </w:p>
        </w:tc>
        <w:tc>
          <w:tcPr>
            <w:tcW w:type="dxa" w:w="907"/>
          </w:tcPr>
          <w:p>
            <w:r/>
            <w:r>
              <w:rPr>
                <w:rFonts w:ascii="Arial" w:hAnsi="Arial" w:eastAsia="Arial"/>
                <w:b w:val="0"/>
                <w:i w:val="0"/>
                <w:sz w:val="20"/>
              </w:rPr>
              <w:t>M36</w:t>
            </w:r>
          </w:p>
        </w:tc>
        <w:tc>
          <w:tcPr>
            <w:tcW w:type="dxa" w:w="3061"/>
          </w:tcPr>
          <w:p>
            <w:r/>
            <w:r>
              <w:rPr>
                <w:rFonts w:ascii="Arial" w:hAnsi="Arial" w:eastAsia="Arial"/>
                <w:b w:val="0"/>
                <w:i w:val="0"/>
                <w:sz w:val="20"/>
              </w:rPr>
              <w:t>Hand-over to the operators</w:t>
            </w:r>
          </w:p>
        </w:tc>
        <w:tc>
          <w:tcPr>
            <w:tcW w:type="dxa" w:w="4876"/>
          </w:tcPr>
          <w:p>
            <w:r/>
            <w:r>
              <w:rPr>
                <w:rFonts w:ascii="Arial" w:hAnsi="Arial" w:eastAsia="Arial"/>
                <w:b w:val="0"/>
                <w:i w:val="0"/>
                <w:sz w:val="20"/>
              </w:rPr>
              <w:t>D6.2 procedures adopted; operator staff run the system unaided</w:t>
            </w:r>
          </w:p>
        </w:tc>
      </w:tr>
    </w:tbl>
    <w:p>
      <w:pPr>
        <w:spacing w:after="80" w:before="0"/>
      </w:pPr>
    </w:p>
    <w:p>
      <w:pPr>
        <w:keepNext/>
        <w:spacing w:after="120" w:before="160"/>
      </w:pPr>
      <w:r>
        <w:rPr>
          <w:rFonts w:ascii="Arial" w:hAnsi="Arial" w:eastAsia="Arial"/>
          <w:b/>
          <w:i w:val="0"/>
          <w:color w:val="1F3864"/>
          <w:sz w:val="27"/>
        </w:rPr>
        <w:t>5. Key dates month by month</w:t>
      </w:r>
    </w:p>
    <w:tbl>
      <w:tblPr>
        <w:tblStyle w:val="TableGrid"/>
        <w:tblW w:type="auto" w:w="0"/>
        <w:jc w:val="center"/>
        <w:tblLayout w:type="fixed"/>
        <w:tblLook w:firstColumn="1" w:firstRow="1" w:lastColumn="0" w:lastRow="0" w:noHBand="0" w:noVBand="1" w:val="04A0"/>
        <w:tblLayout w:type="fixed"/>
      </w:tblPr>
      <w:tblGrid>
        <w:gridCol w:w="1020"/>
        <w:gridCol w:w="7030"/>
        <w:gridCol w:w="1587"/>
      </w:tblGrid>
      <w:tr>
        <w:trPr>
          <w:cantSplit/>
          <w:tblHeader/>
        </w:trPr>
        <w:tc>
          <w:tcPr>
            <w:tcW w:type="dxa" w:w="1020"/>
            <w:shd w:val="clear" w:color="auto" w:fill="1F3864"/>
          </w:tcPr>
          <w:p>
            <w:pPr>
              <w:keepNext/>
            </w:pPr>
            <w:r/>
            <w:r>
              <w:rPr>
                <w:rFonts w:ascii="Arial" w:hAnsi="Arial" w:eastAsia="Arial"/>
                <w:b/>
                <w:i w:val="0"/>
                <w:color w:val="FFFFFF"/>
                <w:sz w:val="19"/>
              </w:rPr>
              <w:t>Month</w:t>
            </w:r>
          </w:p>
        </w:tc>
        <w:tc>
          <w:tcPr>
            <w:tcW w:type="dxa" w:w="7030"/>
            <w:shd w:val="clear" w:color="auto" w:fill="1F3864"/>
          </w:tcPr>
          <w:p>
            <w:pPr>
              <w:keepNext/>
            </w:pPr>
            <w:r/>
            <w:r>
              <w:rPr>
                <w:rFonts w:ascii="Arial" w:hAnsi="Arial" w:eastAsia="Arial"/>
                <w:b/>
                <w:i w:val="0"/>
                <w:color w:val="FFFFFF"/>
                <w:sz w:val="19"/>
              </w:rPr>
              <w:t>What</w:t>
            </w:r>
          </w:p>
        </w:tc>
        <w:tc>
          <w:tcPr>
            <w:tcW w:type="dxa" w:w="1587"/>
            <w:shd w:val="clear" w:color="auto" w:fill="1F3864"/>
          </w:tcPr>
          <w:p>
            <w:pPr>
              <w:keepNext/>
            </w:pPr>
            <w:r/>
            <w:r>
              <w:rPr>
                <w:rFonts w:ascii="Arial" w:hAnsi="Arial" w:eastAsia="Arial"/>
                <w:b/>
                <w:i w:val="0"/>
                <w:color w:val="FFFFFF"/>
                <w:sz w:val="19"/>
              </w:rPr>
              <w:t>Type</w:t>
            </w:r>
          </w:p>
        </w:tc>
      </w:tr>
      <w:tr>
        <w:trPr>
          <w:cantSplit/>
        </w:trPr>
        <w:tc>
          <w:tcPr>
            <w:tcW w:type="dxa" w:w="1020"/>
          </w:tcPr>
          <w:p>
            <w:pPr>
              <w:keepNext/>
            </w:pPr>
            <w:r/>
            <w:r>
              <w:rPr>
                <w:rFonts w:ascii="Arial" w:hAnsi="Arial" w:eastAsia="Arial"/>
                <w:b w:val="0"/>
                <w:i w:val="0"/>
                <w:sz w:val="19"/>
              </w:rPr>
              <w:t>M2</w:t>
            </w:r>
          </w:p>
        </w:tc>
        <w:tc>
          <w:tcPr>
            <w:tcW w:type="dxa" w:w="7030"/>
          </w:tcPr>
          <w:p>
            <w:pPr>
              <w:keepNext/>
            </w:pPr>
            <w:r/>
            <w:r>
              <w:rPr>
                <w:rFonts w:ascii="Arial" w:hAnsi="Arial" w:eastAsia="Arial"/>
                <w:b w:val="0"/>
                <w:i w:val="0"/>
                <w:sz w:val="19"/>
              </w:rPr>
              <w:t>Kick-off workshop</w:t>
            </w:r>
          </w:p>
        </w:tc>
        <w:tc>
          <w:tcPr>
            <w:tcW w:type="dxa" w:w="1587"/>
            <w:shd w:val="clear" w:color="auto" w:fill="E3F4F5"/>
          </w:tcPr>
          <w:p>
            <w:pPr>
              <w:keepNext/>
            </w:pPr>
            <w:r/>
            <w:r>
              <w:rPr>
                <w:rFonts w:ascii="Arial" w:hAnsi="Arial" w:eastAsia="Arial"/>
                <w:b w:val="0"/>
                <w:i w:val="0"/>
                <w:sz w:val="19"/>
              </w:rPr>
              <w:t>Event</w:t>
            </w:r>
          </w:p>
        </w:tc>
      </w:tr>
      <w:tr>
        <w:trPr>
          <w:cantSplit/>
        </w:trPr>
        <w:tc>
          <w:tcPr>
            <w:tcW w:type="dxa" w:w="1020"/>
          </w:tcPr>
          <w:p>
            <w:r/>
            <w:r>
              <w:rPr>
                <w:rFonts w:ascii="Arial" w:hAnsi="Arial" w:eastAsia="Arial"/>
                <w:b w:val="0"/>
                <w:i w:val="0"/>
                <w:sz w:val="19"/>
              </w:rPr>
              <w:t>M3</w:t>
            </w:r>
          </w:p>
        </w:tc>
        <w:tc>
          <w:tcPr>
            <w:tcW w:type="dxa" w:w="7030"/>
          </w:tcPr>
          <w:p>
            <w:r/>
            <w:r>
              <w:rPr>
                <w:rFonts w:ascii="Arial" w:hAnsi="Arial" w:eastAsia="Arial"/>
                <w:b w:val="0"/>
                <w:i w:val="0"/>
                <w:sz w:val="19"/>
              </w:rPr>
              <w:t>D7.1: Data management plan and access agreements</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M4</w:t>
            </w:r>
          </w:p>
        </w:tc>
        <w:tc>
          <w:tcPr>
            <w:tcW w:type="dxa" w:w="7030"/>
          </w:tcPr>
          <w:p>
            <w:r/>
            <w:r>
              <w:rPr>
                <w:rFonts w:ascii="Arial" w:hAnsi="Arial" w:eastAsia="Arial"/>
                <w:b w:val="0"/>
                <w:i w:val="0"/>
                <w:sz w:val="19"/>
              </w:rPr>
              <w:t>Equipment ordered (T4.2)</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M6</w:t>
            </w:r>
          </w:p>
        </w:tc>
        <w:tc>
          <w:tcPr>
            <w:tcW w:type="dxa" w:w="7030"/>
          </w:tcPr>
          <w:p>
            <w:r/>
            <w:r>
              <w:rPr>
                <w:rFonts w:ascii="Arial" w:hAnsi="Arial" w:eastAsia="Arial"/>
                <w:b w:val="0"/>
                <w:i w:val="0"/>
                <w:sz w:val="19"/>
              </w:rPr>
              <w:t>MS1: Network design agreed</w:t>
            </w:r>
          </w:p>
        </w:tc>
        <w:tc>
          <w:tcPr>
            <w:tcW w:type="dxa" w:w="1587"/>
            <w:shd w:val="clear" w:color="auto" w:fill="E8EDF5"/>
          </w:tcPr>
          <w:p>
            <w:r/>
            <w:r>
              <w:rPr>
                <w:rFonts w:ascii="Arial" w:hAnsi="Arial" w:eastAsia="Arial"/>
                <w:b w:val="0"/>
                <w:i w:val="0"/>
                <w:sz w:val="19"/>
              </w:rPr>
              <w:t>Milestone</w:t>
            </w:r>
          </w:p>
        </w:tc>
      </w:tr>
      <w:tr>
        <w:trPr>
          <w:cantSplit/>
        </w:trPr>
        <w:tc>
          <w:tcPr>
            <w:tcW w:type="dxa" w:w="1020"/>
          </w:tcPr>
          <w:p>
            <w:r/>
            <w:r>
              <w:rPr>
                <w:rFonts w:ascii="Arial" w:hAnsi="Arial" w:eastAsia="Arial"/>
                <w:b w:val="0"/>
                <w:i w:val="0"/>
                <w:sz w:val="19"/>
              </w:rPr>
              <w:t>M6</w:t>
            </w:r>
          </w:p>
        </w:tc>
        <w:tc>
          <w:tcPr>
            <w:tcW w:type="dxa" w:w="7030"/>
          </w:tcPr>
          <w:p>
            <w:r/>
            <w:r>
              <w:rPr>
                <w:rFonts w:ascii="Arial" w:hAnsi="Arial" w:eastAsia="Arial"/>
                <w:b w:val="0"/>
                <w:i w:val="0"/>
                <w:sz w:val="19"/>
              </w:rPr>
              <w:t>D4.1: Network design report</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M12</w:t>
            </w:r>
          </w:p>
        </w:tc>
        <w:tc>
          <w:tcPr>
            <w:tcW w:type="dxa" w:w="7030"/>
          </w:tcPr>
          <w:p>
            <w:r/>
            <w:r>
              <w:rPr>
                <w:rFonts w:ascii="Arial" w:hAnsi="Arial" w:eastAsia="Arial"/>
                <w:b w:val="0"/>
                <w:i w:val="0"/>
                <w:sz w:val="19"/>
              </w:rPr>
              <w:t>MS2: Network streaming; coastal motion known</w:t>
            </w:r>
          </w:p>
        </w:tc>
        <w:tc>
          <w:tcPr>
            <w:tcW w:type="dxa" w:w="1587"/>
            <w:shd w:val="clear" w:color="auto" w:fill="E8EDF5"/>
          </w:tcPr>
          <w:p>
            <w:r/>
            <w:r>
              <w:rPr>
                <w:rFonts w:ascii="Arial" w:hAnsi="Arial" w:eastAsia="Arial"/>
                <w:b w:val="0"/>
                <w:i w:val="0"/>
                <w:sz w:val="19"/>
              </w:rPr>
              <w:t>Milestone</w:t>
            </w:r>
          </w:p>
        </w:tc>
      </w:tr>
      <w:tr>
        <w:trPr>
          <w:cantSplit/>
        </w:trPr>
        <w:tc>
          <w:tcPr>
            <w:tcW w:type="dxa" w:w="1020"/>
          </w:tcPr>
          <w:p>
            <w:r/>
            <w:r>
              <w:rPr>
                <w:rFonts w:ascii="Arial" w:hAnsi="Arial" w:eastAsia="Arial"/>
                <w:b w:val="0"/>
                <w:i w:val="0"/>
                <w:sz w:val="19"/>
              </w:rPr>
              <w:t>M12</w:t>
            </w:r>
          </w:p>
        </w:tc>
        <w:tc>
          <w:tcPr>
            <w:tcW w:type="dxa" w:w="7030"/>
          </w:tcPr>
          <w:p>
            <w:r/>
            <w:r>
              <w:rPr>
                <w:rFonts w:ascii="Arial" w:hAnsi="Arial" w:eastAsia="Arial"/>
                <w:b w:val="0"/>
                <w:i w:val="0"/>
                <w:sz w:val="19"/>
              </w:rPr>
              <w:t>D1.1: Coastal motion atlas and R(t) series</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M12</w:t>
            </w:r>
          </w:p>
        </w:tc>
        <w:tc>
          <w:tcPr>
            <w:tcW w:type="dxa" w:w="7030"/>
          </w:tcPr>
          <w:p>
            <w:r/>
            <w:r>
              <w:rPr>
                <w:rFonts w:ascii="Arial" w:hAnsi="Arial" w:eastAsia="Arial"/>
                <w:b w:val="0"/>
                <w:i w:val="0"/>
                <w:sz w:val="19"/>
              </w:rPr>
              <w:t>D4.2: Network installed and streaming</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M12</w:t>
            </w:r>
          </w:p>
        </w:tc>
        <w:tc>
          <w:tcPr>
            <w:tcW w:type="dxa" w:w="7030"/>
          </w:tcPr>
          <w:p>
            <w:r/>
            <w:r>
              <w:rPr>
                <w:rFonts w:ascii="Arial" w:hAnsi="Arial" w:eastAsia="Arial"/>
                <w:b w:val="0"/>
                <w:i w:val="0"/>
                <w:sz w:val="19"/>
              </w:rPr>
              <w:t>D7.2: Progress reports</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M12</w:t>
            </w:r>
          </w:p>
        </w:tc>
        <w:tc>
          <w:tcPr>
            <w:tcW w:type="dxa" w:w="7030"/>
          </w:tcPr>
          <w:p>
            <w:r/>
            <w:r>
              <w:rPr>
                <w:rFonts w:ascii="Arial" w:hAnsi="Arial" w:eastAsia="Arial"/>
                <w:b w:val="0"/>
                <w:i w:val="0"/>
                <w:sz w:val="19"/>
              </w:rPr>
              <w:t>Post-event protocol on standby (T5.4)</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M13</w:t>
            </w:r>
          </w:p>
        </w:tc>
        <w:tc>
          <w:tcPr>
            <w:tcW w:type="dxa" w:w="7030"/>
          </w:tcPr>
          <w:p>
            <w:r/>
            <w:r>
              <w:rPr>
                <w:rFonts w:ascii="Arial" w:hAnsi="Arial" w:eastAsia="Arial"/>
                <w:b w:val="0"/>
                <w:i w:val="0"/>
                <w:sz w:val="19"/>
              </w:rPr>
              <w:t>Thresholds agreed with operators begin (T3.1)</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M14</w:t>
            </w:r>
          </w:p>
        </w:tc>
        <w:tc>
          <w:tcPr>
            <w:tcW w:type="dxa" w:w="7030"/>
          </w:tcPr>
          <w:p>
            <w:r/>
            <w:r>
              <w:rPr>
                <w:rFonts w:ascii="Arial" w:hAnsi="Arial" w:eastAsia="Arial"/>
                <w:b w:val="0"/>
                <w:i w:val="0"/>
                <w:sz w:val="19"/>
              </w:rPr>
              <w:t>Training school</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M18</w:t>
            </w:r>
          </w:p>
        </w:tc>
        <w:tc>
          <w:tcPr>
            <w:tcW w:type="dxa" w:w="7030"/>
          </w:tcPr>
          <w:p>
            <w:r/>
            <w:r>
              <w:rPr>
                <w:rFonts w:ascii="Arial" w:hAnsi="Arial" w:eastAsia="Arial"/>
                <w:b w:val="0"/>
                <w:i w:val="0"/>
                <w:sz w:val="19"/>
              </w:rPr>
              <w:t>MS3: Coupled model calibrated</w:t>
            </w:r>
          </w:p>
        </w:tc>
        <w:tc>
          <w:tcPr>
            <w:tcW w:type="dxa" w:w="1587"/>
            <w:shd w:val="clear" w:color="auto" w:fill="FDE7C2"/>
          </w:tcPr>
          <w:p>
            <w:r/>
            <w:r>
              <w:rPr>
                <w:rFonts w:ascii="Arial" w:hAnsi="Arial" w:eastAsia="Arial"/>
                <w:b w:val="0"/>
                <w:i w:val="0"/>
                <w:sz w:val="19"/>
              </w:rPr>
              <w:t>Gate</w:t>
            </w:r>
          </w:p>
        </w:tc>
      </w:tr>
      <w:tr>
        <w:trPr>
          <w:cantSplit/>
        </w:trPr>
        <w:tc>
          <w:tcPr>
            <w:tcW w:type="dxa" w:w="1020"/>
          </w:tcPr>
          <w:p>
            <w:r/>
            <w:r>
              <w:rPr>
                <w:rFonts w:ascii="Arial" w:hAnsi="Arial" w:eastAsia="Arial"/>
                <w:b w:val="0"/>
                <w:i w:val="0"/>
                <w:sz w:val="19"/>
              </w:rPr>
              <w:t>M18</w:t>
            </w:r>
          </w:p>
        </w:tc>
        <w:tc>
          <w:tcPr>
            <w:tcW w:type="dxa" w:w="7030"/>
          </w:tcPr>
          <w:p>
            <w:r/>
            <w:r>
              <w:rPr>
                <w:rFonts w:ascii="Arial" w:hAnsi="Arial" w:eastAsia="Arial"/>
                <w:b w:val="0"/>
                <w:i w:val="0"/>
                <w:sz w:val="19"/>
              </w:rPr>
              <w:t>D2.1: Calibrated coupled model</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M18</w:t>
            </w:r>
          </w:p>
        </w:tc>
        <w:tc>
          <w:tcPr>
            <w:tcW w:type="dxa" w:w="7030"/>
          </w:tcPr>
          <w:p>
            <w:r/>
            <w:r>
              <w:rPr>
                <w:rFonts w:ascii="Arial" w:hAnsi="Arial" w:eastAsia="Arial"/>
                <w:b w:val="0"/>
                <w:i w:val="0"/>
                <w:sz w:val="19"/>
              </w:rPr>
              <w:t>Mid-term workshop</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M22</w:t>
            </w:r>
          </w:p>
        </w:tc>
        <w:tc>
          <w:tcPr>
            <w:tcW w:type="dxa" w:w="7030"/>
          </w:tcPr>
          <w:p>
            <w:r/>
            <w:r>
              <w:rPr>
                <w:rFonts w:ascii="Arial" w:hAnsi="Arial" w:eastAsia="Arial"/>
                <w:b w:val="0"/>
                <w:i w:val="0"/>
                <w:sz w:val="19"/>
              </w:rPr>
              <w:t>MS4: Go/no-go for live operation</w:t>
            </w:r>
          </w:p>
        </w:tc>
        <w:tc>
          <w:tcPr>
            <w:tcW w:type="dxa" w:w="1587"/>
            <w:shd w:val="clear" w:color="auto" w:fill="FDE7C2"/>
          </w:tcPr>
          <w:p>
            <w:r/>
            <w:r>
              <w:rPr>
                <w:rFonts w:ascii="Arial" w:hAnsi="Arial" w:eastAsia="Arial"/>
                <w:b w:val="0"/>
                <w:i w:val="0"/>
                <w:sz w:val="19"/>
              </w:rPr>
              <w:t>Gate</w:t>
            </w:r>
          </w:p>
        </w:tc>
      </w:tr>
      <w:tr>
        <w:trPr>
          <w:cantSplit/>
        </w:trPr>
        <w:tc>
          <w:tcPr>
            <w:tcW w:type="dxa" w:w="1020"/>
          </w:tcPr>
          <w:p>
            <w:r/>
            <w:r>
              <w:rPr>
                <w:rFonts w:ascii="Arial" w:hAnsi="Arial" w:eastAsia="Arial"/>
                <w:b w:val="0"/>
                <w:i w:val="0"/>
                <w:sz w:val="19"/>
              </w:rPr>
              <w:t>M22</w:t>
            </w:r>
          </w:p>
        </w:tc>
        <w:tc>
          <w:tcPr>
            <w:tcW w:type="dxa" w:w="7030"/>
          </w:tcPr>
          <w:p>
            <w:r/>
            <w:r>
              <w:rPr>
                <w:rFonts w:ascii="Arial" w:hAnsi="Arial" w:eastAsia="Arial"/>
                <w:b w:val="0"/>
                <w:i w:val="0"/>
                <w:sz w:val="19"/>
              </w:rPr>
              <w:t>D2.2: Certified surrogate</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M23</w:t>
            </w:r>
          </w:p>
        </w:tc>
        <w:tc>
          <w:tcPr>
            <w:tcW w:type="dxa" w:w="7030"/>
          </w:tcPr>
          <w:p>
            <w:r/>
            <w:r>
              <w:rPr>
                <w:rFonts w:ascii="Arial" w:hAnsi="Arial" w:eastAsia="Arial"/>
                <w:b w:val="0"/>
                <w:i w:val="0"/>
                <w:sz w:val="19"/>
              </w:rPr>
              <w:t>Live bulletins start (T5.2)</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M24</w:t>
            </w:r>
          </w:p>
        </w:tc>
        <w:tc>
          <w:tcPr>
            <w:tcW w:type="dxa" w:w="7030"/>
          </w:tcPr>
          <w:p>
            <w:r/>
            <w:r>
              <w:rPr>
                <w:rFonts w:ascii="Arial" w:hAnsi="Arial" w:eastAsia="Arial"/>
                <w:b w:val="0"/>
                <w:i w:val="0"/>
                <w:sz w:val="19"/>
              </w:rPr>
              <w:t>D3.1: Certified alarm algorithms and proofs</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M24</w:t>
            </w:r>
          </w:p>
        </w:tc>
        <w:tc>
          <w:tcPr>
            <w:tcW w:type="dxa" w:w="7030"/>
          </w:tcPr>
          <w:p>
            <w:r/>
            <w:r>
              <w:rPr>
                <w:rFonts w:ascii="Arial" w:hAnsi="Arial" w:eastAsia="Arial"/>
                <w:b w:val="0"/>
                <w:i w:val="0"/>
                <w:sz w:val="19"/>
              </w:rPr>
              <w:t>D7.2: Progress reports</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M27</w:t>
            </w:r>
          </w:p>
        </w:tc>
        <w:tc>
          <w:tcPr>
            <w:tcW w:type="dxa" w:w="7030"/>
          </w:tcPr>
          <w:p>
            <w:r/>
            <w:r>
              <w:rPr>
                <w:rFonts w:ascii="Arial" w:hAnsi="Arial" w:eastAsia="Arial"/>
                <w:b w:val="0"/>
                <w:i w:val="0"/>
                <w:sz w:val="19"/>
              </w:rPr>
              <w:t>MS5: Miss-rate targets confirmed in back-testing</w:t>
            </w:r>
          </w:p>
        </w:tc>
        <w:tc>
          <w:tcPr>
            <w:tcW w:type="dxa" w:w="1587"/>
            <w:shd w:val="clear" w:color="auto" w:fill="FDE7C2"/>
          </w:tcPr>
          <w:p>
            <w:r/>
            <w:r>
              <w:rPr>
                <w:rFonts w:ascii="Arial" w:hAnsi="Arial" w:eastAsia="Arial"/>
                <w:b w:val="0"/>
                <w:i w:val="0"/>
                <w:sz w:val="19"/>
              </w:rPr>
              <w:t>Gate</w:t>
            </w:r>
          </w:p>
        </w:tc>
      </w:tr>
      <w:tr>
        <w:trPr>
          <w:cantSplit/>
        </w:trPr>
        <w:tc>
          <w:tcPr>
            <w:tcW w:type="dxa" w:w="1020"/>
          </w:tcPr>
          <w:p>
            <w:r/>
            <w:r>
              <w:rPr>
                <w:rFonts w:ascii="Arial" w:hAnsi="Arial" w:eastAsia="Arial"/>
                <w:b w:val="0"/>
                <w:i w:val="0"/>
                <w:sz w:val="19"/>
              </w:rPr>
              <w:t>M27</w:t>
            </w:r>
          </w:p>
        </w:tc>
        <w:tc>
          <w:tcPr>
            <w:tcW w:type="dxa" w:w="7030"/>
          </w:tcPr>
          <w:p>
            <w:r/>
            <w:r>
              <w:rPr>
                <w:rFonts w:ascii="Arial" w:hAnsi="Arial" w:eastAsia="Arial"/>
                <w:b w:val="0"/>
                <w:i w:val="0"/>
                <w:sz w:val="19"/>
              </w:rPr>
              <w:t>D3.2: Back-testing report</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M33</w:t>
            </w:r>
          </w:p>
        </w:tc>
        <w:tc>
          <w:tcPr>
            <w:tcW w:type="dxa" w:w="7030"/>
          </w:tcPr>
          <w:p>
            <w:r/>
            <w:r>
              <w:rPr>
                <w:rFonts w:ascii="Arial" w:hAnsi="Arial" w:eastAsia="Arial"/>
                <w:b w:val="0"/>
                <w:i w:val="0"/>
                <w:sz w:val="19"/>
              </w:rPr>
              <w:t>D6.1: Software and data release</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M33</w:t>
            </w:r>
          </w:p>
        </w:tc>
        <w:tc>
          <w:tcPr>
            <w:tcW w:type="dxa" w:w="7030"/>
          </w:tcPr>
          <w:p>
            <w:r/>
            <w:r>
              <w:rPr>
                <w:rFonts w:ascii="Arial" w:hAnsi="Arial" w:eastAsia="Arial"/>
                <w:b w:val="0"/>
                <w:i w:val="0"/>
                <w:sz w:val="19"/>
              </w:rPr>
              <w:t>Maintenance agreement signed; joint pumping rule agreed (T5.3)</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M34</w:t>
            </w:r>
          </w:p>
        </w:tc>
        <w:tc>
          <w:tcPr>
            <w:tcW w:type="dxa" w:w="7030"/>
          </w:tcPr>
          <w:p>
            <w:r/>
            <w:r>
              <w:rPr>
                <w:rFonts w:ascii="Arial" w:hAnsi="Arial" w:eastAsia="Arial"/>
                <w:b w:val="0"/>
                <w:i w:val="0"/>
                <w:sz w:val="19"/>
              </w:rPr>
              <w:t>MS6: Twelve months of live operation completed</w:t>
            </w:r>
          </w:p>
        </w:tc>
        <w:tc>
          <w:tcPr>
            <w:tcW w:type="dxa" w:w="1587"/>
            <w:shd w:val="clear" w:color="auto" w:fill="E8EDF5"/>
          </w:tcPr>
          <w:p>
            <w:r/>
            <w:r>
              <w:rPr>
                <w:rFonts w:ascii="Arial" w:hAnsi="Arial" w:eastAsia="Arial"/>
                <w:b w:val="0"/>
                <w:i w:val="0"/>
                <w:sz w:val="19"/>
              </w:rPr>
              <w:t>Milestone</w:t>
            </w:r>
          </w:p>
        </w:tc>
      </w:tr>
      <w:tr>
        <w:trPr>
          <w:cantSplit/>
        </w:trPr>
        <w:tc>
          <w:tcPr>
            <w:tcW w:type="dxa" w:w="1020"/>
          </w:tcPr>
          <w:p>
            <w:r/>
            <w:r>
              <w:rPr>
                <w:rFonts w:ascii="Arial" w:hAnsi="Arial" w:eastAsia="Arial"/>
                <w:b w:val="0"/>
                <w:i w:val="0"/>
                <w:sz w:val="19"/>
              </w:rPr>
              <w:t>M34</w:t>
            </w:r>
          </w:p>
        </w:tc>
        <w:tc>
          <w:tcPr>
            <w:tcW w:type="dxa" w:w="7030"/>
          </w:tcPr>
          <w:p>
            <w:r/>
            <w:r>
              <w:rPr>
                <w:rFonts w:ascii="Arial" w:hAnsi="Arial" w:eastAsia="Arial"/>
                <w:b w:val="0"/>
                <w:i w:val="0"/>
                <w:sz w:val="19"/>
              </w:rPr>
              <w:t>D5.1: Live demonstration report</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M34</w:t>
            </w:r>
          </w:p>
        </w:tc>
        <w:tc>
          <w:tcPr>
            <w:tcW w:type="dxa" w:w="7030"/>
          </w:tcPr>
          <w:p>
            <w:r/>
            <w:r>
              <w:rPr>
                <w:rFonts w:ascii="Arial" w:hAnsi="Arial" w:eastAsia="Arial"/>
                <w:b w:val="0"/>
                <w:i w:val="0"/>
                <w:sz w:val="19"/>
              </w:rPr>
              <w:t>Operators issue every bulletin (to Month 36)</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M35</w:t>
            </w:r>
          </w:p>
        </w:tc>
        <w:tc>
          <w:tcPr>
            <w:tcW w:type="dxa" w:w="7030"/>
          </w:tcPr>
          <w:p>
            <w:r/>
            <w:r>
              <w:rPr>
                <w:rFonts w:ascii="Arial" w:hAnsi="Arial" w:eastAsia="Arial"/>
                <w:b w:val="0"/>
                <w:i w:val="0"/>
                <w:sz w:val="19"/>
              </w:rPr>
              <w:t>Transfer workshop</w:t>
            </w:r>
          </w:p>
        </w:tc>
        <w:tc>
          <w:tcPr>
            <w:tcW w:type="dxa" w:w="1587"/>
            <w:shd w:val="clear" w:color="auto" w:fill="E3F4F5"/>
          </w:tcPr>
          <w:p>
            <w:r/>
            <w:r>
              <w:rPr>
                <w:rFonts w:ascii="Arial" w:hAnsi="Arial" w:eastAsia="Arial"/>
                <w:b w:val="0"/>
                <w:i w:val="0"/>
                <w:sz w:val="19"/>
              </w:rPr>
              <w:t>Event</w:t>
            </w:r>
          </w:p>
        </w:tc>
      </w:tr>
      <w:tr>
        <w:trPr>
          <w:cantSplit/>
        </w:trPr>
        <w:tc>
          <w:tcPr>
            <w:tcW w:type="dxa" w:w="1020"/>
          </w:tcPr>
          <w:p>
            <w:r/>
            <w:r>
              <w:rPr>
                <w:rFonts w:ascii="Arial" w:hAnsi="Arial" w:eastAsia="Arial"/>
                <w:b w:val="0"/>
                <w:i w:val="0"/>
                <w:sz w:val="19"/>
              </w:rPr>
              <w:t>M36</w:t>
            </w:r>
          </w:p>
        </w:tc>
        <w:tc>
          <w:tcPr>
            <w:tcW w:type="dxa" w:w="7030"/>
          </w:tcPr>
          <w:p>
            <w:r/>
            <w:r>
              <w:rPr>
                <w:rFonts w:ascii="Arial" w:hAnsi="Arial" w:eastAsia="Arial"/>
                <w:b w:val="0"/>
                <w:i w:val="0"/>
                <w:sz w:val="19"/>
              </w:rPr>
              <w:t>MS7: Hand-over to the operators</w:t>
            </w:r>
          </w:p>
        </w:tc>
        <w:tc>
          <w:tcPr>
            <w:tcW w:type="dxa" w:w="1587"/>
            <w:shd w:val="clear" w:color="auto" w:fill="E8EDF5"/>
          </w:tcPr>
          <w:p>
            <w:r/>
            <w:r>
              <w:rPr>
                <w:rFonts w:ascii="Arial" w:hAnsi="Arial" w:eastAsia="Arial"/>
                <w:b w:val="0"/>
                <w:i w:val="0"/>
                <w:sz w:val="19"/>
              </w:rPr>
              <w:t>Milestone</w:t>
            </w:r>
          </w:p>
        </w:tc>
      </w:tr>
      <w:tr>
        <w:trPr>
          <w:cantSplit/>
        </w:trPr>
        <w:tc>
          <w:tcPr>
            <w:tcW w:type="dxa" w:w="1020"/>
          </w:tcPr>
          <w:p>
            <w:r/>
            <w:r>
              <w:rPr>
                <w:rFonts w:ascii="Arial" w:hAnsi="Arial" w:eastAsia="Arial"/>
                <w:b w:val="0"/>
                <w:i w:val="0"/>
                <w:sz w:val="19"/>
              </w:rPr>
              <w:t>M36</w:t>
            </w:r>
          </w:p>
        </w:tc>
        <w:tc>
          <w:tcPr>
            <w:tcW w:type="dxa" w:w="7030"/>
          </w:tcPr>
          <w:p>
            <w:r/>
            <w:r>
              <w:rPr>
                <w:rFonts w:ascii="Arial" w:hAnsi="Arial" w:eastAsia="Arial"/>
                <w:b w:val="0"/>
                <w:i w:val="0"/>
                <w:sz w:val="19"/>
              </w:rPr>
              <w:t>D6.2: Operating procedures and policy brief</w:t>
            </w:r>
          </w:p>
        </w:tc>
        <w:tc>
          <w:tcPr>
            <w:tcW w:type="dxa" w:w="1587"/>
            <w:shd w:val="clear" w:color="auto" w:fill="EEF2F8"/>
          </w:tcPr>
          <w:p>
            <w:r/>
            <w:r>
              <w:rPr>
                <w:rFonts w:ascii="Arial" w:hAnsi="Arial" w:eastAsia="Arial"/>
                <w:b w:val="0"/>
                <w:i w:val="0"/>
                <w:sz w:val="19"/>
              </w:rPr>
              <w:t>Deliverable</w:t>
            </w:r>
          </w:p>
        </w:tc>
      </w:tr>
      <w:tr>
        <w:trPr>
          <w:cantSplit/>
        </w:trPr>
        <w:tc>
          <w:tcPr>
            <w:tcW w:type="dxa" w:w="1020"/>
          </w:tcPr>
          <w:p>
            <w:pPr>
              <w:keepNext/>
            </w:pPr>
            <w:r/>
            <w:r>
              <w:rPr>
                <w:rFonts w:ascii="Arial" w:hAnsi="Arial" w:eastAsia="Arial"/>
                <w:b w:val="0"/>
                <w:i w:val="0"/>
                <w:sz w:val="19"/>
              </w:rPr>
              <w:t>M36</w:t>
            </w:r>
          </w:p>
        </w:tc>
        <w:tc>
          <w:tcPr>
            <w:tcW w:type="dxa" w:w="7030"/>
          </w:tcPr>
          <w:p>
            <w:pPr>
              <w:keepNext/>
            </w:pPr>
            <w:r/>
            <w:r>
              <w:rPr>
                <w:rFonts w:ascii="Arial" w:hAnsi="Arial" w:eastAsia="Arial"/>
                <w:b w:val="0"/>
                <w:i w:val="0"/>
                <w:sz w:val="19"/>
              </w:rPr>
              <w:t>D7.3: Final report</w:t>
            </w:r>
          </w:p>
        </w:tc>
        <w:tc>
          <w:tcPr>
            <w:tcW w:type="dxa" w:w="1587"/>
            <w:shd w:val="clear" w:color="auto" w:fill="EEF2F8"/>
          </w:tcPr>
          <w:p>
            <w:pPr>
              <w:keepNext/>
            </w:pPr>
            <w:r/>
            <w:r>
              <w:rPr>
                <w:rFonts w:ascii="Arial" w:hAnsi="Arial" w:eastAsia="Arial"/>
                <w:b w:val="0"/>
                <w:i w:val="0"/>
                <w:sz w:val="19"/>
              </w:rPr>
              <w:t>Deliverable</w:t>
            </w:r>
          </w:p>
        </w:tc>
      </w:tr>
      <w:tr>
        <w:trPr>
          <w:cantSplit/>
        </w:trPr>
        <w:tc>
          <w:tcPr>
            <w:tcW w:type="dxa" w:w="1020"/>
          </w:tcPr>
          <w:p>
            <w:r/>
            <w:r>
              <w:rPr>
                <w:rFonts w:ascii="Arial" w:hAnsi="Arial" w:eastAsia="Arial"/>
                <w:b w:val="0"/>
                <w:i w:val="0"/>
                <w:sz w:val="19"/>
              </w:rPr>
              <w:t>M36</w:t>
            </w:r>
          </w:p>
        </w:tc>
        <w:tc>
          <w:tcPr>
            <w:tcW w:type="dxa" w:w="7030"/>
          </w:tcPr>
          <w:p>
            <w:r/>
            <w:r>
              <w:rPr>
                <w:rFonts w:ascii="Arial" w:hAnsi="Arial" w:eastAsia="Arial"/>
                <w:b w:val="0"/>
                <w:i w:val="0"/>
                <w:sz w:val="19"/>
              </w:rPr>
              <w:t>Final workshop</w:t>
            </w:r>
          </w:p>
        </w:tc>
        <w:tc>
          <w:tcPr>
            <w:tcW w:type="dxa" w:w="1587"/>
            <w:shd w:val="clear" w:color="auto" w:fill="E3F4F5"/>
          </w:tcPr>
          <w:p>
            <w:r/>
            <w:r>
              <w:rPr>
                <w:rFonts w:ascii="Arial" w:hAnsi="Arial" w:eastAsia="Arial"/>
                <w:b w:val="0"/>
                <w:i w:val="0"/>
                <w:sz w:val="19"/>
              </w:rPr>
              <w:t>Event</w:t>
            </w:r>
          </w:p>
        </w:tc>
      </w:tr>
    </w:tbl>
    <w:p>
      <w:pPr>
        <w:spacing w:after="80" w:before="0"/>
      </w:pPr>
    </w:p>
    <w:p>
      <w:pPr>
        <w:keepNext/>
        <w:pageBreakBefore/>
        <w:spacing w:after="120" w:before="0"/>
      </w:pPr>
      <w:r>
        <w:rPr>
          <w:rFonts w:ascii="Arial" w:hAnsi="Arial" w:eastAsia="Arial"/>
          <w:b/>
          <w:i w:val="0"/>
          <w:color w:val="1F3864"/>
          <w:sz w:val="27"/>
        </w:rPr>
        <w:t>6. Critical path, gates and buffers</w:t>
      </w:r>
    </w:p>
    <w:p>
      <w:pPr>
        <w:spacing w:after="80" w:before="0"/>
        <w:jc w:val="both"/>
      </w:pPr>
      <w:r>
        <w:rPr>
          <w:rFonts w:ascii="Arial" w:hAnsi="Arial" w:eastAsia="Arial"/>
          <w:b w:val="0"/>
          <w:i w:val="0"/>
          <w:sz w:val="22"/>
        </w:rPr>
        <w:t>The chain that decides the end date runs from the network design to the hand-over. Each link has a buffer placed where the Risk Assessment scores the risk highest:</w:t>
      </w:r>
    </w:p>
    <w:tbl>
      <w:tblPr>
        <w:tblStyle w:val="TableGrid"/>
        <w:tblW w:type="auto" w:w="0"/>
        <w:jc w:val="center"/>
        <w:tblLayout w:type="fixed"/>
        <w:tblLook w:firstColumn="1" w:firstRow="1" w:lastColumn="0" w:lastRow="0" w:noHBand="0" w:noVBand="1" w:val="04A0"/>
        <w:tblLayout w:type="fixed"/>
      </w:tblPr>
      <w:tblGrid>
        <w:gridCol w:w="2608"/>
        <w:gridCol w:w="1020"/>
        <w:gridCol w:w="1247"/>
        <w:gridCol w:w="4762"/>
      </w:tblGrid>
      <w:tr>
        <w:trPr>
          <w:cantSplit/>
          <w:tblHeader/>
        </w:trPr>
        <w:tc>
          <w:tcPr>
            <w:tcW w:type="dxa" w:w="2608"/>
            <w:shd w:val="clear" w:color="auto" w:fill="1F3864"/>
          </w:tcPr>
          <w:p>
            <w:pPr>
              <w:keepNext/>
            </w:pPr>
            <w:r/>
            <w:r>
              <w:rPr>
                <w:rFonts w:ascii="Arial" w:hAnsi="Arial" w:eastAsia="Arial"/>
                <w:b/>
                <w:i w:val="0"/>
                <w:color w:val="FFFFFF"/>
                <w:sz w:val="20"/>
              </w:rPr>
              <w:t>Link</w:t>
            </w:r>
          </w:p>
        </w:tc>
        <w:tc>
          <w:tcPr>
            <w:tcW w:type="dxa" w:w="1020"/>
            <w:shd w:val="clear" w:color="auto" w:fill="1F3864"/>
          </w:tcPr>
          <w:p>
            <w:pPr>
              <w:keepNext/>
            </w:pPr>
            <w:r/>
            <w:r>
              <w:rPr>
                <w:rFonts w:ascii="Arial" w:hAnsi="Arial" w:eastAsia="Arial"/>
                <w:b/>
                <w:i w:val="0"/>
                <w:color w:val="FFFFFF"/>
                <w:sz w:val="20"/>
              </w:rPr>
              <w:t>Months</w:t>
            </w:r>
          </w:p>
        </w:tc>
        <w:tc>
          <w:tcPr>
            <w:tcW w:type="dxa" w:w="1247"/>
            <w:shd w:val="clear" w:color="auto" w:fill="1F3864"/>
          </w:tcPr>
          <w:p>
            <w:pPr>
              <w:keepNext/>
            </w:pPr>
            <w:r/>
            <w:r>
              <w:rPr>
                <w:rFonts w:ascii="Arial" w:hAnsi="Arial" w:eastAsia="Arial"/>
                <w:b/>
                <w:i w:val="0"/>
                <w:color w:val="FFFFFF"/>
                <w:sz w:val="20"/>
              </w:rPr>
              <w:t>Ends at</w:t>
            </w:r>
          </w:p>
        </w:tc>
        <w:tc>
          <w:tcPr>
            <w:tcW w:type="dxa" w:w="4762"/>
            <w:shd w:val="clear" w:color="auto" w:fill="1F3864"/>
          </w:tcPr>
          <w:p>
            <w:pPr>
              <w:keepNext/>
            </w:pPr>
            <w:r/>
            <w:r>
              <w:rPr>
                <w:rFonts w:ascii="Arial" w:hAnsi="Arial" w:eastAsia="Arial"/>
                <w:b/>
                <w:i w:val="0"/>
                <w:color w:val="FFFFFF"/>
                <w:sz w:val="20"/>
              </w:rPr>
              <w:t>Buffer</w:t>
            </w:r>
          </w:p>
        </w:tc>
      </w:tr>
      <w:tr>
        <w:trPr>
          <w:cantSplit/>
        </w:trPr>
        <w:tc>
          <w:tcPr>
            <w:tcW w:type="dxa" w:w="2608"/>
          </w:tcPr>
          <w:p>
            <w:pPr>
              <w:keepNext/>
            </w:pPr>
            <w:r/>
            <w:r>
              <w:rPr>
                <w:rFonts w:ascii="Arial" w:hAnsi="Arial" w:eastAsia="Arial"/>
                <w:b w:val="0"/>
                <w:i w:val="0"/>
                <w:sz w:val="20"/>
              </w:rPr>
              <w:t>Network design (T4.1)</w:t>
            </w:r>
          </w:p>
        </w:tc>
        <w:tc>
          <w:tcPr>
            <w:tcW w:type="dxa" w:w="1020"/>
          </w:tcPr>
          <w:p>
            <w:pPr>
              <w:keepNext/>
            </w:pPr>
            <w:r/>
            <w:r>
              <w:rPr>
                <w:rFonts w:ascii="Arial" w:hAnsi="Arial" w:eastAsia="Arial"/>
                <w:b w:val="0"/>
                <w:i w:val="0"/>
                <w:sz w:val="20"/>
              </w:rPr>
              <w:t>M1–6</w:t>
            </w:r>
          </w:p>
        </w:tc>
        <w:tc>
          <w:tcPr>
            <w:tcW w:type="dxa" w:w="1247"/>
          </w:tcPr>
          <w:p>
            <w:pPr>
              <w:keepNext/>
            </w:pPr>
            <w:r/>
            <w:r>
              <w:rPr>
                <w:rFonts w:ascii="Arial" w:hAnsi="Arial" w:eastAsia="Arial"/>
                <w:b w:val="0"/>
                <w:i w:val="0"/>
                <w:sz w:val="20"/>
              </w:rPr>
              <w:t>MS1</w:t>
            </w:r>
          </w:p>
        </w:tc>
        <w:tc>
          <w:tcPr>
            <w:tcW w:type="dxa" w:w="4762"/>
          </w:tcPr>
          <w:p>
            <w:pPr>
              <w:keepNext/>
            </w:pPr>
            <w:r/>
            <w:r>
              <w:rPr>
                <w:rFonts w:ascii="Arial" w:hAnsi="Arial" w:eastAsia="Arial"/>
                <w:b w:val="0"/>
                <w:i w:val="0"/>
                <w:sz w:val="20"/>
              </w:rPr>
              <w:t>Equipment ordered in Month 4, before the design is final, for sensors certain to be needed</w:t>
            </w:r>
          </w:p>
        </w:tc>
      </w:tr>
      <w:tr>
        <w:trPr>
          <w:cantSplit/>
        </w:trPr>
        <w:tc>
          <w:tcPr>
            <w:tcW w:type="dxa" w:w="2608"/>
          </w:tcPr>
          <w:p>
            <w:pPr>
              <w:keepNext/>
            </w:pPr>
            <w:r/>
            <w:r>
              <w:rPr>
                <w:rFonts w:ascii="Arial" w:hAnsi="Arial" w:eastAsia="Arial"/>
                <w:b w:val="0"/>
                <w:i w:val="0"/>
                <w:sz w:val="20"/>
              </w:rPr>
              <w:t>Procurement and installation (T4.2)</w:t>
            </w:r>
          </w:p>
        </w:tc>
        <w:tc>
          <w:tcPr>
            <w:tcW w:type="dxa" w:w="1020"/>
          </w:tcPr>
          <w:p>
            <w:pPr>
              <w:keepNext/>
            </w:pPr>
            <w:r/>
            <w:r>
              <w:rPr>
                <w:rFonts w:ascii="Arial" w:hAnsi="Arial" w:eastAsia="Arial"/>
                <w:b w:val="0"/>
                <w:i w:val="0"/>
                <w:sz w:val="20"/>
              </w:rPr>
              <w:t>M4–12</w:t>
            </w:r>
          </w:p>
        </w:tc>
        <w:tc>
          <w:tcPr>
            <w:tcW w:type="dxa" w:w="1247"/>
          </w:tcPr>
          <w:p>
            <w:pPr>
              <w:keepNext/>
            </w:pPr>
            <w:r/>
            <w:r>
              <w:rPr>
                <w:rFonts w:ascii="Arial" w:hAnsi="Arial" w:eastAsia="Arial"/>
                <w:b w:val="0"/>
                <w:i w:val="0"/>
                <w:sz w:val="20"/>
              </w:rPr>
              <w:t>MS2</w:t>
            </w:r>
          </w:p>
        </w:tc>
        <w:tc>
          <w:tcPr>
            <w:tcW w:type="dxa" w:w="4762"/>
          </w:tcPr>
          <w:p>
            <w:pPr>
              <w:keepNext/>
            </w:pPr>
            <w:r/>
            <w:r>
              <w:rPr>
                <w:rFonts w:ascii="Arial" w:hAnsi="Arial" w:eastAsia="Arial"/>
                <w:b w:val="0"/>
                <w:i w:val="0"/>
                <w:sz w:val="20"/>
              </w:rPr>
              <w:t>Installation window of 8 months; highest-value sensors installed first</w:t>
            </w:r>
          </w:p>
        </w:tc>
      </w:tr>
      <w:tr>
        <w:trPr>
          <w:cantSplit/>
        </w:trPr>
        <w:tc>
          <w:tcPr>
            <w:tcW w:type="dxa" w:w="2608"/>
          </w:tcPr>
          <w:p>
            <w:pPr>
              <w:keepNext/>
            </w:pPr>
            <w:r/>
            <w:r>
              <w:rPr>
                <w:rFonts w:ascii="Arial" w:hAnsi="Arial" w:eastAsia="Arial"/>
                <w:b w:val="0"/>
                <w:i w:val="0"/>
                <w:sz w:val="20"/>
              </w:rPr>
              <w:t>Calibration of the coupled model (T2.3)</w:t>
            </w:r>
          </w:p>
        </w:tc>
        <w:tc>
          <w:tcPr>
            <w:tcW w:type="dxa" w:w="1020"/>
          </w:tcPr>
          <w:p>
            <w:pPr>
              <w:keepNext/>
            </w:pPr>
            <w:r/>
            <w:r>
              <w:rPr>
                <w:rFonts w:ascii="Arial" w:hAnsi="Arial" w:eastAsia="Arial"/>
                <w:b w:val="0"/>
                <w:i w:val="0"/>
                <w:sz w:val="20"/>
              </w:rPr>
              <w:t>M12–18</w:t>
            </w:r>
          </w:p>
        </w:tc>
        <w:tc>
          <w:tcPr>
            <w:tcW w:type="dxa" w:w="1247"/>
          </w:tcPr>
          <w:p>
            <w:pPr>
              <w:keepNext/>
            </w:pPr>
            <w:r/>
            <w:r>
              <w:rPr>
                <w:rFonts w:ascii="Arial" w:hAnsi="Arial" w:eastAsia="Arial"/>
                <w:b w:val="0"/>
                <w:i w:val="0"/>
                <w:sz w:val="20"/>
              </w:rPr>
              <w:t>MS3 (gate)</w:t>
            </w:r>
          </w:p>
        </w:tc>
        <w:tc>
          <w:tcPr>
            <w:tcW w:type="dxa" w:w="4762"/>
          </w:tcPr>
          <w:p>
            <w:pPr>
              <w:keepNext/>
            </w:pPr>
            <w:r/>
            <w:r>
              <w:rPr>
                <w:rFonts w:ascii="Arial" w:hAnsi="Arial" w:eastAsia="Arial"/>
                <w:b w:val="0"/>
                <w:i w:val="0"/>
                <w:sz w:val="20"/>
              </w:rPr>
              <w:t>Model built in stages from Month 7, so calibration starts as soon as data stream</w:t>
            </w:r>
          </w:p>
        </w:tc>
      </w:tr>
      <w:tr>
        <w:trPr>
          <w:cantSplit/>
        </w:trPr>
        <w:tc>
          <w:tcPr>
            <w:tcW w:type="dxa" w:w="2608"/>
          </w:tcPr>
          <w:p>
            <w:pPr>
              <w:keepNext/>
            </w:pPr>
            <w:r/>
            <w:r>
              <w:rPr>
                <w:rFonts w:ascii="Arial" w:hAnsi="Arial" w:eastAsia="Arial"/>
                <w:b w:val="0"/>
                <w:i w:val="0"/>
                <w:sz w:val="20"/>
              </w:rPr>
              <w:t>Certified surrogate (T2.4)</w:t>
            </w:r>
          </w:p>
        </w:tc>
        <w:tc>
          <w:tcPr>
            <w:tcW w:type="dxa" w:w="1020"/>
          </w:tcPr>
          <w:p>
            <w:pPr>
              <w:keepNext/>
            </w:pPr>
            <w:r/>
            <w:r>
              <w:rPr>
                <w:rFonts w:ascii="Arial" w:hAnsi="Arial" w:eastAsia="Arial"/>
                <w:b w:val="0"/>
                <w:i w:val="0"/>
                <w:sz w:val="20"/>
              </w:rPr>
              <w:t>M15–22</w:t>
            </w:r>
          </w:p>
        </w:tc>
        <w:tc>
          <w:tcPr>
            <w:tcW w:type="dxa" w:w="1247"/>
          </w:tcPr>
          <w:p>
            <w:pPr>
              <w:keepNext/>
            </w:pPr>
            <w:r/>
            <w:r>
              <w:rPr>
                <w:rFonts w:ascii="Arial" w:hAnsi="Arial" w:eastAsia="Arial"/>
                <w:b w:val="0"/>
                <w:i w:val="0"/>
                <w:sz w:val="20"/>
              </w:rPr>
              <w:t>MS4 (gate)</w:t>
            </w:r>
          </w:p>
        </w:tc>
        <w:tc>
          <w:tcPr>
            <w:tcW w:type="dxa" w:w="4762"/>
          </w:tcPr>
          <w:p>
            <w:pPr>
              <w:keepNext/>
            </w:pPr>
            <w:r/>
            <w:r>
              <w:rPr>
                <w:rFonts w:ascii="Arial" w:hAnsi="Arial" w:eastAsia="Arial"/>
                <w:b w:val="0"/>
                <w:i w:val="0"/>
                <w:sz w:val="20"/>
              </w:rPr>
              <w:t>Starts before calibration ends, on preliminary parameters</w:t>
            </w:r>
          </w:p>
        </w:tc>
      </w:tr>
      <w:tr>
        <w:trPr>
          <w:cantSplit/>
        </w:trPr>
        <w:tc>
          <w:tcPr>
            <w:tcW w:type="dxa" w:w="2608"/>
          </w:tcPr>
          <w:p>
            <w:pPr>
              <w:keepNext/>
            </w:pPr>
            <w:r/>
            <w:r>
              <w:rPr>
                <w:rFonts w:ascii="Arial" w:hAnsi="Arial" w:eastAsia="Arial"/>
                <w:b w:val="0"/>
                <w:i w:val="0"/>
                <w:sz w:val="20"/>
              </w:rPr>
              <w:t>Live operation (T5.2)</w:t>
            </w:r>
          </w:p>
        </w:tc>
        <w:tc>
          <w:tcPr>
            <w:tcW w:type="dxa" w:w="1020"/>
          </w:tcPr>
          <w:p>
            <w:pPr>
              <w:keepNext/>
            </w:pPr>
            <w:r/>
            <w:r>
              <w:rPr>
                <w:rFonts w:ascii="Arial" w:hAnsi="Arial" w:eastAsia="Arial"/>
                <w:b w:val="0"/>
                <w:i w:val="0"/>
                <w:sz w:val="20"/>
              </w:rPr>
              <w:t>M23–34</w:t>
            </w:r>
          </w:p>
        </w:tc>
        <w:tc>
          <w:tcPr>
            <w:tcW w:type="dxa" w:w="1247"/>
          </w:tcPr>
          <w:p>
            <w:pPr>
              <w:keepNext/>
            </w:pPr>
            <w:r/>
            <w:r>
              <w:rPr>
                <w:rFonts w:ascii="Arial" w:hAnsi="Arial" w:eastAsia="Arial"/>
                <w:b w:val="0"/>
                <w:i w:val="0"/>
                <w:sz w:val="20"/>
              </w:rPr>
              <w:t>MS6</w:t>
            </w:r>
          </w:p>
        </w:tc>
        <w:tc>
          <w:tcPr>
            <w:tcW w:type="dxa" w:w="4762"/>
          </w:tcPr>
          <w:p>
            <w:pPr>
              <w:keepNext/>
            </w:pPr>
            <w:r/>
            <w:r>
              <w:rPr>
                <w:rFonts w:ascii="Arial" w:hAnsi="Arial" w:eastAsia="Arial"/>
                <w:b w:val="0"/>
                <w:i w:val="0"/>
                <w:sz w:val="20"/>
              </w:rPr>
              <w:t>Back-testing (to Month 27) runs in parallel, not before</w:t>
            </w:r>
          </w:p>
        </w:tc>
      </w:tr>
      <w:tr>
        <w:trPr>
          <w:cantSplit/>
        </w:trPr>
        <w:tc>
          <w:tcPr>
            <w:tcW w:type="dxa" w:w="2608"/>
          </w:tcPr>
          <w:p>
            <w:r/>
            <w:r>
              <w:rPr>
                <w:rFonts w:ascii="Arial" w:hAnsi="Arial" w:eastAsia="Arial"/>
                <w:b w:val="0"/>
                <w:i w:val="0"/>
                <w:sz w:val="20"/>
              </w:rPr>
              <w:t>Hand-over (T6.4)</w:t>
            </w:r>
          </w:p>
        </w:tc>
        <w:tc>
          <w:tcPr>
            <w:tcW w:type="dxa" w:w="1020"/>
          </w:tcPr>
          <w:p>
            <w:r/>
            <w:r>
              <w:rPr>
                <w:rFonts w:ascii="Arial" w:hAnsi="Arial" w:eastAsia="Arial"/>
                <w:b w:val="0"/>
                <w:i w:val="0"/>
                <w:sz w:val="20"/>
              </w:rPr>
              <w:t>M30–36</w:t>
            </w:r>
          </w:p>
        </w:tc>
        <w:tc>
          <w:tcPr>
            <w:tcW w:type="dxa" w:w="1247"/>
          </w:tcPr>
          <w:p>
            <w:r/>
            <w:r>
              <w:rPr>
                <w:rFonts w:ascii="Arial" w:hAnsi="Arial" w:eastAsia="Arial"/>
                <w:b w:val="0"/>
                <w:i w:val="0"/>
                <w:sz w:val="20"/>
              </w:rPr>
              <w:t>MS7</w:t>
            </w:r>
          </w:p>
        </w:tc>
        <w:tc>
          <w:tcPr>
            <w:tcW w:type="dxa" w:w="4762"/>
          </w:tcPr>
          <w:p>
            <w:r/>
            <w:r>
              <w:rPr>
                <w:rFonts w:ascii="Arial" w:hAnsi="Arial" w:eastAsia="Arial"/>
                <w:b w:val="0"/>
                <w:i w:val="0"/>
                <w:sz w:val="20"/>
              </w:rPr>
              <w:t>Operators issue all bulletins from Month 34; procedures drafted from Month 30</w:t>
            </w:r>
          </w:p>
        </w:tc>
      </w:tr>
    </w:tbl>
    <w:p>
      <w:pPr>
        <w:spacing w:after="120" w:before="120"/>
        <w:jc w:val="both"/>
      </w:pPr>
      <w:r>
        <w:rPr>
          <w:rFonts w:ascii="Arial" w:hAnsi="Arial" w:eastAsia="Arial"/>
          <w:b w:val="0"/>
          <w:i w:val="0"/>
          <w:sz w:val="22"/>
        </w:rPr>
        <w:t>A slip of up to two months at the go/no-go gate (MS4) is absorbed: live operation then runs from Month 25 to Month 36, still twelve months, and the operators still issue the bulletins in the final months. A longer slip triggers the fallbacks of the Risk Assessment (R5, R6) and is decided by the steering committee.</w:t>
      </w:r>
    </w:p>
    <w:p>
      <w:pPr>
        <w:keepNext/>
        <w:spacing w:after="120" w:before="160"/>
      </w:pPr>
      <w:r>
        <w:rPr>
          <w:rFonts w:ascii="Arial" w:hAnsi="Arial" w:eastAsia="Arial"/>
          <w:b/>
          <w:i w:val="0"/>
          <w:color w:val="1F3864"/>
          <w:sz w:val="27"/>
        </w:rPr>
        <w:t>7. Governance and reporting calendar</w:t>
      </w:r>
    </w:p>
    <w:tbl>
      <w:tblPr>
        <w:tblStyle w:val="TableGrid"/>
        <w:tblW w:type="auto" w:w="0"/>
        <w:jc w:val="center"/>
        <w:tblLayout w:type="fixed"/>
        <w:tblLook w:firstColumn="1" w:firstRow="1" w:lastColumn="0" w:lastRow="0" w:noHBand="0" w:noVBand="1" w:val="04A0"/>
        <w:tblLayout w:type="fixed"/>
      </w:tblPr>
      <w:tblGrid>
        <w:gridCol w:w="2608"/>
        <w:gridCol w:w="4762"/>
        <w:gridCol w:w="2268"/>
      </w:tblGrid>
      <w:tr>
        <w:trPr>
          <w:cantSplit/>
          <w:tblHeader/>
        </w:trPr>
        <w:tc>
          <w:tcPr>
            <w:tcW w:type="dxa" w:w="2608"/>
            <w:shd w:val="clear" w:color="auto" w:fill="1F3864"/>
          </w:tcPr>
          <w:p>
            <w:pPr>
              <w:keepNext/>
            </w:pPr>
            <w:r/>
            <w:r>
              <w:rPr>
                <w:rFonts w:ascii="Arial" w:hAnsi="Arial" w:eastAsia="Arial"/>
                <w:b/>
                <w:i w:val="0"/>
                <w:color w:val="FFFFFF"/>
                <w:sz w:val="20"/>
              </w:rPr>
              <w:t>Activity</w:t>
            </w:r>
          </w:p>
        </w:tc>
        <w:tc>
          <w:tcPr>
            <w:tcW w:type="dxa" w:w="4762"/>
            <w:shd w:val="clear" w:color="auto" w:fill="1F3864"/>
          </w:tcPr>
          <w:p>
            <w:pPr>
              <w:keepNext/>
            </w:pPr>
            <w:r/>
            <w:r>
              <w:rPr>
                <w:rFonts w:ascii="Arial" w:hAnsi="Arial" w:eastAsia="Arial"/>
                <w:b/>
                <w:i w:val="0"/>
                <w:color w:val="FFFFFF"/>
                <w:sz w:val="20"/>
              </w:rPr>
              <w:t>When</w:t>
            </w:r>
          </w:p>
        </w:tc>
        <w:tc>
          <w:tcPr>
            <w:tcW w:type="dxa" w:w="2268"/>
            <w:shd w:val="clear" w:color="auto" w:fill="1F3864"/>
          </w:tcPr>
          <w:p>
            <w:pPr>
              <w:keepNext/>
            </w:pPr>
            <w:r/>
            <w:r>
              <w:rPr>
                <w:rFonts w:ascii="Arial" w:hAnsi="Arial" w:eastAsia="Arial"/>
                <w:b/>
                <w:i w:val="0"/>
                <w:color w:val="FFFFFF"/>
                <w:sz w:val="20"/>
              </w:rPr>
              <w:t>Source</w:t>
            </w:r>
          </w:p>
        </w:tc>
      </w:tr>
      <w:tr>
        <w:trPr>
          <w:cantSplit/>
        </w:trPr>
        <w:tc>
          <w:tcPr>
            <w:tcW w:type="dxa" w:w="2608"/>
          </w:tcPr>
          <w:p>
            <w:pPr>
              <w:keepNext/>
            </w:pPr>
            <w:r/>
            <w:r>
              <w:rPr>
                <w:rFonts w:ascii="Arial" w:hAnsi="Arial" w:eastAsia="Arial"/>
                <w:b w:val="0"/>
                <w:i w:val="0"/>
                <w:sz w:val="20"/>
              </w:rPr>
              <w:t>Steering committee</w:t>
            </w:r>
          </w:p>
        </w:tc>
        <w:tc>
          <w:tcPr>
            <w:tcW w:type="dxa" w:w="4762"/>
          </w:tcPr>
          <w:p>
            <w:pPr>
              <w:keepNext/>
            </w:pPr>
            <w:r/>
            <w:r>
              <w:rPr>
                <w:rFonts w:ascii="Arial" w:hAnsi="Arial" w:eastAsia="Arial"/>
                <w:b w:val="0"/>
                <w:i w:val="0"/>
                <w:sz w:val="20"/>
              </w:rPr>
              <w:t>Months 2 (kick-off), 6, 12, 18, 24, 30, 36, and at each gate</w:t>
            </w:r>
          </w:p>
        </w:tc>
        <w:tc>
          <w:tcPr>
            <w:tcW w:type="dxa" w:w="2268"/>
          </w:tcPr>
          <w:p>
            <w:pPr>
              <w:keepNext/>
            </w:pPr>
            <w:r/>
            <w:r>
              <w:rPr>
                <w:rFonts w:ascii="Arial" w:hAnsi="Arial" w:eastAsia="Arial"/>
                <w:b w:val="0"/>
                <w:i w:val="0"/>
                <w:sz w:val="20"/>
              </w:rPr>
              <w:t>Partnership; T7.1</w:t>
            </w:r>
          </w:p>
        </w:tc>
      </w:tr>
      <w:tr>
        <w:trPr>
          <w:cantSplit/>
        </w:trPr>
        <w:tc>
          <w:tcPr>
            <w:tcW w:type="dxa" w:w="2608"/>
          </w:tcPr>
          <w:p>
            <w:pPr>
              <w:keepNext/>
            </w:pPr>
            <w:r/>
            <w:r>
              <w:rPr>
                <w:rFonts w:ascii="Arial" w:hAnsi="Arial" w:eastAsia="Arial"/>
                <w:b w:val="0"/>
                <w:i w:val="0"/>
                <w:sz w:val="20"/>
              </w:rPr>
              <w:t>Risk review</w:t>
            </w:r>
          </w:p>
        </w:tc>
        <w:tc>
          <w:tcPr>
            <w:tcW w:type="dxa" w:w="4762"/>
          </w:tcPr>
          <w:p>
            <w:pPr>
              <w:keepNext/>
            </w:pPr>
            <w:r/>
            <w:r>
              <w:rPr>
                <w:rFonts w:ascii="Arial" w:hAnsi="Arial" w:eastAsia="Arial"/>
                <w:b w:val="0"/>
                <w:i w:val="0"/>
                <w:sz w:val="20"/>
              </w:rPr>
              <w:t>Every month; escalation within two weeks when a trigger is crossed</w:t>
            </w:r>
          </w:p>
        </w:tc>
        <w:tc>
          <w:tcPr>
            <w:tcW w:type="dxa" w:w="2268"/>
          </w:tcPr>
          <w:p>
            <w:pPr>
              <w:keepNext/>
            </w:pPr>
            <w:r/>
            <w:r>
              <w:rPr>
                <w:rFonts w:ascii="Arial" w:hAnsi="Arial" w:eastAsia="Arial"/>
                <w:b w:val="0"/>
                <w:i w:val="0"/>
                <w:sz w:val="20"/>
              </w:rPr>
              <w:t>Risk Assessment; T7.3</w:t>
            </w:r>
          </w:p>
        </w:tc>
      </w:tr>
      <w:tr>
        <w:trPr>
          <w:cantSplit/>
        </w:trPr>
        <w:tc>
          <w:tcPr>
            <w:tcW w:type="dxa" w:w="2608"/>
          </w:tcPr>
          <w:p>
            <w:pPr>
              <w:keepNext/>
            </w:pPr>
            <w:r/>
            <w:r>
              <w:rPr>
                <w:rFonts w:ascii="Arial" w:hAnsi="Arial" w:eastAsia="Arial"/>
                <w:b w:val="0"/>
                <w:i w:val="0"/>
                <w:sz w:val="20"/>
              </w:rPr>
              <w:t>Progress reports to NATO SPS</w:t>
            </w:r>
          </w:p>
        </w:tc>
        <w:tc>
          <w:tcPr>
            <w:tcW w:type="dxa" w:w="4762"/>
          </w:tcPr>
          <w:p>
            <w:pPr>
              <w:keepNext/>
            </w:pPr>
            <w:r/>
            <w:r>
              <w:rPr>
                <w:rFonts w:ascii="Arial" w:hAnsi="Arial" w:eastAsia="Arial"/>
                <w:b w:val="0"/>
                <w:i w:val="0"/>
                <w:sz w:val="20"/>
              </w:rPr>
              <w:t>Months 12 and 24 (D7.2); final report Month 36 (D7.3)</w:t>
            </w:r>
          </w:p>
        </w:tc>
        <w:tc>
          <w:tcPr>
            <w:tcW w:type="dxa" w:w="2268"/>
          </w:tcPr>
          <w:p>
            <w:pPr>
              <w:keepNext/>
            </w:pPr>
            <w:r/>
            <w:r>
              <w:rPr>
                <w:rFonts w:ascii="Arial" w:hAnsi="Arial" w:eastAsia="Arial"/>
                <w:b w:val="0"/>
                <w:i w:val="0"/>
                <w:sz w:val="20"/>
              </w:rPr>
              <w:t>Work Plan</w:t>
            </w:r>
          </w:p>
        </w:tc>
      </w:tr>
      <w:tr>
        <w:trPr>
          <w:cantSplit/>
        </w:trPr>
        <w:tc>
          <w:tcPr>
            <w:tcW w:type="dxa" w:w="2608"/>
          </w:tcPr>
          <w:p>
            <w:pPr>
              <w:keepNext/>
            </w:pPr>
            <w:r/>
            <w:r>
              <w:rPr>
                <w:rFonts w:ascii="Arial" w:hAnsi="Arial" w:eastAsia="Arial"/>
                <w:b w:val="0"/>
                <w:i w:val="0"/>
                <w:sz w:val="20"/>
              </w:rPr>
              <w:t>Data management plan</w:t>
            </w:r>
          </w:p>
        </w:tc>
        <w:tc>
          <w:tcPr>
            <w:tcW w:type="dxa" w:w="4762"/>
          </w:tcPr>
          <w:p>
            <w:pPr>
              <w:keepNext/>
            </w:pPr>
            <w:r/>
            <w:r>
              <w:rPr>
                <w:rFonts w:ascii="Arial" w:hAnsi="Arial" w:eastAsia="Arial"/>
                <w:b w:val="0"/>
                <w:i w:val="0"/>
                <w:sz w:val="20"/>
              </w:rPr>
              <w:t>Version 1 Month 3 (D7.1); version 2 Month 18; final Month 36</w:t>
            </w:r>
          </w:p>
        </w:tc>
        <w:tc>
          <w:tcPr>
            <w:tcW w:type="dxa" w:w="2268"/>
          </w:tcPr>
          <w:p>
            <w:pPr>
              <w:keepNext/>
            </w:pPr>
            <w:r/>
            <w:r>
              <w:rPr>
                <w:rFonts w:ascii="Arial" w:hAnsi="Arial" w:eastAsia="Arial"/>
                <w:b w:val="0"/>
                <w:i w:val="0"/>
                <w:sz w:val="20"/>
              </w:rPr>
              <w:t>Data Management Plan</w:t>
            </w:r>
          </w:p>
        </w:tc>
      </w:tr>
      <w:tr>
        <w:trPr>
          <w:cantSplit/>
        </w:trPr>
        <w:tc>
          <w:tcPr>
            <w:tcW w:type="dxa" w:w="2608"/>
          </w:tcPr>
          <w:p>
            <w:pPr>
              <w:keepNext/>
            </w:pPr>
            <w:r/>
            <w:r>
              <w:rPr>
                <w:rFonts w:ascii="Arial" w:hAnsi="Arial" w:eastAsia="Arial"/>
                <w:b w:val="0"/>
                <w:i w:val="0"/>
                <w:sz w:val="20"/>
              </w:rPr>
              <w:t>Gender and ethics review</w:t>
            </w:r>
          </w:p>
        </w:tc>
        <w:tc>
          <w:tcPr>
            <w:tcW w:type="dxa" w:w="4762"/>
          </w:tcPr>
          <w:p>
            <w:pPr>
              <w:keepNext/>
            </w:pPr>
            <w:r/>
            <w:r>
              <w:rPr>
                <w:rFonts w:ascii="Arial" w:hAnsi="Arial" w:eastAsia="Arial"/>
                <w:b w:val="0"/>
                <w:i w:val="0"/>
                <w:sz w:val="20"/>
              </w:rPr>
              <w:t>Yearly: Months 12, 24, 36; ethics at every steering committee</w:t>
            </w:r>
          </w:p>
        </w:tc>
        <w:tc>
          <w:tcPr>
            <w:tcW w:type="dxa" w:w="2268"/>
          </w:tcPr>
          <w:p>
            <w:pPr>
              <w:keepNext/>
            </w:pPr>
            <w:r/>
            <w:r>
              <w:rPr>
                <w:rFonts w:ascii="Arial" w:hAnsi="Arial" w:eastAsia="Arial"/>
                <w:b w:val="0"/>
                <w:i w:val="0"/>
                <w:sz w:val="20"/>
              </w:rPr>
              <w:t>Gender Balance; Ethics</w:t>
            </w:r>
          </w:p>
        </w:tc>
      </w:tr>
      <w:tr>
        <w:trPr>
          <w:cantSplit/>
        </w:trPr>
        <w:tc>
          <w:tcPr>
            <w:tcW w:type="dxa" w:w="2608"/>
          </w:tcPr>
          <w:p>
            <w:r/>
            <w:r>
              <w:rPr>
                <w:rFonts w:ascii="Arial" w:hAnsi="Arial" w:eastAsia="Arial"/>
                <w:b w:val="0"/>
                <w:i w:val="0"/>
                <w:sz w:val="20"/>
              </w:rPr>
              <w:t>Maintenance and hand-over agreements</w:t>
            </w:r>
          </w:p>
        </w:tc>
        <w:tc>
          <w:tcPr>
            <w:tcW w:type="dxa" w:w="4762"/>
          </w:tcPr>
          <w:p>
            <w:r/>
            <w:r>
              <w:rPr>
                <w:rFonts w:ascii="Arial" w:hAnsi="Arial" w:eastAsia="Arial"/>
                <w:b w:val="0"/>
                <w:i w:val="0"/>
                <w:sz w:val="20"/>
              </w:rPr>
              <w:t>Month 33 and Month 36</w:t>
            </w:r>
          </w:p>
        </w:tc>
        <w:tc>
          <w:tcPr>
            <w:tcW w:type="dxa" w:w="2268"/>
          </w:tcPr>
          <w:p>
            <w:r/>
            <w:r>
              <w:rPr>
                <w:rFonts w:ascii="Arial" w:hAnsi="Arial" w:eastAsia="Arial"/>
                <w:b w:val="0"/>
                <w:i w:val="0"/>
                <w:sz w:val="20"/>
              </w:rPr>
              <w:t>Sustainability</w:t>
            </w:r>
          </w:p>
        </w:tc>
      </w:tr>
    </w:tbl>
    <w:p>
      <w:pPr>
        <w:spacing w:after="80" w:before="0"/>
      </w:pPr>
    </w:p>
    <w:p>
      <w:pPr>
        <w:keepNext/>
        <w:spacing w:after="120" w:before="160"/>
      </w:pPr>
      <w:r>
        <w:rPr>
          <w:rFonts w:ascii="Arial" w:hAnsi="Arial" w:eastAsia="Arial"/>
          <w:b/>
          <w:i w:val="0"/>
          <w:color w:val="1F3864"/>
          <w:sz w:val="27"/>
        </w:rPr>
        <w:t>8. What is new in this timeline</w:t>
      </w:r>
    </w:p>
    <w:p>
      <w:pPr>
        <w:spacing w:after="60" w:before="0"/>
        <w:ind w:left="283"/>
      </w:pPr>
      <w:r>
        <w:rPr>
          <w:rFonts w:ascii="Arial" w:hAnsi="Arial" w:eastAsia="Arial"/>
          <w:b/>
          <w:i w:val="0"/>
          <w:sz w:val="22"/>
        </w:rPr>
        <w:t xml:space="preserve">• </w:t>
      </w:r>
      <w:r>
        <w:rPr>
          <w:rFonts w:ascii="Arial" w:hAnsi="Arial" w:eastAsia="Arial"/>
          <w:b/>
          <w:i w:val="0"/>
          <w:sz w:val="22"/>
        </w:rPr>
        <w:t>Gates, not only dates.</w:t>
      </w:r>
      <w:r>
        <w:rPr>
          <w:rFonts w:ascii="Arial" w:hAnsi="Arial" w:eastAsia="Arial"/>
          <w:b w:val="0"/>
          <w:i w:val="0"/>
          <w:sz w:val="22"/>
        </w:rPr>
        <w:t xml:space="preserve"> Live operation starts only when the model passes its validation test (MS3) and the surrogate meets its error bound (MS4), and the guarantees are confirmed in back-testing (MS5); each gate has a stated pass test and a fallback.</w:t>
      </w:r>
    </w:p>
    <w:p>
      <w:pPr>
        <w:spacing w:after="60" w:before="0"/>
        <w:ind w:left="283"/>
      </w:pPr>
      <w:r>
        <w:rPr>
          <w:rFonts w:ascii="Arial" w:hAnsi="Arial" w:eastAsia="Arial"/>
          <w:b/>
          <w:i w:val="0"/>
          <w:sz w:val="22"/>
        </w:rPr>
        <w:t xml:space="preserve">• </w:t>
      </w:r>
      <w:r>
        <w:rPr>
          <w:rFonts w:ascii="Arial" w:hAnsi="Arial" w:eastAsia="Arial"/>
          <w:b/>
          <w:i w:val="0"/>
          <w:sz w:val="22"/>
        </w:rPr>
        <w:t>A full year of hazards.</w:t>
      </w:r>
      <w:r>
        <w:rPr>
          <w:rFonts w:ascii="Arial" w:hAnsi="Arial" w:eastAsia="Arial"/>
          <w:b w:val="0"/>
          <w:i w:val="0"/>
          <w:sz w:val="22"/>
        </w:rPr>
        <w:t xml:space="preserve"> Twelve consecutive months of live operation include every season, the dry months that drive intrusion and the storm months that drive extreme sea levels, whatever the start date.</w:t>
      </w:r>
    </w:p>
    <w:p>
      <w:pPr>
        <w:spacing w:after="60" w:before="0"/>
        <w:ind w:left="283"/>
      </w:pPr>
      <w:r>
        <w:rPr>
          <w:rFonts w:ascii="Arial" w:hAnsi="Arial" w:eastAsia="Arial"/>
          <w:b/>
          <w:i w:val="0"/>
          <w:sz w:val="22"/>
        </w:rPr>
        <w:t xml:space="preserve">• </w:t>
      </w:r>
      <w:r>
        <w:rPr>
          <w:rFonts w:ascii="Arial" w:hAnsi="Arial" w:eastAsia="Arial"/>
          <w:b/>
          <w:i w:val="0"/>
          <w:sz w:val="22"/>
        </w:rPr>
        <w:t>Ready for the unexpected event.</w:t>
      </w:r>
      <w:r>
        <w:rPr>
          <w:rFonts w:ascii="Arial" w:hAnsi="Arial" w:eastAsia="Arial"/>
          <w:b w:val="0"/>
          <w:i w:val="0"/>
          <w:sz w:val="22"/>
        </w:rPr>
        <w:t xml:space="preserve"> The post-event protocol is on standby from Month 12, so a strong earthquake or storm at any time after the network is installed becomes data rather than a disruption.</w:t>
      </w:r>
    </w:p>
    <w:p>
      <w:pPr>
        <w:spacing w:after="60" w:before="0"/>
        <w:ind w:left="283"/>
      </w:pPr>
      <w:r>
        <w:rPr>
          <w:rFonts w:ascii="Arial" w:hAnsi="Arial" w:eastAsia="Arial"/>
          <w:b/>
          <w:i w:val="0"/>
          <w:sz w:val="22"/>
        </w:rPr>
        <w:t xml:space="preserve">• </w:t>
      </w:r>
      <w:r>
        <w:rPr>
          <w:rFonts w:ascii="Arial" w:hAnsi="Arial" w:eastAsia="Arial"/>
          <w:b/>
          <w:i w:val="0"/>
          <w:sz w:val="22"/>
        </w:rPr>
        <w:t>Buffers where the risks are.</w:t>
      </w:r>
      <w:r>
        <w:rPr>
          <w:rFonts w:ascii="Arial" w:hAnsi="Arial" w:eastAsia="Arial"/>
          <w:b w:val="0"/>
          <w:i w:val="0"/>
          <w:sz w:val="22"/>
        </w:rPr>
        <w:t xml:space="preserve"> Slack is placed on procurement, calibration and the go/no-go gate, the steps the Risk Assessment scores highest, not spread evenly.</w:t>
      </w:r>
    </w:p>
    <w:p>
      <w:pPr>
        <w:spacing w:after="60" w:before="0"/>
        <w:ind w:left="283"/>
      </w:pPr>
      <w:r>
        <w:rPr>
          <w:rFonts w:ascii="Arial" w:hAnsi="Arial" w:eastAsia="Arial"/>
          <w:b/>
          <w:i w:val="0"/>
          <w:sz w:val="22"/>
        </w:rPr>
        <w:t xml:space="preserve">• </w:t>
      </w:r>
      <w:r>
        <w:rPr>
          <w:rFonts w:ascii="Arial" w:hAnsi="Arial" w:eastAsia="Arial"/>
          <w:b/>
          <w:i w:val="0"/>
          <w:sz w:val="22"/>
        </w:rPr>
        <w:t>The hand-over is in the timeline, not after it.</w:t>
      </w:r>
      <w:r>
        <w:rPr>
          <w:rFonts w:ascii="Arial" w:hAnsi="Arial" w:eastAsia="Arial"/>
          <w:b w:val="0"/>
          <w:i w:val="0"/>
          <w:sz w:val="22"/>
        </w:rPr>
        <w:t xml:space="preserve"> Operators issue every bulletin in the last three months, so the end state is demonstrated within the project.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