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40"/>
              <w:left w:type="dxa" w:w="240"/>
              <w:bottom w:type="dxa" w:w="140"/>
              <w:right w:type="dxa" w:w="24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6B73C"/>
                <w:spacing w:val="20"/>
                <w:sz w:val="20"/>
                <w:szCs w:val="20"/>
              </w:rPr>
              <w:t xml:space="preserve">DECISION UNDER DEEP UNCERTAINTY  ·  STAKEHOLDERS DECIDING TOGETHER</w:t>
            </w:r>
          </w:p>
          <w:p>
            <w:pPr>
              <w:spacing w:after="6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Stakeholders deciding together: no veto, for every belief and every weather</w:t>
            </w:r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C9D3E0" w:color="auto" w:val="clear"/>
              </w:rPr>
              <w:t xml:space="preserve"> CLASSICAL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one model · average belief · decide in the crisis</w:t>
            </w:r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3284D"/>
                <w:sz w:val="17"/>
                <w:szCs w:val="17"/>
                <w:shd w:fill="F6B73C" w:color="auto" w:val="clear"/>
              </w:rPr>
              <w:t xml:space="preserve"> NEW </w:t>
            </w:r>
            <w:r>
              <w:rPr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color w:val="DBE6F5"/>
                <w:sz w:val="21"/>
                <w:szCs w:val="21"/>
              </w:rPr>
              <w:t xml:space="preserve">unanimous rule · belief radius · plans agreed before</w:t>
            </w:r>
          </w:p>
        </w:tc>
      </w:tr>
    </w:tbl>
    <w:p>
      <w:pPr>
        <w:spacing w:after="0" w:before="0" w:line="140" w:lineRule="auto"/>
      </w:pPr>
      <w:r>
        <w:rPr>
          <w:sz w:val="8"/>
          <w:szCs w:val="8"/>
        </w:rPr>
        <w:t xml:space="preserve"/>
      </w:r>
    </w:p>
    <w:p>
      <w:pPr>
        <w:spacing w:after="60" w:before="0" w:line="252" w:lineRule="auto"/>
        <w:jc w:val="center"/>
      </w:pPr>
      <w:r>
        <w:drawing>
          <wp:inline distT="0" distB="0" distL="0" distR="0">
            <wp:extent cx="9782175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82175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 w:line="252" w:lineRule="auto"/>
        <w:jc w:val="center"/>
      </w:pPr>
      <w:r>
        <w:rPr>
          <w:rFonts w:ascii="Calibri" w:cs="Calibri" w:eastAsia="Calibri" w:hAnsi="Calibri"/>
          <w:color w:val="5B6573"/>
          <w:sz w:val="19"/>
          <w:szCs w:val="19"/>
        </w:rPr>
        <w:t xml:space="preserve">The numbers 1–8 in the picture point to the eight panels on the next pages; the innovation follows on the next page.</w:t>
      </w:r>
    </w:p>
    <w:p>
      <w:pPr>
        <w:spacing w:after="0" w:before="0" w:line="252" w:lineRule="auto"/>
      </w:pPr>
      <w:r>
        <w:br w:type="page"/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398"/>
      </w:tblGrid>
      <w:tr>
        <w:trPr>
          <w:cantSplit/>
        </w:trPr>
        <w:tc>
          <w:tcPr>
            <w:tcW w:type="dxa" w:w="15398"/>
            <w:tcBorders>
              <w:top w:val="single" w:color="D97706" w:sz="24"/>
              <w:left w:val="single" w:color="D97706" w:sz="24"/>
              <w:bottom w:val="single" w:color="D97706" w:sz="24"/>
              <w:right w:val="single" w:color="D97706" w:sz="24"/>
            </w:tcBorders>
            <w:shd w:fill="FFF6E3" w:color="auto" w:val="clear"/>
            <w:tcMar>
              <w:top w:type="dxa" w:w="180"/>
              <w:left w:type="dxa" w:w="280"/>
              <w:bottom w:type="dxa" w:w="160"/>
              <w:right w:type="dxa" w:w="280"/>
            </w:tcMar>
            <w:vAlign w:val="top"/>
          </w:tcPr>
          <w:p>
            <w:pPr>
              <w:spacing w:after="40" w:before="0" w:line="252" w:lineRule="auto"/>
            </w:pPr>
            <w:r>
              <w:rPr>
                <w:rFonts w:ascii="Calibri" w:cs="Calibri" w:eastAsia="Calibri" w:hAnsi="Calibri"/>
                <w:b/>
                <w:bCs/>
                <w:color w:val="92400E"/>
                <w:spacing w:val="30"/>
                <w:sz w:val="24"/>
                <w:szCs w:val="24"/>
              </w:rPr>
              <w:t xml:space="preserve">INNOVATION 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40"/>
                <w:szCs w:val="40"/>
              </w:rPr>
              <w:t xml:space="preserve">A decision nobody can veto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color w:val="6B4A2A"/>
                <w:sz w:val="26"/>
                <w:szCs w:val="26"/>
              </w:rPr>
              <w:t xml:space="preserve">One rule for five beliefs, every belief within a radius, and every weather.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Unanimous and still decisive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30"/>
                            <w:szCs w:val="30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sz w:val="30"/>
                        <w:szCs w:val="30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∣</m:t>
                    </m:r>
                    <m:r>
                      <w:rPr>
                        <w:sz w:val="30"/>
                        <w:szCs w:val="30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r>
                  <w:rPr>
                    <w:sz w:val="30"/>
                    <w:szCs w:val="30"/>
                  </w:rPr>
                  <m:t>1.645</m:t>
                </m:r>
                <m:r>
                  <w:rPr>
                    <w:sz w:val="30"/>
                    <w:szCs w:val="30"/>
                  </w:rPr>
                  <m:t> 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30"/>
                            <w:szCs w:val="30"/>
                          </w:rPr>
                          <m:t>σ</m:t>
                        </m:r>
                      </m:e>
                    </m:acc>
                  </m:e>
                  <m:sub>
                    <m:r>
                      <w:rPr>
                        <w:sz w:val="30"/>
                        <w:szCs w:val="30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≤</m:t>
                </m:r>
                <m:r>
                  <w:rPr>
                    <w:sz w:val="30"/>
                    <w:szCs w:val="30"/>
                  </w:rPr>
                  <m:t>α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∀</m:t>
                </m:r>
                <m:r>
                  <w:rPr>
                    <w:sz w:val="30"/>
                    <w:szCs w:val="30"/>
                  </w:rPr>
                  <m:t>k</m:t>
                </m:r>
                <m:r>
                  <w:rPr>
                    <w:sz w:val="30"/>
                    <w:szCs w:val="30"/>
                  </w:rPr>
                  <m:t> 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⇒</m:t>
                </m:r>
                <m:r>
                  <w:rPr>
                    <w:sz w:val="30"/>
                    <w:szCs w:val="30"/>
                  </w:rPr>
                  <m:t> 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w:rPr>
                        <w:sz w:val="30"/>
                        <w:szCs w:val="30"/>
                      </w:rPr>
                      <m:t>A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q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,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limLow>
                      <m:e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min</m:t>
                        </m:r>
                      </m:e>
                      <m:lim>
                        <m:r>
                          <w:rPr>
                            <w:sz w:val="30"/>
                            <w:szCs w:val="30"/>
                          </w:rPr>
                          <m:t>k</m:t>
                        </m:r>
                      </m:lim>
                    </m:limLow>
                    <m:sSubSup>
                      <m:e>
                        <m:r>
                          <w:rPr>
                            <w:sz w:val="30"/>
                            <w:szCs w:val="30"/>
                          </w:rPr>
                          <m:t>s</m:t>
                        </m:r>
                      </m:e>
                      <m:sub>
                        <m:r>
                          <w:rPr>
                            <w:sz w:val="30"/>
                            <w:szCs w:val="30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⋆</m:t>
                        </m:r>
                      </m:sup>
                    </m:sSub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30"/>
                            <w:szCs w:val="30"/>
                          </w:rPr>
                          <m:t>q</m:t>
                        </m:r>
                      </m:e>
                    </m:d>
                  </m:e>
                </m:d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Without data the group pumps 9,648 m³/d with 15,000 m³/d of recharge; the average-belief rule takes more but is vetoed by 3.0 of 5. One chloride sample, safe for all, lifts net water from 2,148 to 5,125 m³/d.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5,125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net m³/d, one sample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Every belief within a radius, not a list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max</m:t>
                    </m:r>
                  </m:e>
                  <m:lim>
                    <m:r>
                      <w:rPr>
                        <w:sz w:val="30"/>
                        <w:szCs w:val="30"/>
                      </w:rPr>
                      <m:t>λ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: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L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sz w:val="30"/>
                                <w:szCs w:val="30"/>
                              </w:rPr>
                              <m:t>λ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∥</m:t>
                        </m:r>
                        <m:r>
                          <w:rPr>
                            <w:sz w:val="30"/>
                            <w:szCs w:val="30"/>
                          </w:rP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≤</m:t>
                    </m:r>
                    <m:r>
                      <w:rPr>
                        <w:sz w:val="30"/>
                        <w:szCs w:val="30"/>
                      </w:rPr>
                      <m:t>ρ</m:t>
                    </m:r>
                  </m:lim>
                </m:limLow>
                <m:sSub>
                  <m:e>
                    <m:r>
                      <w:rPr>
                        <w:sz w:val="30"/>
                        <w:szCs w:val="30"/>
                      </w:rPr>
                      <m:t>P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λ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r>
                  <w:rPr>
                    <w:sz w:val="30"/>
                    <w:szCs w:val="30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30"/>
                        <w:szCs w:val="30"/>
                      </w:rPr>
                      <m:t>2</m:t>
                    </m:r>
                    <m:r>
                      <w:rPr>
                        <w:sz w:val="30"/>
                        <w:szCs w:val="30"/>
                      </w:rPr>
                      <m:t>ρ</m:t>
                    </m:r>
                    <m:r>
                      <w:rPr>
                        <w:sz w:val="30"/>
                        <w:szCs w:val="30"/>
                      </w:rPr>
                      <m:t> </m:t>
                    </m:r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⊤</m:t>
                        </m:r>
                      </m:sup>
                    </m:sSup>
                    <m:sSup>
                      <m:e>
                        <m:r>
                          <w:rPr>
                            <w:sz w:val="30"/>
                            <w:szCs w:val="30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−</m:t>
                        </m:r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</m:sup>
                    </m:sSup>
                    <m:r>
                      <w:rPr>
                        <w:sz w:val="30"/>
                        <w:szCs w:val="30"/>
                      </w:rPr>
                      <m:t>c</m:t>
                    </m:r>
                  </m:e>
                </m:rad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r>
                  <w:rPr>
                    <w:sz w:val="30"/>
                    <w:szCs w:val="30"/>
                  </w:rPr>
                  <m:t>O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ρ</m:t>
                    </m:r>
                  </m:e>
                </m:d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Beliefs nobody stated push the risk of the stated-list choice to 0.119; the tilt ball at the pessimists’ radius keeps all 416 unstated beliefs at or below 0.089, while the full ball deadlocks.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0.119 → 0.089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worst unstated risk</w:t>
            </w:r>
          </w:p>
          <w:p>
            <w:pPr>
              <w:keepNext/>
              <w:spacing w:after="60" w:before="16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D97706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A2A06"/>
                <w:sz w:val="30"/>
                <w:szCs w:val="30"/>
              </w:rPr>
              <w:t xml:space="preserve">One rule for every weather, agreed before</w:t>
            </w:r>
          </w:p>
          <w:p>
            <w:pPr>
              <w:shd w:fill="FFFDF8" w:color="auto" w:val="clear"/>
              <w:spacing w:after="60" w:before="40" w:line="252" w:lineRule="auto"/>
              <w:jc w:val="center"/>
              <w:rPr>
                <w:sz w:val="30"/>
                <w:szCs w:val="30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sz w:val="30"/>
                        <w:szCs w:val="30"/>
                      </w:rPr>
                      <m:t>P</m:t>
                    </m:r>
                  </m:e>
                </m:ba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≤</m:t>
                </m:r>
                <m:r>
                  <w:rPr>
                    <w:sz w:val="30"/>
                    <w:szCs w:val="30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30"/>
                        <w:szCs w:val="30"/>
                      </w:rP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+</m:t>
                        </m:r>
                        <m:sSub>
                          <m:e>
                            <m:r>
                              <w:rPr>
                                <w:sz w:val="30"/>
                                <w:szCs w:val="30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sz w:val="30"/>
                                <w:szCs w:val="30"/>
                              </w:rPr>
                              <m:t>β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w:rPr>
                    <w:sz w:val="30"/>
                    <w:szCs w:val="30"/>
                  </w:rPr>
                  <m:t>+</m:t>
                </m:r>
                <m:r>
                  <w:rPr>
                    <w:sz w:val="30"/>
                    <w:szCs w:val="30"/>
                  </w:rPr>
                  <m:t>β</m:t>
                </m:r>
                <m:r>
                  <m:rPr>
                    <m:sty m:val="p"/>
                  </m:rPr>
                  <w:rPr>
                    <w:sz w:val="30"/>
                    <w:szCs w:val="30"/>
                  </w:rPr>
                  <m:t>,</m:t>
                </m:r>
                <m:r>
                  <w:rPr>
                    <w:sz w:val="30"/>
                    <w:szCs w:val="30"/>
                  </w:rPr>
                  <m:t>  </m:t>
                </m:r>
                <m:sSub>
                  <m:e>
                    <m:r>
                      <w:rPr>
                        <w:sz w:val="30"/>
                        <w:szCs w:val="30"/>
                      </w:rPr>
                      <m:t>α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>γ</m:t>
                    </m:r>
                  </m:sub>
                </m:sSub>
                <m:r>
                  <m:rPr>
                    <m:sty m:val="p"/>
                  </m:rPr>
                  <w:rPr>
                    <w:sz w:val="30"/>
                    <w:szCs w:val="30"/>
                  </w:rPr>
                  <m:t>=</m:t>
                </m:r>
                <m:sSup>
                  <m:e>
                    <m:r>
                      <w:rPr>
                        <w:sz w:val="30"/>
                        <w:szCs w:val="30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30"/>
                        <w:szCs w:val="30"/>
                      </w:rPr>
                      <m:t>−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30"/>
                                <w:szCs w:val="30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30"/>
                                <w:szCs w:val="30"/>
                              </w:rPr>
                              <m:t>log</m:t>
                            </m:r>
                            <m:r>
                              <w:rPr>
                                <w:sz w:val="30"/>
                                <w:szCs w:val="30"/>
                              </w:rPr>
                              <m:t>α</m:t>
                            </m:r>
                          </m:e>
                        </m:d>
                      </m:e>
                      <m:sup>
                        <m:r>
                          <w:rPr>
                            <w:sz w:val="30"/>
                            <w:szCs w:val="30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30"/>
                            <w:szCs w:val="30"/>
                          </w:rPr>
                          <m:t>/</m:t>
                        </m:r>
                        <m:r>
                          <w:rPr>
                            <w:sz w:val="30"/>
                            <w:szCs w:val="30"/>
                          </w:rPr>
                          <m:t>γ</m:t>
                        </m:r>
                      </m:sup>
                    </m:sSup>
                  </m:sup>
                </m:sSup>
              </m:oMath>
            </m:oMathPara>
          </w:p>
          <w:p>
            <w:pPr>
              <w:keepNext w:val="false"/>
              <w:spacing w:after="30" w:before="0" w:line="252" w:lineRule="auto"/>
              <w:jc w:val="left"/>
            </w:pPr>
            <w:r>
              <w:rPr>
                <w:rFonts w:ascii="Calibri" w:cs="Calibri" w:eastAsia="Calibri" w:hAnsi="Calibri"/>
                <w:color w:val="3D2B1A"/>
                <w:sz w:val="26"/>
                <w:szCs w:val="26"/>
              </w:rPr>
              <w:t xml:space="preserve">In a dry year the fair-weather plan fails (risk 0.231) and the plan agreed before holds (0.053); decided in the crisis, fear costs 8,442 m³/d. Over a whole year: 0.199 → 0.084 → 0.049.</w:t>
            </w:r>
          </w:p>
          <w:p>
            <w:pPr>
              <w:keepNext w:val="false"/>
              <w:spacing w:after="20" w:before="0" w:line="252" w:lineRule="auto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6"/>
                <w:szCs w:val="26"/>
              </w:rPr>
              <w:t xml:space="preserve">0.231 → 0.053</w:t>
            </w:r>
            <w:r>
              <w:rPr>
                <w:rFonts w:ascii="Calibri" w:cs="Calibri" w:eastAsia="Calibri" w:hAnsi="Calibri"/>
                <w:color w:val="92400E"/>
                <w:sz w:val="26"/>
                <w:szCs w:val="26"/>
              </w:rPr>
              <w:t xml:space="preserve">   dry-year risk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Stakeholders deciding together · panels 1–4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2A78D6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2A78D6" w:color="auto" w:val="clear"/>
              </w:rPr>
              <w:t xml:space="preserve"> 1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B5FAE"/>
                <w:sz w:val="30"/>
                <w:szCs w:val="30"/>
              </w:rPr>
              <w:t xml:space="preserve">Beliefs as tilts of one calibration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All share the physics and the data model but dispute two drivers, the mixing-zone width and the recharge; each belief tilts the calibrated posterior.</w:t>
            </w:r>
          </w:p>
          <w:p>
            <w:pPr>
              <w:shd w:fill="EAF2F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∝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e</m:t>
                    </m:r>
                  </m:e>
                  <m:sup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bSup>
                    <m:r>
                      <w:rPr>
                        <w:sz w:val="26"/>
                        <w:szCs w:val="26"/>
                      </w:rP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r>
                  <w:rPr>
                    <w:sz w:val="26"/>
                    <w:szCs w:val="26"/>
                  </w:rPr>
                  <m:t>z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z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sub>
                    </m:sSub>
                  </m:e>
                </m:d>
              </m:oMath>
            </m:oMathPara>
          </w:p>
          <w:p>
            <w:pPr>
              <w:shd w:fill="EAF2F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∝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L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θ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B5FA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Two sets of priors rank acts cautiously and incompletely (Echenique, Miyashita, Nakamura, Pomatto &amp; Vinson 2022); exact Bayesian reasoning in a group is computationally hard (Hązła, Jadbabaie, Mossel &amp; Rahimian 2021).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7D4FC9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7D4FC9" w:color="auto" w:val="clear"/>
              </w:rPr>
              <w:t xml:space="preserve"> 2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5D35A3"/>
                <w:sz w:val="30"/>
                <w:szCs w:val="30"/>
              </w:rPr>
              <w:t xml:space="preserve">Which data end a dispute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Two risks can differ only as much as the data leave both the disputed drivers and the failure event uncertain. Resolving the event is the cheap way.</w:t>
            </w:r>
          </w:p>
          <w:p>
            <w:pPr>
              <w:shd w:fill="F1ECFA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j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t</m:t>
                    </m:r>
                  </m:lim>
                </m:limLow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Δ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r>
                      <w:rPr>
                        <w:sz w:val="26"/>
                        <w:szCs w:val="26"/>
                      </w:rPr>
                      <m:t>z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sub>
                    </m:sSub>
                  </m:e>
                </m:d>
              </m:oMath>
            </m:oMathPara>
          </w:p>
          <w:p>
            <w:pPr>
              <w:shd w:fill="F1ECFA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2</m:t>
                    </m:r>
                  </m:den>
                </m:f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t</m:t>
                    </m:r>
                  </m:lim>
                </m:limLow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Δ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r>
                      <w:rPr>
                        <w:sz w:val="26"/>
                        <w:szCs w:val="26"/>
                      </w:rPr>
                      <m:t>z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σ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s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d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t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⋅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5D35A3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At pumping 0.5 the spread is 0.224 with no data, 0.208 with three heads and 0.038 with one chloride sample (bound 0.659 → 0.134). Which data enable optimal decisions (Bennouna, Bennouna, Amin &amp; Ozdaglar 2025); pathwise concentration of beliefs (Fudenberg, Lanzani &amp; Strack 2023).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1BAF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1BAF7A" w:color="auto" w:val="clear"/>
              </w:rPr>
              <w:t xml:space="preserve"> 3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1805A"/>
                <w:sz w:val="30"/>
                <w:szCs w:val="30"/>
              </w:rPr>
              <w:t xml:space="preserve">One action nobody can veto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Failure is monotone in pumping and recharge, so each stakeholder accepts an interval of pumping; the group takes the top of the shortest one.</w:t>
            </w:r>
          </w:p>
          <w:p>
            <w:pPr>
              <w:shd w:fill="E6F6EF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</m:acc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1.645</m:t>
                </m:r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w:rPr>
                            <w:sz w:val="26"/>
                            <w:szCs w:val="26"/>
                          </w:rPr>
                          <m:t>σ</m:t>
                        </m:r>
                      </m:e>
                    </m:acc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r>
                  <w:rPr>
                    <w:sz w:val="26"/>
                    <w:szCs w:val="26"/>
                  </w:rPr>
                  <m:t>α</m:t>
                </m:r>
                <m:r>
                  <w:rPr>
                    <w:sz w:val="26"/>
                    <w:szCs w:val="26"/>
                  </w:rPr>
                  <m:t> 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∀</m:t>
                </m:r>
                <m:r>
                  <w:rPr>
                    <w:sz w:val="26"/>
                    <w:szCs w:val="26"/>
                  </w:rPr>
                  <m:t>k</m:t>
                </m:r>
              </m:oMath>
            </m:oMathPara>
          </w:p>
          <w:p>
            <w:pPr>
              <w:shd w:fill="E6F6EF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A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q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  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min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k</m:t>
                    </m:r>
                  </m:lim>
                </m:limLow>
                <m:sSubSup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11805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No data: pump 9,648 m³/d, recharge 15,000. Distributionally robust chance constraints (Coulson, Lygeros &amp; Dörfler 2022); certified deviations from an equilibrium (Pantazis, Fele &amp; Margellos 2024); equitable voting rules (Bartholdi, Hann-Caruthers, Josyula, Tamuz &amp; Yariv 2021).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0F8F9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0F8F9A" w:color="auto" w:val="clear"/>
              </w:rPr>
              <w:t xml:space="preserve"> 4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0B6D75"/>
                <w:sz w:val="30"/>
                <w:szCs w:val="30"/>
              </w:rPr>
              <w:t xml:space="preserve">Information that is safe to buy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Under the unanimous rule no stakeholder, judged by its own belief, takes more than the agreed risk when the group buys data first, whatever the data say.</w:t>
            </w:r>
          </w:p>
          <w:p>
            <w:pPr>
              <w:shd w:fill="E3F4F5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⋆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Y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(</m:t>
                    </m:r>
                    <m:r>
                      <w:rPr>
                        <w:sz w:val="26"/>
                        <w:szCs w:val="26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)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r>
                  <w:rPr>
                    <w:sz w:val="26"/>
                    <w:szCs w:val="26"/>
                  </w:rPr>
                  <m:t>α</m:t>
                </m:r>
              </m:oMath>
            </m:oMathPara>
          </w:p>
          <w:p>
            <w:pPr>
              <w:shd w:fill="E3F4F5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I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>
                  <m:e>
                    <m:r>
                      <w:rPr>
                        <w:sz w:val="26"/>
                        <w:szCs w:val="26"/>
                      </w:rPr>
                      <m:t>E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e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t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⋆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Y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−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n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e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t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⌀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⋆</m:t>
                        </m:r>
                      </m:sup>
                    </m:sSubSup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0B6D75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One chloride sample is worth +2,977, +5,351, +1,554, +1,854 and −729 m³/d to the five; the last group loses water but its risk falls from 0.094 to 0.026. Information design in coordination games (Morris, Oyama &amp; Takahashi 2024); costly information in committees (Gersbach, Mamageishvili &amp; Tejada 2022).</w:t>
            </w:r>
          </w:p>
        </w:tc>
      </w:tr>
    </w:tbl>
    <w:p>
      <w:pPr>
        <w:spacing w:after="0" w:before="0" w:line="252" w:lineRule="auto"/>
      </w:pPr>
      <w:r>
        <w:br w:type="page"/>
      </w:r>
    </w:p>
    <w:p>
      <w:pPr>
        <w:keepNext w:val="false"/>
        <w:spacing w:after="100" w:before="0" w:line="252" w:lineRule="auto"/>
        <w:jc w:val="left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Stakeholders deciding together · panels 5–8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579"/>
        <w:gridCol w:w="240"/>
        <w:gridCol w:w="7579"/>
      </w:tblGrid>
      <w:tr>
        <w:trPr>
          <w:cantSplit/>
        </w:trPr>
        <w:tc>
          <w:tcPr>
            <w:tcW w:type="dxa" w:w="7579"/>
            <w:tcBorders>
              <w:top w:val="single" w:color="E4572E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4572E" w:color="auto" w:val="clear"/>
              </w:rPr>
              <w:t xml:space="preserve"> 5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B9471A"/>
                <w:sz w:val="30"/>
                <w:szCs w:val="30"/>
              </w:rPr>
              <w:t xml:space="preserve">A radius instead of a list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Protect every belief within a relative-entropy radius </w:t>
            </w:r>
            <m:oMath>
              <m:r>
                <w:rPr>
                  <w:sz w:val="25"/>
                  <w:szCs w:val="25"/>
                </w:rPr>
                <m:t>ρ</m:t>
              </m:r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of the calibration, agreed before the data.</w:t>
            </w:r>
          </w:p>
          <w:p>
            <w:pPr>
              <w:shd w:fill="FDECE7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∥</m:t>
                        </m:r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≤</m:t>
                    </m:r>
                    <m:r>
                      <w:rPr>
                        <w:sz w:val="26"/>
                        <w:szCs w:val="26"/>
                      </w:rPr>
                      <m:t>ρ</m:t>
                    </m:r>
                  </m:lim>
                </m:limLow>
                <m:r>
                  <w:rPr>
                    <w:sz w:val="26"/>
                    <w:szCs w:val="26"/>
                  </w:rP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sSubSup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sz w:val="26"/>
                        <w:szCs w:val="26"/>
                      </w:rPr>
                      <m:t>+</m:t>
                    </m:r>
                  </m:sub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1</m:t>
                    </m:r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</m:d>
              </m:oMath>
            </m:oMathPara>
          </w:p>
          <w:p>
            <w:pPr>
              <w:shd w:fill="FDECE7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m:rPr>
                        <m:scr m:val="script"/>
                        <m:sty m:val="p"/>
                      </m:rPr>
                      <w:rPr>
                        <w:sz w:val="26"/>
                        <w:szCs w:val="26"/>
                      </w:rP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ρ</m:t>
                        </m:r>
                      </m:e>
                    </m:d>
                  </m:lim>
                </m:limLow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λ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sz w:val="26"/>
                        <w:szCs w:val="26"/>
                      </w:rPr>
                      <m:t>2</m:t>
                    </m:r>
                    <m:r>
                      <w:rPr>
                        <w:sz w:val="26"/>
                        <w:szCs w:val="26"/>
                      </w:rPr>
                      <m:t>ρ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−</m:t>
                        </m:r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</m:sup>
                    </m:sSup>
                    <m:r>
                      <w:rPr>
                        <w:sz w:val="26"/>
                        <w:szCs w:val="26"/>
                      </w:rPr>
                      <m:t>c</m:t>
                    </m:r>
                  </m:e>
                </m:ra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O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ρ</m:t>
                    </m:r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9471A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The full ball is the plain rule with limit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α</m:t>
                  </m:r>
                </m:e>
                <m:sub>
                  <m:r>
                    <w:rPr>
                      <w:sz w:val="23"/>
                      <w:szCs w:val="23"/>
                    </w:rPr>
                    <m:t>ρ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(0.002 at </w:t>
            </w:r>
            <m:oMath>
              <m:r>
                <w:rPr>
                  <w:sz w:val="23"/>
                  <w:szCs w:val="23"/>
                </w:rPr>
                <m:t>ρ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0.293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) and deadlocks; tilts pay for the failure the drivers explain (</w:t>
            </w:r>
            <m:oMath>
              <m:sSup>
                <m:e>
                  <m:r>
                    <w:rPr>
                      <w:sz w:val="23"/>
                      <w:szCs w:val="23"/>
                    </w:rPr>
                    <m:t>R</m:t>
                  </m:r>
                </m:e>
                <m:sup>
                  <m:r>
                    <w:rPr>
                      <w:sz w:val="23"/>
                      <w:szCs w:val="23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0.072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). Relative-entropy robustness is optimal (Van Parys, Mohajerin Esfahani &amp; Kuhn 2021) and Pareto-dominant (Sutter, Van Parys &amp; Kuhn 2024).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EDA10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EDA100" w:color="auto" w:val="clear"/>
              </w:rPr>
              <w:t xml:space="preserve"> 6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8F6200"/>
                <w:sz w:val="30"/>
                <w:szCs w:val="30"/>
              </w:rPr>
              <w:t xml:space="preserve">Bayes shrinks the radius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Tilts commute with Bayes’ rule: a tilted prior gives the same tilt of the calibrated posterior, with a radius that shrinks as data narrow the drivers.</w:t>
            </w:r>
          </w:p>
          <w:p>
            <w:pPr>
              <w:shd w:fill="FDF3DC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λ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∝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θ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e</m:t>
                    </m:r>
                  </m:e>
                  <m:sup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⊤</m:t>
                        </m:r>
                      </m:sup>
                    </m:sSup>
                    <m:r>
                      <w:rPr>
                        <w:sz w:val="26"/>
                        <w:szCs w:val="26"/>
                      </w:rPr>
                      <m:t>z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e>
                    </m:d>
                  </m:sup>
                </m:sSup>
              </m:oMath>
            </m:oMathPara>
          </w:p>
          <w:p>
            <w:pPr>
              <w:shd w:fill="FDF3DC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sz w:val="26"/>
                    <w:szCs w:val="26"/>
                  </w:rPr>
                  <m:t>K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L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λ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</m:d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∥</m:t>
                    </m:r>
                    <m:r>
                      <w:rPr>
                        <w:sz w:val="26"/>
                        <w:szCs w:val="26"/>
                      </w:rPr>
                      <m:t> </m:t>
                    </m:r>
                    <m:r>
                      <w:rPr>
                        <w:sz w:val="26"/>
                        <w:szCs w:val="26"/>
                      </w:rP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⋅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∣</m:t>
                        </m:r>
                        <m:r>
                          <w:rPr>
                            <w:sz w:val="26"/>
                            <w:szCs w:val="26"/>
                          </w:rPr>
                          <m:t>y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≈</m:t>
                </m:r>
                <m:f>
                  <m:fPr>
                    <m:type m:val="bar"/>
                  </m:fPr>
                  <m:num>
                    <m:r>
                      <w:rPr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sz w:val="26"/>
                        <w:szCs w:val="26"/>
                      </w:rPr>
                      <m:t>2</m:t>
                    </m:r>
                  </m:den>
                </m:f>
                <m:sSup>
                  <m:e>
                    <m:r>
                      <w:rPr>
                        <w:sz w:val="26"/>
                        <w:szCs w:val="26"/>
                      </w:rPr>
                      <m:t>λ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⊤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C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o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v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y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r>
                  <w:rPr>
                    <w:sz w:val="26"/>
                    <w:szCs w:val="26"/>
                  </w:rPr>
                  <m:t>λ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F6200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One sample shrinks the radii to medians 0.157, 0.044, 0.244 and 0.137 nats, yet in 20% of truths some belief within </w:t>
            </w:r>
            <m:oMath>
              <m:sSub>
                <m:e>
                  <m:r>
                    <w:rPr>
                      <w:sz w:val="23"/>
                      <w:szCs w:val="23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e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n</m:t>
                  </m:r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v</m:t>
                  </m:r>
                </m:sub>
              </m:sSub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finds the stated-list choice unsafe; the tilt ball covers all for 3,981 m³/d. Guarantees for uncertainty sets (Bertsimas, den Hertog &amp; Pauphilet 2021).</w:t>
            </w:r>
          </w:p>
        </w:tc>
      </w:tr>
      <w:tr>
        <w:trPr>
          <w:cantSplit/>
        </w:trPr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  <w:tc>
          <w:tcPr>
            <w:tcW w:type="dxa" w:w="75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160" w:lineRule="auto"/>
            </w:pPr>
            <w:r>
              <w:rPr>
                <w:sz w:val="8"/>
                <w:szCs w:val="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579"/>
            <w:tcBorders>
              <w:top w:val="single" w:color="C2417A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C2417A" w:color="auto" w:val="clear"/>
              </w:rPr>
              <w:t xml:space="preserve"> 7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9B2C5E"/>
                <w:sz w:val="30"/>
                <w:szCs w:val="30"/>
              </w:rPr>
              <w:t xml:space="preserve">Overshoot and felt risk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Operators pump more than licensed and crises distort felt risk; both become a smaller licence or a tighter limit, so the rule stays decisive.</w:t>
            </w:r>
          </w:p>
          <w:p>
            <w:pPr>
              <w:shd w:fill="FBEAF1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r>
                      <w:rPr>
                        <w:sz w:val="26"/>
                        <w:szCs w:val="26"/>
                      </w:rPr>
                      <m:t>P</m:t>
                    </m:r>
                  </m:e>
                </m:ba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≤</m:t>
                </m:r>
                <m:r>
                  <w:rPr>
                    <w:sz w:val="26"/>
                    <w:szCs w:val="26"/>
                  </w:rP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w:rPr>
                        <w:sz w:val="26"/>
                        <w:szCs w:val="26"/>
                      </w:rP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+</m:t>
                        </m:r>
                        <m:sSub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sz w:val="26"/>
                                <w:szCs w:val="26"/>
                              </w:rPr>
                              <m:t>β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+</m:t>
                </m:r>
                <m:r>
                  <w:rPr>
                    <w:sz w:val="26"/>
                    <w:szCs w:val="26"/>
                  </w:rPr>
                  <m:t>β</m:t>
                </m:r>
              </m:oMath>
            </m:oMathPara>
          </w:p>
          <w:p>
            <w:pPr>
              <w:shd w:fill="FBEAF1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α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γ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exp</m:t>
                </m:r>
                <m:r>
                  <w:rPr>
                    <w:sz w:val="26"/>
                    <w:szCs w:val="26"/>
                  </w:rP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−</m:t>
                            </m:r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log</m:t>
                            </m:r>
                            <m:r>
                              <w:rPr>
                                <w:sz w:val="26"/>
                                <w:szCs w:val="26"/>
                              </w:rPr>
                              <m:t>α</m:t>
                            </m:r>
                          </m:e>
                        </m:d>
                      </m:e>
                      <m:sup>
                        <m:r>
                          <w:rPr>
                            <w:sz w:val="26"/>
                            <w:szCs w:val="26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/</m:t>
                        </m:r>
                        <m:r>
                          <w:rPr>
                            <w:sz w:val="26"/>
                            <w:szCs w:val="26"/>
                          </w:rPr>
                          <m:t>γ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r>
                  <w:rPr>
                    <w:sz w:val="26"/>
                    <w:szCs w:val="26"/>
                  </w:rPr>
                  <m:t>0.080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w:rPr>
                    <w:sz w:val="26"/>
                    <w:szCs w:val="26"/>
                  </w:rPr>
                  <m:t>0.059</m:t>
                </m:r>
                <m:r>
                  <m:rPr>
                    <m:sty m:val="p"/>
                  </m:rPr>
                  <w:rPr>
                    <w:sz w:val="26"/>
                    <w:szCs w:val="26"/>
                  </w:rPr>
                  <m:t>,</m:t>
                </m:r>
                <m:r>
                  <w:rPr>
                    <w:sz w:val="26"/>
                    <w:szCs w:val="26"/>
                  </w:rPr>
                  <m:t> </m:t>
                </m:r>
                <m:r>
                  <w:rPr>
                    <w:sz w:val="26"/>
                    <w:szCs w:val="26"/>
                  </w:rPr>
                  <m:t>0.037</m:t>
                </m:r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9B2C5E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Prelec weighting at </w:t>
            </w:r>
            <m:oMath>
              <m:r>
                <w:rPr>
                  <w:sz w:val="23"/>
                  <w:szCs w:val="23"/>
                </w:rPr>
                <m:t>γ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=</m:t>
              </m:r>
              <m:r>
                <w:rPr>
                  <w:sz w:val="23"/>
                  <w:szCs w:val="23"/>
                </w:rPr>
                <m:t>0.9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,</m:t>
              </m:r>
              <m:r>
                <w:rPr>
                  <w:sz w:val="23"/>
                  <w:szCs w:val="23"/>
                </w:rPr>
                <m:t>0.8</m:t>
              </m:r>
              <m:r>
                <m:rPr>
                  <m:sty m:val="p"/>
                </m:rPr>
                <w:rPr>
                  <w:sz w:val="23"/>
                  <w:szCs w:val="23"/>
                </w:rPr>
                <m:t>,</m:t>
              </m:r>
              <m:r>
                <w:rPr>
                  <w:sz w:val="23"/>
                  <w:szCs w:val="23"/>
                </w:rPr>
                <m:t>0.7</m:t>
              </m:r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. Probability weighting is optimal under finite precision (Juechems, Balaguer, Spitzer &amp; Summerfield 2021); risk attitudes from noisy magnitude coding (Barretto-García, de Hollander, Grueschow, Polanía, Woodford &amp; Ruff 2023); salience (Li &amp; Camerer 2022).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7579"/>
            <w:tcBorders>
              <w:top w:val="single" w:color="9C6B30" w:sz="36"/>
              <w:left w:val="single" w:color="D0D7DE" w:sz="6"/>
              <w:bottom w:val="single" w:color="D0D7DE" w:sz="6"/>
              <w:right w:val="single" w:color="D0D7DE" w:sz="6"/>
            </w:tcBorders>
            <w:shd w:fill="FFFFFF" w:color="auto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top"/>
          </w:tcPr>
          <w:p>
            <w:pPr>
              <w:keepNext w:val="false"/>
              <w:spacing w:after="80" w:before="0" w:line="24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  <w:shd w:fill="9C6B30" w:color="auto" w:val="clear"/>
              </w:rPr>
              <w:t xml:space="preserve"> 8 </w:t>
            </w:r>
            <w:r>
              <w:rPr>
                <w:sz w:val="30"/>
                <w:szCs w:val="30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7A5122"/>
                <w:sz w:val="30"/>
                <w:szCs w:val="30"/>
              </w:rPr>
              <w:t xml:space="preserve">Every weather, agreed before</w:t>
            </w:r>
          </w:p>
          <w:p>
            <w:pPr>
              <w:keepNext w:val="false"/>
              <w:spacing w:after="8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8A93A0" w:color="auto" w:val="clear"/>
              </w:rPr>
              <w:t xml:space="preserve"> IDEA 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Agree a plan per weather regime before it comes; objective triggers switch plans, and an emergency stop is safe only if the recharge factor </w:t>
            </w:r>
            <m:oMath>
              <m:sSub>
                <m:e>
                  <m:r>
                    <w:rPr>
                      <w:sz w:val="25"/>
                      <w:szCs w:val="25"/>
                    </w:rPr>
                    <m:t>f</m:t>
                  </m:r>
                </m:e>
                <m:sub>
                  <m:r>
                    <w:rPr>
                      <w:sz w:val="25"/>
                      <w:szCs w:val="25"/>
                    </w:rPr>
                    <m:t>R</m:t>
                  </m:r>
                </m:sub>
              </m:sSub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 is above </w:t>
            </w:r>
            <m:oMath>
              <m:sSup>
                <m:e>
                  <m:r>
                    <w:rPr>
                      <w:sz w:val="25"/>
                      <w:szCs w:val="25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sz w:val="25"/>
                      <w:szCs w:val="25"/>
                    </w:rPr>
                    <m:t>⋆</m:t>
                  </m:r>
                </m:sup>
              </m:sSup>
            </m:oMath>
            <w:r>
              <w:rPr>
                <w:rFonts w:ascii="Calibri" w:cs="Calibri" w:eastAsia="Calibri" w:hAnsi="Calibri"/>
                <w:color w:val="1F2328"/>
                <w:sz w:val="24"/>
                <w:szCs w:val="24"/>
              </w:rPr>
              <w:t xml:space="preserve">.</w:t>
            </w:r>
          </w:p>
          <w:p>
            <w:pPr>
              <w:shd w:fill="F6EFE6" w:color="auto" w:val="clear"/>
              <w:spacing w:after="0" w:before="3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</m:ba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6"/>
                        <w:szCs w:val="26"/>
                      </w:rPr>
                      <m:t>r</m:t>
                    </m:r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π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sub>
                    </m:sSub>
                  </m:e>
                </m:nary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sup>
                    </m:sSup>
                  </m:sub>
                  <m:sup>
                    <m:r>
                      <w:rPr>
                        <w:sz w:val="26"/>
                        <w:szCs w:val="26"/>
                      </w:rPr>
                      <m:t>​</m:t>
                    </m:r>
                  </m:sup>
                  <m:e>
                    <m:r>
                      <w:rPr>
                        <w:sz w:val="26"/>
                        <w:szCs w:val="26"/>
                      </w:rPr>
                      <m:t>M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w:rPr>
                            <w:sz w:val="26"/>
                            <w:szCs w:val="26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∣</m:t>
                    </m:r>
                    <m:r>
                      <w:rPr>
                        <w:sz w:val="26"/>
                        <w:szCs w:val="26"/>
                      </w:rPr>
                      <m:t>r</m:t>
                    </m:r>
                  </m:e>
                </m:d>
                <m:r>
                  <w:rPr>
                    <w:sz w:val="26"/>
                    <w:szCs w:val="26"/>
                  </w:rPr>
                  <m:t> </m:t>
                </m:r>
                <m:sSub>
                  <m:e>
                    <m:bar>
                      <m:barPr>
                        <m:pos m:val="top"/>
                      </m:barPr>
                      <m:e>
                        <m:r>
                          <w:rPr>
                            <w:sz w:val="26"/>
                            <w:szCs w:val="26"/>
                          </w:rPr>
                          <m:t>P</m:t>
                        </m:r>
                      </m:e>
                    </m:bar>
                  </m:e>
                  <m:sub>
                    <m:r>
                      <w:rPr>
                        <w:sz w:val="26"/>
                        <w:szCs w:val="26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,</m:t>
                    </m:r>
                    <m:r>
                      <w:rPr>
                        <w:sz w:val="26"/>
                        <w:szCs w:val="26"/>
                      </w:rPr>
                      <m:t>r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a</m:t>
                        </m:r>
                      </m:e>
                      <m:sub>
                        <m:sSup>
                          <m:e>
                            <m:r>
                              <w:rPr>
                                <w:sz w:val="26"/>
                                <w:szCs w:val="26"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sz w:val="26"/>
                                <w:szCs w:val="26"/>
                              </w:rPr>
                              <m:t>′</m:t>
                            </m:r>
                          </m:sup>
                        </m:sSup>
                      </m:sub>
                    </m:sSub>
                  </m:e>
                </m:d>
              </m:oMath>
            </m:oMathPara>
          </w:p>
          <w:p>
            <w:pPr>
              <w:shd w:fill="F6EFE6" w:color="auto" w:val="clear"/>
              <w:spacing w:after="100" w:before="0" w:line="252" w:lineRule="auto"/>
              <w:jc w:val="center"/>
              <w:rPr>
                <w:sz w:val="26"/>
                <w:szCs w:val="26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R</m:t>
                    </m:r>
                  </m:sub>
                </m:sSub>
                <m:r>
                  <m:rPr>
                    <m:sty m:val="p"/>
                  </m:rPr>
                  <w:rPr>
                    <w:sz w:val="26"/>
                    <w:szCs w:val="26"/>
                  </w:rPr>
                  <m:t>≥</m:t>
                </m:r>
                <m:sSup>
                  <m:e>
                    <m:r>
                      <w:rPr>
                        <w:sz w:val="26"/>
                        <w:szCs w:val="26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⋆</m:t>
                    </m:r>
                  </m:sup>
                </m:sSup>
                <m:r>
                  <m:rPr>
                    <m:sty m:val="p"/>
                  </m:rPr>
                  <w:rPr>
                    <w:sz w:val="26"/>
                    <w:szCs w:val="26"/>
                  </w:rPr>
                  <m:t>=</m:t>
                </m:r>
                <m:limLow>
                  <m:e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max</m:t>
                    </m:r>
                  </m:e>
                  <m:lim>
                    <m:r>
                      <w:rPr>
                        <w:sz w:val="26"/>
                        <w:szCs w:val="26"/>
                      </w:rPr>
                      <m:t>k</m:t>
                    </m:r>
                  </m:lim>
                </m:limLow>
                <m:r>
                  <w:rPr>
                    <w:sz w:val="26"/>
                    <w:szCs w:val="26"/>
                  </w:rPr>
                  <m:t> </m:t>
                </m:r>
                <m:sSubSup>
                  <m:e>
                    <m:r>
                      <w:rPr>
                        <w:sz w:val="26"/>
                        <w:szCs w:val="26"/>
                      </w:rPr>
                      <m:t>Q</m:t>
                    </m:r>
                  </m:e>
                  <m:sub>
                    <m:r>
                      <w:rPr>
                        <w:sz w:val="26"/>
                        <w:szCs w:val="26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sz w:val="26"/>
                        <w:szCs w:val="26"/>
                      </w:rPr>
                      <m:t>−</m:t>
                    </m:r>
                    <m:r>
                      <w:rPr>
                        <w:sz w:val="26"/>
                        <w:szCs w:val="26"/>
                      </w:rPr>
                      <m:t>α</m:t>
                    </m:r>
                  </m:sub>
                  <m:sup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k</m:t>
                        </m:r>
                      </m:e>
                    </m:d>
                  </m:sup>
                </m:sSub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w:rPr>
                            <w:sz w:val="26"/>
                            <w:szCs w:val="26"/>
                          </w:rPr>
                          <m:t>f</m:t>
                        </m:r>
                      </m:e>
                      <m:sub>
                        <m:r>
                          <w:rPr>
                            <w:sz w:val="26"/>
                            <w:szCs w:val="26"/>
                          </w:rPr>
                          <m:t>θ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w:rPr>
                            <w:sz w:val="26"/>
                            <w:szCs w:val="26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sz w:val="26"/>
                            <w:szCs w:val="26"/>
                          </w:rPr>
                          <m:t>,</m:t>
                        </m:r>
                        <m:r>
                          <w:rPr>
                            <w:sz w:val="26"/>
                            <w:szCs w:val="26"/>
                          </w:rPr>
                          <m:t>E</m:t>
                        </m:r>
                      </m:e>
                    </m:d>
                  </m:e>
                </m:d>
              </m:oMath>
            </m:oMathPara>
          </w:p>
          <w:p>
            <w:pPr>
              <w:keepNext w:val="false"/>
              <w:spacing w:after="0" w:before="0" w:line="252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7A5122" w:color="auto" w:val="clear"/>
              </w:rPr>
              <w:t xml:space="preserve"> 2020–2026 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Triggers should err towards severity; </w:t>
            </w:r>
            <m:oMath>
              <m:sSup>
                <m:e>
                  <m:r>
                    <w:rPr>
                      <w:sz w:val="23"/>
                      <w:szCs w:val="23"/>
                    </w:rPr>
                    <m:t>f</m:t>
                  </m:r>
                </m:e>
                <m:sup>
                  <m:r>
                    <m:rPr>
                      <m:sty m:val="p"/>
                    </m:rPr>
                    <w:rPr>
                      <w:sz w:val="23"/>
                      <w:szCs w:val="23"/>
                    </w:rPr>
                    <m:t>⋆</m:t>
                  </m:r>
                </m:sup>
              </m:sSup>
            </m:oMath>
            <w:r>
              <w:rPr>
                <w:rFonts w:ascii="Calibri" w:cs="Calibri" w:eastAsia="Calibri" w:hAnsi="Calibri"/>
                <w:color w:val="3A4350"/>
                <w:sz w:val="22"/>
                <w:szCs w:val="22"/>
              </w:rPr>
              <w:t xml:space="preserve"> = 1.011 with no recharge, 0.781–0.813 with 5,000 m³/d per site. Decision rules with indicators (Murgatroyd &amp; Hall 2021); record-shattering extremes (Fischer, Sippel &amp; Knutti 2021); predictive safety filters (Wabersich &amp; Zeilinger 2023).</w:t>
            </w:r>
          </w:p>
        </w:tc>
      </w:tr>
    </w:tbl>
    <w:sectPr>
      <w:pgSz w:w="16838" w:h="11906" w:orient="landscape"/>
      <w:pgMar w:top="720" w:right="720" w:bottom="720" w:left="72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a2cdad0207eaca1a567c33eb2daf157453c7e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Stakeholders deciding together: no veto, for every belief and every weather</dc:title>
  <dc:creator>swi-goal-oed</dc:creator>
  <cp:lastModifiedBy>Un-named</cp:lastModifiedBy>
  <cp:revision>1</cp:revision>
  <dcterms:created xsi:type="dcterms:W3CDTF">2026-10-27T15:08:36.753Z</dcterms:created>
  <dcterms:modified xsi:type="dcterms:W3CDTF">2026-10-27T15:08:36.753Z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